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9DB4" w14:textId="77777777" w:rsidR="0056771D" w:rsidRPr="00DE6B90" w:rsidRDefault="0056771D" w:rsidP="00567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6B90">
        <w:rPr>
          <w:rFonts w:ascii="Times New Roman" w:hAnsi="Times New Roman" w:cs="Times New Roman"/>
          <w:sz w:val="24"/>
          <w:szCs w:val="24"/>
        </w:rPr>
        <w:t xml:space="preserve">Supplementary Content: Table 3a. </w:t>
      </w:r>
      <w:r w:rsidRPr="00DE6B90">
        <w:rPr>
          <w:rFonts w:ascii="Times New Roman" w:hAnsi="Times New Roman" w:cs="Times New Roman"/>
          <w:i/>
          <w:iCs/>
          <w:sz w:val="24"/>
          <w:szCs w:val="24"/>
        </w:rPr>
        <w:t>Percentage of correct responses on the CKI items (</w:t>
      </w:r>
      <w:proofErr w:type="spellStart"/>
      <w:r w:rsidRPr="00DE6B90">
        <w:rPr>
          <w:rFonts w:ascii="Times New Roman" w:hAnsi="Times New Roman" w:cs="Times New Roman"/>
          <w:i/>
          <w:iCs/>
          <w:sz w:val="24"/>
          <w:szCs w:val="24"/>
        </w:rPr>
        <w:t>RoCKAS</w:t>
      </w:r>
      <w:proofErr w:type="spellEnd"/>
      <w:r w:rsidRPr="00DE6B90">
        <w:rPr>
          <w:rFonts w:ascii="Times New Roman" w:hAnsi="Times New Roman" w:cs="Times New Roman"/>
          <w:i/>
          <w:iCs/>
          <w:sz w:val="24"/>
          <w:szCs w:val="24"/>
        </w:rPr>
        <w:t xml:space="preserve"> Sections 1 and 2) and misconceptions (*).</w:t>
      </w:r>
    </w:p>
    <w:tbl>
      <w:tblPr>
        <w:tblStyle w:val="TableGrid"/>
        <w:tblW w:w="13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781"/>
        <w:gridCol w:w="1479"/>
        <w:gridCol w:w="1843"/>
        <w:gridCol w:w="336"/>
      </w:tblGrid>
      <w:tr w:rsidR="0056771D" w:rsidRPr="00DE6B90" w14:paraId="766C3C40" w14:textId="77777777" w:rsidTr="00054F4B">
        <w:tc>
          <w:tcPr>
            <w:tcW w:w="8505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12A4CEBF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9C2C62" w14:textId="77777777" w:rsidR="0056771D" w:rsidRPr="00DE6B90" w:rsidRDefault="0056771D" w:rsidP="0056771D">
            <w:pPr>
              <w:spacing w:after="0" w:line="240" w:lineRule="auto"/>
              <w:ind w:right="33" w:hanging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Correct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F91E2" w14:textId="77777777" w:rsidR="0056771D" w:rsidRPr="00DE6B90" w:rsidRDefault="0056771D" w:rsidP="0056771D">
            <w:pPr>
              <w:spacing w:after="0" w:line="240" w:lineRule="auto"/>
              <w:ind w:right="33" w:hanging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71D" w:rsidRPr="00DE6B90" w14:paraId="2E3FADFC" w14:textId="77777777" w:rsidTr="00054F4B">
        <w:tc>
          <w:tcPr>
            <w:tcW w:w="85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506973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CKI Item, True (T) or False (F)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A208A" w14:textId="77777777" w:rsidR="0056771D" w:rsidRPr="00DE6B90" w:rsidRDefault="0056771D" w:rsidP="0056771D">
            <w:pPr>
              <w:spacing w:after="0" w:line="240" w:lineRule="auto"/>
              <w:ind w:right="33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Non-sports fan (</w:t>
            </w:r>
            <w:r w:rsidRPr="00DE6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=28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F3E13" w14:textId="77777777" w:rsidR="0056771D" w:rsidRPr="00DE6B90" w:rsidRDefault="0056771D" w:rsidP="0056771D">
            <w:pPr>
              <w:spacing w:after="0" w:line="240" w:lineRule="auto"/>
              <w:ind w:right="33" w:hanging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Sports fan</w:t>
            </w:r>
          </w:p>
          <w:p w14:paraId="792D4720" w14:textId="77777777" w:rsidR="0056771D" w:rsidRPr="00DE6B90" w:rsidRDefault="0056771D" w:rsidP="0056771D">
            <w:pPr>
              <w:spacing w:after="0" w:line="240" w:lineRule="auto"/>
              <w:ind w:right="33" w:hanging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6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=13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E89DD" w14:textId="77777777" w:rsidR="0056771D" w:rsidRPr="00DE6B90" w:rsidRDefault="0056771D" w:rsidP="0056771D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Wagering sports fan (</w:t>
            </w:r>
            <w:r w:rsidRPr="00DE6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=24)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BCB37" w14:textId="77777777" w:rsidR="0056771D" w:rsidRPr="00DE6B90" w:rsidRDefault="0056771D" w:rsidP="0056771D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71D" w:rsidRPr="00DE6B90" w14:paraId="27477729" w14:textId="77777777" w:rsidTr="00054F4B">
        <w:tc>
          <w:tcPr>
            <w:tcW w:w="8505" w:type="dxa"/>
            <w:tcBorders>
              <w:top w:val="single" w:sz="4" w:space="0" w:color="auto"/>
              <w:left w:val="nil"/>
              <w:right w:val="nil"/>
            </w:tcBorders>
          </w:tcPr>
          <w:p w14:paraId="5C026E71" w14:textId="77777777" w:rsidR="0056771D" w:rsidRPr="00DE6B90" w:rsidRDefault="0056771D" w:rsidP="0056771D">
            <w:pPr>
              <w:tabs>
                <w:tab w:val="left" w:pos="17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There is a possible risk of death if a second concussion occurs before the first one has 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healed.(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  <w:p w14:paraId="6453D358" w14:textId="77777777" w:rsidR="0056771D" w:rsidRPr="00DE6B90" w:rsidRDefault="0056771D" w:rsidP="0056771D">
            <w:pPr>
              <w:tabs>
                <w:tab w:val="left" w:pos="17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14:paraId="7EDFBF31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nil"/>
            </w:tcBorders>
          </w:tcPr>
          <w:p w14:paraId="68B6AE0A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14:paraId="433F9D8F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7A8C4E50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3A54B52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71D" w:rsidRPr="00DE6B90" w14:paraId="10EFD103" w14:textId="77777777" w:rsidTr="00054F4B">
        <w:trPr>
          <w:trHeight w:val="3119"/>
        </w:trPr>
        <w:tc>
          <w:tcPr>
            <w:tcW w:w="8505" w:type="dxa"/>
            <w:tcBorders>
              <w:bottom w:val="single" w:sz="4" w:space="0" w:color="auto"/>
            </w:tcBorders>
          </w:tcPr>
          <w:p w14:paraId="7BB328CC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People who have had one concussion are more likely to have another 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concussion.(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311033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2C473232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In order to be diagnosed with a concussion, you have to be knocked 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out.(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14:paraId="425D6E72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1562F3CB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A concussion can only occur if there is a direct hit to the 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head.(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14:paraId="102F6733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0596C8B4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Being knocked unconscious always causes permanent damage to the 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brain.(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14:paraId="049E4536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46D1D559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Symptoms of a concussion can last for several 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weeks.(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  <w:p w14:paraId="7AF2A207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493ED98F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Sometimes a second concussion can help a person remember things that were forgotten after the first 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concussion.(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14:paraId="0B2D15E6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5BADCEF4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After a concussion occurs, brain imaging (e.g., CAT Scan, MRI, X-Ray, etc.) typically shows visible physical damage (e.g., bruise, blood clot) to the 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brain.(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14:paraId="35E93B89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4F9DC8E4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If you receive one concussion and you have never had a concussion before, you will become less 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intelligent.(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14:paraId="7330AFA9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2DCFE89F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After 10 days, symptoms of a concussion are usually completely 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gone.(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  <w:p w14:paraId="1C1BE9EA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75E97ACA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After a concussion, people can forget who they are and not recognize others but be perfect in every other 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way.(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14:paraId="19188DD9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5E06780D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Concussions can sometimes lead to emotional 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disruptions.(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  <w:p w14:paraId="393869BC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443D1110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An athlete who gets knocked out after getting a concussion is experiencing a 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coma.(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  <w:p w14:paraId="75C45C64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09195068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There is rarely a risk to long-term health and well-being from multiple 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concussions.(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14:paraId="2B2E64CC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2DDDB6BC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It is likely that Player Q’s concussion will affect his long-term health and well-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being.(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  <w:p w14:paraId="2DB80EDC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091EC91E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It is likely that Player X’s concussion will affect his long-term health and well-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being.(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  <w:p w14:paraId="7D164A67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5B314EB2" w14:textId="77777777" w:rsidR="0056771D" w:rsidRPr="00DE6B90" w:rsidRDefault="0056771D" w:rsidP="0056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Even though Player F is still experiencing the effects of the concussion, her performance will be the same as it would be had she not suffered a concussion. (F)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A4F77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CB6E3FB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5F54D3CC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44E1B1D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537317DA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0166EAC1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64489872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500D3F4E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27427C3D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14:paraId="3CA4EF07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1E72A23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14:paraId="2EC67E3D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0FE5A49C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77E89BD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B020B0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4CE2CACA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338A92D5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14:paraId="662FBAFC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50254BEF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41DEE95D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FAB70F3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0F18DDC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8015B1C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77111B02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664613C2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  <w:p w14:paraId="2970F961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6E1BDA66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9664EE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4DAACB43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14:paraId="2C44AA26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6140415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91819D2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2CA37E5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14:paraId="173346A6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14:paraId="2529FCC3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6D28FFE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14:paraId="66EAE43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286E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7F3EDD41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AF86E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14:paraId="04D96A82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7A8D6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74E8A5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DBFAE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14:paraId="457F69D3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BA7E8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E354A79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6B99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B4B3F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324284D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F9EA6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61F05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300DF0E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9E691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F1148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2996D15F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AF7AA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62BF98A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1998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FBCB9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5C8039C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F61FE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B9F43D0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943D3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40ABD782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7789C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515ABF1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23EC2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14:paraId="510E6B0C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D8BA5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52FC14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14:paraId="799D5B83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C9F09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8FDEC38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BF2E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0282DB4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8F61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14:paraId="7C4072D9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2F447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14:paraId="6DE234F6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6B429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14:paraId="740A46D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D4814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2FF4F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1D993D96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C6CB3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2D444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FD5E1E3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78940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9102D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39E6378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AB343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89BBB73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307C4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DADA3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  <w:p w14:paraId="5AFB3256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6EB46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73CDB0E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A763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14:paraId="1E9E722F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F3A3C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74B9DC5F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81AC8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14:paraId="7E381E47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E8FC4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00E2359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6F02AC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  <w:p w14:paraId="52C64531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9584C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D19E0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67E0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E3366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6D43A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9EC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0B6E7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577A2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B7922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31425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8C6F3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54D9E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7A8F6B1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CDA4D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FB7AD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663D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193A3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AE35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E07F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D5FA7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5BB4949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73129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5E236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4162C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366AF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4177131A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4A9E2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609FB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9DBF1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8CC2" w14:textId="77777777" w:rsidR="0056771D" w:rsidRPr="00DE6B90" w:rsidRDefault="0056771D" w:rsidP="0056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71D" w:rsidRPr="00DE6B90" w14:paraId="097B7A14" w14:textId="77777777" w:rsidTr="00054F4B">
        <w:tc>
          <w:tcPr>
            <w:tcW w:w="8505" w:type="dxa"/>
            <w:tcBorders>
              <w:top w:val="single" w:sz="4" w:space="0" w:color="auto"/>
            </w:tcBorders>
          </w:tcPr>
          <w:p w14:paraId="5B320E18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539CCA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64B2C4B3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93106A2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D83524" w14:textId="77777777" w:rsidR="0056771D" w:rsidRPr="00DE6B90" w:rsidRDefault="0056771D" w:rsidP="005677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</w:tr>
    </w:tbl>
    <w:p w14:paraId="6106F621" w14:textId="77777777" w:rsidR="0056771D" w:rsidRPr="00DE6B90" w:rsidRDefault="0056771D" w:rsidP="0056771D">
      <w:pPr>
        <w:spacing w:line="480" w:lineRule="auto"/>
        <w:rPr>
          <w:rFonts w:ascii="Times New Roman" w:hAnsi="Times New Roman" w:cs="Times New Roman"/>
          <w:sz w:val="24"/>
          <w:szCs w:val="24"/>
          <w:lang w:eastAsia="en-GB"/>
        </w:rPr>
        <w:sectPr w:rsidR="0056771D" w:rsidRPr="00DE6B90" w:rsidSect="00E9693F"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 w:rsidRPr="00DE6B90">
        <w:rPr>
          <w:rFonts w:ascii="Times New Roman" w:hAnsi="Times New Roman" w:cs="Times New Roman"/>
          <w:sz w:val="24"/>
          <w:szCs w:val="24"/>
        </w:rPr>
        <w:t>N = 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6B9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E6B90">
        <w:rPr>
          <w:rFonts w:ascii="Times New Roman" w:hAnsi="Times New Roman" w:cs="Times New Roman"/>
          <w:sz w:val="24"/>
          <w:szCs w:val="24"/>
        </w:rPr>
        <w:t>RoCKAS</w:t>
      </w:r>
      <w:proofErr w:type="spellEnd"/>
      <w:r w:rsidRPr="00DE6B90">
        <w:rPr>
          <w:rFonts w:ascii="Times New Roman" w:hAnsi="Times New Roman" w:cs="Times New Roman"/>
          <w:sz w:val="24"/>
          <w:szCs w:val="24"/>
        </w:rPr>
        <w:t xml:space="preserve"> = Rosenbaum Concussion Knowledge and Attitudes Survey. </w:t>
      </w:r>
      <w:r w:rsidRPr="00DE6B90">
        <w:rPr>
          <w:rFonts w:ascii="Times New Roman" w:hAnsi="Times New Roman" w:cs="Times New Roman"/>
          <w:sz w:val="24"/>
          <w:szCs w:val="24"/>
          <w:lang w:eastAsia="en-GB"/>
        </w:rPr>
        <w:t xml:space="preserve">* Misconception = a correct response by &lt; 50% of at least one group. </w:t>
      </w:r>
    </w:p>
    <w:p w14:paraId="631D37E9" w14:textId="77777777" w:rsidR="0056771D" w:rsidRPr="00DE6B90" w:rsidRDefault="0056771D" w:rsidP="0056771D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6B90">
        <w:rPr>
          <w:rFonts w:ascii="Times New Roman" w:hAnsi="Times New Roman" w:cs="Times New Roman"/>
          <w:sz w:val="24"/>
          <w:szCs w:val="24"/>
        </w:rPr>
        <w:lastRenderedPageBreak/>
        <w:t>Supplementary Content:</w:t>
      </w:r>
      <w:r w:rsidRPr="00DE6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6B90">
        <w:rPr>
          <w:rFonts w:ascii="Times New Roman" w:hAnsi="Times New Roman" w:cs="Times New Roman"/>
          <w:sz w:val="24"/>
          <w:szCs w:val="24"/>
        </w:rPr>
        <w:t>Table 3b.</w:t>
      </w:r>
      <w:r w:rsidRPr="00DE6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Responses (percent correct) </w:t>
      </w:r>
      <w:r w:rsidRPr="00DE6B90">
        <w:rPr>
          <w:rFonts w:ascii="Times New Roman" w:hAnsi="Times New Roman" w:cs="Times New Roman"/>
          <w:i/>
          <w:iCs/>
          <w:sz w:val="24"/>
          <w:szCs w:val="24"/>
        </w:rPr>
        <w:t>on Concussion Symptom Checklist (</w:t>
      </w:r>
      <w:proofErr w:type="spellStart"/>
      <w:r w:rsidRPr="00DE6B90">
        <w:rPr>
          <w:rFonts w:ascii="Times New Roman" w:hAnsi="Times New Roman" w:cs="Times New Roman"/>
          <w:i/>
          <w:iCs/>
          <w:sz w:val="24"/>
          <w:szCs w:val="24"/>
        </w:rPr>
        <w:t>RoCKAS</w:t>
      </w:r>
      <w:proofErr w:type="spellEnd"/>
      <w:r w:rsidRPr="00DE6B90">
        <w:rPr>
          <w:rFonts w:ascii="Times New Roman" w:hAnsi="Times New Roman" w:cs="Times New Roman"/>
          <w:i/>
          <w:iCs/>
          <w:sz w:val="24"/>
          <w:szCs w:val="24"/>
        </w:rPr>
        <w:t xml:space="preserve"> Section 5) and misconceptions (*).</w:t>
      </w:r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3261"/>
        <w:gridCol w:w="2223"/>
        <w:gridCol w:w="513"/>
        <w:gridCol w:w="942"/>
        <w:gridCol w:w="375"/>
        <w:gridCol w:w="1469"/>
        <w:gridCol w:w="955"/>
        <w:gridCol w:w="53"/>
      </w:tblGrid>
      <w:tr w:rsidR="0056771D" w:rsidRPr="00DE6B90" w14:paraId="658AEA92" w14:textId="77777777" w:rsidTr="00054F4B">
        <w:trPr>
          <w:trHeight w:val="80"/>
        </w:trPr>
        <w:tc>
          <w:tcPr>
            <w:tcW w:w="5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6E35F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DABC7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392EF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8CA05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56771D" w:rsidRPr="00DE6B90" w14:paraId="13CC8ABA" w14:textId="77777777" w:rsidTr="00054F4B">
        <w:trPr>
          <w:gridAfter w:val="2"/>
          <w:wAfter w:w="1008" w:type="dxa"/>
          <w:trHeight w:val="415"/>
        </w:trPr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1D55CB31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F60DCB5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1FFF7A7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771D" w:rsidRPr="00DE6B90" w14:paraId="0CFC2DA5" w14:textId="77777777" w:rsidTr="00054F4B">
        <w:trPr>
          <w:gridAfter w:val="1"/>
          <w:wAfter w:w="53" w:type="dxa"/>
          <w:trHeight w:val="415"/>
        </w:trPr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F2B8DE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Symptoms 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F871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Non-sports fan (</w:t>
            </w:r>
            <w:r w:rsidRPr="00DE6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=28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9A7B7" w14:textId="77777777" w:rsidR="0056771D" w:rsidRPr="00DE6B90" w:rsidRDefault="0056771D" w:rsidP="00054F4B">
            <w:pPr>
              <w:ind w:right="33" w:hanging="43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Sports fan (</w:t>
            </w:r>
            <w:r w:rsidRPr="00DE6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=13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41F2E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Wagering sports fan (</w:t>
            </w:r>
            <w:r w:rsidRPr="00DE6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=24)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CF051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71D" w:rsidRPr="00DE6B90" w14:paraId="5F3CDE8C" w14:textId="77777777" w:rsidTr="00054F4B">
        <w:trPr>
          <w:gridAfter w:val="1"/>
          <w:wAfter w:w="53" w:type="dxa"/>
          <w:trHeight w:val="56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6FBABB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Hives (D)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5B5CB7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0CEF2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0FD421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9FB5D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771D" w:rsidRPr="00DE6B90" w14:paraId="5DB41A1E" w14:textId="77777777" w:rsidTr="00054F4B">
        <w:trPr>
          <w:gridAfter w:val="1"/>
          <w:wAfter w:w="53" w:type="dxa"/>
          <w:trHeight w:val="567"/>
        </w:trPr>
        <w:tc>
          <w:tcPr>
            <w:tcW w:w="3261" w:type="dxa"/>
            <w:vAlign w:val="center"/>
            <w:hideMark/>
          </w:tcPr>
          <w:p w14:paraId="3D3290CE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Headache (L)    </w:t>
            </w:r>
          </w:p>
        </w:tc>
        <w:tc>
          <w:tcPr>
            <w:tcW w:w="2223" w:type="dxa"/>
            <w:vAlign w:val="center"/>
            <w:hideMark/>
          </w:tcPr>
          <w:p w14:paraId="57E9F08C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5" w:type="dxa"/>
            <w:gridSpan w:val="2"/>
            <w:vAlign w:val="center"/>
          </w:tcPr>
          <w:p w14:paraId="44BE102A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44" w:type="dxa"/>
            <w:gridSpan w:val="2"/>
            <w:vAlign w:val="center"/>
          </w:tcPr>
          <w:p w14:paraId="4A7EE4E9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955" w:type="dxa"/>
          </w:tcPr>
          <w:p w14:paraId="0120ADB1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771D" w:rsidRPr="00DE6B90" w14:paraId="79691E08" w14:textId="77777777" w:rsidTr="00054F4B">
        <w:trPr>
          <w:gridAfter w:val="1"/>
          <w:wAfter w:w="53" w:type="dxa"/>
          <w:trHeight w:val="567"/>
        </w:trPr>
        <w:tc>
          <w:tcPr>
            <w:tcW w:w="3261" w:type="dxa"/>
            <w:vAlign w:val="center"/>
            <w:hideMark/>
          </w:tcPr>
          <w:p w14:paraId="615AE14A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Difficulty Speaking (D)</w:t>
            </w:r>
          </w:p>
        </w:tc>
        <w:tc>
          <w:tcPr>
            <w:tcW w:w="2223" w:type="dxa"/>
            <w:vAlign w:val="center"/>
            <w:hideMark/>
          </w:tcPr>
          <w:p w14:paraId="7681CADE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55" w:type="dxa"/>
            <w:gridSpan w:val="2"/>
            <w:vAlign w:val="center"/>
          </w:tcPr>
          <w:p w14:paraId="6C509192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844" w:type="dxa"/>
            <w:gridSpan w:val="2"/>
            <w:vAlign w:val="center"/>
          </w:tcPr>
          <w:p w14:paraId="69ED6FAB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955" w:type="dxa"/>
            <w:vAlign w:val="center"/>
          </w:tcPr>
          <w:p w14:paraId="54E1E709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</w:tr>
      <w:tr w:rsidR="0056771D" w:rsidRPr="00DE6B90" w14:paraId="6FA8B010" w14:textId="77777777" w:rsidTr="00054F4B">
        <w:trPr>
          <w:gridAfter w:val="1"/>
          <w:wAfter w:w="53" w:type="dxa"/>
          <w:trHeight w:val="567"/>
        </w:trPr>
        <w:tc>
          <w:tcPr>
            <w:tcW w:w="3261" w:type="dxa"/>
            <w:vAlign w:val="center"/>
            <w:hideMark/>
          </w:tcPr>
          <w:p w14:paraId="50B209F9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Arthritis (D) </w:t>
            </w:r>
          </w:p>
        </w:tc>
        <w:tc>
          <w:tcPr>
            <w:tcW w:w="2223" w:type="dxa"/>
            <w:vAlign w:val="center"/>
            <w:hideMark/>
          </w:tcPr>
          <w:p w14:paraId="5935730B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455" w:type="dxa"/>
            <w:gridSpan w:val="2"/>
            <w:vAlign w:val="center"/>
          </w:tcPr>
          <w:p w14:paraId="728B41D0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844" w:type="dxa"/>
            <w:gridSpan w:val="2"/>
            <w:vAlign w:val="center"/>
          </w:tcPr>
          <w:p w14:paraId="6368BA14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55" w:type="dxa"/>
          </w:tcPr>
          <w:p w14:paraId="43B7724C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771D" w:rsidRPr="00DE6B90" w14:paraId="0F0AFBC3" w14:textId="77777777" w:rsidTr="00054F4B">
        <w:trPr>
          <w:gridAfter w:val="1"/>
          <w:wAfter w:w="53" w:type="dxa"/>
          <w:trHeight w:val="567"/>
        </w:trPr>
        <w:tc>
          <w:tcPr>
            <w:tcW w:w="3261" w:type="dxa"/>
            <w:vAlign w:val="center"/>
            <w:hideMark/>
          </w:tcPr>
          <w:p w14:paraId="35774994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Sensitivity to Light (L)</w:t>
            </w:r>
          </w:p>
        </w:tc>
        <w:tc>
          <w:tcPr>
            <w:tcW w:w="2223" w:type="dxa"/>
            <w:vAlign w:val="center"/>
            <w:hideMark/>
          </w:tcPr>
          <w:p w14:paraId="3C4E7EAB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1455" w:type="dxa"/>
            <w:gridSpan w:val="2"/>
            <w:vAlign w:val="center"/>
          </w:tcPr>
          <w:p w14:paraId="2A5E4009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44" w:type="dxa"/>
            <w:gridSpan w:val="2"/>
            <w:vAlign w:val="center"/>
          </w:tcPr>
          <w:p w14:paraId="7CCB71E8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955" w:type="dxa"/>
          </w:tcPr>
          <w:p w14:paraId="23DDCCEA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771D" w:rsidRPr="00DE6B90" w14:paraId="6C34EC93" w14:textId="77777777" w:rsidTr="00054F4B">
        <w:trPr>
          <w:gridAfter w:val="1"/>
          <w:wAfter w:w="53" w:type="dxa"/>
          <w:trHeight w:val="567"/>
        </w:trPr>
        <w:tc>
          <w:tcPr>
            <w:tcW w:w="3261" w:type="dxa"/>
            <w:vAlign w:val="center"/>
            <w:hideMark/>
          </w:tcPr>
          <w:p w14:paraId="336917A5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Difficulty Remembering (L)</w:t>
            </w:r>
          </w:p>
        </w:tc>
        <w:tc>
          <w:tcPr>
            <w:tcW w:w="2223" w:type="dxa"/>
            <w:vAlign w:val="center"/>
            <w:hideMark/>
          </w:tcPr>
          <w:p w14:paraId="61BCEA6F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1455" w:type="dxa"/>
            <w:gridSpan w:val="2"/>
            <w:vAlign w:val="center"/>
          </w:tcPr>
          <w:p w14:paraId="277A87D5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844" w:type="dxa"/>
            <w:gridSpan w:val="2"/>
            <w:vAlign w:val="center"/>
          </w:tcPr>
          <w:p w14:paraId="22B9B240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955" w:type="dxa"/>
          </w:tcPr>
          <w:p w14:paraId="48F7F9BF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771D" w:rsidRPr="00DE6B90" w14:paraId="26E6E883" w14:textId="77777777" w:rsidTr="00054F4B">
        <w:trPr>
          <w:gridAfter w:val="1"/>
          <w:wAfter w:w="53" w:type="dxa"/>
          <w:trHeight w:val="567"/>
        </w:trPr>
        <w:tc>
          <w:tcPr>
            <w:tcW w:w="3261" w:type="dxa"/>
            <w:vAlign w:val="center"/>
            <w:hideMark/>
          </w:tcPr>
          <w:p w14:paraId="4564BB96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Panic Attacks (D)</w:t>
            </w:r>
          </w:p>
        </w:tc>
        <w:tc>
          <w:tcPr>
            <w:tcW w:w="2223" w:type="dxa"/>
            <w:vAlign w:val="center"/>
            <w:hideMark/>
          </w:tcPr>
          <w:p w14:paraId="447D50D1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55" w:type="dxa"/>
            <w:gridSpan w:val="2"/>
            <w:vAlign w:val="center"/>
          </w:tcPr>
          <w:p w14:paraId="16924E46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44" w:type="dxa"/>
            <w:gridSpan w:val="2"/>
            <w:vAlign w:val="center"/>
          </w:tcPr>
          <w:p w14:paraId="05D19FEF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55" w:type="dxa"/>
          </w:tcPr>
          <w:p w14:paraId="55F158C2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771D" w:rsidRPr="00DE6B90" w14:paraId="28802CCF" w14:textId="77777777" w:rsidTr="00054F4B">
        <w:trPr>
          <w:gridAfter w:val="1"/>
          <w:wAfter w:w="53" w:type="dxa"/>
          <w:trHeight w:val="567"/>
        </w:trPr>
        <w:tc>
          <w:tcPr>
            <w:tcW w:w="3261" w:type="dxa"/>
            <w:vAlign w:val="center"/>
            <w:hideMark/>
          </w:tcPr>
          <w:p w14:paraId="0372C1DC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Drowsiness (L)</w:t>
            </w:r>
          </w:p>
        </w:tc>
        <w:tc>
          <w:tcPr>
            <w:tcW w:w="2223" w:type="dxa"/>
            <w:vAlign w:val="center"/>
            <w:hideMark/>
          </w:tcPr>
          <w:p w14:paraId="6483C759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1455" w:type="dxa"/>
            <w:gridSpan w:val="2"/>
            <w:vAlign w:val="center"/>
          </w:tcPr>
          <w:p w14:paraId="2E83848A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844" w:type="dxa"/>
            <w:gridSpan w:val="2"/>
            <w:vAlign w:val="center"/>
          </w:tcPr>
          <w:p w14:paraId="0680687F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955" w:type="dxa"/>
          </w:tcPr>
          <w:p w14:paraId="073572C2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771D" w:rsidRPr="00DE6B90" w14:paraId="6FAA7095" w14:textId="77777777" w:rsidTr="00054F4B">
        <w:trPr>
          <w:gridAfter w:val="1"/>
          <w:wAfter w:w="53" w:type="dxa"/>
          <w:trHeight w:val="567"/>
        </w:trPr>
        <w:tc>
          <w:tcPr>
            <w:tcW w:w="3261" w:type="dxa"/>
            <w:vAlign w:val="center"/>
            <w:hideMark/>
          </w:tcPr>
          <w:p w14:paraId="5843BABE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Feeling in a “Fog” (L)</w:t>
            </w:r>
          </w:p>
        </w:tc>
        <w:tc>
          <w:tcPr>
            <w:tcW w:w="2223" w:type="dxa"/>
            <w:vAlign w:val="center"/>
            <w:hideMark/>
          </w:tcPr>
          <w:p w14:paraId="395FF80B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455" w:type="dxa"/>
            <w:gridSpan w:val="2"/>
            <w:vAlign w:val="center"/>
          </w:tcPr>
          <w:p w14:paraId="31BBA2DA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844" w:type="dxa"/>
            <w:gridSpan w:val="2"/>
            <w:vAlign w:val="center"/>
          </w:tcPr>
          <w:p w14:paraId="06634B68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955" w:type="dxa"/>
          </w:tcPr>
          <w:p w14:paraId="2A508FD4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771D" w:rsidRPr="00DE6B90" w14:paraId="0D54F113" w14:textId="77777777" w:rsidTr="00054F4B">
        <w:trPr>
          <w:gridAfter w:val="1"/>
          <w:wAfter w:w="53" w:type="dxa"/>
          <w:trHeight w:val="567"/>
        </w:trPr>
        <w:tc>
          <w:tcPr>
            <w:tcW w:w="3261" w:type="dxa"/>
            <w:vAlign w:val="center"/>
            <w:hideMark/>
          </w:tcPr>
          <w:p w14:paraId="78AE09A6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Weight Gain (D)</w:t>
            </w:r>
          </w:p>
        </w:tc>
        <w:tc>
          <w:tcPr>
            <w:tcW w:w="2223" w:type="dxa"/>
            <w:vAlign w:val="center"/>
            <w:hideMark/>
          </w:tcPr>
          <w:p w14:paraId="47B51985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455" w:type="dxa"/>
            <w:gridSpan w:val="2"/>
            <w:vAlign w:val="center"/>
          </w:tcPr>
          <w:p w14:paraId="09A0D2AB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844" w:type="dxa"/>
            <w:gridSpan w:val="2"/>
            <w:vAlign w:val="center"/>
          </w:tcPr>
          <w:p w14:paraId="79BEAB4E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55" w:type="dxa"/>
          </w:tcPr>
          <w:p w14:paraId="22BED097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771D" w:rsidRPr="00DE6B90" w14:paraId="0A92FECF" w14:textId="77777777" w:rsidTr="00054F4B">
        <w:trPr>
          <w:gridAfter w:val="1"/>
          <w:wAfter w:w="53" w:type="dxa"/>
          <w:trHeight w:val="567"/>
        </w:trPr>
        <w:tc>
          <w:tcPr>
            <w:tcW w:w="3261" w:type="dxa"/>
            <w:vAlign w:val="center"/>
            <w:hideMark/>
          </w:tcPr>
          <w:p w14:paraId="0EB10C92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Feeling Slowed Down (L)</w:t>
            </w:r>
          </w:p>
        </w:tc>
        <w:tc>
          <w:tcPr>
            <w:tcW w:w="2223" w:type="dxa"/>
            <w:vAlign w:val="center"/>
            <w:hideMark/>
          </w:tcPr>
          <w:p w14:paraId="393BE607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14:paraId="49F45BBB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844" w:type="dxa"/>
            <w:gridSpan w:val="2"/>
            <w:vAlign w:val="center"/>
          </w:tcPr>
          <w:p w14:paraId="3E6FEFD2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955" w:type="dxa"/>
          </w:tcPr>
          <w:p w14:paraId="675031CA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771D" w:rsidRPr="00DE6B90" w14:paraId="75D1901D" w14:textId="77777777" w:rsidTr="00054F4B">
        <w:trPr>
          <w:gridAfter w:val="1"/>
          <w:wAfter w:w="53" w:type="dxa"/>
          <w:trHeight w:val="567"/>
        </w:trPr>
        <w:tc>
          <w:tcPr>
            <w:tcW w:w="3261" w:type="dxa"/>
            <w:vAlign w:val="center"/>
            <w:hideMark/>
          </w:tcPr>
          <w:p w14:paraId="4445F84E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Reduced Breathing Rate (D)</w:t>
            </w:r>
          </w:p>
        </w:tc>
        <w:tc>
          <w:tcPr>
            <w:tcW w:w="2223" w:type="dxa"/>
            <w:vAlign w:val="center"/>
            <w:hideMark/>
          </w:tcPr>
          <w:p w14:paraId="4B53AF83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55" w:type="dxa"/>
            <w:gridSpan w:val="2"/>
            <w:vAlign w:val="center"/>
          </w:tcPr>
          <w:p w14:paraId="648112FF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844" w:type="dxa"/>
            <w:gridSpan w:val="2"/>
            <w:vAlign w:val="center"/>
          </w:tcPr>
          <w:p w14:paraId="46C2BBBE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955" w:type="dxa"/>
          </w:tcPr>
          <w:p w14:paraId="37A95293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771D" w:rsidRPr="00DE6B90" w14:paraId="5C4D6963" w14:textId="77777777" w:rsidTr="00054F4B">
        <w:trPr>
          <w:gridAfter w:val="1"/>
          <w:wAfter w:w="53" w:type="dxa"/>
          <w:trHeight w:val="567"/>
        </w:trPr>
        <w:tc>
          <w:tcPr>
            <w:tcW w:w="3261" w:type="dxa"/>
            <w:vAlign w:val="center"/>
            <w:hideMark/>
          </w:tcPr>
          <w:p w14:paraId="0392AA04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Excessive Studying (D)</w:t>
            </w:r>
          </w:p>
        </w:tc>
        <w:tc>
          <w:tcPr>
            <w:tcW w:w="2223" w:type="dxa"/>
            <w:vAlign w:val="center"/>
            <w:hideMark/>
          </w:tcPr>
          <w:p w14:paraId="2C910A23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455" w:type="dxa"/>
            <w:gridSpan w:val="2"/>
            <w:vAlign w:val="center"/>
          </w:tcPr>
          <w:p w14:paraId="533E9A69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844" w:type="dxa"/>
            <w:gridSpan w:val="2"/>
            <w:vAlign w:val="center"/>
          </w:tcPr>
          <w:p w14:paraId="23B682BE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55" w:type="dxa"/>
          </w:tcPr>
          <w:p w14:paraId="2BC26946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771D" w:rsidRPr="00DE6B90" w14:paraId="07C81410" w14:textId="77777777" w:rsidTr="00054F4B">
        <w:trPr>
          <w:gridAfter w:val="1"/>
          <w:wAfter w:w="53" w:type="dxa"/>
          <w:trHeight w:val="567"/>
        </w:trPr>
        <w:tc>
          <w:tcPr>
            <w:tcW w:w="3261" w:type="dxa"/>
            <w:vAlign w:val="center"/>
            <w:hideMark/>
          </w:tcPr>
          <w:p w14:paraId="20D0D555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Difficulty Concentrating (L)</w:t>
            </w:r>
          </w:p>
        </w:tc>
        <w:tc>
          <w:tcPr>
            <w:tcW w:w="2223" w:type="dxa"/>
            <w:vAlign w:val="center"/>
            <w:hideMark/>
          </w:tcPr>
          <w:p w14:paraId="0694D39B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55" w:type="dxa"/>
            <w:gridSpan w:val="2"/>
            <w:vAlign w:val="center"/>
          </w:tcPr>
          <w:p w14:paraId="16869DDA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844" w:type="dxa"/>
            <w:gridSpan w:val="2"/>
            <w:vAlign w:val="center"/>
          </w:tcPr>
          <w:p w14:paraId="4562850B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955" w:type="dxa"/>
          </w:tcPr>
          <w:p w14:paraId="6F96D075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771D" w:rsidRPr="00DE6B90" w14:paraId="7C1FA524" w14:textId="77777777" w:rsidTr="00054F4B">
        <w:trPr>
          <w:gridAfter w:val="1"/>
          <w:wAfter w:w="53" w:type="dxa"/>
          <w:trHeight w:val="567"/>
        </w:trPr>
        <w:tc>
          <w:tcPr>
            <w:tcW w:w="3261" w:type="dxa"/>
            <w:vAlign w:val="center"/>
            <w:hideMark/>
          </w:tcPr>
          <w:p w14:paraId="21B67185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Dizziness (L)</w:t>
            </w:r>
          </w:p>
        </w:tc>
        <w:tc>
          <w:tcPr>
            <w:tcW w:w="2223" w:type="dxa"/>
            <w:vAlign w:val="center"/>
            <w:hideMark/>
          </w:tcPr>
          <w:p w14:paraId="6F2DCEA2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55" w:type="dxa"/>
            <w:gridSpan w:val="2"/>
            <w:vAlign w:val="center"/>
          </w:tcPr>
          <w:p w14:paraId="4B5D1C74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44" w:type="dxa"/>
            <w:gridSpan w:val="2"/>
            <w:vAlign w:val="center"/>
          </w:tcPr>
          <w:p w14:paraId="4E1974DE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955" w:type="dxa"/>
          </w:tcPr>
          <w:p w14:paraId="41A5439D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771D" w:rsidRPr="00DE6B90" w14:paraId="656E5681" w14:textId="77777777" w:rsidTr="00054F4B">
        <w:trPr>
          <w:gridAfter w:val="1"/>
          <w:wAfter w:w="53" w:type="dxa"/>
          <w:trHeight w:val="56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0F3E60" w14:textId="77777777" w:rsidR="0056771D" w:rsidRPr="00DE6B90" w:rsidRDefault="0056771D" w:rsidP="0005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Hair Loss (D)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D8E316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8C8048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23A53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458C5" w14:textId="77777777" w:rsidR="0056771D" w:rsidRPr="00DE6B90" w:rsidRDefault="0056771D" w:rsidP="0005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36B9C09" w14:textId="1805DA09" w:rsidR="002E4AF4" w:rsidRPr="0056771D" w:rsidRDefault="0056771D" w:rsidP="005677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6B90">
        <w:rPr>
          <w:rFonts w:ascii="Times New Roman" w:hAnsi="Times New Roman" w:cs="Times New Roman"/>
          <w:sz w:val="24"/>
          <w:szCs w:val="24"/>
        </w:rPr>
        <w:t>N = 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6B9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E6B90">
        <w:rPr>
          <w:rFonts w:ascii="Times New Roman" w:hAnsi="Times New Roman" w:cs="Times New Roman"/>
          <w:sz w:val="24"/>
          <w:szCs w:val="24"/>
        </w:rPr>
        <w:t>RoCKAS</w:t>
      </w:r>
      <w:proofErr w:type="spellEnd"/>
      <w:r w:rsidRPr="00DE6B90">
        <w:rPr>
          <w:rFonts w:ascii="Times New Roman" w:hAnsi="Times New Roman" w:cs="Times New Roman"/>
          <w:sz w:val="24"/>
          <w:szCs w:val="24"/>
        </w:rPr>
        <w:t xml:space="preserve"> = Rosenbaum Concussion Knowledge and Attitudes Survey. </w:t>
      </w:r>
      <w:r w:rsidRPr="00DE6B90">
        <w:rPr>
          <w:rFonts w:ascii="Times New Roman" w:hAnsi="Times New Roman" w:cs="Times New Roman"/>
          <w:sz w:val="24"/>
          <w:szCs w:val="24"/>
          <w:lang w:eastAsia="en-GB"/>
        </w:rPr>
        <w:t xml:space="preserve">D = Distractor symptom; L =Legitimate symptom.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A correct response was defined as the selection of a legitimate symptom, or the non-selection of a distractor symptom. </w:t>
      </w:r>
      <w:r w:rsidRPr="00DE6B90">
        <w:rPr>
          <w:rFonts w:ascii="Times New Roman" w:hAnsi="Times New Roman" w:cs="Times New Roman"/>
          <w:sz w:val="24"/>
          <w:szCs w:val="24"/>
          <w:lang w:eastAsia="en-GB"/>
        </w:rPr>
        <w:t>*  Misconception = a correct response by &lt; 50% of at least one group.</w:t>
      </w:r>
      <w:r w:rsidRPr="000302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4AF4" w:rsidRPr="0056771D" w:rsidSect="00C14288">
      <w:pgSz w:w="11906" w:h="16838"/>
      <w:pgMar w:top="1440" w:right="991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1D"/>
    <w:rsid w:val="002E4AF4"/>
    <w:rsid w:val="0056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DA3E"/>
  <w15:chartTrackingRefBased/>
  <w15:docId w15:val="{B902B6CE-2018-4A1D-A068-B40AEC96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7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6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Sullivan</dc:creator>
  <cp:keywords/>
  <dc:description/>
  <cp:lastModifiedBy>Karen Sullivan</cp:lastModifiedBy>
  <cp:revision>1</cp:revision>
  <dcterms:created xsi:type="dcterms:W3CDTF">2021-12-09T21:11:00Z</dcterms:created>
  <dcterms:modified xsi:type="dcterms:W3CDTF">2021-12-09T21:13:00Z</dcterms:modified>
</cp:coreProperties>
</file>