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21F9" w14:textId="752AD716" w:rsidR="00287C59" w:rsidRPr="00F87E1B" w:rsidRDefault="00287C59" w:rsidP="00B07350">
      <w:pPr>
        <w:pStyle w:val="RSCH01PaperTitle"/>
        <w:spacing w:line="480" w:lineRule="auto"/>
        <w:jc w:val="center"/>
        <w:rPr>
          <w:rFonts w:ascii="Times New Roman" w:hAnsi="Times New Roman"/>
          <w:sz w:val="24"/>
          <w:szCs w:val="24"/>
        </w:rPr>
      </w:pPr>
      <w:r w:rsidRPr="00F87E1B">
        <w:rPr>
          <w:rFonts w:ascii="Times New Roman" w:hAnsi="Times New Roman"/>
          <w:sz w:val="24"/>
          <w:szCs w:val="24"/>
        </w:rPr>
        <w:t>Supporting Information</w:t>
      </w:r>
    </w:p>
    <w:p w14:paraId="47DEBE5C" w14:textId="77777777" w:rsidR="00F87E1B" w:rsidRPr="00F87E1B" w:rsidRDefault="00F87E1B" w:rsidP="00F87E1B">
      <w:pPr>
        <w:pStyle w:val="RSCH01PaperTitle"/>
        <w:spacing w:line="480" w:lineRule="auto"/>
        <w:jc w:val="both"/>
        <w:rPr>
          <w:rFonts w:ascii="Times New Roman" w:hAnsi="Times New Roman"/>
          <w:sz w:val="24"/>
          <w:szCs w:val="24"/>
        </w:rPr>
      </w:pPr>
      <w:r w:rsidRPr="00F87E1B">
        <w:rPr>
          <w:rFonts w:ascii="Times New Roman" w:hAnsi="Times New Roman"/>
          <w:sz w:val="24"/>
          <w:szCs w:val="24"/>
        </w:rPr>
        <w:t xml:space="preserve">Application of synchrotron radiation-based micro-analysis on cadmium yellows in Pablo Picasso’s </w:t>
      </w:r>
      <w:r w:rsidRPr="00F87E1B">
        <w:rPr>
          <w:rFonts w:ascii="Times New Roman" w:hAnsi="Times New Roman"/>
          <w:i/>
          <w:iCs/>
          <w:sz w:val="24"/>
          <w:szCs w:val="24"/>
        </w:rPr>
        <w:t>Femme</w:t>
      </w:r>
    </w:p>
    <w:p w14:paraId="4739A8D0" w14:textId="77777777" w:rsidR="00F87E1B" w:rsidRPr="00F87E1B" w:rsidRDefault="00F87E1B" w:rsidP="00F87E1B">
      <w:pPr>
        <w:pStyle w:val="RSCB01ARTAbstract"/>
        <w:spacing w:line="480" w:lineRule="auto"/>
        <w:rPr>
          <w:rFonts w:ascii="Times New Roman" w:hAnsi="Times New Roman" w:cs="Times New Roman"/>
          <w:noProof w:val="0"/>
          <w:sz w:val="24"/>
          <w:szCs w:val="24"/>
        </w:rPr>
      </w:pPr>
      <w:r w:rsidRPr="00F87E1B">
        <w:rPr>
          <w:rFonts w:ascii="Times New Roman" w:hAnsi="Times New Roman" w:cs="Times New Roman"/>
          <w:noProof w:val="0"/>
          <w:sz w:val="24"/>
          <w:szCs w:val="24"/>
        </w:rPr>
        <w:t>Marta Ghirardello</w:t>
      </w:r>
      <w:r w:rsidRPr="00F87E1B">
        <w:rPr>
          <w:rFonts w:ascii="Times New Roman" w:hAnsi="Times New Roman" w:cs="Times New Roman"/>
          <w:noProof w:val="0"/>
          <w:sz w:val="24"/>
          <w:szCs w:val="24"/>
          <w:vertAlign w:val="superscript"/>
        </w:rPr>
        <w:t>a,</w:t>
      </w:r>
      <w:r w:rsidRPr="00F87E1B">
        <w:rPr>
          <w:rFonts w:ascii="Times New Roman" w:hAnsi="Times New Roman" w:cs="Times New Roman"/>
          <w:noProof w:val="0"/>
          <w:sz w:val="24"/>
          <w:szCs w:val="24"/>
        </w:rPr>
        <w:t>*, Victor Gonzalez</w:t>
      </w:r>
      <w:r w:rsidRPr="00F87E1B">
        <w:rPr>
          <w:rFonts w:ascii="Times New Roman" w:hAnsi="Times New Roman" w:cs="Times New Roman"/>
          <w:noProof w:val="0"/>
          <w:sz w:val="24"/>
          <w:szCs w:val="24"/>
          <w:vertAlign w:val="superscript"/>
        </w:rPr>
        <w:t>b</w:t>
      </w:r>
      <w:r w:rsidRPr="00F87E1B">
        <w:rPr>
          <w:rFonts w:ascii="Times New Roman" w:hAnsi="Times New Roman" w:cs="Times New Roman"/>
          <w:noProof w:val="0"/>
          <w:sz w:val="24"/>
          <w:szCs w:val="24"/>
        </w:rPr>
        <w:t>, Letizia Monico</w:t>
      </w:r>
      <w:r w:rsidRPr="00F87E1B">
        <w:rPr>
          <w:rFonts w:ascii="Times New Roman" w:hAnsi="Times New Roman" w:cs="Times New Roman"/>
          <w:noProof w:val="0"/>
          <w:sz w:val="24"/>
          <w:szCs w:val="24"/>
          <w:vertAlign w:val="superscript"/>
        </w:rPr>
        <w:t>c</w:t>
      </w:r>
      <w:r w:rsidRPr="00F87E1B">
        <w:rPr>
          <w:rFonts w:ascii="Times New Roman" w:hAnsi="Times New Roman" w:cs="Times New Roman"/>
          <w:noProof w:val="0"/>
          <w:sz w:val="24"/>
          <w:szCs w:val="24"/>
        </w:rPr>
        <w:t>, Austin Nevin</w:t>
      </w:r>
      <w:r w:rsidRPr="00F87E1B">
        <w:rPr>
          <w:rFonts w:ascii="Times New Roman" w:hAnsi="Times New Roman" w:cs="Times New Roman"/>
          <w:noProof w:val="0"/>
          <w:sz w:val="24"/>
          <w:szCs w:val="24"/>
          <w:vertAlign w:val="superscript"/>
        </w:rPr>
        <w:t>d,e</w:t>
      </w:r>
      <w:r w:rsidRPr="00F87E1B">
        <w:rPr>
          <w:rFonts w:ascii="Times New Roman" w:hAnsi="Times New Roman" w:cs="Times New Roman"/>
          <w:noProof w:val="0"/>
          <w:sz w:val="24"/>
          <w:szCs w:val="24"/>
        </w:rPr>
        <w:t>, Douglas MacLennan</w:t>
      </w:r>
      <w:r w:rsidRPr="00F87E1B">
        <w:rPr>
          <w:rFonts w:ascii="Times New Roman" w:hAnsi="Times New Roman" w:cs="Times New Roman"/>
          <w:noProof w:val="0"/>
          <w:sz w:val="24"/>
          <w:szCs w:val="24"/>
          <w:vertAlign w:val="superscript"/>
        </w:rPr>
        <w:t>f</w:t>
      </w:r>
      <w:r w:rsidRPr="00F87E1B">
        <w:rPr>
          <w:rFonts w:ascii="Times New Roman" w:hAnsi="Times New Roman" w:cs="Times New Roman"/>
          <w:noProof w:val="0"/>
          <w:sz w:val="24"/>
          <w:szCs w:val="24"/>
        </w:rPr>
        <w:t>, Catherine Schmidt Patterson</w:t>
      </w:r>
      <w:r w:rsidRPr="00F87E1B">
        <w:rPr>
          <w:rFonts w:ascii="Times New Roman" w:hAnsi="Times New Roman" w:cs="Times New Roman"/>
          <w:noProof w:val="0"/>
          <w:sz w:val="24"/>
          <w:szCs w:val="24"/>
          <w:vertAlign w:val="superscript"/>
        </w:rPr>
        <w:t>f</w:t>
      </w:r>
      <w:r w:rsidRPr="00F87E1B">
        <w:rPr>
          <w:rFonts w:ascii="Times New Roman" w:hAnsi="Times New Roman" w:cs="Times New Roman"/>
          <w:noProof w:val="0"/>
          <w:sz w:val="24"/>
          <w:szCs w:val="24"/>
        </w:rPr>
        <w:t>, Manfred Burghammer</w:t>
      </w:r>
      <w:r w:rsidRPr="00F87E1B">
        <w:rPr>
          <w:rFonts w:ascii="Times New Roman" w:hAnsi="Times New Roman" w:cs="Times New Roman"/>
          <w:noProof w:val="0"/>
          <w:sz w:val="24"/>
          <w:szCs w:val="24"/>
          <w:vertAlign w:val="superscript"/>
        </w:rPr>
        <w:t>g</w:t>
      </w:r>
      <w:r w:rsidRPr="00F87E1B">
        <w:rPr>
          <w:rFonts w:ascii="Times New Roman" w:hAnsi="Times New Roman" w:cs="Times New Roman"/>
          <w:noProof w:val="0"/>
          <w:sz w:val="24"/>
          <w:szCs w:val="24"/>
        </w:rPr>
        <w:t>, Matthieu Réfrégiers</w:t>
      </w:r>
      <w:r w:rsidRPr="00F87E1B">
        <w:rPr>
          <w:rFonts w:ascii="Times New Roman" w:hAnsi="Times New Roman" w:cs="Times New Roman"/>
          <w:noProof w:val="0"/>
          <w:sz w:val="24"/>
          <w:szCs w:val="24"/>
          <w:vertAlign w:val="superscript"/>
        </w:rPr>
        <w:t>h,i</w:t>
      </w:r>
      <w:r w:rsidRPr="00F87E1B">
        <w:rPr>
          <w:rFonts w:ascii="Times New Roman" w:hAnsi="Times New Roman" w:cs="Times New Roman"/>
          <w:noProof w:val="0"/>
          <w:sz w:val="24"/>
          <w:szCs w:val="24"/>
        </w:rPr>
        <w:t>, Daniela Comelli</w:t>
      </w:r>
      <w:r w:rsidRPr="00F87E1B">
        <w:rPr>
          <w:rFonts w:ascii="Times New Roman" w:hAnsi="Times New Roman" w:cs="Times New Roman"/>
          <w:noProof w:val="0"/>
          <w:sz w:val="24"/>
          <w:szCs w:val="24"/>
          <w:vertAlign w:val="superscript"/>
        </w:rPr>
        <w:t>a</w:t>
      </w:r>
      <w:r w:rsidRPr="00F87E1B">
        <w:rPr>
          <w:rFonts w:ascii="Times New Roman" w:hAnsi="Times New Roman" w:cs="Times New Roman"/>
          <w:noProof w:val="0"/>
          <w:sz w:val="24"/>
          <w:szCs w:val="24"/>
        </w:rPr>
        <w:t xml:space="preserve"> and Marine Cotte</w:t>
      </w:r>
      <w:r w:rsidRPr="00F87E1B">
        <w:rPr>
          <w:rFonts w:ascii="Times New Roman" w:hAnsi="Times New Roman" w:cs="Times New Roman"/>
          <w:noProof w:val="0"/>
          <w:sz w:val="24"/>
          <w:szCs w:val="24"/>
          <w:vertAlign w:val="superscript"/>
        </w:rPr>
        <w:t>g,j,</w:t>
      </w:r>
      <w:r w:rsidRPr="00F87E1B">
        <w:rPr>
          <w:rFonts w:ascii="Times New Roman" w:hAnsi="Times New Roman" w:cs="Times New Roman"/>
          <w:noProof w:val="0"/>
          <w:sz w:val="24"/>
          <w:szCs w:val="24"/>
        </w:rPr>
        <w:t>*</w:t>
      </w:r>
    </w:p>
    <w:p w14:paraId="0A0E01CB"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 xml:space="preserve">a </w:t>
      </w:r>
      <w:r w:rsidRPr="00F87E1B">
        <w:rPr>
          <w:rFonts w:ascii="Times New Roman" w:hAnsi="Times New Roman" w:cs="Times New Roman"/>
          <w:noProof w:val="0"/>
          <w:sz w:val="20"/>
          <w:szCs w:val="20"/>
        </w:rPr>
        <w:t>Politecnico di Milano, Physics Department, Piazza Leonardo da Vinci 32, 20133, Milano, Italy</w:t>
      </w:r>
    </w:p>
    <w:p w14:paraId="56676E22"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 xml:space="preserve">b </w:t>
      </w:r>
      <w:r w:rsidRPr="00F87E1B">
        <w:rPr>
          <w:rFonts w:ascii="Times New Roman" w:hAnsi="Times New Roman" w:cs="Times New Roman"/>
          <w:noProof w:val="0"/>
          <w:sz w:val="20"/>
          <w:szCs w:val="20"/>
        </w:rPr>
        <w:t>Université Paris-Saclay, ENS Paris-Saclay, CNRS, PPSM, 91190, Gif-sur-Yvette, France</w:t>
      </w:r>
    </w:p>
    <w:p w14:paraId="58F900B1"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c</w:t>
      </w:r>
      <w:r w:rsidRPr="00F87E1B">
        <w:rPr>
          <w:rFonts w:ascii="Times New Roman" w:hAnsi="Times New Roman" w:cs="Times New Roman"/>
          <w:noProof w:val="0"/>
          <w:sz w:val="20"/>
          <w:szCs w:val="20"/>
        </w:rPr>
        <w:t xml:space="preserve"> CNR-SCITEC, Via Elce di Sotto 8, 06123, Perugia, Italy</w:t>
      </w:r>
    </w:p>
    <w:p w14:paraId="639C672E"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d</w:t>
      </w:r>
      <w:r w:rsidRPr="00F87E1B">
        <w:rPr>
          <w:rFonts w:ascii="Times New Roman" w:hAnsi="Times New Roman" w:cs="Times New Roman"/>
          <w:noProof w:val="0"/>
          <w:sz w:val="20"/>
          <w:szCs w:val="20"/>
        </w:rPr>
        <w:t xml:space="preserve"> IFN-CNR, Piazza Leonardo da Vinci 32, 20133, Milano, Italy</w:t>
      </w:r>
    </w:p>
    <w:p w14:paraId="022F4A99"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e</w:t>
      </w:r>
      <w:r w:rsidRPr="00F87E1B">
        <w:rPr>
          <w:rFonts w:ascii="Times New Roman" w:hAnsi="Times New Roman" w:cs="Times New Roman"/>
          <w:noProof w:val="0"/>
          <w:sz w:val="20"/>
          <w:szCs w:val="20"/>
        </w:rPr>
        <w:t xml:space="preserve"> Courtauld Institute of Art, Somerset House, Strand, WC2R ORN, London, United Kingdom</w:t>
      </w:r>
    </w:p>
    <w:p w14:paraId="6B4D7EDC"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f</w:t>
      </w:r>
      <w:r w:rsidRPr="00F87E1B">
        <w:rPr>
          <w:rFonts w:ascii="Times New Roman" w:hAnsi="Times New Roman" w:cs="Times New Roman"/>
          <w:noProof w:val="0"/>
          <w:sz w:val="20"/>
          <w:szCs w:val="20"/>
        </w:rPr>
        <w:t xml:space="preserve"> Getty Conservation Institute, Science Department, 1200 Getty Center Drive, Los Angeles, California 90049, United States</w:t>
      </w:r>
    </w:p>
    <w:p w14:paraId="1708AF5E"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g</w:t>
      </w:r>
      <w:r w:rsidRPr="00F87E1B">
        <w:rPr>
          <w:rFonts w:ascii="Times New Roman" w:hAnsi="Times New Roman" w:cs="Times New Roman"/>
          <w:noProof w:val="0"/>
          <w:sz w:val="20"/>
          <w:szCs w:val="20"/>
        </w:rPr>
        <w:t xml:space="preserve"> ESRF, 71 Avenue des Martyrs, 38000, Grenoble, France</w:t>
      </w:r>
    </w:p>
    <w:p w14:paraId="433C73DA"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h</w:t>
      </w:r>
      <w:r w:rsidRPr="00F87E1B">
        <w:rPr>
          <w:rFonts w:ascii="Times New Roman" w:hAnsi="Times New Roman" w:cs="Times New Roman"/>
          <w:noProof w:val="0"/>
          <w:sz w:val="20"/>
          <w:szCs w:val="20"/>
        </w:rPr>
        <w:t xml:space="preserve"> Synchrotron SOLEIL, L’Orme des Merisiers, Saint-Aubin, Gif-sur-Yvette, France</w:t>
      </w:r>
    </w:p>
    <w:p w14:paraId="01354FB6"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i</w:t>
      </w:r>
      <w:r w:rsidRPr="00F87E1B">
        <w:rPr>
          <w:rFonts w:ascii="Times New Roman" w:hAnsi="Times New Roman" w:cs="Times New Roman"/>
          <w:noProof w:val="0"/>
          <w:sz w:val="20"/>
          <w:szCs w:val="20"/>
        </w:rPr>
        <w:t xml:space="preserve"> CBM UPR4301, rue Charles Sadron, Orléans, France</w:t>
      </w:r>
    </w:p>
    <w:p w14:paraId="753FA09A"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r w:rsidRPr="00F87E1B">
        <w:rPr>
          <w:rFonts w:ascii="Times New Roman" w:hAnsi="Times New Roman" w:cs="Times New Roman"/>
          <w:noProof w:val="0"/>
          <w:sz w:val="20"/>
          <w:szCs w:val="20"/>
          <w:vertAlign w:val="superscript"/>
        </w:rPr>
        <w:t>j</w:t>
      </w:r>
      <w:r w:rsidRPr="00F87E1B">
        <w:rPr>
          <w:rFonts w:ascii="Times New Roman" w:hAnsi="Times New Roman" w:cs="Times New Roman"/>
          <w:noProof w:val="0"/>
          <w:sz w:val="20"/>
          <w:szCs w:val="20"/>
        </w:rPr>
        <w:t xml:space="preserve"> LAMS, CNRS UMR 8220, Sorbonne Université, UPMC Univ. Paris 06, place Jussieu 4, F-75005 Paris, France</w:t>
      </w:r>
    </w:p>
    <w:p w14:paraId="25012996" w14:textId="77777777" w:rsidR="00F87E1B" w:rsidRPr="00F87E1B" w:rsidRDefault="00F87E1B" w:rsidP="00F87E1B">
      <w:pPr>
        <w:pStyle w:val="RSCB01ARTAbstract"/>
        <w:spacing w:after="0" w:line="480" w:lineRule="auto"/>
        <w:rPr>
          <w:rFonts w:ascii="Times New Roman" w:hAnsi="Times New Roman" w:cs="Times New Roman"/>
          <w:noProof w:val="0"/>
          <w:sz w:val="20"/>
          <w:szCs w:val="20"/>
        </w:rPr>
      </w:pPr>
    </w:p>
    <w:p w14:paraId="38A52540" w14:textId="77777777" w:rsidR="00F87E1B" w:rsidRPr="00F87E1B" w:rsidRDefault="00F87E1B" w:rsidP="00F87E1B">
      <w:pPr>
        <w:spacing w:line="480" w:lineRule="auto"/>
        <w:jc w:val="both"/>
        <w:rPr>
          <w:rFonts w:ascii="Times New Roman" w:hAnsi="Times New Roman" w:cs="Times New Roman"/>
          <w:color w:val="0563C1" w:themeColor="hyperlink"/>
          <w:sz w:val="20"/>
          <w:szCs w:val="20"/>
          <w:u w:val="single"/>
        </w:rPr>
      </w:pPr>
      <w:r w:rsidRPr="00F87E1B">
        <w:rPr>
          <w:rFonts w:ascii="Times New Roman" w:hAnsi="Times New Roman" w:cs="Times New Roman"/>
          <w:sz w:val="20"/>
          <w:szCs w:val="20"/>
        </w:rPr>
        <w:t xml:space="preserve">* Corresponding authors : </w:t>
      </w:r>
      <w:hyperlink r:id="rId6" w:history="1">
        <w:r w:rsidRPr="00F87E1B">
          <w:rPr>
            <w:rStyle w:val="Hyperlink"/>
            <w:rFonts w:ascii="Times New Roman" w:hAnsi="Times New Roman"/>
            <w:sz w:val="20"/>
            <w:szCs w:val="20"/>
          </w:rPr>
          <w:t>marta.ghirardello@polimi.it</w:t>
        </w:r>
      </w:hyperlink>
      <w:r w:rsidRPr="00F87E1B">
        <w:rPr>
          <w:rFonts w:ascii="Times New Roman" w:hAnsi="Times New Roman" w:cs="Times New Roman"/>
          <w:sz w:val="20"/>
          <w:szCs w:val="20"/>
        </w:rPr>
        <w:t xml:space="preserve"> and </w:t>
      </w:r>
      <w:hyperlink r:id="rId7" w:history="1">
        <w:r w:rsidRPr="00F87E1B">
          <w:rPr>
            <w:rStyle w:val="Hyperlink"/>
            <w:rFonts w:ascii="Times New Roman" w:hAnsi="Times New Roman"/>
            <w:sz w:val="20"/>
            <w:szCs w:val="20"/>
          </w:rPr>
          <w:t>marine.cotte@esrf.fr</w:t>
        </w:r>
      </w:hyperlink>
    </w:p>
    <w:p w14:paraId="3F23E5B4" w14:textId="6E17C98B" w:rsidR="00655921" w:rsidRPr="00F87E1B" w:rsidRDefault="00655921"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br w:type="page"/>
      </w:r>
    </w:p>
    <w:p w14:paraId="534651BF" w14:textId="31D12276" w:rsidR="00E5791B" w:rsidRPr="00F87E1B" w:rsidRDefault="00E5791B"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S1.</w:t>
      </w:r>
      <w:r w:rsidR="00ED333D" w:rsidRPr="00F87E1B">
        <w:rPr>
          <w:rFonts w:ascii="Times New Roman" w:hAnsi="Times New Roman" w:cs="Times New Roman"/>
          <w:b/>
          <w:bCs/>
          <w:sz w:val="24"/>
          <w:szCs w:val="24"/>
        </w:rPr>
        <w:t xml:space="preserve"> </w:t>
      </w:r>
      <w:r w:rsidRPr="00F87E1B">
        <w:rPr>
          <w:rFonts w:ascii="Times New Roman" w:hAnsi="Times New Roman" w:cs="Times New Roman"/>
          <w:b/>
          <w:bCs/>
          <w:sz w:val="24"/>
          <w:szCs w:val="24"/>
        </w:rPr>
        <w:t>Preliminary laboratory characterization</w:t>
      </w:r>
    </w:p>
    <w:p w14:paraId="716AC5D8" w14:textId="71FF074F" w:rsidR="0062330C" w:rsidRPr="00F87E1B" w:rsidRDefault="0062330C"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t xml:space="preserve">Details of the preliminary </w:t>
      </w:r>
      <w:r w:rsidR="00E24803" w:rsidRPr="00F87E1B">
        <w:rPr>
          <w:rFonts w:ascii="Times New Roman" w:hAnsi="Times New Roman" w:cs="Times New Roman"/>
          <w:sz w:val="24"/>
          <w:szCs w:val="24"/>
        </w:rPr>
        <w:t xml:space="preserve">laboratory </w:t>
      </w:r>
      <w:r w:rsidRPr="00F87E1B">
        <w:rPr>
          <w:rFonts w:ascii="Times New Roman" w:hAnsi="Times New Roman" w:cs="Times New Roman"/>
          <w:sz w:val="24"/>
          <w:szCs w:val="24"/>
        </w:rPr>
        <w:t>characterization are largely reported in</w:t>
      </w:r>
      <w:r w:rsidR="00B07350" w:rsidRPr="00F87E1B">
        <w:rPr>
          <w:rFonts w:ascii="Times New Roman" w:hAnsi="Times New Roman" w:cs="Times New Roman"/>
          <w:sz w:val="24"/>
          <w:szCs w:val="24"/>
        </w:rPr>
        <w:t xml:space="preserve"> </w:t>
      </w:r>
      <w:r w:rsidRPr="00F87E1B">
        <w:rPr>
          <w:rFonts w:ascii="Times New Roman" w:hAnsi="Times New Roman" w:cs="Times New Roman"/>
          <w:sz w:val="24"/>
          <w:szCs w:val="24"/>
        </w:rPr>
        <w:fldChar w:fldCharType="begin" w:fldLock="1"/>
      </w:r>
      <w:r w:rsidR="00B07350" w:rsidRPr="00F87E1B">
        <w:rPr>
          <w:rFonts w:ascii="Times New Roman" w:hAnsi="Times New Roman" w:cs="Times New Roman"/>
          <w:sz w:val="24"/>
          <w:szCs w:val="24"/>
        </w:rPr>
        <w:instrText>ADDIN CSL_CITATION {"citationItems":[{"id":"ITEM-1","itemData":{"DOI":"10.1021/acs.analchem.8b04914","ISSN":"15206882","abstract":"Paints based on cadmium sulfide (CdS) were popular among artists beginning in the mid-19th century. Some paint formulations are prone to degrade, discoloring and disfiguring paintings where they have been used. Pablo Picasso's Femme (époque des \"Demoiselles d'Avignon\") (1907) includes two commercial formulations of CdS: one is visibly degraded and now appears brownish yellow, while the other appears relatively intact and is vibrant yellow. This observation inspired the study reported here of the photoluminescence emission from trap states of the two CdS paints, complemented by data from multispectral imaging, X-ray fluorescence spectroscopy, micro-FTIR, and SEM-EDS. The two paints exhibit trap state emissions that differ in terms of spectrum, intensity, and decay kinetics. In the now-brownish yellow paint, trap state emission is highly favored with respect to near band edge optical recombination. This observation suggests a higher density of surface defects in the now-brownish yellow paint that promotes the surface reactivity of CdS particles and their subsequent paint degradation. CdS is a semiconductor, and surface defects in semiconductors can trap free charge carriers; this interaction becomes stronger at reduced particle size or, equivalently, with increased surface to volume ratio. Here, we speculate that the strong trap state emission in the now-brownish cadmium yellow paint is linked to the presence of CdS particles with a nanocrystalline phase, possibly resulting from a low degree of calcination during pigment synthesis. Taken together, the results presented here demonstrate how photoluminescence studies can probe surface defects in CdS paints and lead to an improved understanding of their complex degradation mechanisms.","author":[{"dropping-particle":"","family":"Comelli","given":"Daniela","non-dropping-particle":"","parse-names":false,"suffix":""},{"dropping-particle":"","family":"Maclennan","given":"Douglas","non-dropping-particle":"","parse-names":false,"suffix":""},{"dropping-particle":"","family":"Ghirardello","given":"Marta","non-dropping-particle":"","parse-names":false,"suffix":""},{"dropping-particle":"","family":"Phenix","given":"Alan","non-dropping-particle":"","parse-names":false,"suffix":""},{"dropping-particle":"","family":"Schmidt Patterson","given":"Catherine","non-dropping-particle":"","parse-names":false,"suffix":""},{"dropping-particle":"","family":"Khanjian","given":"Herant","non-dropping-particle":"","parse-names":false,"suffix":""},{"dropping-particle":"","family":"Gross","given":"Markus","non-dropping-particle":"","parse-names":false,"suffix":""},{"dropping-particle":"","family":"Valentini","given":"Gianluca","non-dropping-particle":"","parse-names":false,"suffix":""},{"dropping-particle":"","family":"Trentelman","given":"Karen","non-dropping-particle":"","parse-names":false,"suffix":""},{"dropping-particle":"","family":"Nevin","given":"Austin","non-dropping-particle":"","parse-names":false,"suffix":""}],"container-title":"Analytical Chemistry","id":"ITEM-1","issue":"5","issued":{"date-parts":[["2019"]]},"page":"3421-3428","title":"Degradation of Cadmium Yellow Paint: New Evidence from Photoluminescence Studies of Trap States in Picasso's Femme (époque des \"demoiselles d'Avignon\")","type":"article-journal","volume":"91"},"uris":["http://www.mendeley.com/documents/?uuid=b5039226-2cdb-4d3a-a066-9f356a0d503a"]}],"mendeley":{"formattedCitation":"(Comelli et al., 2019)","plainTextFormattedCitation":"(Comelli et al., 2019)","previouslyFormattedCitation":"(Comelli et al., 2019)"},"properties":{"noteIndex":0},"schema":"https://github.com/citation-style-language/schema/raw/master/csl-citation.json"}</w:instrText>
      </w:r>
      <w:r w:rsidRPr="00F87E1B">
        <w:rPr>
          <w:rFonts w:ascii="Times New Roman" w:hAnsi="Times New Roman" w:cs="Times New Roman"/>
          <w:sz w:val="24"/>
          <w:szCs w:val="24"/>
        </w:rPr>
        <w:fldChar w:fldCharType="separate"/>
      </w:r>
      <w:r w:rsidR="00B07350" w:rsidRPr="00F87E1B">
        <w:rPr>
          <w:rFonts w:ascii="Times New Roman" w:hAnsi="Times New Roman" w:cs="Times New Roman"/>
          <w:noProof/>
          <w:sz w:val="24"/>
          <w:szCs w:val="24"/>
        </w:rPr>
        <w:t>(Comelli et al., 2019)</w:t>
      </w:r>
      <w:r w:rsidRPr="00F87E1B">
        <w:rPr>
          <w:rFonts w:ascii="Times New Roman" w:hAnsi="Times New Roman" w:cs="Times New Roman"/>
          <w:sz w:val="24"/>
          <w:szCs w:val="24"/>
        </w:rPr>
        <w:fldChar w:fldCharType="end"/>
      </w:r>
      <w:r w:rsidR="005977B1" w:rsidRPr="00F87E1B">
        <w:rPr>
          <w:rFonts w:ascii="Times New Roman" w:hAnsi="Times New Roman" w:cs="Times New Roman"/>
          <w:sz w:val="24"/>
          <w:szCs w:val="24"/>
        </w:rPr>
        <w:t>, while</w:t>
      </w:r>
      <w:r w:rsidRPr="00F87E1B">
        <w:rPr>
          <w:rFonts w:ascii="Times New Roman" w:hAnsi="Times New Roman" w:cs="Times New Roman"/>
          <w:sz w:val="24"/>
          <w:szCs w:val="24"/>
        </w:rPr>
        <w:t xml:space="preserve"> </w:t>
      </w:r>
      <w:r w:rsidR="00E30FB0" w:rsidRPr="00F87E1B">
        <w:rPr>
          <w:rFonts w:ascii="Times New Roman" w:hAnsi="Times New Roman" w:cs="Times New Roman"/>
          <w:sz w:val="24"/>
          <w:szCs w:val="24"/>
        </w:rPr>
        <w:t>d</w:t>
      </w:r>
      <w:r w:rsidRPr="00F87E1B">
        <w:rPr>
          <w:rFonts w:ascii="Times New Roman" w:hAnsi="Times New Roman" w:cs="Times New Roman"/>
          <w:sz w:val="24"/>
          <w:szCs w:val="24"/>
        </w:rPr>
        <w:t xml:space="preserve">etails of the Raman </w:t>
      </w:r>
      <w:r w:rsidR="0005018D" w:rsidRPr="00F87E1B">
        <w:rPr>
          <w:rFonts w:ascii="Times New Roman" w:hAnsi="Times New Roman" w:cs="Times New Roman"/>
          <w:sz w:val="24"/>
          <w:szCs w:val="24"/>
        </w:rPr>
        <w:t>micro-</w:t>
      </w:r>
      <w:r w:rsidRPr="00F87E1B">
        <w:rPr>
          <w:rFonts w:ascii="Times New Roman" w:hAnsi="Times New Roman" w:cs="Times New Roman"/>
          <w:sz w:val="24"/>
          <w:szCs w:val="24"/>
        </w:rPr>
        <w:t>spectroscopy are new</w:t>
      </w:r>
      <w:r w:rsidR="005977B1" w:rsidRPr="00F87E1B">
        <w:rPr>
          <w:rFonts w:ascii="Times New Roman" w:hAnsi="Times New Roman" w:cs="Times New Roman"/>
          <w:sz w:val="24"/>
          <w:szCs w:val="24"/>
        </w:rPr>
        <w:t xml:space="preserve">. The results are briefly </w:t>
      </w:r>
      <w:r w:rsidRPr="00F87E1B">
        <w:rPr>
          <w:rFonts w:ascii="Times New Roman" w:hAnsi="Times New Roman" w:cs="Times New Roman"/>
          <w:sz w:val="24"/>
          <w:szCs w:val="24"/>
        </w:rPr>
        <w:t>summarized here.</w:t>
      </w:r>
    </w:p>
    <w:p w14:paraId="421699ED" w14:textId="39D22207" w:rsidR="0006469F" w:rsidRPr="00F87E1B" w:rsidRDefault="005977B1"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t>The m</w:t>
      </w:r>
      <w:r w:rsidR="0006469F" w:rsidRPr="00F87E1B">
        <w:rPr>
          <w:rFonts w:ascii="Times New Roman" w:hAnsi="Times New Roman" w:cs="Times New Roman"/>
          <w:sz w:val="24"/>
          <w:szCs w:val="24"/>
        </w:rPr>
        <w:t xml:space="preserve">ulti-analytical study showed that </w:t>
      </w:r>
      <w:bookmarkStart w:id="0" w:name="_Hlk90455560"/>
      <w:r w:rsidR="0006469F" w:rsidRPr="00F87E1B">
        <w:rPr>
          <w:rFonts w:ascii="Times New Roman" w:hAnsi="Times New Roman" w:cs="Times New Roman"/>
          <w:sz w:val="24"/>
          <w:szCs w:val="24"/>
        </w:rPr>
        <w:t>the Cd-based yellow paint</w:t>
      </w:r>
      <w:bookmarkEnd w:id="0"/>
      <w:r w:rsidR="0006469F" w:rsidRPr="00F87E1B">
        <w:rPr>
          <w:rFonts w:ascii="Times New Roman" w:hAnsi="Times New Roman" w:cs="Times New Roman"/>
          <w:sz w:val="24"/>
          <w:szCs w:val="24"/>
        </w:rPr>
        <w:t>s of the two samples have a different chemical composition. Raman micro-spectroscopy identified the vibrant yellow as a mixture of lead white, cadmium sulfide (CdS) and barium sulfate (BaSO</w:t>
      </w:r>
      <w:r w:rsidR="0006469F" w:rsidRPr="00F87E1B">
        <w:rPr>
          <w:rFonts w:ascii="Times New Roman" w:hAnsi="Times New Roman" w:cs="Times New Roman"/>
          <w:sz w:val="24"/>
          <w:szCs w:val="24"/>
          <w:vertAlign w:val="subscript"/>
        </w:rPr>
        <w:t>4</w:t>
      </w:r>
      <w:r w:rsidR="0006469F" w:rsidRPr="00F87E1B">
        <w:rPr>
          <w:rFonts w:ascii="Times New Roman" w:hAnsi="Times New Roman" w:cs="Times New Roman"/>
          <w:sz w:val="24"/>
          <w:szCs w:val="24"/>
        </w:rPr>
        <w:t>). Small, isolated vermilion (HgS) particles dispersed in the yellow layer were also detected. The now-brownish yellow is instead composed of cadmium sulfide pigment (inferred based on the co-localization of Cd and S through SEM-EDX) and finely divided barium sulfate.</w:t>
      </w:r>
    </w:p>
    <w:p w14:paraId="207EBC5F" w14:textId="4A22BBC5" w:rsidR="0006469F" w:rsidRPr="00F87E1B" w:rsidRDefault="0006469F"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t xml:space="preserve">Different degradation compounds, residues and fillers were also detected in the two yellows by µFTIR measurements, including sulfate, </w:t>
      </w:r>
      <w:r w:rsidR="00F87E1B" w:rsidRPr="00F87E1B">
        <w:rPr>
          <w:rFonts w:ascii="Times New Roman" w:hAnsi="Times New Roman" w:cs="Times New Roman"/>
          <w:sz w:val="24"/>
          <w:szCs w:val="24"/>
        </w:rPr>
        <w:t>oxalate,</w:t>
      </w:r>
      <w:r w:rsidRPr="00F87E1B">
        <w:rPr>
          <w:rFonts w:ascii="Times New Roman" w:hAnsi="Times New Roman" w:cs="Times New Roman"/>
          <w:sz w:val="24"/>
          <w:szCs w:val="24"/>
        </w:rPr>
        <w:t xml:space="preserve"> and carbonate species. These chemical species are more abundant in the now-brownish yellow. However, the chemical speciation of sulfates and carbonates is rather unclear due to the many different compounds present, thus requiring further investigations.</w:t>
      </w:r>
    </w:p>
    <w:p w14:paraId="7D72FCBD" w14:textId="2B8DF0C5" w:rsidR="00641952" w:rsidRPr="00F87E1B" w:rsidRDefault="00641952"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t xml:space="preserve">Table S1. </w:t>
      </w:r>
      <w:r w:rsidRPr="00F87E1B">
        <w:rPr>
          <w:rFonts w:ascii="Times New Roman" w:hAnsi="Times New Roman" w:cs="Times New Roman"/>
          <w:sz w:val="24"/>
          <w:szCs w:val="24"/>
        </w:rPr>
        <w:t xml:space="preserve">Summary of the chemical composition and PL properties of the two microsamples based on previous analysis reported in </w:t>
      </w:r>
      <w:r w:rsidR="006C7FE0" w:rsidRPr="00F87E1B">
        <w:rPr>
          <w:rFonts w:ascii="Times New Roman" w:hAnsi="Times New Roman" w:cs="Times New Roman"/>
          <w:sz w:val="24"/>
          <w:szCs w:val="24"/>
        </w:rPr>
        <w:fldChar w:fldCharType="begin" w:fldLock="1"/>
      </w:r>
      <w:r w:rsidR="00B07350" w:rsidRPr="00F87E1B">
        <w:rPr>
          <w:rFonts w:ascii="Times New Roman" w:hAnsi="Times New Roman" w:cs="Times New Roman"/>
          <w:sz w:val="24"/>
          <w:szCs w:val="24"/>
        </w:rPr>
        <w:instrText>ADDIN CSL_CITATION {"citationItems":[{"id":"ITEM-1","itemData":{"DOI":"10.1021/acs.analchem.8b04914","ISSN":"15206882","abstract":"Paints based on cadmium sulfide (CdS) were popular among artists beginning in the mid-19th century. Some paint formulations are prone to degrade, discoloring and disfiguring paintings where they have been used. Pablo Picasso's Femme (époque des \"Demoiselles d'Avignon\") (1907) includes two commercial formulations of CdS: one is visibly degraded and now appears brownish yellow, while the other appears relatively intact and is vibrant yellow. This observation inspired the study reported here of the photoluminescence emission from trap states of the two CdS paints, complemented by data from multispectral imaging, X-ray fluorescence spectroscopy, micro-FTIR, and SEM-EDS. The two paints exhibit trap state emissions that differ in terms of spectrum, intensity, and decay kinetics. In the now-brownish yellow paint, trap state emission is highly favored with respect to near band edge optical recombination. This observation suggests a higher density of surface defects in the now-brownish yellow paint that promotes the surface reactivity of CdS particles and their subsequent paint degradation. CdS is a semiconductor, and surface defects in semiconductors can trap free charge carriers; this interaction becomes stronger at reduced particle size or, equivalently, with increased surface to volume ratio. Here, we speculate that the strong trap state emission in the now-brownish cadmium yellow paint is linked to the presence of CdS particles with a nanocrystalline phase, possibly resulting from a low degree of calcination during pigment synthesis. Taken together, the results presented here demonstrate how photoluminescence studies can probe surface defects in CdS paints and lead to an improved understanding of their complex degradation mechanisms.","author":[{"dropping-particle":"","family":"Comelli","given":"Daniela","non-dropping-particle":"","parse-names":false,"suffix":""},{"dropping-particle":"","family":"Maclennan","given":"Douglas","non-dropping-particle":"","parse-names":false,"suffix":""},{"dropping-particle":"","family":"Ghirardello","given":"Marta","non-dropping-particle":"","parse-names":false,"suffix":""},{"dropping-particle":"","family":"Phenix","given":"Alan","non-dropping-particle":"","parse-names":false,"suffix":""},{"dropping-particle":"","family":"Schmidt Patterson","given":"Catherine","non-dropping-particle":"","parse-names":false,"suffix":""},{"dropping-particle":"","family":"Khanjian","given":"Herant","non-dropping-particle":"","parse-names":false,"suffix":""},{"dropping-particle":"","family":"Gross","given":"Markus","non-dropping-particle":"","parse-names":false,"suffix":""},{"dropping-particle":"","family":"Valentini","given":"Gianluca","non-dropping-particle":"","parse-names":false,"suffix":""},{"dropping-particle":"","family":"Trentelman","given":"Karen","non-dropping-particle":"","parse-names":false,"suffix":""},{"dropping-particle":"","family":"Nevin","given":"Austin","non-dropping-particle":"","parse-names":false,"suffix":""}],"container-title":"Analytical Chemistry","id":"ITEM-1","issue":"5","issued":{"date-parts":[["2019"]]},"page":"3421-3428","title":"Degradation of Cadmium Yellow Paint: New Evidence from Photoluminescence Studies of Trap States in Picasso's Femme (époque des \"demoiselles d'Avignon\")","type":"article-journal","volume":"91"},"uris":["http://www.mendeley.com/documents/?uuid=b5039226-2cdb-4d3a-a066-9f356a0d503a"]}],"mendeley":{"formattedCitation":"(Comelli et al., 2019)","plainTextFormattedCitation":"(Comelli et al., 2019)","previouslyFormattedCitation":"(Comelli et al., 2019)"},"properties":{"noteIndex":0},"schema":"https://github.com/citation-style-language/schema/raw/master/csl-citation.json"}</w:instrText>
      </w:r>
      <w:r w:rsidR="006C7FE0" w:rsidRPr="00F87E1B">
        <w:rPr>
          <w:rFonts w:ascii="Times New Roman" w:hAnsi="Times New Roman" w:cs="Times New Roman"/>
          <w:sz w:val="24"/>
          <w:szCs w:val="24"/>
        </w:rPr>
        <w:fldChar w:fldCharType="separate"/>
      </w:r>
      <w:r w:rsidR="00B07350" w:rsidRPr="00F87E1B">
        <w:rPr>
          <w:rFonts w:ascii="Times New Roman" w:hAnsi="Times New Roman" w:cs="Times New Roman"/>
          <w:noProof/>
          <w:sz w:val="24"/>
          <w:szCs w:val="24"/>
        </w:rPr>
        <w:t>(Comelli et al., 2019)</w:t>
      </w:r>
      <w:r w:rsidR="006C7FE0" w:rsidRPr="00F87E1B">
        <w:rPr>
          <w:rFonts w:ascii="Times New Roman" w:hAnsi="Times New Roman" w:cs="Times New Roman"/>
          <w:sz w:val="24"/>
          <w:szCs w:val="24"/>
        </w:rPr>
        <w:fldChar w:fldCharType="end"/>
      </w:r>
      <w:r w:rsidR="00FF0C40" w:rsidRPr="00F87E1B">
        <w:rPr>
          <w:rFonts w:ascii="Times New Roman" w:hAnsi="Times New Roman" w:cs="Times New Roman"/>
          <w:sz w:val="24"/>
          <w:szCs w:val="24"/>
        </w:rPr>
        <w:t xml:space="preserve"> and new Raman </w:t>
      </w:r>
      <w:r w:rsidR="0005018D" w:rsidRPr="00F87E1B">
        <w:rPr>
          <w:rFonts w:ascii="Times New Roman" w:hAnsi="Times New Roman" w:cs="Times New Roman"/>
          <w:sz w:val="24"/>
          <w:szCs w:val="24"/>
        </w:rPr>
        <w:t>micro-</w:t>
      </w:r>
      <w:r w:rsidR="00FF0C40" w:rsidRPr="00F87E1B">
        <w:rPr>
          <w:rFonts w:ascii="Times New Roman" w:hAnsi="Times New Roman" w:cs="Times New Roman"/>
          <w:sz w:val="24"/>
          <w:szCs w:val="24"/>
        </w:rPr>
        <w:t>spectroscopy analysis.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205"/>
        <w:gridCol w:w="1201"/>
        <w:gridCol w:w="2121"/>
        <w:gridCol w:w="1624"/>
        <w:gridCol w:w="2497"/>
      </w:tblGrid>
      <w:tr w:rsidR="00641952" w:rsidRPr="00F87E1B" w14:paraId="15C39F96" w14:textId="77777777" w:rsidTr="007D6386">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991" w:type="dxa"/>
            <w:tcBorders>
              <w:bottom w:val="double" w:sz="4" w:space="0" w:color="auto"/>
            </w:tcBorders>
            <w:vAlign w:val="center"/>
          </w:tcPr>
          <w:p w14:paraId="1A8D7650" w14:textId="77777777" w:rsidR="00641952" w:rsidRPr="00F87E1B" w:rsidRDefault="00641952" w:rsidP="00B07350">
            <w:pPr>
              <w:pStyle w:val="RSCB08CHeadingIn-line"/>
              <w:spacing w:line="240" w:lineRule="auto"/>
              <w:jc w:val="both"/>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Sample</w:t>
            </w:r>
          </w:p>
        </w:tc>
        <w:tc>
          <w:tcPr>
            <w:tcW w:w="1205" w:type="dxa"/>
            <w:tcBorders>
              <w:bottom w:val="double" w:sz="4" w:space="0" w:color="auto"/>
            </w:tcBorders>
            <w:vAlign w:val="center"/>
          </w:tcPr>
          <w:p w14:paraId="400095A8" w14:textId="77777777" w:rsidR="00641952" w:rsidRPr="00F87E1B" w:rsidRDefault="00641952" w:rsidP="00B07350">
            <w:pPr>
              <w:pStyle w:val="RSCB08CHeadingIn-line"/>
              <w:spacing w:line="240" w:lineRule="auto"/>
              <w:jc w:val="both"/>
              <w:cnfStyle w:val="100000000000" w:firstRow="1" w:lastRow="0" w:firstColumn="0" w:lastColumn="0" w:oddVBand="0" w:evenVBand="0" w:oddHBand="0" w:evenHBand="0" w:firstRowFirstColumn="0" w:firstRowLastColumn="0" w:lastRowFirstColumn="0" w:lastRowLastColumn="0"/>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Description</w:t>
            </w:r>
          </w:p>
        </w:tc>
        <w:tc>
          <w:tcPr>
            <w:tcW w:w="1201" w:type="dxa"/>
            <w:tcBorders>
              <w:bottom w:val="double" w:sz="4" w:space="0" w:color="auto"/>
            </w:tcBorders>
            <w:vAlign w:val="center"/>
          </w:tcPr>
          <w:p w14:paraId="717A372C" w14:textId="77777777" w:rsidR="00641952" w:rsidRPr="00F87E1B" w:rsidRDefault="00641952" w:rsidP="00B07350">
            <w:pPr>
              <w:pStyle w:val="RSCB08CHeadingIn-line"/>
              <w:spacing w:line="240" w:lineRule="auto"/>
              <w:jc w:val="both"/>
              <w:cnfStyle w:val="100000000000" w:firstRow="1" w:lastRow="0" w:firstColumn="0" w:lastColumn="0" w:oddVBand="0" w:evenVBand="0" w:oddHBand="0" w:evenHBand="0" w:firstRowFirstColumn="0" w:firstRowLastColumn="0" w:lastRowFirstColumn="0" w:lastRowLastColumn="0"/>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SEM-EDS</w:t>
            </w:r>
          </w:p>
        </w:tc>
        <w:tc>
          <w:tcPr>
            <w:tcW w:w="2121" w:type="dxa"/>
            <w:tcBorders>
              <w:bottom w:val="double" w:sz="4" w:space="0" w:color="auto"/>
            </w:tcBorders>
            <w:vAlign w:val="center"/>
          </w:tcPr>
          <w:p w14:paraId="78A3853F" w14:textId="47A73080" w:rsidR="00641952" w:rsidRPr="00F87E1B" w:rsidRDefault="00641952" w:rsidP="00B07350">
            <w:pPr>
              <w:pStyle w:val="RSCB08CHeadingIn-line"/>
              <w:spacing w:line="240" w:lineRule="auto"/>
              <w:jc w:val="both"/>
              <w:cnfStyle w:val="100000000000" w:firstRow="1" w:lastRow="0" w:firstColumn="0" w:lastColumn="0" w:oddVBand="0" w:evenVBand="0" w:oddHBand="0" w:evenHBand="0" w:firstRowFirstColumn="0" w:firstRowLastColumn="0" w:lastRowFirstColumn="0" w:lastRowLastColumn="0"/>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µFTIR</w:t>
            </w:r>
          </w:p>
        </w:tc>
        <w:tc>
          <w:tcPr>
            <w:tcW w:w="1624" w:type="dxa"/>
            <w:tcBorders>
              <w:bottom w:val="double" w:sz="4" w:space="0" w:color="auto"/>
            </w:tcBorders>
            <w:vAlign w:val="center"/>
          </w:tcPr>
          <w:p w14:paraId="343BC23D" w14:textId="4F412701" w:rsidR="00641952" w:rsidRPr="00F87E1B" w:rsidRDefault="00641952" w:rsidP="00B07350">
            <w:pPr>
              <w:pStyle w:val="RSCB08CHeadingIn-line"/>
              <w:spacing w:line="240" w:lineRule="auto"/>
              <w:jc w:val="both"/>
              <w:cnfStyle w:val="100000000000" w:firstRow="1" w:lastRow="0" w:firstColumn="0" w:lastColumn="0" w:oddVBand="0" w:evenVBand="0" w:oddHBand="0" w:evenHBand="0" w:firstRowFirstColumn="0" w:firstRowLastColumn="0" w:lastRowFirstColumn="0" w:lastRowLastColumn="0"/>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Raman</w:t>
            </w:r>
            <w:r w:rsidR="00DB6673" w:rsidRPr="00F87E1B">
              <w:rPr>
                <w:rFonts w:ascii="Times New Roman" w:hAnsi="Times New Roman" w:cs="Times New Roman"/>
                <w:b/>
                <w:bCs w:val="0"/>
                <w:sz w:val="20"/>
                <w:szCs w:val="20"/>
              </w:rPr>
              <w:t xml:space="preserve"> micro-spectroscopy</w:t>
            </w:r>
          </w:p>
        </w:tc>
        <w:tc>
          <w:tcPr>
            <w:tcW w:w="2497" w:type="dxa"/>
            <w:tcBorders>
              <w:bottom w:val="double" w:sz="4" w:space="0" w:color="auto"/>
            </w:tcBorders>
            <w:vAlign w:val="center"/>
          </w:tcPr>
          <w:p w14:paraId="73977DD7" w14:textId="77777777" w:rsidR="00641952" w:rsidRPr="00F87E1B" w:rsidRDefault="00641952" w:rsidP="00B07350">
            <w:pPr>
              <w:pStyle w:val="RSCB08CHeadingIn-line"/>
              <w:spacing w:line="240" w:lineRule="auto"/>
              <w:jc w:val="both"/>
              <w:cnfStyle w:val="100000000000" w:firstRow="1" w:lastRow="0" w:firstColumn="0" w:lastColumn="0" w:oddVBand="0" w:evenVBand="0" w:oddHBand="0" w:evenHBand="0" w:firstRowFirstColumn="0" w:firstRowLastColumn="0" w:lastRowFirstColumn="0" w:lastRowLastColumn="0"/>
              <w:rPr>
                <w:rStyle w:val="RSCB02ArticleTextChar"/>
                <w:rFonts w:ascii="Times New Roman" w:hAnsi="Times New Roman"/>
                <w:b/>
                <w:bCs w:val="0"/>
                <w:sz w:val="20"/>
                <w:szCs w:val="20"/>
              </w:rPr>
            </w:pPr>
            <w:r w:rsidRPr="00F87E1B">
              <w:rPr>
                <w:rFonts w:ascii="Times New Roman" w:hAnsi="Times New Roman" w:cs="Times New Roman"/>
                <w:b/>
                <w:bCs w:val="0"/>
                <w:sz w:val="20"/>
                <w:szCs w:val="20"/>
              </w:rPr>
              <w:t xml:space="preserve">PL emission peak and average lifetime of the emission at the microsecond timescale </w:t>
            </w:r>
          </w:p>
        </w:tc>
      </w:tr>
      <w:tr w:rsidR="00641952" w:rsidRPr="00F87E1B" w14:paraId="248FDBFE" w14:textId="77777777" w:rsidTr="007D6386">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991" w:type="dxa"/>
            <w:tcBorders>
              <w:top w:val="double" w:sz="4" w:space="0" w:color="auto"/>
              <w:left w:val="double" w:sz="4" w:space="0" w:color="auto"/>
              <w:bottom w:val="double" w:sz="4" w:space="0" w:color="auto"/>
            </w:tcBorders>
            <w:vAlign w:val="center"/>
          </w:tcPr>
          <w:p w14:paraId="0CCE0859" w14:textId="77777777" w:rsidR="00641952" w:rsidRPr="00F87E1B" w:rsidRDefault="00641952" w:rsidP="00B07350">
            <w:pPr>
              <w:pStyle w:val="RSCB08CHeadingIn-line"/>
              <w:spacing w:line="240" w:lineRule="auto"/>
              <w:jc w:val="both"/>
              <w:rPr>
                <w:rStyle w:val="RSCB02ArticleTextChar"/>
                <w:rFonts w:ascii="Times New Roman" w:hAnsi="Times New Roman"/>
                <w:b/>
                <w:sz w:val="20"/>
                <w:szCs w:val="20"/>
              </w:rPr>
            </w:pPr>
            <w:r w:rsidRPr="00F87E1B">
              <w:rPr>
                <w:rFonts w:ascii="Times New Roman" w:hAnsi="Times New Roman" w:cs="Times New Roman"/>
                <w:bCs w:val="0"/>
                <w:sz w:val="20"/>
                <w:szCs w:val="20"/>
              </w:rPr>
              <w:t>Vibrant yellow</w:t>
            </w:r>
          </w:p>
        </w:tc>
        <w:tc>
          <w:tcPr>
            <w:tcW w:w="1205" w:type="dxa"/>
            <w:tcBorders>
              <w:top w:val="double" w:sz="4" w:space="0" w:color="auto"/>
              <w:bottom w:val="double" w:sz="4" w:space="0" w:color="auto"/>
            </w:tcBorders>
            <w:vAlign w:val="center"/>
          </w:tcPr>
          <w:p w14:paraId="5723036A" w14:textId="77777777" w:rsidR="00641952" w:rsidRPr="00F87E1B" w:rsidRDefault="00641952" w:rsidP="00B07350">
            <w:pPr>
              <w:pStyle w:val="RSCB08CHeadingIn-line"/>
              <w:spacing w:line="240" w:lineRule="auto"/>
              <w:jc w:val="both"/>
              <w:cnfStyle w:val="000000100000" w:firstRow="0" w:lastRow="0" w:firstColumn="0" w:lastColumn="0" w:oddVBand="0" w:evenVBand="0" w:oddHBand="1" w:evenHBand="0" w:firstRowFirstColumn="0" w:firstRowLastColumn="0" w:lastRowFirstColumn="0" w:lastRowLastColumn="0"/>
              <w:rPr>
                <w:rStyle w:val="RSCB02ArticleTextChar"/>
                <w:rFonts w:ascii="Times New Roman" w:hAnsi="Times New Roman"/>
                <w:b w:val="0"/>
                <w:bCs/>
                <w:sz w:val="20"/>
                <w:szCs w:val="20"/>
              </w:rPr>
            </w:pPr>
            <w:r w:rsidRPr="00F87E1B">
              <w:rPr>
                <w:rFonts w:ascii="Times New Roman" w:hAnsi="Times New Roman" w:cs="Times New Roman"/>
                <w:b w:val="0"/>
                <w:bCs/>
                <w:sz w:val="20"/>
                <w:szCs w:val="20"/>
              </w:rPr>
              <w:t>Preserved yellow</w:t>
            </w:r>
          </w:p>
        </w:tc>
        <w:tc>
          <w:tcPr>
            <w:tcW w:w="1201" w:type="dxa"/>
            <w:tcBorders>
              <w:top w:val="double" w:sz="4" w:space="0" w:color="auto"/>
              <w:bottom w:val="double" w:sz="4" w:space="0" w:color="auto"/>
            </w:tcBorders>
            <w:vAlign w:val="center"/>
          </w:tcPr>
          <w:p w14:paraId="7546E57A" w14:textId="77777777" w:rsidR="00641952" w:rsidRPr="00F87E1B" w:rsidRDefault="00641952" w:rsidP="00B07350">
            <w:pPr>
              <w:pStyle w:val="RSCB08CHeadingIn-line"/>
              <w:spacing w:line="240" w:lineRule="auto"/>
              <w:jc w:val="both"/>
              <w:cnfStyle w:val="000000100000" w:firstRow="0" w:lastRow="0" w:firstColumn="0" w:lastColumn="0" w:oddVBand="0" w:evenVBand="0" w:oddHBand="1" w:evenHBand="0" w:firstRowFirstColumn="0" w:firstRowLastColumn="0" w:lastRowFirstColumn="0" w:lastRowLastColumn="0"/>
              <w:rPr>
                <w:rStyle w:val="RSCB02ArticleTextChar"/>
                <w:rFonts w:ascii="Times New Roman" w:hAnsi="Times New Roman"/>
                <w:b w:val="0"/>
                <w:bCs/>
                <w:sz w:val="20"/>
                <w:szCs w:val="20"/>
              </w:rPr>
            </w:pPr>
            <w:r w:rsidRPr="00F87E1B">
              <w:rPr>
                <w:rFonts w:ascii="Times New Roman" w:hAnsi="Times New Roman" w:cs="Times New Roman"/>
                <w:b w:val="0"/>
                <w:bCs/>
                <w:sz w:val="20"/>
                <w:szCs w:val="20"/>
              </w:rPr>
              <w:t xml:space="preserve">Cd, Ba, Pb, </w:t>
            </w:r>
            <w:r w:rsidRPr="00F87E1B">
              <w:rPr>
                <w:rFonts w:ascii="Times New Roman" w:hAnsi="Times New Roman" w:cs="Times New Roman"/>
                <w:b w:val="0"/>
                <w:bCs/>
                <w:i/>
                <w:iCs/>
                <w:sz w:val="20"/>
                <w:szCs w:val="20"/>
              </w:rPr>
              <w:t>S</w:t>
            </w:r>
            <w:r w:rsidRPr="00F87E1B">
              <w:rPr>
                <w:rFonts w:ascii="Times New Roman" w:hAnsi="Times New Roman" w:cs="Times New Roman"/>
                <w:b w:val="0"/>
                <w:bCs/>
                <w:sz w:val="20"/>
                <w:szCs w:val="20"/>
              </w:rPr>
              <w:t xml:space="preserve">, </w:t>
            </w:r>
            <w:r w:rsidRPr="00F87E1B">
              <w:rPr>
                <w:rFonts w:ascii="Times New Roman" w:hAnsi="Times New Roman" w:cs="Times New Roman"/>
                <w:b w:val="0"/>
                <w:bCs/>
                <w:i/>
                <w:iCs/>
                <w:sz w:val="20"/>
                <w:szCs w:val="20"/>
              </w:rPr>
              <w:t>Si</w:t>
            </w:r>
            <w:r w:rsidRPr="00F87E1B">
              <w:rPr>
                <w:rFonts w:ascii="Times New Roman" w:hAnsi="Times New Roman" w:cs="Times New Roman"/>
                <w:b w:val="0"/>
                <w:bCs/>
                <w:sz w:val="20"/>
                <w:szCs w:val="20"/>
              </w:rPr>
              <w:t>,</w:t>
            </w:r>
            <w:r w:rsidRPr="00F87E1B">
              <w:rPr>
                <w:rFonts w:ascii="Times New Roman" w:hAnsi="Times New Roman" w:cs="Times New Roman"/>
                <w:b w:val="0"/>
                <w:bCs/>
                <w:i/>
                <w:iCs/>
                <w:sz w:val="20"/>
                <w:szCs w:val="20"/>
              </w:rPr>
              <w:t xml:space="preserve"> Al</w:t>
            </w:r>
            <w:r w:rsidRPr="00F87E1B">
              <w:rPr>
                <w:rFonts w:ascii="Times New Roman" w:hAnsi="Times New Roman" w:cs="Times New Roman"/>
                <w:b w:val="0"/>
                <w:bCs/>
                <w:sz w:val="20"/>
                <w:szCs w:val="20"/>
              </w:rPr>
              <w:t>,</w:t>
            </w:r>
            <w:r w:rsidRPr="00F87E1B">
              <w:rPr>
                <w:rFonts w:ascii="Times New Roman" w:hAnsi="Times New Roman" w:cs="Times New Roman"/>
                <w:b w:val="0"/>
                <w:bCs/>
                <w:i/>
                <w:iCs/>
                <w:sz w:val="20"/>
                <w:szCs w:val="20"/>
              </w:rPr>
              <w:t xml:space="preserve"> Hg</w:t>
            </w:r>
          </w:p>
        </w:tc>
        <w:tc>
          <w:tcPr>
            <w:tcW w:w="2121" w:type="dxa"/>
            <w:tcBorders>
              <w:top w:val="double" w:sz="4" w:space="0" w:color="auto"/>
              <w:bottom w:val="double" w:sz="4" w:space="0" w:color="auto"/>
            </w:tcBorders>
            <w:vAlign w:val="center"/>
          </w:tcPr>
          <w:p w14:paraId="3BDE6FB5" w14:textId="77777777" w:rsidR="00641952" w:rsidRPr="00F87E1B" w:rsidRDefault="00641952" w:rsidP="00B07350">
            <w:pPr>
              <w:pStyle w:val="RSCB08CHeadingIn-line"/>
              <w:spacing w:line="240" w:lineRule="auto"/>
              <w:jc w:val="both"/>
              <w:cnfStyle w:val="000000100000" w:firstRow="0" w:lastRow="0" w:firstColumn="0" w:lastColumn="0" w:oddVBand="0" w:evenVBand="0" w:oddHBand="1" w:evenHBand="0" w:firstRowFirstColumn="0" w:firstRowLastColumn="0" w:lastRowFirstColumn="0" w:lastRowLastColumn="0"/>
              <w:rPr>
                <w:rStyle w:val="RSCB02ArticleTextChar"/>
                <w:rFonts w:ascii="Times New Roman" w:hAnsi="Times New Roman"/>
                <w:b w:val="0"/>
                <w:bCs/>
                <w:sz w:val="20"/>
                <w:szCs w:val="20"/>
              </w:rPr>
            </w:pPr>
            <w:r w:rsidRPr="00F87E1B">
              <w:rPr>
                <w:rFonts w:ascii="Times New Roman" w:hAnsi="Times New Roman" w:cs="Times New Roman"/>
                <w:b w:val="0"/>
                <w:bCs/>
                <w:sz w:val="20"/>
                <w:szCs w:val="20"/>
              </w:rPr>
              <w:t>Sulfate species</w:t>
            </w:r>
          </w:p>
        </w:tc>
        <w:tc>
          <w:tcPr>
            <w:tcW w:w="1624" w:type="dxa"/>
            <w:tcBorders>
              <w:top w:val="double" w:sz="4" w:space="0" w:color="auto"/>
              <w:bottom w:val="double" w:sz="4" w:space="0" w:color="auto"/>
            </w:tcBorders>
            <w:vAlign w:val="center"/>
          </w:tcPr>
          <w:p w14:paraId="5F704C4B" w14:textId="77777777" w:rsidR="00641952" w:rsidRPr="00F87E1B" w:rsidRDefault="00641952" w:rsidP="00B07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87E1B">
              <w:rPr>
                <w:rFonts w:ascii="Times New Roman" w:hAnsi="Times New Roman" w:cs="Times New Roman"/>
                <w:bCs/>
                <w:sz w:val="20"/>
                <w:szCs w:val="20"/>
              </w:rPr>
              <w:t>CdS</w:t>
            </w:r>
          </w:p>
          <w:p w14:paraId="722BB568" w14:textId="77777777" w:rsidR="00641952" w:rsidRPr="00F87E1B" w:rsidRDefault="00641952" w:rsidP="00B07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87E1B">
              <w:rPr>
                <w:rFonts w:ascii="Times New Roman" w:hAnsi="Times New Roman" w:cs="Times New Roman"/>
                <w:bCs/>
                <w:sz w:val="20"/>
                <w:szCs w:val="20"/>
              </w:rPr>
              <w:t>BaSO</w:t>
            </w:r>
            <w:r w:rsidRPr="00F87E1B">
              <w:rPr>
                <w:rFonts w:ascii="Times New Roman" w:hAnsi="Times New Roman" w:cs="Times New Roman"/>
                <w:bCs/>
                <w:sz w:val="20"/>
                <w:szCs w:val="20"/>
                <w:vertAlign w:val="subscript"/>
              </w:rPr>
              <w:t>4</w:t>
            </w:r>
          </w:p>
          <w:p w14:paraId="11DB40A8" w14:textId="77777777" w:rsidR="00641952" w:rsidRPr="00F87E1B" w:rsidRDefault="00641952" w:rsidP="00B07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87E1B">
              <w:rPr>
                <w:rFonts w:ascii="Times New Roman" w:hAnsi="Times New Roman" w:cs="Times New Roman"/>
                <w:bCs/>
                <w:sz w:val="20"/>
                <w:szCs w:val="20"/>
              </w:rPr>
              <w:t>HgS</w:t>
            </w:r>
          </w:p>
          <w:p w14:paraId="234C39D6" w14:textId="4E2C1A5B" w:rsidR="00641952" w:rsidRPr="00F87E1B" w:rsidRDefault="0062330C" w:rsidP="00B07350">
            <w:pPr>
              <w:pStyle w:val="RSCB08CHeadingIn-line"/>
              <w:spacing w:line="240" w:lineRule="auto"/>
              <w:jc w:val="both"/>
              <w:cnfStyle w:val="000000100000" w:firstRow="0" w:lastRow="0" w:firstColumn="0" w:lastColumn="0" w:oddVBand="0" w:evenVBand="0" w:oddHBand="1" w:evenHBand="0" w:firstRowFirstColumn="0" w:firstRowLastColumn="0" w:lastRowFirstColumn="0" w:lastRowLastColumn="0"/>
              <w:rPr>
                <w:rStyle w:val="RSCB02ArticleTextChar"/>
                <w:rFonts w:ascii="Times New Roman" w:hAnsi="Times New Roman"/>
                <w:b w:val="0"/>
                <w:bCs/>
                <w:sz w:val="20"/>
                <w:szCs w:val="20"/>
              </w:rPr>
            </w:pPr>
            <w:r w:rsidRPr="00F87E1B">
              <w:rPr>
                <w:rStyle w:val="RSCB02ArticleTextChar"/>
                <w:rFonts w:ascii="Times New Roman" w:hAnsi="Times New Roman"/>
                <w:b w:val="0"/>
                <w:sz w:val="20"/>
                <w:szCs w:val="20"/>
              </w:rPr>
              <w:t>Pb</w:t>
            </w:r>
            <w:r w:rsidRPr="00F87E1B">
              <w:rPr>
                <w:rStyle w:val="RSCB02ArticleTextChar"/>
                <w:rFonts w:ascii="Times New Roman" w:hAnsi="Times New Roman"/>
                <w:b w:val="0"/>
                <w:sz w:val="20"/>
                <w:szCs w:val="20"/>
                <w:vertAlign w:val="subscript"/>
              </w:rPr>
              <w:t>3</w:t>
            </w:r>
            <w:r w:rsidRPr="00F87E1B">
              <w:rPr>
                <w:rStyle w:val="RSCB02ArticleTextChar"/>
                <w:rFonts w:ascii="Times New Roman" w:hAnsi="Times New Roman"/>
                <w:b w:val="0"/>
                <w:sz w:val="20"/>
                <w:szCs w:val="20"/>
              </w:rPr>
              <w:t>(CO</w:t>
            </w:r>
            <w:r w:rsidRPr="00F87E1B">
              <w:rPr>
                <w:rStyle w:val="RSCB02ArticleTextChar"/>
                <w:rFonts w:ascii="Times New Roman" w:hAnsi="Times New Roman"/>
                <w:b w:val="0"/>
                <w:sz w:val="20"/>
                <w:szCs w:val="20"/>
                <w:vertAlign w:val="subscript"/>
              </w:rPr>
              <w:t>3</w:t>
            </w:r>
            <w:r w:rsidRPr="00F87E1B">
              <w:rPr>
                <w:rStyle w:val="RSCB02ArticleTextChar"/>
                <w:rFonts w:ascii="Times New Roman" w:hAnsi="Times New Roman"/>
                <w:b w:val="0"/>
                <w:sz w:val="20"/>
                <w:szCs w:val="20"/>
              </w:rPr>
              <w:t>)</w:t>
            </w:r>
            <w:r w:rsidRPr="00F87E1B">
              <w:rPr>
                <w:rStyle w:val="RSCB02ArticleTextChar"/>
                <w:rFonts w:ascii="Times New Roman" w:hAnsi="Times New Roman"/>
                <w:b w:val="0"/>
                <w:sz w:val="20"/>
                <w:szCs w:val="20"/>
                <w:vertAlign w:val="subscript"/>
              </w:rPr>
              <w:t>2</w:t>
            </w:r>
            <w:r w:rsidRPr="00F87E1B">
              <w:rPr>
                <w:rStyle w:val="RSCB02ArticleTextChar"/>
                <w:rFonts w:ascii="Times New Roman" w:hAnsi="Times New Roman"/>
                <w:b w:val="0"/>
                <w:sz w:val="20"/>
                <w:szCs w:val="20"/>
              </w:rPr>
              <w:t>(OH)</w:t>
            </w:r>
            <w:r w:rsidRPr="00F87E1B">
              <w:rPr>
                <w:rStyle w:val="RSCB02ArticleTextChar"/>
                <w:rFonts w:ascii="Times New Roman" w:hAnsi="Times New Roman"/>
                <w:b w:val="0"/>
                <w:sz w:val="20"/>
                <w:szCs w:val="20"/>
                <w:vertAlign w:val="subscript"/>
              </w:rPr>
              <w:t>2</w:t>
            </w:r>
          </w:p>
        </w:tc>
        <w:tc>
          <w:tcPr>
            <w:tcW w:w="2497" w:type="dxa"/>
            <w:tcBorders>
              <w:top w:val="double" w:sz="4" w:space="0" w:color="auto"/>
              <w:bottom w:val="double" w:sz="4" w:space="0" w:color="auto"/>
              <w:right w:val="double" w:sz="4" w:space="0" w:color="auto"/>
            </w:tcBorders>
            <w:vAlign w:val="center"/>
          </w:tcPr>
          <w:p w14:paraId="3E538130" w14:textId="77777777" w:rsidR="00641952" w:rsidRPr="00F87E1B" w:rsidRDefault="00641952" w:rsidP="00B07350">
            <w:pPr>
              <w:pStyle w:val="RSCB08CHeadingIn-line"/>
              <w:spacing w:line="240" w:lineRule="auto"/>
              <w:jc w:val="both"/>
              <w:cnfStyle w:val="000000100000" w:firstRow="0" w:lastRow="0" w:firstColumn="0" w:lastColumn="0" w:oddVBand="0" w:evenVBand="0" w:oddHBand="1" w:evenHBand="0" w:firstRowFirstColumn="0" w:firstRowLastColumn="0" w:lastRowFirstColumn="0" w:lastRowLastColumn="0"/>
              <w:rPr>
                <w:rStyle w:val="RSCB02ArticleTextChar"/>
                <w:rFonts w:ascii="Times New Roman" w:hAnsi="Times New Roman"/>
                <w:b w:val="0"/>
                <w:bCs/>
                <w:sz w:val="20"/>
                <w:szCs w:val="20"/>
              </w:rPr>
            </w:pPr>
            <w:r w:rsidRPr="00F87E1B">
              <w:rPr>
                <w:rFonts w:ascii="Times New Roman" w:hAnsi="Times New Roman" w:cs="Times New Roman"/>
                <w:b w:val="0"/>
                <w:bCs/>
                <w:sz w:val="20"/>
                <w:szCs w:val="20"/>
              </w:rPr>
              <w:t>870 nm, 1.3 µs</w:t>
            </w:r>
          </w:p>
        </w:tc>
      </w:tr>
      <w:tr w:rsidR="00F25E64" w:rsidRPr="00F87E1B" w14:paraId="3292FF5D" w14:textId="77777777" w:rsidTr="007D6386">
        <w:trPr>
          <w:trHeight w:val="1195"/>
        </w:trPr>
        <w:tc>
          <w:tcPr>
            <w:cnfStyle w:val="001000000000" w:firstRow="0" w:lastRow="0" w:firstColumn="1" w:lastColumn="0" w:oddVBand="0" w:evenVBand="0" w:oddHBand="0" w:evenHBand="0" w:firstRowFirstColumn="0" w:firstRowLastColumn="0" w:lastRowFirstColumn="0" w:lastRowLastColumn="0"/>
            <w:tcW w:w="991" w:type="dxa"/>
            <w:tcBorders>
              <w:top w:val="double" w:sz="4" w:space="0" w:color="auto"/>
              <w:left w:val="double" w:sz="4" w:space="0" w:color="auto"/>
              <w:bottom w:val="double" w:sz="4" w:space="0" w:color="auto"/>
            </w:tcBorders>
            <w:vAlign w:val="center"/>
          </w:tcPr>
          <w:p w14:paraId="75AB19BE" w14:textId="1E40787D" w:rsidR="00F25E64" w:rsidRPr="00F87E1B" w:rsidRDefault="00F25E64" w:rsidP="00B07350">
            <w:pPr>
              <w:pStyle w:val="RSCB08CHeadingIn-line"/>
              <w:spacing w:line="240" w:lineRule="auto"/>
              <w:jc w:val="both"/>
              <w:rPr>
                <w:rFonts w:ascii="Times New Roman" w:hAnsi="Times New Roman" w:cs="Times New Roman"/>
                <w:sz w:val="20"/>
                <w:szCs w:val="20"/>
              </w:rPr>
            </w:pPr>
            <w:r w:rsidRPr="00F87E1B">
              <w:rPr>
                <w:rFonts w:ascii="Times New Roman" w:hAnsi="Times New Roman" w:cs="Times New Roman"/>
                <w:bCs w:val="0"/>
                <w:sz w:val="20"/>
                <w:szCs w:val="20"/>
              </w:rPr>
              <w:t>Now-brownish yellow</w:t>
            </w:r>
          </w:p>
        </w:tc>
        <w:tc>
          <w:tcPr>
            <w:tcW w:w="1205" w:type="dxa"/>
            <w:tcBorders>
              <w:top w:val="double" w:sz="4" w:space="0" w:color="auto"/>
              <w:bottom w:val="double" w:sz="4" w:space="0" w:color="auto"/>
            </w:tcBorders>
            <w:vAlign w:val="center"/>
          </w:tcPr>
          <w:p w14:paraId="40077D4B" w14:textId="2A5B0C0F" w:rsidR="00F25E64" w:rsidRPr="00F87E1B" w:rsidRDefault="00F25E64" w:rsidP="00B07350">
            <w:pPr>
              <w:pStyle w:val="RSCB08CHeadingIn-line"/>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rPr>
            </w:pPr>
            <w:r w:rsidRPr="00F87E1B">
              <w:rPr>
                <w:rFonts w:ascii="Times New Roman" w:hAnsi="Times New Roman" w:cs="Times New Roman"/>
                <w:b w:val="0"/>
                <w:bCs/>
                <w:sz w:val="20"/>
                <w:szCs w:val="20"/>
              </w:rPr>
              <w:t>Degraded yellow</w:t>
            </w:r>
          </w:p>
        </w:tc>
        <w:tc>
          <w:tcPr>
            <w:tcW w:w="1201" w:type="dxa"/>
            <w:tcBorders>
              <w:top w:val="double" w:sz="4" w:space="0" w:color="auto"/>
              <w:bottom w:val="double" w:sz="4" w:space="0" w:color="auto"/>
            </w:tcBorders>
            <w:vAlign w:val="center"/>
          </w:tcPr>
          <w:p w14:paraId="7A5E760B" w14:textId="01EA66B8" w:rsidR="00F25E64" w:rsidRPr="00F87E1B" w:rsidRDefault="00F25E64" w:rsidP="00B07350">
            <w:pPr>
              <w:pStyle w:val="RSCB08CHeadingIn-line"/>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rPr>
            </w:pPr>
            <w:r w:rsidRPr="00F87E1B">
              <w:rPr>
                <w:rFonts w:ascii="Times New Roman" w:hAnsi="Times New Roman" w:cs="Times New Roman"/>
                <w:b w:val="0"/>
                <w:bCs/>
                <w:sz w:val="20"/>
                <w:szCs w:val="20"/>
              </w:rPr>
              <w:t xml:space="preserve">Cd, Ba, S, </w:t>
            </w:r>
            <w:r w:rsidRPr="00F87E1B">
              <w:rPr>
                <w:rFonts w:ascii="Times New Roman" w:hAnsi="Times New Roman" w:cs="Times New Roman"/>
                <w:b w:val="0"/>
                <w:bCs/>
                <w:i/>
                <w:iCs/>
                <w:sz w:val="20"/>
                <w:szCs w:val="20"/>
              </w:rPr>
              <w:t>Al</w:t>
            </w:r>
            <w:r w:rsidRPr="00F87E1B">
              <w:rPr>
                <w:rFonts w:ascii="Times New Roman" w:hAnsi="Times New Roman" w:cs="Times New Roman"/>
                <w:b w:val="0"/>
                <w:bCs/>
                <w:sz w:val="20"/>
                <w:szCs w:val="20"/>
              </w:rPr>
              <w:t>,</w:t>
            </w:r>
            <w:r w:rsidRPr="00F87E1B">
              <w:rPr>
                <w:rFonts w:ascii="Times New Roman" w:hAnsi="Times New Roman" w:cs="Times New Roman"/>
                <w:b w:val="0"/>
                <w:bCs/>
                <w:i/>
                <w:iCs/>
                <w:sz w:val="20"/>
                <w:szCs w:val="20"/>
              </w:rPr>
              <w:t xml:space="preserve"> Cl</w:t>
            </w:r>
          </w:p>
        </w:tc>
        <w:tc>
          <w:tcPr>
            <w:tcW w:w="2121" w:type="dxa"/>
            <w:tcBorders>
              <w:top w:val="double" w:sz="4" w:space="0" w:color="auto"/>
              <w:bottom w:val="double" w:sz="4" w:space="0" w:color="auto"/>
            </w:tcBorders>
            <w:vAlign w:val="center"/>
          </w:tcPr>
          <w:p w14:paraId="14E36EFF" w14:textId="187352B6" w:rsidR="00F25E64" w:rsidRPr="00F87E1B" w:rsidRDefault="00F25E64" w:rsidP="00B07350">
            <w:pPr>
              <w:pStyle w:val="RSCB08CHeadingIn-line"/>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rPr>
            </w:pPr>
            <w:r w:rsidRPr="00F87E1B">
              <w:rPr>
                <w:rFonts w:ascii="Times New Roman" w:hAnsi="Times New Roman" w:cs="Times New Roman"/>
                <w:b w:val="0"/>
                <w:bCs/>
                <w:sz w:val="20"/>
                <w:szCs w:val="20"/>
              </w:rPr>
              <w:t>Sulfate species, increased carbonates and oxalates contents and depletion of fatty acids</w:t>
            </w:r>
          </w:p>
        </w:tc>
        <w:tc>
          <w:tcPr>
            <w:tcW w:w="1624" w:type="dxa"/>
            <w:tcBorders>
              <w:top w:val="double" w:sz="4" w:space="0" w:color="auto"/>
              <w:bottom w:val="double" w:sz="4" w:space="0" w:color="auto"/>
            </w:tcBorders>
            <w:vAlign w:val="center"/>
          </w:tcPr>
          <w:p w14:paraId="7425EECC" w14:textId="1B38D23F" w:rsidR="00F25E64" w:rsidRPr="00F87E1B" w:rsidRDefault="00F25E64" w:rsidP="00B07350">
            <w:pPr>
              <w:pStyle w:val="RSCB08CHeadingIn-line"/>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rPr>
            </w:pPr>
            <w:r w:rsidRPr="00F87E1B">
              <w:rPr>
                <w:rFonts w:ascii="Times New Roman" w:hAnsi="Times New Roman" w:cs="Times New Roman"/>
                <w:b w:val="0"/>
                <w:bCs/>
                <w:sz w:val="20"/>
                <w:szCs w:val="20"/>
              </w:rPr>
              <w:t>BaSO</w:t>
            </w:r>
            <w:r w:rsidRPr="00F87E1B">
              <w:rPr>
                <w:rFonts w:ascii="Times New Roman" w:hAnsi="Times New Roman" w:cs="Times New Roman"/>
                <w:b w:val="0"/>
                <w:bCs/>
                <w:sz w:val="20"/>
                <w:szCs w:val="20"/>
                <w:vertAlign w:val="subscript"/>
              </w:rPr>
              <w:t>4</w:t>
            </w:r>
          </w:p>
        </w:tc>
        <w:tc>
          <w:tcPr>
            <w:tcW w:w="2497" w:type="dxa"/>
            <w:tcBorders>
              <w:top w:val="double" w:sz="4" w:space="0" w:color="auto"/>
              <w:bottom w:val="double" w:sz="4" w:space="0" w:color="auto"/>
              <w:right w:val="double" w:sz="4" w:space="0" w:color="auto"/>
            </w:tcBorders>
            <w:vAlign w:val="center"/>
          </w:tcPr>
          <w:p w14:paraId="6E46F0DB" w14:textId="6DE67D9C" w:rsidR="00F25E64" w:rsidRPr="00F87E1B" w:rsidRDefault="00F25E64" w:rsidP="00B07350">
            <w:pPr>
              <w:pStyle w:val="RSCB08CHeadingIn-line"/>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rPr>
            </w:pPr>
            <w:r w:rsidRPr="00F87E1B">
              <w:rPr>
                <w:rFonts w:ascii="Times New Roman" w:hAnsi="Times New Roman" w:cs="Times New Roman"/>
                <w:b w:val="0"/>
                <w:bCs/>
                <w:sz w:val="20"/>
                <w:szCs w:val="20"/>
              </w:rPr>
              <w:t>660 nm, 0.6 µs</w:t>
            </w:r>
          </w:p>
        </w:tc>
      </w:tr>
    </w:tbl>
    <w:p w14:paraId="713FD5C4" w14:textId="7F5A7434" w:rsidR="00641952" w:rsidRDefault="00641952" w:rsidP="00B07350">
      <w:pPr>
        <w:spacing w:line="480" w:lineRule="auto"/>
        <w:jc w:val="both"/>
        <w:rPr>
          <w:rFonts w:ascii="Times New Roman" w:hAnsi="Times New Roman" w:cs="Times New Roman"/>
          <w:b/>
          <w:bCs/>
          <w:sz w:val="24"/>
          <w:szCs w:val="24"/>
        </w:rPr>
      </w:pPr>
    </w:p>
    <w:p w14:paraId="4C28E966" w14:textId="77777777" w:rsidR="0024692A" w:rsidRPr="00F87E1B" w:rsidRDefault="0024692A" w:rsidP="00B07350">
      <w:pPr>
        <w:spacing w:line="480" w:lineRule="auto"/>
        <w:jc w:val="both"/>
        <w:rPr>
          <w:rFonts w:ascii="Times New Roman" w:hAnsi="Times New Roman" w:cs="Times New Roman"/>
          <w:b/>
          <w:bCs/>
          <w:sz w:val="24"/>
          <w:szCs w:val="24"/>
        </w:rPr>
      </w:pPr>
    </w:p>
    <w:p w14:paraId="758B4070" w14:textId="0FE27093" w:rsidR="00F42282" w:rsidRPr="00F87E1B" w:rsidRDefault="0062330C"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Raman</w:t>
      </w:r>
      <w:r w:rsidR="00DB6673" w:rsidRPr="00F87E1B">
        <w:rPr>
          <w:rFonts w:ascii="Times New Roman" w:hAnsi="Times New Roman" w:cs="Times New Roman"/>
          <w:b/>
          <w:bCs/>
          <w:sz w:val="24"/>
          <w:szCs w:val="24"/>
        </w:rPr>
        <w:t xml:space="preserve"> micro-spectroscopy</w:t>
      </w:r>
    </w:p>
    <w:p w14:paraId="357C3C95" w14:textId="3B452E55" w:rsidR="00657AA9" w:rsidRPr="00F87E1B" w:rsidRDefault="0062330C"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t>Raman micro-spectroscopy was used to identify pigments in the removed paint cross-section (with examinations both prior and after mounting). The vibrational signatures in the resulting Raman spectra allow pigment identification through comparison to known or reported spectra</w:t>
      </w:r>
      <w:r w:rsidR="003C6944">
        <w:rPr>
          <w:rFonts w:ascii="Times New Roman" w:hAnsi="Times New Roman" w:cs="Times New Roman"/>
          <w:sz w:val="24"/>
          <w:szCs w:val="24"/>
        </w:rPr>
        <w:t xml:space="preserve"> </w:t>
      </w:r>
      <w:r w:rsidR="003C6944">
        <w:rPr>
          <w:rFonts w:ascii="Times New Roman" w:hAnsi="Times New Roman" w:cs="Times New Roman"/>
          <w:sz w:val="24"/>
          <w:szCs w:val="24"/>
        </w:rPr>
        <w:fldChar w:fldCharType="begin" w:fldLock="1"/>
      </w:r>
      <w:r w:rsidR="003C6944">
        <w:rPr>
          <w:rFonts w:ascii="Times New Roman" w:hAnsi="Times New Roman" w:cs="Times New Roman"/>
          <w:sz w:val="24"/>
          <w:szCs w:val="24"/>
        </w:rPr>
        <w:instrText xml:space="preserve">ADDIN CSL_CITATION {"citationItems":[{"id":"ITEM-1","itemData":{"DOI":"10.1016/S1386-1425(00)00495-9","ISSN":"1386-1425","PMID":"11446703","abstract":"Sixty pigments, minerals and media have been analysed by Fourier-transform Raman (FT-Raman) microscopy in order to assemble a database of reference FT-Raman spectra for scientists working at the Arts-Science interface. An earlier library of Raman spectra compiled using visible excitation has been extended by the addition of 22 further reference spectra obtained with 780.0, 647.1, 632.8 and/or 514.5 nm excitation. The relative merits of 1064 nm and visible excitation are discussed. © 2001 Elsevier Science B.V.","author":[{"dropping-particle":"","family":"Burgio","given":"Lucia","non-dropping-particle":"","parse-names":false,"suffix":""},{"dropping-particle":"","family":"Clark","given":"Robin J.H.","non-dropping-particle":"","parse-names":false,"suffix":""}],"container-title":"Spectrochimica Acta Part A: Molecular and Biomolecular Spectroscopy","id":"ITEM-1","issue":"7","issued":{"date-parts":[["2001","6","1"]]},"page":"1491-1521","publisher":"Elsevier","title":"Library of FT-Raman spectra of pigments, minerals, pigment media and varnishes, and supplement to existing library of Raman spectra of pigments with visible excitation","type":"article-journal","volume":"57"},"uris":["http://www.mendeley.com/documents/?uuid=fb6e6ede-1908-3fde-80a9-bb55a0009c79"]},{"id":"ITEM-2","itemData":{"DOI":"10.1016/S1386-1425(97)00140-6","ISSN":"1386-1425","PMID":"9437873","abstract":"To assist in the greatly increasing number of applications of Raman microscopy as a tool for non-intrusive, in situ archaeometric analysis, the Raman spectra of over 60 pigments, both natural and synthetic, known to have been in use before </w:instrText>
      </w:r>
      <w:r w:rsidR="003C6944">
        <w:rPr>
          <w:rFonts w:ascii="Cambria Math" w:hAnsi="Cambria Math" w:cs="Cambria Math"/>
          <w:sz w:val="24"/>
          <w:szCs w:val="24"/>
        </w:rPr>
        <w:instrText>∼</w:instrText>
      </w:r>
      <w:r w:rsidR="003C6944">
        <w:rPr>
          <w:rFonts w:ascii="Times New Roman" w:hAnsi="Times New Roman" w:cs="Times New Roman"/>
          <w:sz w:val="24"/>
          <w:szCs w:val="24"/>
        </w:rPr>
        <w:instrText xml:space="preserve"> 1850 AD, have been studied by Raman microscopy. Fifty-six pigments have yielded high quality spectra which have been arranged, by colour, into a spectroscopic library for reference purposes. The spectroscopic files may be downloaded from http://www.ucl.ac.uk/chem/resources/raman/speclib.html © 1997 Elsevier Science B.V.","author":[{"dropping-particle":"","family":"Bell","given":"Ian M.","non-dropping-particle":"","parse-names":false,"suffix":""},{"dropping-particle":"","family":"Clark","given":"Robin J.H.","non-dropping-particle":"","parse-names":false,"suffix":""},{"dropping-particle":"","family":"Gibbs","given":"Peter J.","non-dropping-particle":"","parse-names":false,"suffix":""}],"container-title":"Spectrochimica Acta Part A: Molecular and Biomolecular Spectroscopy","id":"ITEM-2","issue":"12","issued":{"date-parts":[["1997","10","15"]]},"page":"2159-2179","publisher":"Elsevier","title":"Raman spectroscopic library of natural and synthetic pigments (pre- ≈ 1850 AD)","type":"article-journal","volume":"53"},"uris":["http://www.mendeley.com/documents/?uuid=46838d43-1c62-3132-bfeb-bc7f00f0c9a8"]},{"id":"ITEM-3","itemData":{"DOI":"10.1002/jrs.1989","abstract":"The identification of iron-gall inks on a number of 18th, 19th, and 20th century documents and a 12th century manuscript has been conducted using near-infrared Raman microspectroscopy. These historic iron-gall inks were found to display characteristic Raman bands generally occurring around 1475 cm −1 , between 1310 and 1350 cm −1 (variable), 490-640 cm −1 (combined broad band), and 400 cm −1. These bands have promise as analytical spectroscopic markers for in situ non-destructive Raman identification of iron-gall ink on historic collections and were in good agreement with Raman data collected for laboratory-prepared iron-gall ink complexes and inks prepared following traditional iron-gall ink recipes. All historic ink spectra contained a fluorescent background, the degree of which varied between samples.","author":[{"dropping-particle":"","family":"Lee","given":"Alana S","non-dropping-particle":"","parse-names":false,"suffix":""},{"dropping-particle":"","family":"Otieno-Alego","given":"Vincent","non-dropping-particle":"","parse-names":false,"suffix":""},{"dropping-particle":"","family":"Creagh","given":"Dudley C","non-dropping-particle":"","parse-names":false,"suffix":""}],"container-title":"JOURNAL OF RAMAN SPECTROSCOPY J. Raman Spectrosc","id":"ITEM-3","issued":{"date-parts":[["2008"]]},"page":"1079-1084","publisher":"Wiley InterScience","title":"Identification of iron-gall inks with near-infrared Raman microspectroscopy","type":"article-journal","volume":"39"},"uris":["http://www.mendeley.com/documents/?uuid=6a3c6ad1-c645-3d95-a38a-5c56475c09e9"]}],"mendeley":{"formattedCitation":"(Burgio &amp; Clark, 2001; Bell et al., 1997; Lee et al., 2008)","plainTextFormattedCitation":"(Burgio &amp; Clark, 2001; Bell et al., 1997; Lee et al., 2008)"},"properties":{"noteIndex":0},"schema":"https://github.com/citation-style-language/schema/raw/master/csl-citation.json"}</w:instrText>
      </w:r>
      <w:r w:rsidR="003C6944">
        <w:rPr>
          <w:rFonts w:ascii="Times New Roman" w:hAnsi="Times New Roman" w:cs="Times New Roman"/>
          <w:sz w:val="24"/>
          <w:szCs w:val="24"/>
        </w:rPr>
        <w:fldChar w:fldCharType="separate"/>
      </w:r>
      <w:r w:rsidR="003C6944" w:rsidRPr="003C6944">
        <w:rPr>
          <w:rFonts w:ascii="Times New Roman" w:hAnsi="Times New Roman" w:cs="Times New Roman"/>
          <w:noProof/>
          <w:sz w:val="24"/>
          <w:szCs w:val="24"/>
        </w:rPr>
        <w:t>(Burgio &amp; Clark, 2001; Bell et al., 1997; Lee et al., 2008)</w:t>
      </w:r>
      <w:r w:rsidR="003C6944">
        <w:rPr>
          <w:rFonts w:ascii="Times New Roman" w:hAnsi="Times New Roman" w:cs="Times New Roman"/>
          <w:sz w:val="24"/>
          <w:szCs w:val="24"/>
        </w:rPr>
        <w:fldChar w:fldCharType="end"/>
      </w:r>
      <w:r w:rsidR="003C6944">
        <w:rPr>
          <w:rFonts w:ascii="Times New Roman" w:hAnsi="Times New Roman" w:cs="Times New Roman"/>
          <w:sz w:val="24"/>
          <w:szCs w:val="24"/>
        </w:rPr>
        <w:t>,</w:t>
      </w:r>
      <w:r w:rsidRPr="00F87E1B">
        <w:rPr>
          <w:rFonts w:ascii="Times New Roman" w:hAnsi="Times New Roman" w:cs="Times New Roman"/>
          <w:sz w:val="24"/>
          <w:szCs w:val="24"/>
        </w:rPr>
        <w:t xml:space="preserve"> and can be acquired from individual pigment grains since the Raman spectrometer is coupled to a microscope. Raman spectra were collected using a Renishaw inVia Raman microscope using 785 nm laser excitation (calibrated using the 520.5</w:t>
      </w:r>
      <w:r w:rsidR="00CE6810" w:rsidRPr="00F87E1B">
        <w:rPr>
          <w:rFonts w:ascii="Times New Roman" w:hAnsi="Times New Roman" w:cs="Times New Roman"/>
          <w:sz w:val="24"/>
          <w:szCs w:val="24"/>
        </w:rPr>
        <w:t xml:space="preserve"> </w:t>
      </w:r>
      <w:r w:rsidRPr="00F87E1B">
        <w:rPr>
          <w:rFonts w:ascii="Times New Roman" w:hAnsi="Times New Roman" w:cs="Times New Roman"/>
          <w:sz w:val="24"/>
          <w:szCs w:val="24"/>
        </w:rPr>
        <w:t>cm</w:t>
      </w:r>
      <w:r w:rsidRPr="00F87E1B">
        <w:rPr>
          <w:rFonts w:ascii="Times New Roman" w:hAnsi="Times New Roman" w:cs="Times New Roman"/>
          <w:sz w:val="24"/>
          <w:szCs w:val="24"/>
          <w:vertAlign w:val="superscript"/>
        </w:rPr>
        <w:t>-1</w:t>
      </w:r>
      <w:r w:rsidRPr="00F87E1B">
        <w:rPr>
          <w:rFonts w:ascii="Times New Roman" w:hAnsi="Times New Roman" w:cs="Times New Roman"/>
          <w:sz w:val="24"/>
          <w:szCs w:val="24"/>
        </w:rPr>
        <w:t xml:space="preserve"> silicon Raman line); a 50X-L microscope objective (N.A. 0.50, 8 mm working distance) was used to direct laser light onto the sample and collect the resulting Raman signal. In all cases, laser power and collection times for each area were chosen to optimize the signal while avoiding sample degradation.</w:t>
      </w:r>
      <w:r w:rsidR="00657AA9" w:rsidRPr="00F87E1B">
        <w:rPr>
          <w:rFonts w:ascii="Times New Roman" w:hAnsi="Times New Roman" w:cs="Times New Roman"/>
          <w:sz w:val="24"/>
          <w:szCs w:val="24"/>
        </w:rPr>
        <w:br w:type="page"/>
      </w:r>
    </w:p>
    <w:p w14:paraId="0F2FE4FA" w14:textId="6B843991" w:rsidR="00674952" w:rsidRDefault="00E5791B"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S</w:t>
      </w:r>
      <w:r w:rsidR="00FF0C40" w:rsidRPr="00F87E1B">
        <w:rPr>
          <w:rFonts w:ascii="Times New Roman" w:hAnsi="Times New Roman" w:cs="Times New Roman"/>
          <w:b/>
          <w:bCs/>
          <w:sz w:val="24"/>
          <w:szCs w:val="24"/>
        </w:rPr>
        <w:t>2</w:t>
      </w:r>
      <w:r w:rsidRPr="00F87E1B">
        <w:rPr>
          <w:rFonts w:ascii="Times New Roman" w:hAnsi="Times New Roman" w:cs="Times New Roman"/>
          <w:b/>
          <w:bCs/>
          <w:sz w:val="24"/>
          <w:szCs w:val="24"/>
        </w:rPr>
        <w:t>.</w:t>
      </w:r>
      <w:r w:rsidR="00674952" w:rsidRPr="00F87E1B">
        <w:rPr>
          <w:rFonts w:ascii="Times New Roman" w:hAnsi="Times New Roman" w:cs="Times New Roman"/>
          <w:b/>
          <w:bCs/>
          <w:sz w:val="24"/>
          <w:szCs w:val="24"/>
        </w:rPr>
        <w:t xml:space="preserve"> SR µPL measurements</w:t>
      </w:r>
    </w:p>
    <w:p w14:paraId="7E2D310D" w14:textId="0597DA3A" w:rsidR="001118B4" w:rsidRDefault="00D3325A" w:rsidP="00B663F3">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68DE593" wp14:editId="333487D1">
            <wp:extent cx="3337425" cy="43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2520" b="-2520"/>
                    <a:stretch/>
                  </pic:blipFill>
                  <pic:spPr bwMode="auto">
                    <a:xfrm>
                      <a:off x="0" y="0"/>
                      <a:ext cx="3337425" cy="4320000"/>
                    </a:xfrm>
                    <a:prstGeom prst="rect">
                      <a:avLst/>
                    </a:prstGeom>
                    <a:ln>
                      <a:noFill/>
                    </a:ln>
                    <a:extLst>
                      <a:ext uri="{53640926-AAD7-44D8-BBD7-CCE9431645EC}">
                        <a14:shadowObscured xmlns:a14="http://schemas.microsoft.com/office/drawing/2010/main"/>
                      </a:ext>
                    </a:extLst>
                  </pic:spPr>
                </pic:pic>
              </a:graphicData>
            </a:graphic>
          </wp:inline>
        </w:drawing>
      </w:r>
    </w:p>
    <w:p w14:paraId="6F8258A3" w14:textId="0B1A4238" w:rsidR="00D3325A" w:rsidRPr="00D3325A" w:rsidRDefault="00D3325A" w:rsidP="00D3325A">
      <w:pPr>
        <w:pStyle w:val="Caption"/>
        <w:spacing w:line="480" w:lineRule="auto"/>
        <w:jc w:val="both"/>
        <w:rPr>
          <w:color w:val="auto"/>
        </w:rPr>
      </w:pPr>
      <w:r w:rsidRPr="00F87E1B">
        <w:rPr>
          <w:rFonts w:ascii="Times New Roman" w:hAnsi="Times New Roman" w:cs="Times New Roman"/>
          <w:b/>
          <w:bCs/>
          <w:i w:val="0"/>
          <w:iCs w:val="0"/>
          <w:color w:val="auto"/>
          <w:sz w:val="24"/>
          <w:szCs w:val="24"/>
        </w:rPr>
        <w:t xml:space="preserve">Figure S1. </w:t>
      </w:r>
      <w:bookmarkStart w:id="1" w:name="_Hlk100908789"/>
      <w:r w:rsidRPr="00D3325A">
        <w:rPr>
          <w:rFonts w:ascii="Times New Roman" w:hAnsi="Times New Roman" w:cs="Times New Roman"/>
          <w:i w:val="0"/>
          <w:iCs w:val="0"/>
          <w:color w:val="auto"/>
          <w:sz w:val="24"/>
          <w:szCs w:val="24"/>
        </w:rPr>
        <w:t xml:space="preserve">Reconstructed PL emission spectra of the now-brownish (black trace) and vibrant (red trace) yellow paints. For </w:t>
      </w:r>
      <w:r w:rsidR="0075481E">
        <w:rPr>
          <w:rFonts w:ascii="Times New Roman" w:hAnsi="Times New Roman" w:cs="Times New Roman"/>
          <w:i w:val="0"/>
          <w:iCs w:val="0"/>
          <w:color w:val="auto"/>
          <w:sz w:val="24"/>
          <w:szCs w:val="24"/>
        </w:rPr>
        <w:t xml:space="preserve">a </w:t>
      </w:r>
      <w:r w:rsidRPr="00D3325A">
        <w:rPr>
          <w:rFonts w:ascii="Times New Roman" w:hAnsi="Times New Roman" w:cs="Times New Roman"/>
          <w:i w:val="0"/>
          <w:iCs w:val="0"/>
          <w:color w:val="auto"/>
          <w:sz w:val="24"/>
          <w:szCs w:val="24"/>
        </w:rPr>
        <w:t>better comparison, the spectra are also shown normalized (panel (b)). The mean intensity of the selected region of interest (ROI) in the band-pass filters is plotted versus the filter central wavelength, with error bars reporting the ROI standard deviation. The intensity is corrected for the overall spectral detection efficiency.</w:t>
      </w:r>
    </w:p>
    <w:bookmarkEnd w:id="1"/>
    <w:p w14:paraId="4A898EDB" w14:textId="2B1D8137" w:rsidR="00674952" w:rsidRPr="008A4786" w:rsidRDefault="00674952" w:rsidP="008A4786">
      <w:pPr>
        <w:rPr>
          <w:rFonts w:ascii="Times New Roman" w:hAnsi="Times New Roman" w:cs="Times New Roman"/>
          <w:b/>
          <w:bCs/>
          <w:sz w:val="24"/>
          <w:szCs w:val="24"/>
          <w:highlight w:val="yellow"/>
        </w:rPr>
      </w:pPr>
    </w:p>
    <w:p w14:paraId="45D7EFA7" w14:textId="77777777" w:rsidR="00674952" w:rsidRPr="00F87E1B" w:rsidRDefault="00674952" w:rsidP="00B07350">
      <w:pPr>
        <w:spacing w:line="480" w:lineRule="auto"/>
        <w:rPr>
          <w:rFonts w:ascii="Times New Roman" w:hAnsi="Times New Roman" w:cs="Times New Roman"/>
          <w:b/>
          <w:bCs/>
          <w:sz w:val="24"/>
          <w:szCs w:val="24"/>
        </w:rPr>
      </w:pPr>
      <w:r w:rsidRPr="00F87E1B">
        <w:rPr>
          <w:rFonts w:ascii="Times New Roman" w:hAnsi="Times New Roman" w:cs="Times New Roman"/>
          <w:b/>
          <w:bCs/>
          <w:sz w:val="24"/>
          <w:szCs w:val="24"/>
        </w:rPr>
        <w:br w:type="page"/>
      </w:r>
    </w:p>
    <w:p w14:paraId="52DF7F0A" w14:textId="60A56EA1" w:rsidR="00D21BD6" w:rsidRPr="00F87E1B" w:rsidRDefault="00674952" w:rsidP="00B07350">
      <w:pPr>
        <w:spacing w:line="480" w:lineRule="auto"/>
        <w:jc w:val="both"/>
        <w:rPr>
          <w:rFonts w:ascii="Times New Roman" w:hAnsi="Times New Roman" w:cs="Times New Roman"/>
          <w:sz w:val="24"/>
          <w:szCs w:val="24"/>
        </w:rPr>
      </w:pPr>
      <w:r w:rsidRPr="00F87E1B">
        <w:rPr>
          <w:rFonts w:ascii="Times New Roman" w:hAnsi="Times New Roman" w:cs="Times New Roman"/>
          <w:b/>
          <w:bCs/>
          <w:sz w:val="24"/>
          <w:szCs w:val="24"/>
        </w:rPr>
        <w:lastRenderedPageBreak/>
        <w:t>S3.</w:t>
      </w:r>
      <w:r w:rsidR="00E5791B" w:rsidRPr="00F87E1B">
        <w:rPr>
          <w:rFonts w:ascii="Times New Roman" w:hAnsi="Times New Roman" w:cs="Times New Roman"/>
          <w:b/>
          <w:bCs/>
          <w:sz w:val="24"/>
          <w:szCs w:val="24"/>
        </w:rPr>
        <w:t xml:space="preserve"> </w:t>
      </w:r>
      <w:r w:rsidR="00D21BD6" w:rsidRPr="00F87E1B">
        <w:rPr>
          <w:rFonts w:ascii="Times New Roman" w:hAnsi="Times New Roman" w:cs="Times New Roman"/>
          <w:b/>
          <w:bCs/>
          <w:sz w:val="24"/>
          <w:szCs w:val="24"/>
        </w:rPr>
        <w:t>S K-edge XANES spectra of reference compounds</w:t>
      </w:r>
    </w:p>
    <w:p w14:paraId="62928D98" w14:textId="1A0D66B9" w:rsidR="00D21BD6" w:rsidRPr="00F87E1B" w:rsidRDefault="006C7FE0" w:rsidP="00B07350">
      <w:pPr>
        <w:spacing w:line="480" w:lineRule="auto"/>
        <w:jc w:val="center"/>
        <w:rPr>
          <w:rFonts w:ascii="Times New Roman" w:hAnsi="Times New Roman" w:cs="Times New Roman"/>
          <w:b/>
          <w:bCs/>
          <w:sz w:val="24"/>
          <w:szCs w:val="24"/>
        </w:rPr>
      </w:pPr>
      <w:r w:rsidRPr="00F87E1B">
        <w:rPr>
          <w:rFonts w:ascii="Times New Roman" w:hAnsi="Times New Roman" w:cs="Times New Roman"/>
          <w:b/>
          <w:bCs/>
          <w:noProof/>
          <w:sz w:val="24"/>
          <w:szCs w:val="24"/>
        </w:rPr>
        <w:drawing>
          <wp:inline distT="0" distB="0" distL="0" distR="0" wp14:anchorId="0F2A87CC" wp14:editId="13BED94C">
            <wp:extent cx="2160000" cy="5935878"/>
            <wp:effectExtent l="0" t="0" r="0" b="8255"/>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60000" cy="5935878"/>
                    </a:xfrm>
                    <a:prstGeom prst="rect">
                      <a:avLst/>
                    </a:prstGeom>
                  </pic:spPr>
                </pic:pic>
              </a:graphicData>
            </a:graphic>
          </wp:inline>
        </w:drawing>
      </w:r>
    </w:p>
    <w:p w14:paraId="03272F29" w14:textId="04AD6128" w:rsidR="005B4F58" w:rsidRPr="00F87E1B" w:rsidRDefault="005B4F58" w:rsidP="00B07350">
      <w:pPr>
        <w:pStyle w:val="Caption"/>
        <w:spacing w:line="480" w:lineRule="auto"/>
        <w:jc w:val="both"/>
        <w:rPr>
          <w:rFonts w:ascii="Times New Roman" w:hAnsi="Times New Roman" w:cs="Times New Roman"/>
          <w:b/>
          <w:bCs/>
          <w:sz w:val="24"/>
          <w:szCs w:val="24"/>
        </w:rPr>
      </w:pPr>
      <w:r w:rsidRPr="00F87E1B">
        <w:rPr>
          <w:rFonts w:ascii="Times New Roman" w:hAnsi="Times New Roman" w:cs="Times New Roman"/>
          <w:b/>
          <w:bCs/>
          <w:i w:val="0"/>
          <w:iCs w:val="0"/>
          <w:color w:val="auto"/>
          <w:sz w:val="24"/>
          <w:szCs w:val="24"/>
        </w:rPr>
        <w:t>Figure S</w:t>
      </w:r>
      <w:r w:rsidR="00674952" w:rsidRPr="00F87E1B">
        <w:rPr>
          <w:rFonts w:ascii="Times New Roman" w:hAnsi="Times New Roman" w:cs="Times New Roman"/>
          <w:b/>
          <w:bCs/>
          <w:i w:val="0"/>
          <w:iCs w:val="0"/>
          <w:color w:val="auto"/>
          <w:sz w:val="24"/>
          <w:szCs w:val="24"/>
        </w:rPr>
        <w:t>2</w:t>
      </w:r>
      <w:r w:rsidRPr="00F87E1B">
        <w:rPr>
          <w:rFonts w:ascii="Times New Roman" w:hAnsi="Times New Roman" w:cs="Times New Roman"/>
          <w:b/>
          <w:bCs/>
          <w:i w:val="0"/>
          <w:iCs w:val="0"/>
          <w:color w:val="auto"/>
          <w:sz w:val="24"/>
          <w:szCs w:val="24"/>
        </w:rPr>
        <w:t xml:space="preserve">. </w:t>
      </w:r>
      <w:r w:rsidRPr="00F87E1B">
        <w:rPr>
          <w:rFonts w:ascii="Times New Roman" w:hAnsi="Times New Roman" w:cs="Times New Roman"/>
          <w:i w:val="0"/>
          <w:iCs w:val="0"/>
          <w:color w:val="auto"/>
          <w:sz w:val="24"/>
          <w:szCs w:val="24"/>
        </w:rPr>
        <w:t>S K-edge XANES spectra of sulfur reference compounds employed for the linear combination fit of the S K-edge XANES spectra recorded from the historical samples (see Table S2 for details).</w:t>
      </w:r>
    </w:p>
    <w:p w14:paraId="71F0F634" w14:textId="77777777" w:rsidR="00DA17FF" w:rsidRPr="00F87E1B" w:rsidRDefault="00DA17FF"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br w:type="page"/>
      </w:r>
    </w:p>
    <w:p w14:paraId="4DBF2863" w14:textId="43F36689" w:rsidR="00FB2109" w:rsidRPr="00F87E1B" w:rsidRDefault="00D21BD6"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S</w:t>
      </w:r>
      <w:r w:rsidR="00674952" w:rsidRPr="00F87E1B">
        <w:rPr>
          <w:rFonts w:ascii="Times New Roman" w:hAnsi="Times New Roman" w:cs="Times New Roman"/>
          <w:b/>
          <w:bCs/>
          <w:sz w:val="24"/>
          <w:szCs w:val="24"/>
        </w:rPr>
        <w:t>4</w:t>
      </w:r>
      <w:r w:rsidRPr="00F87E1B">
        <w:rPr>
          <w:rFonts w:ascii="Times New Roman" w:hAnsi="Times New Roman" w:cs="Times New Roman"/>
          <w:b/>
          <w:bCs/>
          <w:sz w:val="24"/>
          <w:szCs w:val="24"/>
        </w:rPr>
        <w:t xml:space="preserve">. </w:t>
      </w:r>
      <w:r w:rsidR="00DA17FF" w:rsidRPr="00F87E1B">
        <w:rPr>
          <w:rFonts w:ascii="Times New Roman" w:hAnsi="Times New Roman" w:cs="Times New Roman"/>
          <w:b/>
          <w:bCs/>
          <w:sz w:val="24"/>
          <w:szCs w:val="24"/>
        </w:rPr>
        <w:t>Quantitative estimation percentage of S and Cd species</w:t>
      </w:r>
    </w:p>
    <w:tbl>
      <w:tblPr>
        <w:tblW w:w="4779" w:type="pct"/>
        <w:jc w:val="center"/>
        <w:tblLayout w:type="fixed"/>
        <w:tblCellMar>
          <w:left w:w="0" w:type="dxa"/>
          <w:right w:w="0" w:type="dxa"/>
        </w:tblCellMar>
        <w:tblLook w:val="0600" w:firstRow="0" w:lastRow="0" w:firstColumn="0" w:lastColumn="0" w:noHBand="1" w:noVBand="1"/>
      </w:tblPr>
      <w:tblGrid>
        <w:gridCol w:w="978"/>
        <w:gridCol w:w="2100"/>
        <w:gridCol w:w="527"/>
        <w:gridCol w:w="510"/>
        <w:gridCol w:w="470"/>
        <w:gridCol w:w="479"/>
        <w:gridCol w:w="472"/>
        <w:gridCol w:w="555"/>
        <w:gridCol w:w="632"/>
        <w:gridCol w:w="684"/>
        <w:gridCol w:w="626"/>
        <w:gridCol w:w="637"/>
        <w:gridCol w:w="542"/>
      </w:tblGrid>
      <w:tr w:rsidR="00FB2109" w:rsidRPr="00F87E1B" w14:paraId="7DAB049A" w14:textId="77777777" w:rsidTr="00B0106C">
        <w:trPr>
          <w:trHeight w:val="264"/>
          <w:jc w:val="center"/>
        </w:trPr>
        <w:tc>
          <w:tcPr>
            <w:tcW w:w="5000" w:type="pct"/>
            <w:gridSpan w:val="13"/>
            <w:tcBorders>
              <w:bottom w:val="single" w:sz="8" w:space="0" w:color="000000"/>
            </w:tcBorders>
            <w:shd w:val="clear" w:color="auto" w:fill="auto"/>
            <w:tcMar>
              <w:top w:w="15" w:type="dxa"/>
              <w:left w:w="20" w:type="dxa"/>
              <w:bottom w:w="0" w:type="dxa"/>
              <w:right w:w="20" w:type="dxa"/>
            </w:tcMar>
            <w:vAlign w:val="center"/>
          </w:tcPr>
          <w:p w14:paraId="4B0799FB" w14:textId="17841B3C" w:rsidR="008179FF" w:rsidRPr="00F87E1B" w:rsidRDefault="00FB2109" w:rsidP="00B07350">
            <w:pPr>
              <w:spacing w:after="0" w:line="480" w:lineRule="auto"/>
              <w:ind w:left="-28" w:right="-28"/>
              <w:jc w:val="both"/>
              <w:rPr>
                <w:rFonts w:ascii="Times New Roman" w:hAnsi="Times New Roman" w:cs="Times New Roman"/>
                <w:sz w:val="24"/>
                <w:szCs w:val="24"/>
              </w:rPr>
            </w:pPr>
            <w:r w:rsidRPr="00F87E1B">
              <w:rPr>
                <w:rFonts w:ascii="Times New Roman" w:hAnsi="Times New Roman" w:cs="Times New Roman"/>
                <w:b/>
                <w:bCs/>
                <w:sz w:val="24"/>
                <w:szCs w:val="24"/>
              </w:rPr>
              <w:t>Table S</w:t>
            </w:r>
            <w:r w:rsidR="005B4F58" w:rsidRPr="00F87E1B">
              <w:rPr>
                <w:rFonts w:ascii="Times New Roman" w:hAnsi="Times New Roman" w:cs="Times New Roman"/>
                <w:b/>
                <w:bCs/>
                <w:sz w:val="24"/>
                <w:szCs w:val="24"/>
              </w:rPr>
              <w:t>2</w:t>
            </w:r>
            <w:r w:rsidRPr="00F87E1B">
              <w:rPr>
                <w:rFonts w:ascii="Times New Roman" w:hAnsi="Times New Roman" w:cs="Times New Roman"/>
                <w:b/>
                <w:bCs/>
                <w:sz w:val="24"/>
                <w:szCs w:val="24"/>
              </w:rPr>
              <w:t xml:space="preserve">. </w:t>
            </w:r>
            <w:r w:rsidR="00B0106C" w:rsidRPr="00F87E1B">
              <w:rPr>
                <w:rFonts w:ascii="Times New Roman" w:hAnsi="Times New Roman" w:cs="Times New Roman"/>
                <w:sz w:val="24"/>
                <w:szCs w:val="24"/>
              </w:rPr>
              <w:t>Quantitative estimation percentage of S species obtained by linear combination fitting of S K-edge XANES spectra collected from now-brownish yellow sample. Fit errors are also reported.</w:t>
            </w:r>
          </w:p>
        </w:tc>
      </w:tr>
      <w:tr w:rsidR="00FB2109" w:rsidRPr="00F87E1B" w14:paraId="075EEF07" w14:textId="77777777" w:rsidTr="00D43ADD">
        <w:trPr>
          <w:trHeight w:val="529"/>
          <w:jc w:val="center"/>
        </w:trPr>
        <w:tc>
          <w:tcPr>
            <w:tcW w:w="167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14:paraId="24DC80A8" w14:textId="558F5D20"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Now-brownish yellow sample</w:t>
            </w:r>
          </w:p>
        </w:tc>
        <w:tc>
          <w:tcPr>
            <w:tcW w:w="1334"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14:paraId="3A40787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Component weight (%)</w:t>
            </w:r>
          </w:p>
        </w:tc>
        <w:tc>
          <w:tcPr>
            <w:tcW w:w="101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14:paraId="565B038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 xml:space="preserve">Average S-species </w:t>
            </w:r>
            <w:r w:rsidRPr="00F87E1B">
              <w:rPr>
                <w:rFonts w:ascii="Times New Roman" w:hAnsi="Times New Roman" w:cs="Times New Roman"/>
                <w:b/>
                <w:bCs/>
                <w:sz w:val="20"/>
                <w:szCs w:val="20"/>
              </w:rPr>
              <w:br/>
              <w:t>(%)</w:t>
            </w:r>
          </w:p>
        </w:tc>
        <w:tc>
          <w:tcPr>
            <w:tcW w:w="9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14:paraId="7CA2A9F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Fit error</w:t>
            </w:r>
          </w:p>
        </w:tc>
      </w:tr>
      <w:tr w:rsidR="00FB2109" w:rsidRPr="00F87E1B" w14:paraId="350899DC" w14:textId="77777777" w:rsidTr="00D43ADD">
        <w:trPr>
          <w:trHeight w:val="1948"/>
          <w:jc w:val="center"/>
        </w:trPr>
        <w:tc>
          <w:tcPr>
            <w:tcW w:w="531" w:type="pct"/>
            <w:tcBorders>
              <w:top w:val="single" w:sz="8" w:space="0" w:color="000000"/>
              <w:left w:val="single" w:sz="8" w:space="0" w:color="000000"/>
              <w:bottom w:val="double" w:sz="4" w:space="0" w:color="000000"/>
              <w:right w:val="single" w:sz="8" w:space="0" w:color="000000"/>
            </w:tcBorders>
            <w:shd w:val="clear" w:color="auto" w:fill="auto"/>
            <w:tcMar>
              <w:top w:w="15" w:type="dxa"/>
              <w:left w:w="20" w:type="dxa"/>
              <w:bottom w:w="0" w:type="dxa"/>
              <w:right w:w="20" w:type="dxa"/>
            </w:tcMar>
            <w:textDirection w:val="btLr"/>
            <w:vAlign w:val="center"/>
            <w:hideMark/>
          </w:tcPr>
          <w:p w14:paraId="60049CE8" w14:textId="174D5AD1" w:rsidR="00FB2109" w:rsidRPr="00F87E1B" w:rsidRDefault="00E23752"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Analysed</w:t>
            </w:r>
            <w:r w:rsidR="00FB2109" w:rsidRPr="00F87E1B">
              <w:rPr>
                <w:rFonts w:ascii="Times New Roman" w:hAnsi="Times New Roman" w:cs="Times New Roman"/>
                <w:b/>
                <w:bCs/>
                <w:sz w:val="20"/>
                <w:szCs w:val="20"/>
              </w:rPr>
              <w:t xml:space="preserve"> area</w:t>
            </w:r>
          </w:p>
        </w:tc>
        <w:tc>
          <w:tcPr>
            <w:tcW w:w="1139" w:type="pct"/>
            <w:tcBorders>
              <w:top w:val="single" w:sz="8" w:space="0" w:color="000000"/>
              <w:left w:val="single" w:sz="8" w:space="0" w:color="000000"/>
              <w:bottom w:val="double" w:sz="4" w:space="0" w:color="000000"/>
              <w:right w:val="single" w:sz="8" w:space="0" w:color="000000"/>
            </w:tcBorders>
            <w:shd w:val="clear" w:color="auto" w:fill="auto"/>
            <w:tcMar>
              <w:top w:w="15" w:type="dxa"/>
              <w:left w:w="20" w:type="dxa"/>
              <w:bottom w:w="0" w:type="dxa"/>
              <w:right w:w="20" w:type="dxa"/>
            </w:tcMar>
            <w:textDirection w:val="btLr"/>
            <w:vAlign w:val="center"/>
            <w:hideMark/>
          </w:tcPr>
          <w:p w14:paraId="2C04676B" w14:textId="25DFAE89"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 xml:space="preserve">S </w:t>
            </w:r>
            <w:r w:rsidR="00E52739" w:rsidRPr="00F87E1B">
              <w:rPr>
                <w:rFonts w:ascii="Times New Roman" w:hAnsi="Times New Roman" w:cs="Times New Roman"/>
                <w:b/>
                <w:bCs/>
                <w:sz w:val="20"/>
                <w:szCs w:val="20"/>
              </w:rPr>
              <w:t>K-</w:t>
            </w:r>
            <w:r w:rsidRPr="00F87E1B">
              <w:rPr>
                <w:rFonts w:ascii="Times New Roman" w:hAnsi="Times New Roman" w:cs="Times New Roman"/>
                <w:b/>
                <w:bCs/>
                <w:sz w:val="20"/>
                <w:szCs w:val="20"/>
              </w:rPr>
              <w:t>edge XANES spectrum</w:t>
            </w:r>
          </w:p>
        </w:tc>
        <w:tc>
          <w:tcPr>
            <w:tcW w:w="286"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4000465E"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CdS</w:t>
            </w:r>
          </w:p>
        </w:tc>
        <w:tc>
          <w:tcPr>
            <w:tcW w:w="277"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65985D76"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BaSO</w:t>
            </w:r>
            <w:r w:rsidRPr="00F87E1B">
              <w:rPr>
                <w:rFonts w:ascii="Times New Roman" w:hAnsi="Times New Roman" w:cs="Times New Roman"/>
                <w:b/>
                <w:bCs/>
                <w:sz w:val="20"/>
                <w:szCs w:val="20"/>
                <w:vertAlign w:val="subscript"/>
              </w:rPr>
              <w:t>4</w:t>
            </w:r>
          </w:p>
        </w:tc>
        <w:tc>
          <w:tcPr>
            <w:tcW w:w="255"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2146657D"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CdSO</w:t>
            </w:r>
            <w:r w:rsidRPr="00F87E1B">
              <w:rPr>
                <w:rFonts w:ascii="Times New Roman" w:hAnsi="Times New Roman" w:cs="Times New Roman"/>
                <w:b/>
                <w:bCs/>
                <w:sz w:val="20"/>
                <w:szCs w:val="20"/>
                <w:vertAlign w:val="subscript"/>
              </w:rPr>
              <w:t>4</w:t>
            </w:r>
            <w:r w:rsidRPr="00F87E1B">
              <w:rPr>
                <w:rFonts w:ascii="Times New Roman" w:hAnsi="Times New Roman" w:cs="Times New Roman"/>
                <w:b/>
                <w:bCs/>
                <w:sz w:val="20"/>
                <w:szCs w:val="20"/>
              </w:rPr>
              <w:t>/CdSO</w:t>
            </w:r>
            <w:r w:rsidRPr="00F87E1B">
              <w:rPr>
                <w:rFonts w:ascii="Times New Roman" w:hAnsi="Times New Roman" w:cs="Times New Roman"/>
                <w:b/>
                <w:bCs/>
                <w:sz w:val="20"/>
                <w:szCs w:val="20"/>
                <w:vertAlign w:val="subscript"/>
              </w:rPr>
              <w:t>4</w:t>
            </w:r>
            <w:r w:rsidRPr="00F87E1B">
              <w:rPr>
                <w:rFonts w:ascii="Times New Roman" w:hAnsi="Times New Roman" w:cs="Times New Roman"/>
                <w:b/>
                <w:bCs/>
                <w:sz w:val="20"/>
                <w:szCs w:val="20"/>
              </w:rPr>
              <w:t>·nH</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O</w:t>
            </w:r>
          </w:p>
        </w:tc>
        <w:tc>
          <w:tcPr>
            <w:tcW w:w="260"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24B03C49"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PbSO</w:t>
            </w:r>
            <w:r w:rsidRPr="00F87E1B">
              <w:rPr>
                <w:rFonts w:ascii="Times New Roman" w:hAnsi="Times New Roman" w:cs="Times New Roman"/>
                <w:b/>
                <w:bCs/>
                <w:sz w:val="20"/>
                <w:szCs w:val="20"/>
                <w:vertAlign w:val="subscript"/>
              </w:rPr>
              <w:t>4</w:t>
            </w:r>
          </w:p>
        </w:tc>
        <w:tc>
          <w:tcPr>
            <w:tcW w:w="256"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18058820"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Na</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SO</w:t>
            </w:r>
            <w:r w:rsidRPr="00F87E1B">
              <w:rPr>
                <w:rFonts w:ascii="Times New Roman" w:hAnsi="Times New Roman" w:cs="Times New Roman"/>
                <w:b/>
                <w:bCs/>
                <w:sz w:val="20"/>
                <w:szCs w:val="20"/>
                <w:vertAlign w:val="subscript"/>
              </w:rPr>
              <w:t>3</w:t>
            </w:r>
          </w:p>
        </w:tc>
        <w:tc>
          <w:tcPr>
            <w:tcW w:w="301"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2743F1AB"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[S</w:t>
            </w:r>
            <w:r w:rsidRPr="00F87E1B">
              <w:rPr>
                <w:rFonts w:ascii="Times New Roman" w:hAnsi="Times New Roman" w:cs="Times New Roman"/>
                <w:b/>
                <w:bCs/>
                <w:sz w:val="20"/>
                <w:szCs w:val="20"/>
                <w:vertAlign w:val="superscript"/>
              </w:rPr>
              <w:t>-II</w:t>
            </w:r>
            <w:r w:rsidRPr="00F87E1B">
              <w:rPr>
                <w:rFonts w:ascii="Times New Roman" w:hAnsi="Times New Roman" w:cs="Times New Roman"/>
                <w:b/>
                <w:bCs/>
                <w:sz w:val="20"/>
                <w:szCs w:val="20"/>
              </w:rPr>
              <w:t>]/[ S</w:t>
            </w:r>
            <w:r w:rsidRPr="00F87E1B">
              <w:rPr>
                <w:rFonts w:ascii="Times New Roman" w:hAnsi="Times New Roman" w:cs="Times New Roman"/>
                <w:b/>
                <w:bCs/>
                <w:sz w:val="20"/>
                <w:szCs w:val="20"/>
                <w:vertAlign w:val="subscript"/>
              </w:rPr>
              <w:t>total</w:t>
            </w:r>
            <w:r w:rsidRPr="00F87E1B">
              <w:rPr>
                <w:rFonts w:ascii="Times New Roman" w:hAnsi="Times New Roman" w:cs="Times New Roman"/>
                <w:b/>
                <w:bCs/>
                <w:sz w:val="20"/>
                <w:szCs w:val="20"/>
              </w:rPr>
              <w:t>]</w:t>
            </w:r>
          </w:p>
        </w:tc>
        <w:tc>
          <w:tcPr>
            <w:tcW w:w="343"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749AEFE1"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[S</w:t>
            </w:r>
            <w:r w:rsidRPr="00F87E1B">
              <w:rPr>
                <w:rFonts w:ascii="Times New Roman" w:hAnsi="Times New Roman" w:cs="Times New Roman"/>
                <w:b/>
                <w:bCs/>
                <w:sz w:val="20"/>
                <w:szCs w:val="20"/>
                <w:vertAlign w:val="superscript"/>
              </w:rPr>
              <w:t>VI</w:t>
            </w:r>
            <w:r w:rsidRPr="00F87E1B">
              <w:rPr>
                <w:rFonts w:ascii="Times New Roman" w:hAnsi="Times New Roman" w:cs="Times New Roman"/>
                <w:b/>
                <w:bCs/>
                <w:sz w:val="20"/>
                <w:szCs w:val="20"/>
              </w:rPr>
              <w:t>]/[ S</w:t>
            </w:r>
            <w:r w:rsidRPr="00F87E1B">
              <w:rPr>
                <w:rFonts w:ascii="Times New Roman" w:hAnsi="Times New Roman" w:cs="Times New Roman"/>
                <w:b/>
                <w:bCs/>
                <w:sz w:val="20"/>
                <w:szCs w:val="20"/>
                <w:vertAlign w:val="subscript"/>
              </w:rPr>
              <w:t>total</w:t>
            </w:r>
            <w:r w:rsidRPr="00F87E1B">
              <w:rPr>
                <w:rFonts w:ascii="Times New Roman" w:hAnsi="Times New Roman" w:cs="Times New Roman"/>
                <w:b/>
                <w:bCs/>
                <w:sz w:val="20"/>
                <w:szCs w:val="20"/>
              </w:rPr>
              <w:t>]</w:t>
            </w:r>
          </w:p>
        </w:tc>
        <w:tc>
          <w:tcPr>
            <w:tcW w:w="371"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76F184DE"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[S</w:t>
            </w:r>
            <w:r w:rsidRPr="00F87E1B">
              <w:rPr>
                <w:rFonts w:ascii="Times New Roman" w:hAnsi="Times New Roman" w:cs="Times New Roman"/>
                <w:b/>
                <w:bCs/>
                <w:sz w:val="20"/>
                <w:szCs w:val="20"/>
                <w:vertAlign w:val="superscript"/>
              </w:rPr>
              <w:t>IV</w:t>
            </w:r>
            <w:r w:rsidRPr="00F87E1B">
              <w:rPr>
                <w:rFonts w:ascii="Times New Roman" w:hAnsi="Times New Roman" w:cs="Times New Roman"/>
                <w:b/>
                <w:bCs/>
                <w:sz w:val="20"/>
                <w:szCs w:val="20"/>
              </w:rPr>
              <w:t>]/[ S</w:t>
            </w:r>
            <w:r w:rsidRPr="00F87E1B">
              <w:rPr>
                <w:rFonts w:ascii="Times New Roman" w:hAnsi="Times New Roman" w:cs="Times New Roman"/>
                <w:b/>
                <w:bCs/>
                <w:sz w:val="20"/>
                <w:szCs w:val="20"/>
                <w:vertAlign w:val="subscript"/>
              </w:rPr>
              <w:t>total</w:t>
            </w:r>
            <w:r w:rsidRPr="00F87E1B">
              <w:rPr>
                <w:rFonts w:ascii="Times New Roman" w:hAnsi="Times New Roman" w:cs="Times New Roman"/>
                <w:b/>
                <w:bCs/>
                <w:sz w:val="20"/>
                <w:szCs w:val="20"/>
              </w:rPr>
              <w:t>]</w:t>
            </w:r>
          </w:p>
        </w:tc>
        <w:tc>
          <w:tcPr>
            <w:tcW w:w="340"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2A833BD9"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R-factor</w:t>
            </w:r>
          </w:p>
        </w:tc>
        <w:tc>
          <w:tcPr>
            <w:tcW w:w="346"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079BCFC6"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Reduced chi-square</w:t>
            </w:r>
          </w:p>
        </w:tc>
        <w:tc>
          <w:tcPr>
            <w:tcW w:w="294" w:type="pct"/>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7F7E8D88"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chi-square</w:t>
            </w:r>
          </w:p>
        </w:tc>
      </w:tr>
      <w:tr w:rsidR="00FB2109" w:rsidRPr="00F87E1B" w14:paraId="504B8CB3" w14:textId="77777777" w:rsidTr="00D43ADD">
        <w:trPr>
          <w:trHeight w:val="356"/>
          <w:jc w:val="center"/>
        </w:trPr>
        <w:tc>
          <w:tcPr>
            <w:tcW w:w="531" w:type="pct"/>
            <w:vMerge w:val="restart"/>
            <w:tcBorders>
              <w:top w:val="double" w:sz="4"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260365B7" w14:textId="77F485EA"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Area II</w:t>
            </w:r>
          </w:p>
          <w:p w14:paraId="6B61DA52" w14:textId="2C59832E"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(Figure 1</w:t>
            </w:r>
            <w:r w:rsidR="008179FF" w:rsidRPr="00F87E1B">
              <w:rPr>
                <w:rFonts w:ascii="Times New Roman" w:hAnsi="Times New Roman" w:cs="Times New Roman"/>
                <w:sz w:val="20"/>
                <w:szCs w:val="20"/>
              </w:rPr>
              <w:t>c</w:t>
            </w:r>
            <w:r w:rsidRPr="00F87E1B">
              <w:rPr>
                <w:rFonts w:ascii="Times New Roman" w:hAnsi="Times New Roman" w:cs="Times New Roman"/>
                <w:sz w:val="20"/>
                <w:szCs w:val="20"/>
              </w:rPr>
              <w:t>)</w:t>
            </w:r>
          </w:p>
        </w:tc>
        <w:tc>
          <w:tcPr>
            <w:tcW w:w="1139" w:type="pct"/>
            <w:tcBorders>
              <w:top w:val="double" w:sz="4"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2401688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Bulk yellow paint</w:t>
            </w:r>
          </w:p>
        </w:tc>
        <w:tc>
          <w:tcPr>
            <w:tcW w:w="286"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51332A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47±1</w:t>
            </w:r>
          </w:p>
        </w:tc>
        <w:tc>
          <w:tcPr>
            <w:tcW w:w="277"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C8AC19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w:t>
            </w:r>
          </w:p>
        </w:tc>
        <w:tc>
          <w:tcPr>
            <w:tcW w:w="255"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2320CB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12±1</w:t>
            </w:r>
          </w:p>
        </w:tc>
        <w:tc>
          <w:tcPr>
            <w:tcW w:w="260"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51F4F5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35±2</w:t>
            </w:r>
          </w:p>
        </w:tc>
        <w:tc>
          <w:tcPr>
            <w:tcW w:w="256"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D332AD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6±2</w:t>
            </w:r>
          </w:p>
        </w:tc>
        <w:tc>
          <w:tcPr>
            <w:tcW w:w="301"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EFF9ECB"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47±1</w:t>
            </w:r>
          </w:p>
        </w:tc>
        <w:tc>
          <w:tcPr>
            <w:tcW w:w="343"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F7BDB64"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47±2</w:t>
            </w:r>
          </w:p>
        </w:tc>
        <w:tc>
          <w:tcPr>
            <w:tcW w:w="371"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D9C58BB"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6±2</w:t>
            </w:r>
          </w:p>
        </w:tc>
        <w:tc>
          <w:tcPr>
            <w:tcW w:w="340"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204C9C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0.0022</w:t>
            </w:r>
          </w:p>
        </w:tc>
        <w:tc>
          <w:tcPr>
            <w:tcW w:w="346" w:type="pct"/>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CBD10C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0.0031</w:t>
            </w:r>
          </w:p>
        </w:tc>
        <w:tc>
          <w:tcPr>
            <w:tcW w:w="294" w:type="pct"/>
            <w:tcBorders>
              <w:top w:val="double" w:sz="4"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7C39CBC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0.995</w:t>
            </w:r>
          </w:p>
        </w:tc>
      </w:tr>
      <w:tr w:rsidR="00FB2109" w:rsidRPr="00F87E1B" w14:paraId="0753B051" w14:textId="77777777" w:rsidTr="00D43ADD">
        <w:trPr>
          <w:trHeight w:val="356"/>
          <w:jc w:val="center"/>
        </w:trPr>
        <w:tc>
          <w:tcPr>
            <w:tcW w:w="531" w:type="pct"/>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7D618F2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22BDF376" w14:textId="7AC2546C"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Average 4.8-8.0 µm</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C31A82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27±1</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80C68B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22±2</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F19DCD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11±1</w:t>
            </w:r>
          </w:p>
        </w:tc>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E3B06D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35±2</w:t>
            </w:r>
          </w:p>
        </w:tc>
        <w:tc>
          <w:tcPr>
            <w:tcW w:w="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981556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5±2</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1B6CD60"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27±1</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CF1BE1C"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68±2</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116F0BE"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5±2</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81E882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0.0020</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65B40C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0.0030</w:t>
            </w:r>
          </w:p>
        </w:tc>
        <w:tc>
          <w:tcPr>
            <w:tcW w:w="294" w:type="pct"/>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15D0D3A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0.998</w:t>
            </w:r>
          </w:p>
        </w:tc>
      </w:tr>
      <w:tr w:rsidR="00FB2109" w:rsidRPr="00F87E1B" w14:paraId="748A7638" w14:textId="77777777" w:rsidTr="00D43ADD">
        <w:trPr>
          <w:trHeight w:val="356"/>
          <w:jc w:val="center"/>
        </w:trPr>
        <w:tc>
          <w:tcPr>
            <w:tcW w:w="531" w:type="pct"/>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309FCB5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7D47F5F5" w14:textId="77777777" w:rsidR="00FB2109" w:rsidRPr="00F87E1B" w:rsidRDefault="00FB2109" w:rsidP="00B07350">
            <w:pPr>
              <w:pStyle w:val="NormalWeb"/>
              <w:spacing w:before="0" w:beforeAutospacing="0" w:after="0" w:afterAutospacing="0"/>
              <w:ind w:left="-28" w:right="-28"/>
              <w:jc w:val="center"/>
              <w:rPr>
                <w:sz w:val="20"/>
                <w:szCs w:val="20"/>
              </w:rPr>
            </w:pPr>
            <w:r w:rsidRPr="00F87E1B">
              <w:rPr>
                <w:rFonts w:eastAsia="Calibri"/>
                <w:color w:val="000000" w:themeColor="text1"/>
                <w:kern w:val="24"/>
                <w:sz w:val="20"/>
                <w:szCs w:val="20"/>
              </w:rPr>
              <w:t>Average 8.4-10.0 µm</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CB3AAC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37±1</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3AC121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21±2</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B3E451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13±1</w:t>
            </w:r>
          </w:p>
        </w:tc>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EEC285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23±2</w:t>
            </w:r>
          </w:p>
        </w:tc>
        <w:tc>
          <w:tcPr>
            <w:tcW w:w="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4D46DE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6±1</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489A1D1"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37±1</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F11B9C7"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57±3</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610BB85"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6±1</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AF6A7F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0.0026</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395C57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0.0038</w:t>
            </w:r>
          </w:p>
        </w:tc>
        <w:tc>
          <w:tcPr>
            <w:tcW w:w="294" w:type="pct"/>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43C4EB7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1.27</w:t>
            </w:r>
          </w:p>
        </w:tc>
      </w:tr>
      <w:tr w:rsidR="00FB2109" w:rsidRPr="00F87E1B" w14:paraId="2EF9A4EF" w14:textId="77777777" w:rsidTr="00D43ADD">
        <w:trPr>
          <w:trHeight w:val="356"/>
          <w:jc w:val="center"/>
        </w:trPr>
        <w:tc>
          <w:tcPr>
            <w:tcW w:w="531" w:type="pct"/>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7EE6267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5E5DD707" w14:textId="0C2D9B2A" w:rsidR="00FB2109" w:rsidRPr="00F87E1B" w:rsidRDefault="00FB2109" w:rsidP="00B07350">
            <w:pPr>
              <w:pStyle w:val="NormalWeb"/>
              <w:spacing w:before="0" w:beforeAutospacing="0" w:after="0" w:afterAutospacing="0"/>
              <w:ind w:left="-28" w:right="-28"/>
              <w:jc w:val="center"/>
              <w:rPr>
                <w:sz w:val="20"/>
                <w:szCs w:val="20"/>
              </w:rPr>
            </w:pPr>
            <w:r w:rsidRPr="00F87E1B">
              <w:rPr>
                <w:rFonts w:eastAsia="Calibri"/>
                <w:color w:val="000000" w:themeColor="text1"/>
                <w:kern w:val="24"/>
                <w:sz w:val="20"/>
                <w:szCs w:val="20"/>
              </w:rPr>
              <w:t>Average 10.4-12.00 µm</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10F0BD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23±1</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9474C2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45±2</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F41E58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13±1</w:t>
            </w:r>
          </w:p>
        </w:tc>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E0EAEE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14±1</w:t>
            </w:r>
          </w:p>
        </w:tc>
        <w:tc>
          <w:tcPr>
            <w:tcW w:w="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458A55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5±1</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7CCCBA2"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23±1</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6ACE070"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72±2</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12B19AF"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5±1</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D84FEC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0.0021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22E041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0.0034</w:t>
            </w:r>
          </w:p>
        </w:tc>
        <w:tc>
          <w:tcPr>
            <w:tcW w:w="294" w:type="pct"/>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2A5F8EE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1.10</w:t>
            </w:r>
          </w:p>
        </w:tc>
      </w:tr>
      <w:tr w:rsidR="00FB2109" w:rsidRPr="00F87E1B" w14:paraId="7C34BEA3" w14:textId="77777777" w:rsidTr="00D43ADD">
        <w:trPr>
          <w:trHeight w:val="356"/>
          <w:jc w:val="center"/>
        </w:trPr>
        <w:tc>
          <w:tcPr>
            <w:tcW w:w="531" w:type="pct"/>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3A39321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3F42E728" w14:textId="4CA64B56" w:rsidR="00FB2109" w:rsidRPr="00F87E1B" w:rsidRDefault="00FB2109" w:rsidP="00B07350">
            <w:pPr>
              <w:pStyle w:val="NormalWeb"/>
              <w:spacing w:before="0" w:beforeAutospacing="0" w:after="0" w:afterAutospacing="0"/>
              <w:ind w:left="-28" w:right="-28"/>
              <w:jc w:val="center"/>
              <w:rPr>
                <w:sz w:val="20"/>
                <w:szCs w:val="20"/>
              </w:rPr>
            </w:pPr>
            <w:r w:rsidRPr="00F87E1B">
              <w:rPr>
                <w:rFonts w:eastAsia="Calibri"/>
                <w:color w:val="000000" w:themeColor="text1"/>
                <w:kern w:val="24"/>
                <w:sz w:val="20"/>
                <w:szCs w:val="20"/>
              </w:rPr>
              <w:t>Average 12.4-14.0 µm</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4AAC4B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31±2</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649A2D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27±2</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1F9877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22±1</w:t>
            </w:r>
          </w:p>
        </w:tc>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CCFE81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14±1</w:t>
            </w:r>
          </w:p>
        </w:tc>
        <w:tc>
          <w:tcPr>
            <w:tcW w:w="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F082D0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6±2</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7B50C04"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31±2</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79AA316"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63±2</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26F4E39"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6±2</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318A24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316087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0.0048</w:t>
            </w:r>
          </w:p>
        </w:tc>
        <w:tc>
          <w:tcPr>
            <w:tcW w:w="294" w:type="pct"/>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7F4E5C3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1.62</w:t>
            </w:r>
          </w:p>
        </w:tc>
      </w:tr>
      <w:tr w:rsidR="00FB2109" w:rsidRPr="00F87E1B" w14:paraId="75CCA99D" w14:textId="77777777" w:rsidTr="00D43ADD">
        <w:trPr>
          <w:trHeight w:val="356"/>
          <w:jc w:val="center"/>
        </w:trPr>
        <w:tc>
          <w:tcPr>
            <w:tcW w:w="531" w:type="pct"/>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0E82728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3D70232C" w14:textId="77777777" w:rsidR="00FB2109" w:rsidRPr="00F87E1B" w:rsidRDefault="00FB2109" w:rsidP="00B07350">
            <w:pPr>
              <w:pStyle w:val="NormalWeb"/>
              <w:spacing w:before="0" w:beforeAutospacing="0" w:after="0" w:afterAutospacing="0"/>
              <w:ind w:left="-28" w:right="-28"/>
              <w:jc w:val="center"/>
              <w:rPr>
                <w:sz w:val="20"/>
                <w:szCs w:val="20"/>
              </w:rPr>
            </w:pPr>
            <w:r w:rsidRPr="00F87E1B">
              <w:rPr>
                <w:rFonts w:eastAsia="Calibri"/>
                <w:color w:val="000000" w:themeColor="text1"/>
                <w:kern w:val="24"/>
                <w:sz w:val="20"/>
                <w:szCs w:val="20"/>
              </w:rPr>
              <w:t>Average 14.4-16.0 µm</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202141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42±2</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4C8BC2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15±1</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3E6CDD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28±2</w:t>
            </w:r>
          </w:p>
        </w:tc>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873178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7±2</w:t>
            </w:r>
          </w:p>
        </w:tc>
        <w:tc>
          <w:tcPr>
            <w:tcW w:w="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25B7EB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8±1</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B1A4F43"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42±2</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B5F8A11"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50±3</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B408803"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8±1</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5AED31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0.0034</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EE64C2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0.0057</w:t>
            </w:r>
          </w:p>
        </w:tc>
        <w:tc>
          <w:tcPr>
            <w:tcW w:w="294" w:type="pct"/>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7404C37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1.86</w:t>
            </w:r>
          </w:p>
        </w:tc>
      </w:tr>
      <w:tr w:rsidR="00FB2109" w:rsidRPr="00F87E1B" w14:paraId="5C686298" w14:textId="77777777" w:rsidTr="00D43ADD">
        <w:trPr>
          <w:trHeight w:val="356"/>
          <w:jc w:val="center"/>
        </w:trPr>
        <w:tc>
          <w:tcPr>
            <w:tcW w:w="531" w:type="pct"/>
            <w:vMerge/>
            <w:tcBorders>
              <w:top w:val="single" w:sz="6" w:space="0" w:color="000000"/>
              <w:left w:val="double" w:sz="4" w:space="0" w:color="000000"/>
              <w:bottom w:val="double" w:sz="4" w:space="0" w:color="000000"/>
              <w:right w:val="single" w:sz="6" w:space="0" w:color="000000"/>
            </w:tcBorders>
            <w:shd w:val="clear" w:color="auto" w:fill="auto"/>
            <w:tcMar>
              <w:top w:w="15" w:type="dxa"/>
              <w:left w:w="20" w:type="dxa"/>
              <w:bottom w:w="0" w:type="dxa"/>
              <w:right w:w="20" w:type="dxa"/>
            </w:tcMar>
            <w:vAlign w:val="center"/>
          </w:tcPr>
          <w:p w14:paraId="4793DB2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p>
        </w:tc>
        <w:tc>
          <w:tcPr>
            <w:tcW w:w="1139" w:type="pct"/>
            <w:tcBorders>
              <w:top w:val="single" w:sz="6" w:space="0" w:color="000000"/>
              <w:left w:val="single" w:sz="6" w:space="0" w:color="000000"/>
              <w:bottom w:val="double" w:sz="4" w:space="0" w:color="000000"/>
              <w:right w:val="single" w:sz="6" w:space="0" w:color="000000"/>
            </w:tcBorders>
            <w:shd w:val="clear" w:color="auto" w:fill="auto"/>
            <w:tcMar>
              <w:top w:w="15" w:type="dxa"/>
              <w:left w:w="20" w:type="dxa"/>
              <w:bottom w:w="0" w:type="dxa"/>
              <w:right w:w="20" w:type="dxa"/>
            </w:tcMar>
            <w:vAlign w:val="center"/>
          </w:tcPr>
          <w:p w14:paraId="0E4B4F6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Surface</w:t>
            </w:r>
          </w:p>
        </w:tc>
        <w:tc>
          <w:tcPr>
            <w:tcW w:w="286"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7A31A29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26±1</w:t>
            </w:r>
          </w:p>
        </w:tc>
        <w:tc>
          <w:tcPr>
            <w:tcW w:w="277"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5D367C7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49±2</w:t>
            </w:r>
          </w:p>
        </w:tc>
        <w:tc>
          <w:tcPr>
            <w:tcW w:w="255"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0E5137A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9±2</w:t>
            </w:r>
          </w:p>
        </w:tc>
        <w:tc>
          <w:tcPr>
            <w:tcW w:w="260"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5CD0960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10±1</w:t>
            </w:r>
          </w:p>
        </w:tc>
        <w:tc>
          <w:tcPr>
            <w:tcW w:w="256"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491933C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6±2</w:t>
            </w:r>
          </w:p>
        </w:tc>
        <w:tc>
          <w:tcPr>
            <w:tcW w:w="301"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66E46F4C"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26±1</w:t>
            </w:r>
          </w:p>
        </w:tc>
        <w:tc>
          <w:tcPr>
            <w:tcW w:w="343"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648EA92C"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68±2</w:t>
            </w:r>
          </w:p>
        </w:tc>
        <w:tc>
          <w:tcPr>
            <w:tcW w:w="371"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4FFCF2C5" w14:textId="77777777" w:rsidR="00FB2109" w:rsidRPr="00F87E1B" w:rsidRDefault="00FB2109"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b/>
                <w:bCs/>
                <w:color w:val="000000" w:themeColor="text1"/>
                <w:kern w:val="24"/>
                <w:sz w:val="20"/>
                <w:szCs w:val="20"/>
              </w:rPr>
              <w:t>6±2</w:t>
            </w:r>
          </w:p>
        </w:tc>
        <w:tc>
          <w:tcPr>
            <w:tcW w:w="340"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35FA5E1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0.0012</w:t>
            </w:r>
          </w:p>
        </w:tc>
        <w:tc>
          <w:tcPr>
            <w:tcW w:w="346" w:type="pct"/>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60F848C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0.0016</w:t>
            </w:r>
          </w:p>
        </w:tc>
        <w:tc>
          <w:tcPr>
            <w:tcW w:w="294" w:type="pct"/>
            <w:tcBorders>
              <w:top w:val="single" w:sz="6" w:space="0" w:color="000000"/>
              <w:left w:val="single" w:sz="6" w:space="0" w:color="000000"/>
              <w:bottom w:val="double" w:sz="4" w:space="0" w:color="000000"/>
              <w:right w:val="double" w:sz="4" w:space="0" w:color="000000"/>
            </w:tcBorders>
            <w:shd w:val="clear" w:color="auto" w:fill="auto"/>
            <w:tcMar>
              <w:top w:w="15" w:type="dxa"/>
              <w:left w:w="47" w:type="dxa"/>
              <w:bottom w:w="0" w:type="dxa"/>
              <w:right w:w="47" w:type="dxa"/>
            </w:tcMar>
            <w:vAlign w:val="center"/>
          </w:tcPr>
          <w:p w14:paraId="300C215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0.531</w:t>
            </w:r>
          </w:p>
        </w:tc>
      </w:tr>
      <w:tr w:rsidR="00FB2109" w:rsidRPr="00F87E1B" w14:paraId="396E8489" w14:textId="77777777" w:rsidTr="00D43ADD">
        <w:trPr>
          <w:trHeight w:val="356"/>
          <w:jc w:val="center"/>
        </w:trPr>
        <w:tc>
          <w:tcPr>
            <w:tcW w:w="531" w:type="pct"/>
            <w:vMerge w:val="restart"/>
            <w:tcBorders>
              <w:top w:val="double" w:sz="4" w:space="0" w:color="000000"/>
              <w:left w:val="doub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hideMark/>
          </w:tcPr>
          <w:p w14:paraId="2B9B4673" w14:textId="0876FD0D"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 xml:space="preserve">Area III </w:t>
            </w:r>
            <w:r w:rsidRPr="00F87E1B">
              <w:rPr>
                <w:rFonts w:ascii="Times New Roman" w:hAnsi="Times New Roman" w:cs="Times New Roman"/>
                <w:sz w:val="20"/>
                <w:szCs w:val="20"/>
              </w:rPr>
              <w:br/>
              <w:t>(Figure S</w:t>
            </w:r>
            <w:r w:rsidR="00E24803" w:rsidRPr="00F87E1B">
              <w:rPr>
                <w:rFonts w:ascii="Times New Roman" w:hAnsi="Times New Roman" w:cs="Times New Roman"/>
                <w:sz w:val="20"/>
                <w:szCs w:val="20"/>
              </w:rPr>
              <w:t>2</w:t>
            </w:r>
            <w:r w:rsidR="008179FF" w:rsidRPr="00F87E1B">
              <w:rPr>
                <w:rFonts w:ascii="Times New Roman" w:hAnsi="Times New Roman" w:cs="Times New Roman"/>
                <w:sz w:val="20"/>
                <w:szCs w:val="20"/>
              </w:rPr>
              <w:t>c</w:t>
            </w:r>
            <w:r w:rsidRPr="00F87E1B">
              <w:rPr>
                <w:rFonts w:ascii="Times New Roman" w:hAnsi="Times New Roman" w:cs="Times New Roman"/>
                <w:sz w:val="20"/>
                <w:szCs w:val="20"/>
              </w:rPr>
              <w:t>)</w:t>
            </w:r>
          </w:p>
        </w:tc>
        <w:tc>
          <w:tcPr>
            <w:tcW w:w="1139" w:type="pct"/>
            <w:tcBorders>
              <w:top w:val="doub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hideMark/>
          </w:tcPr>
          <w:p w14:paraId="7EEA6C7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Bulk yellow paint</w:t>
            </w:r>
          </w:p>
        </w:tc>
        <w:tc>
          <w:tcPr>
            <w:tcW w:w="286"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24FDE0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46±1</w:t>
            </w:r>
          </w:p>
        </w:tc>
        <w:tc>
          <w:tcPr>
            <w:tcW w:w="277"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D05B9C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13±2</w:t>
            </w:r>
          </w:p>
        </w:tc>
        <w:tc>
          <w:tcPr>
            <w:tcW w:w="255"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FB54EE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13±1</w:t>
            </w:r>
          </w:p>
        </w:tc>
        <w:tc>
          <w:tcPr>
            <w:tcW w:w="260"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9A0E09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20±2</w:t>
            </w:r>
          </w:p>
        </w:tc>
        <w:tc>
          <w:tcPr>
            <w:tcW w:w="256"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BD3DCD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301"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9CBE67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46±1</w:t>
            </w:r>
          </w:p>
        </w:tc>
        <w:tc>
          <w:tcPr>
            <w:tcW w:w="343"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E56471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46±3</w:t>
            </w:r>
          </w:p>
        </w:tc>
        <w:tc>
          <w:tcPr>
            <w:tcW w:w="371"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EF1221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8±1</w:t>
            </w:r>
          </w:p>
        </w:tc>
        <w:tc>
          <w:tcPr>
            <w:tcW w:w="340"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3B631D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0.0026</w:t>
            </w:r>
          </w:p>
        </w:tc>
        <w:tc>
          <w:tcPr>
            <w:tcW w:w="346" w:type="pct"/>
            <w:tcBorders>
              <w:top w:val="doub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FA3ACC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0.0038</w:t>
            </w:r>
          </w:p>
        </w:tc>
        <w:tc>
          <w:tcPr>
            <w:tcW w:w="294" w:type="pct"/>
            <w:tcBorders>
              <w:top w:val="doub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1527F85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1.07</w:t>
            </w:r>
          </w:p>
        </w:tc>
      </w:tr>
      <w:tr w:rsidR="00FB2109" w:rsidRPr="00F87E1B" w14:paraId="2BB35137"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5FDF4353"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326B2E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3.3-4.5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EAA030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37±1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B43562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27±2</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14DB10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C8D015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19±2</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878DEA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002F00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37±1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BBE44E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53±3</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D6568D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10±1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674F38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0.0028</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FAF44A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0.0037</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71E9A6D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1.09</w:t>
            </w:r>
          </w:p>
        </w:tc>
      </w:tr>
      <w:tr w:rsidR="00FB2109" w:rsidRPr="00F87E1B" w14:paraId="7B391CF9"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193F783C"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2F453B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4.8 µm depth</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23B622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47±1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B3041A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19±2</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552E62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8543B2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17±2</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26D86C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9±1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ED965A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47±1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51C8E5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44±3</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38D193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9±1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70E022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0.0020</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F74F5C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0.0026</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4505667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0.769</w:t>
            </w:r>
          </w:p>
        </w:tc>
      </w:tr>
      <w:tr w:rsidR="00FB2109" w:rsidRPr="00F87E1B" w14:paraId="77769B6E"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591987AC"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376BE3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5.1-10.5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D6BC03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69±1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9BA947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2±1</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5DF5F5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12±1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558937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10±1</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21D614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C295A4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69±1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97910D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24±2</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487C0A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7±1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6F78C0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0.0014</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1C2F66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0.0018</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3F749B4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0.578</w:t>
            </w:r>
          </w:p>
        </w:tc>
      </w:tr>
      <w:tr w:rsidR="00FB2109" w:rsidRPr="00F87E1B" w14:paraId="7D69CAFE"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1C35CF96"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7697473" w14:textId="22A4FB1C"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10.9-14.9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3A53A2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50±1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4B4532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26±2</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4E7552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16±2</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9BAFD1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58CCE4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5D228C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50±1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A73097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42±3</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A40379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8±1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CA239D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0.0012</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6926CC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0.0018</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6A63456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0.512</w:t>
            </w:r>
          </w:p>
        </w:tc>
      </w:tr>
      <w:tr w:rsidR="00FB2109" w:rsidRPr="00F87E1B" w14:paraId="6C96A574"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5E9D5EEB"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64F45E5" w14:textId="2E4224FC"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15.3-16.8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A394AF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63±1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2FCD6D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10±1</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8CAE76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12±1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B1C001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C3CF3B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95F4AA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63±1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7C02DA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30±2</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2A44DF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7±1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44FBE98"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0.0016</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24F9A2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0.0022</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62DA525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0.614</w:t>
            </w:r>
          </w:p>
        </w:tc>
      </w:tr>
      <w:tr w:rsidR="00FB2109" w:rsidRPr="00F87E1B" w14:paraId="4B01D6AC"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6A565404"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CE2077B" w14:textId="3A9199C9"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17.2-20.0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645ADF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70±1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A306E2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10±1</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EFE53D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DE417A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7±2</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26B6D3A"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5±1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E4A3FEF"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70±1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183830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25±2</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4D4656C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5±1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E7C8CE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0.0021</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2B35532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0.0028</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37C2E61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0.782</w:t>
            </w:r>
          </w:p>
        </w:tc>
      </w:tr>
      <w:tr w:rsidR="00FB2109" w:rsidRPr="00F87E1B" w14:paraId="595EF2E3" w14:textId="77777777" w:rsidTr="00D43ADD">
        <w:trPr>
          <w:trHeight w:val="356"/>
          <w:jc w:val="center"/>
        </w:trPr>
        <w:tc>
          <w:tcPr>
            <w:tcW w:w="531" w:type="pct"/>
            <w:vMerge/>
            <w:tcBorders>
              <w:top w:val="single" w:sz="4" w:space="0" w:color="000000"/>
              <w:left w:val="double" w:sz="4" w:space="0" w:color="000000"/>
              <w:bottom w:val="single" w:sz="4" w:space="0" w:color="000000"/>
              <w:right w:val="single" w:sz="4" w:space="0" w:color="000000"/>
            </w:tcBorders>
            <w:vAlign w:val="center"/>
            <w:hideMark/>
          </w:tcPr>
          <w:p w14:paraId="209567EB"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EC05746" w14:textId="7EC57D5F"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20.4-20.8 µm</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3E0D50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52±1</w:t>
            </w:r>
          </w:p>
        </w:tc>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35A052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16±2</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5F8564B0"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11±1</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1B74AFF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13±2</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668EA1F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8E96744"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52±1</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7D2B54F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40±3</w:t>
            </w:r>
          </w:p>
        </w:tc>
        <w:tc>
          <w:tcPr>
            <w:tcW w:w="371"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266BF6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8±1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3ACA87A6"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0.0029</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top w:w="15" w:type="dxa"/>
              <w:left w:w="47" w:type="dxa"/>
              <w:bottom w:w="0" w:type="dxa"/>
              <w:right w:w="47" w:type="dxa"/>
            </w:tcMar>
            <w:vAlign w:val="center"/>
            <w:hideMark/>
          </w:tcPr>
          <w:p w14:paraId="06C2B6FD"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0.0036</w:t>
            </w:r>
          </w:p>
        </w:tc>
        <w:tc>
          <w:tcPr>
            <w:tcW w:w="294" w:type="pct"/>
            <w:tcBorders>
              <w:top w:val="single" w:sz="4" w:space="0" w:color="000000"/>
              <w:left w:val="single" w:sz="4" w:space="0" w:color="000000"/>
              <w:bottom w:val="single" w:sz="4" w:space="0" w:color="000000"/>
              <w:right w:val="double" w:sz="4" w:space="0" w:color="000000"/>
            </w:tcBorders>
            <w:shd w:val="clear" w:color="auto" w:fill="auto"/>
            <w:tcMar>
              <w:top w:w="15" w:type="dxa"/>
              <w:left w:w="47" w:type="dxa"/>
              <w:bottom w:w="0" w:type="dxa"/>
              <w:right w:w="47" w:type="dxa"/>
            </w:tcMar>
            <w:vAlign w:val="center"/>
            <w:hideMark/>
          </w:tcPr>
          <w:p w14:paraId="76F2BD8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1.21</w:t>
            </w:r>
          </w:p>
        </w:tc>
      </w:tr>
      <w:tr w:rsidR="00FB2109" w:rsidRPr="00F87E1B" w14:paraId="6E73EEE7" w14:textId="77777777" w:rsidTr="00D43ADD">
        <w:trPr>
          <w:trHeight w:val="356"/>
          <w:jc w:val="center"/>
        </w:trPr>
        <w:tc>
          <w:tcPr>
            <w:tcW w:w="531" w:type="pct"/>
            <w:vMerge/>
            <w:tcBorders>
              <w:top w:val="single" w:sz="4" w:space="0" w:color="000000"/>
              <w:left w:val="double" w:sz="4" w:space="0" w:color="000000"/>
              <w:bottom w:val="double" w:sz="4" w:space="0" w:color="000000"/>
              <w:right w:val="single" w:sz="4" w:space="0" w:color="000000"/>
            </w:tcBorders>
            <w:vAlign w:val="center"/>
            <w:hideMark/>
          </w:tcPr>
          <w:p w14:paraId="2A98C383" w14:textId="77777777" w:rsidR="00FB2109" w:rsidRPr="00F87E1B" w:rsidRDefault="00FB2109" w:rsidP="00B07350">
            <w:pPr>
              <w:spacing w:after="0" w:line="240" w:lineRule="auto"/>
              <w:ind w:left="-28" w:right="-28"/>
              <w:jc w:val="both"/>
              <w:rPr>
                <w:rFonts w:ascii="Times New Roman" w:hAnsi="Times New Roman" w:cs="Times New Roman"/>
                <w:sz w:val="20"/>
                <w:szCs w:val="20"/>
              </w:rPr>
            </w:pPr>
          </w:p>
        </w:tc>
        <w:tc>
          <w:tcPr>
            <w:tcW w:w="1139"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4191324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Surface</w:t>
            </w:r>
          </w:p>
        </w:tc>
        <w:tc>
          <w:tcPr>
            <w:tcW w:w="286"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7A42EF1C"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43±1</w:t>
            </w:r>
          </w:p>
        </w:tc>
        <w:tc>
          <w:tcPr>
            <w:tcW w:w="277"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74DC0825"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28±2</w:t>
            </w:r>
          </w:p>
        </w:tc>
        <w:tc>
          <w:tcPr>
            <w:tcW w:w="255"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383160C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12±1</w:t>
            </w:r>
          </w:p>
        </w:tc>
        <w:tc>
          <w:tcPr>
            <w:tcW w:w="260"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5959F347"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8±2</w:t>
            </w:r>
          </w:p>
        </w:tc>
        <w:tc>
          <w:tcPr>
            <w:tcW w:w="256"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6AD6CDD9"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9±1</w:t>
            </w:r>
          </w:p>
        </w:tc>
        <w:tc>
          <w:tcPr>
            <w:tcW w:w="301"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4DA3DC9E"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43±1</w:t>
            </w:r>
          </w:p>
        </w:tc>
        <w:tc>
          <w:tcPr>
            <w:tcW w:w="343"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22536AB3"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49±3</w:t>
            </w:r>
          </w:p>
        </w:tc>
        <w:tc>
          <w:tcPr>
            <w:tcW w:w="371"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75310B9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9±1</w:t>
            </w:r>
          </w:p>
        </w:tc>
        <w:tc>
          <w:tcPr>
            <w:tcW w:w="340"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7595E93B"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0.0028</w:t>
            </w:r>
          </w:p>
        </w:tc>
        <w:tc>
          <w:tcPr>
            <w:tcW w:w="346" w:type="pct"/>
            <w:tcBorders>
              <w:top w:val="single" w:sz="4" w:space="0" w:color="000000"/>
              <w:left w:val="single" w:sz="4" w:space="0" w:color="000000"/>
              <w:bottom w:val="double" w:sz="4" w:space="0" w:color="000000"/>
              <w:right w:val="single" w:sz="4" w:space="0" w:color="000000"/>
            </w:tcBorders>
            <w:shd w:val="clear" w:color="auto" w:fill="auto"/>
            <w:tcMar>
              <w:top w:w="15" w:type="dxa"/>
              <w:left w:w="47" w:type="dxa"/>
              <w:bottom w:w="0" w:type="dxa"/>
              <w:right w:w="47" w:type="dxa"/>
            </w:tcMar>
            <w:vAlign w:val="center"/>
            <w:hideMark/>
          </w:tcPr>
          <w:p w14:paraId="13216CC1"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0.0040</w:t>
            </w:r>
          </w:p>
        </w:tc>
        <w:tc>
          <w:tcPr>
            <w:tcW w:w="294" w:type="pct"/>
            <w:tcBorders>
              <w:top w:val="single" w:sz="4" w:space="0" w:color="000000"/>
              <w:left w:val="single" w:sz="4" w:space="0" w:color="000000"/>
              <w:bottom w:val="double" w:sz="4" w:space="0" w:color="000000"/>
              <w:right w:val="double" w:sz="4" w:space="0" w:color="000000"/>
            </w:tcBorders>
            <w:shd w:val="clear" w:color="auto" w:fill="auto"/>
            <w:tcMar>
              <w:top w:w="15" w:type="dxa"/>
              <w:left w:w="47" w:type="dxa"/>
              <w:bottom w:w="0" w:type="dxa"/>
              <w:right w:w="47" w:type="dxa"/>
            </w:tcMar>
            <w:vAlign w:val="center"/>
            <w:hideMark/>
          </w:tcPr>
          <w:p w14:paraId="0455E662" w14:textId="77777777" w:rsidR="00FB2109" w:rsidRPr="00F87E1B" w:rsidRDefault="00FB210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1.12</w:t>
            </w:r>
          </w:p>
        </w:tc>
      </w:tr>
    </w:tbl>
    <w:p w14:paraId="4E205FCA" w14:textId="77777777" w:rsidR="00B954A3" w:rsidRPr="00F87E1B" w:rsidRDefault="00B954A3" w:rsidP="00B07350">
      <w:pPr>
        <w:spacing w:line="480" w:lineRule="auto"/>
        <w:jc w:val="both"/>
        <w:rPr>
          <w:rFonts w:ascii="Times New Roman" w:hAnsi="Times New Roman" w:cs="Times New Roman"/>
          <w:sz w:val="24"/>
          <w:szCs w:val="24"/>
        </w:rPr>
      </w:pPr>
    </w:p>
    <w:p w14:paraId="65052509" w14:textId="77777777" w:rsidR="00B954A3" w:rsidRPr="00F87E1B" w:rsidRDefault="00B954A3"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br w:type="page"/>
      </w:r>
    </w:p>
    <w:tbl>
      <w:tblPr>
        <w:tblW w:w="7753" w:type="dxa"/>
        <w:jc w:val="center"/>
        <w:tblLayout w:type="fixed"/>
        <w:tblCellMar>
          <w:left w:w="0" w:type="dxa"/>
          <w:right w:w="0" w:type="dxa"/>
        </w:tblCellMar>
        <w:tblLook w:val="0600" w:firstRow="0" w:lastRow="0" w:firstColumn="0" w:lastColumn="0" w:noHBand="1" w:noVBand="1"/>
      </w:tblPr>
      <w:tblGrid>
        <w:gridCol w:w="975"/>
        <w:gridCol w:w="2084"/>
        <w:gridCol w:w="486"/>
        <w:gridCol w:w="486"/>
        <w:gridCol w:w="524"/>
        <w:gridCol w:w="486"/>
        <w:gridCol w:w="472"/>
        <w:gridCol w:w="750"/>
        <w:gridCol w:w="750"/>
        <w:gridCol w:w="734"/>
        <w:gridCol w:w="6"/>
      </w:tblGrid>
      <w:tr w:rsidR="00400CE5" w:rsidRPr="00F87E1B" w14:paraId="5462065E" w14:textId="77777777" w:rsidTr="00A227F9">
        <w:trPr>
          <w:trHeight w:val="543"/>
          <w:jc w:val="center"/>
        </w:trPr>
        <w:tc>
          <w:tcPr>
            <w:tcW w:w="7753" w:type="dxa"/>
            <w:gridSpan w:val="11"/>
            <w:tcBorders>
              <w:bottom w:val="single" w:sz="8" w:space="0" w:color="000000"/>
            </w:tcBorders>
            <w:shd w:val="clear" w:color="auto" w:fill="auto"/>
            <w:tcMar>
              <w:top w:w="15" w:type="dxa"/>
              <w:left w:w="20" w:type="dxa"/>
              <w:bottom w:w="0" w:type="dxa"/>
              <w:right w:w="20" w:type="dxa"/>
            </w:tcMar>
            <w:vAlign w:val="center"/>
          </w:tcPr>
          <w:p w14:paraId="10CD4FD2" w14:textId="4DC1CC03" w:rsidR="00400CE5" w:rsidRPr="00F87E1B" w:rsidRDefault="00400CE5" w:rsidP="00B07350">
            <w:pPr>
              <w:spacing w:after="0" w:line="480" w:lineRule="auto"/>
              <w:ind w:left="-28" w:right="-28"/>
              <w:jc w:val="both"/>
              <w:rPr>
                <w:rFonts w:ascii="Times New Roman" w:hAnsi="Times New Roman" w:cs="Times New Roman"/>
                <w:sz w:val="24"/>
                <w:szCs w:val="24"/>
              </w:rPr>
            </w:pPr>
            <w:r w:rsidRPr="00F87E1B">
              <w:rPr>
                <w:rFonts w:ascii="Times New Roman" w:hAnsi="Times New Roman" w:cs="Times New Roman"/>
                <w:b/>
                <w:bCs/>
                <w:sz w:val="24"/>
                <w:szCs w:val="24"/>
              </w:rPr>
              <w:lastRenderedPageBreak/>
              <w:t>Table S</w:t>
            </w:r>
            <w:r w:rsidR="00E540C8" w:rsidRPr="00F87E1B">
              <w:rPr>
                <w:rFonts w:ascii="Times New Roman" w:hAnsi="Times New Roman" w:cs="Times New Roman"/>
                <w:b/>
                <w:bCs/>
                <w:sz w:val="24"/>
                <w:szCs w:val="24"/>
              </w:rPr>
              <w:t>3</w:t>
            </w:r>
            <w:r w:rsidRPr="00F87E1B">
              <w:rPr>
                <w:rFonts w:ascii="Times New Roman" w:hAnsi="Times New Roman" w:cs="Times New Roman"/>
                <w:b/>
                <w:bCs/>
                <w:sz w:val="24"/>
                <w:szCs w:val="24"/>
              </w:rPr>
              <w:t>.</w:t>
            </w:r>
            <w:r w:rsidR="00B0106C" w:rsidRPr="00F87E1B">
              <w:rPr>
                <w:rFonts w:ascii="Times New Roman" w:hAnsi="Times New Roman" w:cs="Times New Roman"/>
                <w:sz w:val="24"/>
                <w:szCs w:val="24"/>
              </w:rPr>
              <w:t xml:space="preserve"> Quantitative estimation percentage of Cd species obtained by linear combination fitting of Cd L</w:t>
            </w:r>
            <w:r w:rsidR="00B0106C" w:rsidRPr="00F87E1B">
              <w:rPr>
                <w:rFonts w:ascii="Times New Roman" w:hAnsi="Times New Roman" w:cs="Times New Roman"/>
                <w:sz w:val="24"/>
                <w:szCs w:val="24"/>
                <w:vertAlign w:val="subscript"/>
              </w:rPr>
              <w:t>3</w:t>
            </w:r>
            <w:r w:rsidR="00B0106C" w:rsidRPr="00F87E1B">
              <w:rPr>
                <w:rFonts w:ascii="Times New Roman" w:hAnsi="Times New Roman" w:cs="Times New Roman"/>
                <w:sz w:val="24"/>
                <w:szCs w:val="24"/>
              </w:rPr>
              <w:t>-edge XANES spectra collected from now-brownish yellow sample. Fit errors are also shown.</w:t>
            </w:r>
          </w:p>
          <w:p w14:paraId="7FDCCAEE" w14:textId="31E09BFF" w:rsidR="008179FF" w:rsidRPr="00F87E1B" w:rsidRDefault="008179FF" w:rsidP="00B07350">
            <w:pPr>
              <w:spacing w:after="0" w:line="480" w:lineRule="auto"/>
              <w:ind w:left="-28" w:right="-28"/>
              <w:jc w:val="both"/>
              <w:rPr>
                <w:rFonts w:ascii="Times New Roman" w:hAnsi="Times New Roman" w:cs="Times New Roman"/>
                <w:sz w:val="24"/>
                <w:szCs w:val="24"/>
              </w:rPr>
            </w:pPr>
          </w:p>
        </w:tc>
      </w:tr>
      <w:tr w:rsidR="00E52739" w:rsidRPr="00F87E1B" w14:paraId="6E89F640" w14:textId="77777777" w:rsidTr="00A227F9">
        <w:trPr>
          <w:trHeight w:val="543"/>
          <w:jc w:val="center"/>
        </w:trPr>
        <w:tc>
          <w:tcPr>
            <w:tcW w:w="30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14:paraId="443BCB65" w14:textId="5BE258E1" w:rsidR="00E52739" w:rsidRPr="00F87E1B" w:rsidRDefault="00E5273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Now-brownish yellow sample</w:t>
            </w:r>
          </w:p>
        </w:tc>
        <w:tc>
          <w:tcPr>
            <w:tcW w:w="245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14:paraId="44F6B5FC" w14:textId="77777777" w:rsidR="00E52739" w:rsidRPr="00F87E1B" w:rsidRDefault="00E5273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Component weight (%)</w:t>
            </w:r>
          </w:p>
        </w:tc>
        <w:tc>
          <w:tcPr>
            <w:tcW w:w="223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14:paraId="561E96BF" w14:textId="77777777" w:rsidR="00E52739" w:rsidRPr="00F87E1B" w:rsidRDefault="00E52739"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b/>
                <w:bCs/>
                <w:sz w:val="20"/>
                <w:szCs w:val="20"/>
              </w:rPr>
              <w:t>Fit error</w:t>
            </w:r>
          </w:p>
        </w:tc>
      </w:tr>
      <w:tr w:rsidR="00E52739" w:rsidRPr="00F87E1B" w14:paraId="688DDE67" w14:textId="77777777" w:rsidTr="00A227F9">
        <w:trPr>
          <w:gridAfter w:val="1"/>
          <w:wAfter w:w="6" w:type="dxa"/>
          <w:trHeight w:val="2001"/>
          <w:jc w:val="center"/>
        </w:trPr>
        <w:tc>
          <w:tcPr>
            <w:tcW w:w="976" w:type="dxa"/>
            <w:tcBorders>
              <w:top w:val="single" w:sz="8" w:space="0" w:color="000000"/>
              <w:left w:val="single" w:sz="8" w:space="0" w:color="000000"/>
              <w:bottom w:val="double" w:sz="4" w:space="0" w:color="000000"/>
              <w:right w:val="single" w:sz="8" w:space="0" w:color="000000"/>
            </w:tcBorders>
            <w:shd w:val="clear" w:color="auto" w:fill="auto"/>
            <w:tcMar>
              <w:top w:w="15" w:type="dxa"/>
              <w:left w:w="20" w:type="dxa"/>
              <w:bottom w:w="0" w:type="dxa"/>
              <w:right w:w="20" w:type="dxa"/>
            </w:tcMar>
            <w:textDirection w:val="btLr"/>
            <w:vAlign w:val="center"/>
            <w:hideMark/>
          </w:tcPr>
          <w:p w14:paraId="3DB8DF6D" w14:textId="26FB2D31" w:rsidR="00E52739" w:rsidRPr="00F87E1B" w:rsidRDefault="00E30FB0"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Analysed</w:t>
            </w:r>
            <w:r w:rsidR="00E52739" w:rsidRPr="00F87E1B">
              <w:rPr>
                <w:rFonts w:ascii="Times New Roman" w:hAnsi="Times New Roman" w:cs="Times New Roman"/>
                <w:b/>
                <w:bCs/>
                <w:sz w:val="20"/>
                <w:szCs w:val="20"/>
              </w:rPr>
              <w:t xml:space="preserve"> area</w:t>
            </w:r>
          </w:p>
        </w:tc>
        <w:tc>
          <w:tcPr>
            <w:tcW w:w="2086" w:type="dxa"/>
            <w:tcBorders>
              <w:top w:val="single" w:sz="8" w:space="0" w:color="000000"/>
              <w:left w:val="single" w:sz="8" w:space="0" w:color="000000"/>
              <w:bottom w:val="double" w:sz="4" w:space="0" w:color="000000"/>
              <w:right w:val="single" w:sz="8" w:space="0" w:color="000000"/>
            </w:tcBorders>
            <w:shd w:val="clear" w:color="auto" w:fill="auto"/>
            <w:tcMar>
              <w:top w:w="15" w:type="dxa"/>
              <w:left w:w="20" w:type="dxa"/>
              <w:bottom w:w="0" w:type="dxa"/>
              <w:right w:w="20" w:type="dxa"/>
            </w:tcMar>
            <w:textDirection w:val="btLr"/>
            <w:vAlign w:val="center"/>
            <w:hideMark/>
          </w:tcPr>
          <w:p w14:paraId="78601AE8" w14:textId="12A36DED"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 L</w:t>
            </w:r>
            <w:r w:rsidRPr="00F87E1B">
              <w:rPr>
                <w:rFonts w:ascii="Times New Roman" w:hAnsi="Times New Roman" w:cs="Times New Roman"/>
                <w:b/>
                <w:bCs/>
                <w:sz w:val="20"/>
                <w:szCs w:val="20"/>
                <w:vertAlign w:val="subscript"/>
              </w:rPr>
              <w:t>3</w:t>
            </w:r>
            <w:r w:rsidRPr="00F87E1B">
              <w:rPr>
                <w:rFonts w:ascii="Times New Roman" w:hAnsi="Times New Roman" w:cs="Times New Roman"/>
                <w:b/>
                <w:bCs/>
                <w:sz w:val="20"/>
                <w:szCs w:val="20"/>
              </w:rPr>
              <w:t>-edge XANES spectrum</w:t>
            </w:r>
          </w:p>
        </w:tc>
        <w:tc>
          <w:tcPr>
            <w:tcW w:w="486"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tcPr>
          <w:p w14:paraId="19F52CF8" w14:textId="386D777D"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CdS</w:t>
            </w:r>
          </w:p>
        </w:tc>
        <w:tc>
          <w:tcPr>
            <w:tcW w:w="486"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tcPr>
          <w:p w14:paraId="6DCAF524" w14:textId="5A8DBE91"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CdCO</w:t>
            </w:r>
            <w:r w:rsidRPr="00F87E1B">
              <w:rPr>
                <w:rFonts w:ascii="Times New Roman" w:hAnsi="Times New Roman" w:cs="Times New Roman"/>
                <w:b/>
                <w:bCs/>
                <w:sz w:val="20"/>
                <w:szCs w:val="20"/>
                <w:vertAlign w:val="subscript"/>
              </w:rPr>
              <w:t>3</w:t>
            </w:r>
          </w:p>
        </w:tc>
        <w:tc>
          <w:tcPr>
            <w:tcW w:w="524"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tcPr>
          <w:p w14:paraId="1E2B581F" w14:textId="5A693DE2"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CdCl</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/CdCl</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·nH</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O/</w:t>
            </w:r>
            <w:r w:rsidRPr="00F87E1B">
              <w:rPr>
                <w:rFonts w:ascii="Times New Roman" w:hAnsi="Times New Roman" w:cs="Times New Roman"/>
                <w:b/>
                <w:bCs/>
                <w:sz w:val="20"/>
                <w:szCs w:val="20"/>
              </w:rPr>
              <w:br/>
              <w:t>Cd(OH)Cl</w:t>
            </w:r>
          </w:p>
        </w:tc>
        <w:tc>
          <w:tcPr>
            <w:tcW w:w="486"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tcPr>
          <w:p w14:paraId="7FE0626B" w14:textId="18C2B0EE"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CdC</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O</w:t>
            </w:r>
            <w:r w:rsidRPr="00F87E1B">
              <w:rPr>
                <w:rFonts w:ascii="Times New Roman" w:hAnsi="Times New Roman" w:cs="Times New Roman"/>
                <w:b/>
                <w:bCs/>
                <w:sz w:val="20"/>
                <w:szCs w:val="20"/>
                <w:vertAlign w:val="subscript"/>
              </w:rPr>
              <w:t>4</w:t>
            </w:r>
          </w:p>
        </w:tc>
        <w:tc>
          <w:tcPr>
            <w:tcW w:w="469"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tcPr>
          <w:p w14:paraId="6F7C189D" w14:textId="2B5E56D1"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CdSO</w:t>
            </w:r>
            <w:r w:rsidRPr="00F87E1B">
              <w:rPr>
                <w:rFonts w:ascii="Times New Roman" w:hAnsi="Times New Roman" w:cs="Times New Roman"/>
                <w:b/>
                <w:bCs/>
                <w:sz w:val="20"/>
                <w:szCs w:val="20"/>
                <w:vertAlign w:val="subscript"/>
              </w:rPr>
              <w:t>4</w:t>
            </w:r>
            <w:r w:rsidRPr="00F87E1B">
              <w:rPr>
                <w:rFonts w:ascii="Times New Roman" w:hAnsi="Times New Roman" w:cs="Times New Roman"/>
                <w:b/>
                <w:bCs/>
                <w:sz w:val="20"/>
                <w:szCs w:val="20"/>
              </w:rPr>
              <w:t>/CdSO</w:t>
            </w:r>
            <w:r w:rsidRPr="00F87E1B">
              <w:rPr>
                <w:rFonts w:ascii="Times New Roman" w:hAnsi="Times New Roman" w:cs="Times New Roman"/>
                <w:b/>
                <w:bCs/>
                <w:sz w:val="20"/>
                <w:szCs w:val="20"/>
                <w:vertAlign w:val="subscript"/>
              </w:rPr>
              <w:t>4</w:t>
            </w:r>
            <w:r w:rsidRPr="00F87E1B">
              <w:rPr>
                <w:rFonts w:ascii="Times New Roman" w:hAnsi="Times New Roman" w:cs="Times New Roman"/>
                <w:b/>
                <w:bCs/>
                <w:sz w:val="20"/>
                <w:szCs w:val="20"/>
              </w:rPr>
              <w:t>·nH</w:t>
            </w:r>
            <w:r w:rsidRPr="00F87E1B">
              <w:rPr>
                <w:rFonts w:ascii="Times New Roman" w:hAnsi="Times New Roman" w:cs="Times New Roman"/>
                <w:b/>
                <w:bCs/>
                <w:sz w:val="20"/>
                <w:szCs w:val="20"/>
                <w:vertAlign w:val="subscript"/>
              </w:rPr>
              <w:t>2</w:t>
            </w:r>
            <w:r w:rsidRPr="00F87E1B">
              <w:rPr>
                <w:rFonts w:ascii="Times New Roman" w:hAnsi="Times New Roman" w:cs="Times New Roman"/>
                <w:b/>
                <w:bCs/>
                <w:sz w:val="20"/>
                <w:szCs w:val="20"/>
              </w:rPr>
              <w:t>O</w:t>
            </w:r>
          </w:p>
        </w:tc>
        <w:tc>
          <w:tcPr>
            <w:tcW w:w="750"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1DAB8E0C" w14:textId="77777777"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R-factor</w:t>
            </w:r>
          </w:p>
        </w:tc>
        <w:tc>
          <w:tcPr>
            <w:tcW w:w="750"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597521D3" w14:textId="77777777"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Reduced chi-square</w:t>
            </w:r>
          </w:p>
        </w:tc>
        <w:tc>
          <w:tcPr>
            <w:tcW w:w="734" w:type="dxa"/>
            <w:tcBorders>
              <w:top w:val="single" w:sz="8" w:space="0" w:color="000000"/>
              <w:left w:val="single" w:sz="8" w:space="0" w:color="000000"/>
              <w:bottom w:val="double" w:sz="4" w:space="0" w:color="000000"/>
              <w:right w:val="single" w:sz="8" w:space="0" w:color="000000"/>
            </w:tcBorders>
            <w:shd w:val="clear" w:color="auto" w:fill="auto"/>
            <w:tcMar>
              <w:top w:w="15" w:type="dxa"/>
              <w:left w:w="47" w:type="dxa"/>
              <w:bottom w:w="0" w:type="dxa"/>
              <w:right w:w="47" w:type="dxa"/>
            </w:tcMar>
            <w:textDirection w:val="btLr"/>
            <w:vAlign w:val="center"/>
            <w:hideMark/>
          </w:tcPr>
          <w:p w14:paraId="7D9F6FB8" w14:textId="77777777" w:rsidR="00E52739" w:rsidRPr="00F87E1B" w:rsidRDefault="00E52739" w:rsidP="00B07350">
            <w:pPr>
              <w:spacing w:after="0" w:line="240" w:lineRule="auto"/>
              <w:ind w:left="-28" w:right="-28"/>
              <w:jc w:val="center"/>
              <w:rPr>
                <w:rFonts w:ascii="Times New Roman" w:hAnsi="Times New Roman" w:cs="Times New Roman"/>
                <w:b/>
                <w:bCs/>
                <w:sz w:val="20"/>
                <w:szCs w:val="20"/>
              </w:rPr>
            </w:pPr>
            <w:r w:rsidRPr="00F87E1B">
              <w:rPr>
                <w:rFonts w:ascii="Times New Roman" w:hAnsi="Times New Roman" w:cs="Times New Roman"/>
                <w:b/>
                <w:bCs/>
                <w:sz w:val="20"/>
                <w:szCs w:val="20"/>
              </w:rPr>
              <w:t>chi-square</w:t>
            </w:r>
          </w:p>
        </w:tc>
      </w:tr>
      <w:tr w:rsidR="00400CE5" w:rsidRPr="00F87E1B" w14:paraId="789ED4F7" w14:textId="77777777" w:rsidTr="00A227F9">
        <w:trPr>
          <w:gridAfter w:val="1"/>
          <w:wAfter w:w="6" w:type="dxa"/>
          <w:trHeight w:val="365"/>
          <w:jc w:val="center"/>
        </w:trPr>
        <w:tc>
          <w:tcPr>
            <w:tcW w:w="976" w:type="dxa"/>
            <w:vMerge w:val="restart"/>
            <w:tcBorders>
              <w:top w:val="double" w:sz="4"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742C4976" w14:textId="15788576"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Area II</w:t>
            </w:r>
          </w:p>
          <w:p w14:paraId="1EFDB752" w14:textId="73319028"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(Figure 1</w:t>
            </w:r>
            <w:r w:rsidR="008179FF" w:rsidRPr="00F87E1B">
              <w:rPr>
                <w:rFonts w:ascii="Times New Roman" w:hAnsi="Times New Roman" w:cs="Times New Roman"/>
                <w:sz w:val="20"/>
                <w:szCs w:val="20"/>
              </w:rPr>
              <w:t>c</w:t>
            </w:r>
            <w:r w:rsidRPr="00F87E1B">
              <w:rPr>
                <w:rFonts w:ascii="Times New Roman" w:hAnsi="Times New Roman" w:cs="Times New Roman"/>
                <w:sz w:val="20"/>
                <w:szCs w:val="20"/>
              </w:rPr>
              <w:t>)</w:t>
            </w:r>
          </w:p>
        </w:tc>
        <w:tc>
          <w:tcPr>
            <w:tcW w:w="2086" w:type="dxa"/>
            <w:tcBorders>
              <w:top w:val="double" w:sz="4"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066E8F0C" w14:textId="16519A4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Bulk yellow paint</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A72730F" w14:textId="53977838"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60±6</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3B4ED06" w14:textId="74EBD68E"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w:t>
            </w:r>
          </w:p>
        </w:tc>
        <w:tc>
          <w:tcPr>
            <w:tcW w:w="524"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EF5F291" w14:textId="1692FA1A"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24±3</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C679A64" w14:textId="1F917C4F"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4±2</w:t>
            </w:r>
          </w:p>
        </w:tc>
        <w:tc>
          <w:tcPr>
            <w:tcW w:w="469"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24F15B6" w14:textId="2B5A9367" w:rsidR="00400CE5" w:rsidRPr="00F87E1B" w:rsidRDefault="00400CE5"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color w:val="000000" w:themeColor="text1"/>
                <w:kern w:val="24"/>
                <w:sz w:val="20"/>
                <w:szCs w:val="20"/>
              </w:rPr>
              <w:t>12±4</w:t>
            </w:r>
          </w:p>
        </w:tc>
        <w:tc>
          <w:tcPr>
            <w:tcW w:w="750"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393E98D" w14:textId="4CD5B2CE"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0.00045</w:t>
            </w:r>
          </w:p>
        </w:tc>
        <w:tc>
          <w:tcPr>
            <w:tcW w:w="750"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C73BFE8" w14:textId="3D396140"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0.00031</w:t>
            </w:r>
          </w:p>
        </w:tc>
        <w:tc>
          <w:tcPr>
            <w:tcW w:w="734" w:type="dxa"/>
            <w:tcBorders>
              <w:top w:val="double" w:sz="4"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3F960085" w14:textId="5D54BAFA"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0.0780</w:t>
            </w:r>
          </w:p>
        </w:tc>
      </w:tr>
      <w:tr w:rsidR="00400CE5" w:rsidRPr="00F87E1B" w14:paraId="128DC10F" w14:textId="77777777" w:rsidTr="00A227F9">
        <w:trPr>
          <w:gridAfter w:val="1"/>
          <w:wAfter w:w="6" w:type="dxa"/>
          <w:trHeight w:val="365"/>
          <w:jc w:val="center"/>
        </w:trPr>
        <w:tc>
          <w:tcPr>
            <w:tcW w:w="976" w:type="dxa"/>
            <w:vMerge/>
            <w:tcBorders>
              <w:top w:val="single" w:sz="6"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005D0218" w14:textId="77777777" w:rsidR="00400CE5" w:rsidRPr="00F87E1B" w:rsidRDefault="00400CE5" w:rsidP="00B07350">
            <w:pPr>
              <w:spacing w:after="0" w:line="240" w:lineRule="auto"/>
              <w:ind w:left="-28" w:right="-28"/>
              <w:jc w:val="center"/>
              <w:rPr>
                <w:rFonts w:ascii="Times New Roman" w:hAnsi="Times New Roman" w:cs="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0B25F7A9" w14:textId="4BA4AB8D" w:rsidR="00400CE5" w:rsidRPr="00F87E1B" w:rsidRDefault="00400CE5" w:rsidP="00B07350">
            <w:pPr>
              <w:pStyle w:val="NormalWeb"/>
              <w:spacing w:before="0" w:beforeAutospacing="0" w:after="0" w:afterAutospacing="0"/>
              <w:jc w:val="center"/>
              <w:rPr>
                <w:sz w:val="20"/>
                <w:szCs w:val="20"/>
              </w:rPr>
            </w:pPr>
            <w:r w:rsidRPr="00F87E1B">
              <w:rPr>
                <w:rFonts w:eastAsia="Calibri"/>
                <w:color w:val="000000" w:themeColor="text1"/>
                <w:kern w:val="24"/>
                <w:sz w:val="20"/>
                <w:szCs w:val="20"/>
              </w:rPr>
              <w:t>Average 2.5-9.50 µm</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A9AD6ED" w14:textId="19117CEE"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43±4</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13423B9" w14:textId="4EF263F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11±2</w:t>
            </w:r>
          </w:p>
        </w:tc>
        <w:tc>
          <w:tcPr>
            <w:tcW w:w="524"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84B2E66" w14:textId="43F0F835"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18±2</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73FCFC1" w14:textId="0E6ED310"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13±1</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18637304" w14:textId="4CA3BD11" w:rsidR="00400CE5" w:rsidRPr="00F87E1B" w:rsidRDefault="00400CE5"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color w:val="000000" w:themeColor="text1"/>
                <w:kern w:val="24"/>
                <w:sz w:val="20"/>
                <w:szCs w:val="20"/>
              </w:rPr>
              <w:t>6±3</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6AA0A6B" w14:textId="40990E1E"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0.00024</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45EB3C3" w14:textId="4ABF5FAD"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0.00017</w:t>
            </w:r>
          </w:p>
        </w:tc>
        <w:tc>
          <w:tcPr>
            <w:tcW w:w="734" w:type="dxa"/>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70233AA5" w14:textId="2AC65454"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0.0407</w:t>
            </w:r>
          </w:p>
        </w:tc>
      </w:tr>
      <w:tr w:rsidR="00400CE5" w:rsidRPr="00F87E1B" w14:paraId="45CFC01A" w14:textId="77777777" w:rsidTr="00A227F9">
        <w:trPr>
          <w:gridAfter w:val="1"/>
          <w:wAfter w:w="6" w:type="dxa"/>
          <w:trHeight w:val="365"/>
          <w:jc w:val="center"/>
        </w:trPr>
        <w:tc>
          <w:tcPr>
            <w:tcW w:w="976" w:type="dxa"/>
            <w:vMerge/>
            <w:tcBorders>
              <w:top w:val="single" w:sz="6" w:space="0" w:color="000000"/>
              <w:left w:val="double" w:sz="4" w:space="0" w:color="000000"/>
              <w:bottom w:val="double" w:sz="4" w:space="0" w:color="000000"/>
              <w:right w:val="single" w:sz="6" w:space="0" w:color="000000"/>
            </w:tcBorders>
            <w:shd w:val="clear" w:color="auto" w:fill="auto"/>
            <w:tcMar>
              <w:top w:w="15" w:type="dxa"/>
              <w:left w:w="20" w:type="dxa"/>
              <w:bottom w:w="0" w:type="dxa"/>
              <w:right w:w="20" w:type="dxa"/>
            </w:tcMar>
            <w:vAlign w:val="center"/>
          </w:tcPr>
          <w:p w14:paraId="63340C54" w14:textId="77777777" w:rsidR="00400CE5" w:rsidRPr="00F87E1B" w:rsidRDefault="00400CE5" w:rsidP="00B07350">
            <w:pPr>
              <w:spacing w:after="0" w:line="240" w:lineRule="auto"/>
              <w:ind w:left="-28" w:right="-28"/>
              <w:jc w:val="center"/>
              <w:rPr>
                <w:rFonts w:ascii="Times New Roman" w:hAnsi="Times New Roman" w:cs="Times New Roman"/>
                <w:sz w:val="20"/>
                <w:szCs w:val="20"/>
              </w:rPr>
            </w:pPr>
          </w:p>
        </w:tc>
        <w:tc>
          <w:tcPr>
            <w:tcW w:w="2086" w:type="dxa"/>
            <w:tcBorders>
              <w:top w:val="single" w:sz="6" w:space="0" w:color="000000"/>
              <w:left w:val="single" w:sz="6" w:space="0" w:color="000000"/>
              <w:bottom w:val="double" w:sz="4" w:space="0" w:color="000000"/>
              <w:right w:val="single" w:sz="6" w:space="0" w:color="000000"/>
            </w:tcBorders>
            <w:shd w:val="clear" w:color="auto" w:fill="auto"/>
            <w:tcMar>
              <w:top w:w="15" w:type="dxa"/>
              <w:left w:w="20" w:type="dxa"/>
              <w:bottom w:w="0" w:type="dxa"/>
              <w:right w:w="20" w:type="dxa"/>
            </w:tcMar>
            <w:vAlign w:val="center"/>
          </w:tcPr>
          <w:p w14:paraId="5EC9CEFA" w14:textId="159DE43F" w:rsidR="00400CE5" w:rsidRPr="00F87E1B" w:rsidRDefault="00400CE5" w:rsidP="00B07350">
            <w:pPr>
              <w:pStyle w:val="NormalWeb"/>
              <w:spacing w:before="0" w:beforeAutospacing="0" w:after="0" w:afterAutospacing="0"/>
              <w:ind w:left="-28" w:right="-28"/>
              <w:jc w:val="center"/>
              <w:rPr>
                <w:sz w:val="20"/>
                <w:szCs w:val="20"/>
              </w:rPr>
            </w:pPr>
            <w:r w:rsidRPr="00F87E1B">
              <w:rPr>
                <w:rFonts w:eastAsia="Calibri"/>
                <w:color w:val="000000" w:themeColor="text1"/>
                <w:kern w:val="24"/>
                <w:sz w:val="20"/>
                <w:szCs w:val="20"/>
              </w:rPr>
              <w:t>Surface</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7F162C33" w14:textId="654A148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51±5</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10AAA980" w14:textId="6602A8D4"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w:t>
            </w:r>
          </w:p>
        </w:tc>
        <w:tc>
          <w:tcPr>
            <w:tcW w:w="524"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7E354879" w14:textId="0F13BDC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17±2</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5D2A33E7" w14:textId="036489A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eastAsia="Calibri" w:hAnsi="Times New Roman" w:cs="Times New Roman"/>
                <w:color w:val="000000" w:themeColor="text1"/>
                <w:kern w:val="24"/>
                <w:sz w:val="20"/>
                <w:szCs w:val="20"/>
              </w:rPr>
              <w:t>32±2</w:t>
            </w:r>
          </w:p>
        </w:tc>
        <w:tc>
          <w:tcPr>
            <w:tcW w:w="469"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66B4F247" w14:textId="4301D05E" w:rsidR="00400CE5" w:rsidRPr="00F87E1B" w:rsidRDefault="00400CE5" w:rsidP="00B07350">
            <w:pPr>
              <w:spacing w:after="0" w:line="240" w:lineRule="auto"/>
              <w:ind w:left="-28" w:right="-28"/>
              <w:jc w:val="center"/>
              <w:rPr>
                <w:rFonts w:ascii="Times New Roman" w:hAnsi="Times New Roman" w:cs="Times New Roman"/>
                <w:b/>
                <w:bCs/>
                <w:sz w:val="20"/>
                <w:szCs w:val="20"/>
              </w:rPr>
            </w:pPr>
            <w:r w:rsidRPr="00F87E1B">
              <w:rPr>
                <w:rFonts w:ascii="Times New Roman" w:eastAsia="Calibri" w:hAnsi="Times New Roman" w:cs="Times New Roman"/>
                <w:color w:val="000000" w:themeColor="text1"/>
                <w:kern w:val="24"/>
                <w:sz w:val="20"/>
                <w:szCs w:val="20"/>
              </w:rPr>
              <w:t>-</w:t>
            </w:r>
          </w:p>
        </w:tc>
        <w:tc>
          <w:tcPr>
            <w:tcW w:w="750"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0B74C87E" w14:textId="37A373ED"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0.00021</w:t>
            </w:r>
          </w:p>
        </w:tc>
        <w:tc>
          <w:tcPr>
            <w:tcW w:w="750"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1A3C2E31" w14:textId="14A31368"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0.00015</w:t>
            </w:r>
          </w:p>
        </w:tc>
        <w:tc>
          <w:tcPr>
            <w:tcW w:w="734" w:type="dxa"/>
            <w:tcBorders>
              <w:top w:val="single" w:sz="6" w:space="0" w:color="000000"/>
              <w:left w:val="single" w:sz="6" w:space="0" w:color="000000"/>
              <w:bottom w:val="double" w:sz="4" w:space="0" w:color="000000"/>
              <w:right w:val="double" w:sz="4" w:space="0" w:color="000000"/>
            </w:tcBorders>
            <w:shd w:val="clear" w:color="auto" w:fill="auto"/>
            <w:tcMar>
              <w:top w:w="15" w:type="dxa"/>
              <w:left w:w="47" w:type="dxa"/>
              <w:bottom w:w="0" w:type="dxa"/>
              <w:right w:w="47" w:type="dxa"/>
            </w:tcMar>
            <w:vAlign w:val="center"/>
          </w:tcPr>
          <w:p w14:paraId="11C4CBEB" w14:textId="4F2C3B1F"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color w:val="000000" w:themeColor="text1"/>
                <w:kern w:val="24"/>
                <w:sz w:val="20"/>
                <w:szCs w:val="20"/>
              </w:rPr>
              <w:t>0.0365</w:t>
            </w:r>
          </w:p>
        </w:tc>
      </w:tr>
      <w:tr w:rsidR="00400CE5" w:rsidRPr="00F87E1B" w14:paraId="4D2DF37C" w14:textId="77777777" w:rsidTr="00A227F9">
        <w:trPr>
          <w:gridAfter w:val="1"/>
          <w:wAfter w:w="6" w:type="dxa"/>
          <w:trHeight w:val="365"/>
          <w:jc w:val="center"/>
        </w:trPr>
        <w:tc>
          <w:tcPr>
            <w:tcW w:w="976" w:type="dxa"/>
            <w:vMerge w:val="restart"/>
            <w:tcBorders>
              <w:top w:val="double" w:sz="4" w:space="0" w:color="000000"/>
              <w:left w:val="double" w:sz="4"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32758163" w14:textId="5ECA377B"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 xml:space="preserve">Area III </w:t>
            </w:r>
            <w:r w:rsidRPr="00F87E1B">
              <w:rPr>
                <w:rFonts w:ascii="Times New Roman" w:hAnsi="Times New Roman" w:cs="Times New Roman"/>
                <w:sz w:val="20"/>
                <w:szCs w:val="20"/>
              </w:rPr>
              <w:br/>
              <w:t>(Figure S</w:t>
            </w:r>
            <w:r w:rsidR="00E24803" w:rsidRPr="00F87E1B">
              <w:rPr>
                <w:rFonts w:ascii="Times New Roman" w:hAnsi="Times New Roman" w:cs="Times New Roman"/>
                <w:sz w:val="20"/>
                <w:szCs w:val="20"/>
              </w:rPr>
              <w:t>2</w:t>
            </w:r>
            <w:r w:rsidR="008179FF" w:rsidRPr="00F87E1B">
              <w:rPr>
                <w:rFonts w:ascii="Times New Roman" w:hAnsi="Times New Roman" w:cs="Times New Roman"/>
                <w:sz w:val="20"/>
                <w:szCs w:val="20"/>
              </w:rPr>
              <w:t>c</w:t>
            </w:r>
            <w:r w:rsidRPr="00F87E1B">
              <w:rPr>
                <w:rFonts w:ascii="Times New Roman" w:hAnsi="Times New Roman" w:cs="Times New Roman"/>
                <w:sz w:val="20"/>
                <w:szCs w:val="20"/>
              </w:rPr>
              <w:t>)</w:t>
            </w:r>
          </w:p>
        </w:tc>
        <w:tc>
          <w:tcPr>
            <w:tcW w:w="2086" w:type="dxa"/>
            <w:tcBorders>
              <w:top w:val="double" w:sz="4" w:space="0" w:color="000000"/>
              <w:left w:val="single" w:sz="6" w:space="0" w:color="000000"/>
              <w:bottom w:val="single" w:sz="6" w:space="0" w:color="000000"/>
              <w:right w:val="single" w:sz="6" w:space="0" w:color="000000"/>
            </w:tcBorders>
            <w:shd w:val="clear" w:color="auto" w:fill="auto"/>
            <w:tcMar>
              <w:top w:w="15" w:type="dxa"/>
              <w:left w:w="20" w:type="dxa"/>
              <w:bottom w:w="0" w:type="dxa"/>
              <w:right w:w="20" w:type="dxa"/>
            </w:tcMar>
            <w:vAlign w:val="center"/>
          </w:tcPr>
          <w:p w14:paraId="60F17E57" w14:textId="2C9CD09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Bulk yellow paint</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B88C578" w14:textId="16FB0D3F"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79±6</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90C5BB8" w14:textId="3837DBF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2±1</w:t>
            </w:r>
          </w:p>
        </w:tc>
        <w:tc>
          <w:tcPr>
            <w:tcW w:w="524"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2A27747E" w14:textId="51FD6CEA"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5±3</w:t>
            </w:r>
          </w:p>
        </w:tc>
        <w:tc>
          <w:tcPr>
            <w:tcW w:w="486"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6ACC6A9" w14:textId="024827FA"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14±4</w:t>
            </w:r>
          </w:p>
        </w:tc>
        <w:tc>
          <w:tcPr>
            <w:tcW w:w="469"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A324A8D" w14:textId="2532429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750"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C4F3D81" w14:textId="1430769E"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0.00069</w:t>
            </w:r>
          </w:p>
        </w:tc>
        <w:tc>
          <w:tcPr>
            <w:tcW w:w="750" w:type="dxa"/>
            <w:tcBorders>
              <w:top w:val="double" w:sz="4"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6F77B25" w14:textId="22434FE3"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0.00047</w:t>
            </w:r>
          </w:p>
        </w:tc>
        <w:tc>
          <w:tcPr>
            <w:tcW w:w="734" w:type="dxa"/>
            <w:tcBorders>
              <w:top w:val="double" w:sz="4"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4F3C08E4" w14:textId="0B5C6BB2"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0.117</w:t>
            </w:r>
          </w:p>
        </w:tc>
      </w:tr>
      <w:tr w:rsidR="00400CE5" w:rsidRPr="00F87E1B" w14:paraId="1A0A39FB" w14:textId="77777777" w:rsidTr="00A227F9">
        <w:trPr>
          <w:gridAfter w:val="1"/>
          <w:wAfter w:w="6" w:type="dxa"/>
          <w:trHeight w:val="365"/>
          <w:jc w:val="center"/>
        </w:trPr>
        <w:tc>
          <w:tcPr>
            <w:tcW w:w="976" w:type="dxa"/>
            <w:vMerge/>
            <w:tcBorders>
              <w:top w:val="single" w:sz="6" w:space="0" w:color="000000"/>
              <w:left w:val="double" w:sz="4" w:space="0" w:color="000000"/>
              <w:bottom w:val="single" w:sz="6" w:space="0" w:color="000000"/>
              <w:right w:val="single" w:sz="6" w:space="0" w:color="000000"/>
            </w:tcBorders>
            <w:shd w:val="clear" w:color="auto" w:fill="auto"/>
            <w:vAlign w:val="center"/>
          </w:tcPr>
          <w:p w14:paraId="76E2C205" w14:textId="77777777" w:rsidR="00400CE5" w:rsidRPr="00F87E1B" w:rsidRDefault="00400CE5" w:rsidP="00B07350">
            <w:pPr>
              <w:spacing w:after="0" w:line="240" w:lineRule="auto"/>
              <w:ind w:left="-28" w:right="-28"/>
              <w:jc w:val="center"/>
              <w:rPr>
                <w:rFonts w:ascii="Times New Roman" w:hAnsi="Times New Roman" w:cs="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43A422F" w14:textId="739C2FED"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1.5-25.2 µm</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A09F563" w14:textId="49E7940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69±7</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B17E1F4" w14:textId="5425BC6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524"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E444BC0" w14:textId="46B9DE03"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18±3</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D1AACD6" w14:textId="6386F912"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13±1</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5549252E" w14:textId="4C0E1B8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9B00166" w14:textId="5442EAC6"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0.00020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0329D1D" w14:textId="26359AE1"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0.00014</w:t>
            </w:r>
          </w:p>
        </w:tc>
        <w:tc>
          <w:tcPr>
            <w:tcW w:w="734" w:type="dxa"/>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60C25380" w14:textId="71836142"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0.035</w:t>
            </w:r>
          </w:p>
        </w:tc>
      </w:tr>
      <w:tr w:rsidR="00400CE5" w:rsidRPr="00F87E1B" w14:paraId="6CE576F9" w14:textId="77777777" w:rsidTr="00A227F9">
        <w:trPr>
          <w:gridAfter w:val="1"/>
          <w:wAfter w:w="6" w:type="dxa"/>
          <w:trHeight w:val="365"/>
          <w:jc w:val="center"/>
        </w:trPr>
        <w:tc>
          <w:tcPr>
            <w:tcW w:w="976" w:type="dxa"/>
            <w:vMerge/>
            <w:tcBorders>
              <w:top w:val="single" w:sz="6" w:space="0" w:color="000000"/>
              <w:left w:val="double" w:sz="4" w:space="0" w:color="000000"/>
              <w:bottom w:val="single" w:sz="6" w:space="0" w:color="000000"/>
              <w:right w:val="single" w:sz="6" w:space="0" w:color="000000"/>
            </w:tcBorders>
            <w:shd w:val="clear" w:color="auto" w:fill="auto"/>
            <w:vAlign w:val="center"/>
          </w:tcPr>
          <w:p w14:paraId="155F1BEA" w14:textId="77777777" w:rsidR="00400CE5" w:rsidRPr="00F87E1B" w:rsidRDefault="00400CE5" w:rsidP="00B07350">
            <w:pPr>
              <w:spacing w:after="0" w:line="240" w:lineRule="auto"/>
              <w:ind w:left="-28" w:right="-28"/>
              <w:jc w:val="center"/>
              <w:rPr>
                <w:rFonts w:ascii="Times New Roman" w:hAnsi="Times New Roman" w:cs="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CBEAFA7" w14:textId="07561618"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Average 25.5-27.30 µm</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3A659D18" w14:textId="53ADAE2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60±7</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7486C45" w14:textId="48FEF0A0"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524"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606E8900" w14:textId="7761F786"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19±4</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B8AC176" w14:textId="0461C1E0"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21±1</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756C182A" w14:textId="35575AF5"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0F0B6491" w14:textId="734945C3"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0.00021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5" w:type="dxa"/>
              <w:left w:w="47" w:type="dxa"/>
              <w:bottom w:w="0" w:type="dxa"/>
              <w:right w:w="47" w:type="dxa"/>
            </w:tcMar>
            <w:vAlign w:val="center"/>
          </w:tcPr>
          <w:p w14:paraId="431DD662" w14:textId="5D064518"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0.00015</w:t>
            </w:r>
          </w:p>
        </w:tc>
        <w:tc>
          <w:tcPr>
            <w:tcW w:w="734" w:type="dxa"/>
            <w:tcBorders>
              <w:top w:val="single" w:sz="6" w:space="0" w:color="000000"/>
              <w:left w:val="single" w:sz="6" w:space="0" w:color="000000"/>
              <w:bottom w:val="single" w:sz="6" w:space="0" w:color="000000"/>
              <w:right w:val="double" w:sz="4" w:space="0" w:color="000000"/>
            </w:tcBorders>
            <w:shd w:val="clear" w:color="auto" w:fill="auto"/>
            <w:tcMar>
              <w:top w:w="15" w:type="dxa"/>
              <w:left w:w="47" w:type="dxa"/>
              <w:bottom w:w="0" w:type="dxa"/>
              <w:right w:w="47" w:type="dxa"/>
            </w:tcMar>
            <w:vAlign w:val="center"/>
          </w:tcPr>
          <w:p w14:paraId="6AB640EB" w14:textId="5495A24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0.037</w:t>
            </w:r>
          </w:p>
        </w:tc>
      </w:tr>
      <w:tr w:rsidR="00400CE5" w:rsidRPr="00F87E1B" w14:paraId="5144D553" w14:textId="77777777" w:rsidTr="00A227F9">
        <w:trPr>
          <w:gridAfter w:val="1"/>
          <w:wAfter w:w="6" w:type="dxa"/>
          <w:trHeight w:val="365"/>
          <w:jc w:val="center"/>
        </w:trPr>
        <w:tc>
          <w:tcPr>
            <w:tcW w:w="976" w:type="dxa"/>
            <w:vMerge/>
            <w:tcBorders>
              <w:top w:val="single" w:sz="6" w:space="0" w:color="000000"/>
              <w:left w:val="double" w:sz="4" w:space="0" w:color="000000"/>
              <w:bottom w:val="double" w:sz="4" w:space="0" w:color="000000"/>
              <w:right w:val="single" w:sz="6" w:space="0" w:color="000000"/>
            </w:tcBorders>
            <w:shd w:val="clear" w:color="auto" w:fill="auto"/>
            <w:vAlign w:val="center"/>
          </w:tcPr>
          <w:p w14:paraId="3A12151C" w14:textId="77777777" w:rsidR="00400CE5" w:rsidRPr="00F87E1B" w:rsidRDefault="00400CE5" w:rsidP="00B07350">
            <w:pPr>
              <w:spacing w:after="0" w:line="240" w:lineRule="auto"/>
              <w:ind w:left="-28" w:right="-28"/>
              <w:jc w:val="center"/>
              <w:rPr>
                <w:rFonts w:ascii="Times New Roman" w:hAnsi="Times New Roman" w:cs="Times New Roman"/>
                <w:sz w:val="20"/>
                <w:szCs w:val="20"/>
              </w:rPr>
            </w:pPr>
          </w:p>
        </w:tc>
        <w:tc>
          <w:tcPr>
            <w:tcW w:w="20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62C0A751" w14:textId="0B7F619A"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Surface</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13DFA798" w14:textId="30D00253"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52±7</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062D2B8B" w14:textId="36F5F88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524"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0DEC2540" w14:textId="154C2CBC"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22±4</w:t>
            </w:r>
          </w:p>
        </w:tc>
        <w:tc>
          <w:tcPr>
            <w:tcW w:w="486"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375DD31B" w14:textId="265CEC0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26±2</w:t>
            </w:r>
          </w:p>
        </w:tc>
        <w:tc>
          <w:tcPr>
            <w:tcW w:w="469"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199C51CD" w14:textId="55D7D089"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w:t>
            </w:r>
          </w:p>
        </w:tc>
        <w:tc>
          <w:tcPr>
            <w:tcW w:w="750"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040CE303" w14:textId="53680B9C"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0.00025</w:t>
            </w:r>
          </w:p>
        </w:tc>
        <w:tc>
          <w:tcPr>
            <w:tcW w:w="750" w:type="dxa"/>
            <w:tcBorders>
              <w:top w:val="single" w:sz="6" w:space="0" w:color="000000"/>
              <w:left w:val="single" w:sz="6" w:space="0" w:color="000000"/>
              <w:bottom w:val="double" w:sz="4" w:space="0" w:color="000000"/>
              <w:right w:val="single" w:sz="6" w:space="0" w:color="000000"/>
            </w:tcBorders>
            <w:shd w:val="clear" w:color="auto" w:fill="auto"/>
            <w:tcMar>
              <w:top w:w="15" w:type="dxa"/>
              <w:left w:w="47" w:type="dxa"/>
              <w:bottom w:w="0" w:type="dxa"/>
              <w:right w:w="47" w:type="dxa"/>
            </w:tcMar>
            <w:vAlign w:val="center"/>
          </w:tcPr>
          <w:p w14:paraId="7D6DAD99" w14:textId="59923277"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0.04366</w:t>
            </w:r>
          </w:p>
        </w:tc>
        <w:tc>
          <w:tcPr>
            <w:tcW w:w="734" w:type="dxa"/>
            <w:tcBorders>
              <w:top w:val="single" w:sz="6" w:space="0" w:color="000000"/>
              <w:left w:val="single" w:sz="6" w:space="0" w:color="000000"/>
              <w:bottom w:val="double" w:sz="4" w:space="0" w:color="000000"/>
              <w:right w:val="double" w:sz="4" w:space="0" w:color="000000"/>
            </w:tcBorders>
            <w:shd w:val="clear" w:color="auto" w:fill="auto"/>
            <w:tcMar>
              <w:top w:w="15" w:type="dxa"/>
              <w:left w:w="47" w:type="dxa"/>
              <w:bottom w:w="0" w:type="dxa"/>
              <w:right w:w="47" w:type="dxa"/>
            </w:tcMar>
            <w:vAlign w:val="center"/>
          </w:tcPr>
          <w:p w14:paraId="73A9B9AB" w14:textId="58A6F46B" w:rsidR="00400CE5" w:rsidRPr="00F87E1B" w:rsidRDefault="00400CE5" w:rsidP="00B07350">
            <w:pPr>
              <w:spacing w:after="0" w:line="240" w:lineRule="auto"/>
              <w:ind w:left="-28" w:right="-28"/>
              <w:jc w:val="center"/>
              <w:rPr>
                <w:rFonts w:ascii="Times New Roman" w:hAnsi="Times New Roman" w:cs="Times New Roman"/>
                <w:sz w:val="20"/>
                <w:szCs w:val="20"/>
              </w:rPr>
            </w:pPr>
            <w:r w:rsidRPr="00F87E1B">
              <w:rPr>
                <w:rFonts w:ascii="Times New Roman" w:hAnsi="Times New Roman" w:cs="Times New Roman"/>
                <w:sz w:val="20"/>
                <w:szCs w:val="20"/>
              </w:rPr>
              <w:t>0.00018</w:t>
            </w:r>
          </w:p>
        </w:tc>
      </w:tr>
    </w:tbl>
    <w:p w14:paraId="0BA02148" w14:textId="482CA8E2" w:rsidR="009E4302" w:rsidRPr="00F87E1B" w:rsidRDefault="009E4302" w:rsidP="00B07350">
      <w:pPr>
        <w:spacing w:line="480" w:lineRule="auto"/>
        <w:jc w:val="both"/>
        <w:rPr>
          <w:rFonts w:ascii="Times New Roman" w:hAnsi="Times New Roman" w:cs="Times New Roman"/>
          <w:sz w:val="24"/>
          <w:szCs w:val="24"/>
        </w:rPr>
      </w:pPr>
    </w:p>
    <w:p w14:paraId="7457C4CF" w14:textId="24BB0B57" w:rsidR="00DA17FF" w:rsidRPr="00F87E1B" w:rsidRDefault="00DA17FF"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br w:type="page"/>
      </w:r>
    </w:p>
    <w:p w14:paraId="588EE92B" w14:textId="3F73E3DA" w:rsidR="00DA17FF" w:rsidRPr="00F87E1B" w:rsidRDefault="00DA17FF"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S</w:t>
      </w:r>
      <w:r w:rsidR="00674952" w:rsidRPr="00F87E1B">
        <w:rPr>
          <w:rFonts w:ascii="Times New Roman" w:hAnsi="Times New Roman" w:cs="Times New Roman"/>
          <w:b/>
          <w:bCs/>
          <w:sz w:val="24"/>
          <w:szCs w:val="24"/>
        </w:rPr>
        <w:t>5</w:t>
      </w:r>
      <w:r w:rsidRPr="00F87E1B">
        <w:rPr>
          <w:rFonts w:ascii="Times New Roman" w:hAnsi="Times New Roman" w:cs="Times New Roman"/>
          <w:b/>
          <w:bCs/>
          <w:sz w:val="24"/>
          <w:szCs w:val="24"/>
        </w:rPr>
        <w:t xml:space="preserve">. Now-brownish yellow sample: </w:t>
      </w:r>
      <w:r w:rsidR="00AB0270" w:rsidRPr="00F87E1B">
        <w:rPr>
          <w:rFonts w:ascii="Times New Roman" w:hAnsi="Times New Roman" w:cs="Times New Roman"/>
          <w:b/>
          <w:bCs/>
          <w:sz w:val="24"/>
          <w:szCs w:val="24"/>
        </w:rPr>
        <w:t>additional</w:t>
      </w:r>
      <w:r w:rsidRPr="00F87E1B">
        <w:rPr>
          <w:rFonts w:ascii="Times New Roman" w:hAnsi="Times New Roman" w:cs="Times New Roman"/>
          <w:b/>
          <w:bCs/>
          <w:sz w:val="24"/>
          <w:szCs w:val="24"/>
        </w:rPr>
        <w:t xml:space="preserve"> SR </w:t>
      </w:r>
      <w:r w:rsidR="00AB0270" w:rsidRPr="00F87E1B">
        <w:rPr>
          <w:rFonts w:ascii="Times New Roman" w:hAnsi="Times New Roman" w:cs="Times New Roman"/>
          <w:b/>
          <w:bCs/>
          <w:sz w:val="24"/>
          <w:szCs w:val="24"/>
        </w:rPr>
        <w:t>µXRF and µXANES investigations</w:t>
      </w:r>
    </w:p>
    <w:p w14:paraId="5EB69FB3" w14:textId="5E42664D" w:rsidR="00023F22" w:rsidRPr="00F87E1B" w:rsidRDefault="00ED7048" w:rsidP="00B07350">
      <w:pPr>
        <w:spacing w:line="480" w:lineRule="auto"/>
        <w:jc w:val="center"/>
        <w:rPr>
          <w:rFonts w:ascii="Times New Roman" w:hAnsi="Times New Roman" w:cs="Times New Roman"/>
          <w:b/>
          <w:bCs/>
          <w:sz w:val="24"/>
          <w:szCs w:val="24"/>
          <w:highlight w:val="yellow"/>
        </w:rPr>
      </w:pPr>
      <w:r w:rsidRPr="00F87E1B">
        <w:rPr>
          <w:rFonts w:ascii="Times New Roman" w:hAnsi="Times New Roman" w:cs="Times New Roman"/>
          <w:b/>
          <w:bCs/>
          <w:noProof/>
          <w:sz w:val="24"/>
          <w:szCs w:val="24"/>
        </w:rPr>
        <w:drawing>
          <wp:inline distT="0" distB="0" distL="0" distR="0" wp14:anchorId="345B7A0E" wp14:editId="2857118E">
            <wp:extent cx="4680000" cy="4992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680000" cy="4992000"/>
                    </a:xfrm>
                    <a:prstGeom prst="rect">
                      <a:avLst/>
                    </a:prstGeom>
                  </pic:spPr>
                </pic:pic>
              </a:graphicData>
            </a:graphic>
          </wp:inline>
        </w:drawing>
      </w:r>
    </w:p>
    <w:p w14:paraId="1F198812" w14:textId="220CA600" w:rsidR="00023F22" w:rsidRPr="00F87E1B" w:rsidRDefault="00023F22" w:rsidP="00B07350">
      <w:pPr>
        <w:pStyle w:val="Caption"/>
        <w:spacing w:line="480" w:lineRule="auto"/>
        <w:jc w:val="both"/>
        <w:rPr>
          <w:rFonts w:ascii="Times New Roman" w:hAnsi="Times New Roman" w:cs="Times New Roman"/>
          <w:b/>
          <w:bCs/>
          <w:sz w:val="24"/>
          <w:szCs w:val="24"/>
        </w:rPr>
      </w:pPr>
      <w:r w:rsidRPr="00F87E1B">
        <w:rPr>
          <w:rFonts w:ascii="Times New Roman" w:hAnsi="Times New Roman" w:cs="Times New Roman"/>
          <w:b/>
          <w:bCs/>
          <w:i w:val="0"/>
          <w:iCs w:val="0"/>
          <w:color w:val="auto"/>
          <w:sz w:val="24"/>
          <w:szCs w:val="24"/>
        </w:rPr>
        <w:t>Figure S</w:t>
      </w:r>
      <w:r w:rsidR="00674952" w:rsidRPr="00F87E1B">
        <w:rPr>
          <w:rFonts w:ascii="Times New Roman" w:hAnsi="Times New Roman" w:cs="Times New Roman"/>
          <w:b/>
          <w:bCs/>
          <w:i w:val="0"/>
          <w:iCs w:val="0"/>
          <w:color w:val="auto"/>
          <w:sz w:val="24"/>
          <w:szCs w:val="24"/>
        </w:rPr>
        <w:t>3</w:t>
      </w:r>
      <w:r w:rsidRPr="00F87E1B">
        <w:rPr>
          <w:rFonts w:ascii="Times New Roman" w:hAnsi="Times New Roman" w:cs="Times New Roman"/>
          <w:b/>
          <w:bCs/>
          <w:i w:val="0"/>
          <w:iCs w:val="0"/>
          <w:color w:val="auto"/>
          <w:sz w:val="24"/>
          <w:szCs w:val="24"/>
        </w:rPr>
        <w:t xml:space="preserve">. </w:t>
      </w:r>
      <w:r w:rsidRPr="00F87E1B">
        <w:rPr>
          <w:rFonts w:ascii="Times New Roman" w:hAnsi="Times New Roman" w:cs="Times New Roman"/>
          <w:i w:val="0"/>
          <w:iCs w:val="0"/>
          <w:color w:val="auto"/>
          <w:sz w:val="24"/>
          <w:szCs w:val="24"/>
        </w:rPr>
        <w:t>Now-brownish yellow sample. (a) Visible light microscopy image of the cross section. The black rectangle corresponds to the region where SR µXRF analysis of panels (b,c) was performed. RGB composite SR µXRF maps of (b) Ba/Pb and (c) Cd/Cl/S [step size (h × v), 0.25 × 0.25 µm</w:t>
      </w:r>
      <w:r w:rsidRPr="00F87E1B">
        <w:rPr>
          <w:rFonts w:ascii="Times New Roman" w:hAnsi="Times New Roman" w:cs="Times New Roman"/>
          <w:i w:val="0"/>
          <w:iCs w:val="0"/>
          <w:color w:val="auto"/>
          <w:sz w:val="24"/>
          <w:szCs w:val="24"/>
          <w:vertAlign w:val="superscript"/>
        </w:rPr>
        <w:t>2</w:t>
      </w:r>
      <w:r w:rsidRPr="00F87E1B">
        <w:rPr>
          <w:rFonts w:ascii="Times New Roman" w:hAnsi="Times New Roman" w:cs="Times New Roman"/>
          <w:i w:val="0"/>
          <w:iCs w:val="0"/>
          <w:color w:val="auto"/>
          <w:sz w:val="24"/>
          <w:szCs w:val="24"/>
        </w:rPr>
        <w:t>; exp. time, 50 ms/pixel; energy, 7.2 keV]. Series of µXANES spectra (black) recorded at (d) S K-edge, (e) Cd L</w:t>
      </w:r>
      <w:r w:rsidRPr="00F87E1B">
        <w:rPr>
          <w:rFonts w:ascii="Times New Roman" w:hAnsi="Times New Roman" w:cs="Times New Roman"/>
          <w:i w:val="0"/>
          <w:iCs w:val="0"/>
          <w:color w:val="auto"/>
          <w:sz w:val="24"/>
          <w:szCs w:val="24"/>
          <w:vertAlign w:val="subscript"/>
        </w:rPr>
        <w:t>3</w:t>
      </w:r>
      <w:r w:rsidRPr="00F87E1B">
        <w:rPr>
          <w:rFonts w:ascii="Times New Roman" w:hAnsi="Times New Roman" w:cs="Times New Roman"/>
          <w:i w:val="0"/>
          <w:iCs w:val="0"/>
          <w:color w:val="auto"/>
          <w:sz w:val="24"/>
          <w:szCs w:val="24"/>
        </w:rPr>
        <w:t>-edge and (f) Cl K-edge and LCF results (cyan) of different S-/Cd-based reference compounds (for details see Tables S</w:t>
      </w:r>
      <w:r w:rsidR="00E24803" w:rsidRPr="00F87E1B">
        <w:rPr>
          <w:rFonts w:ascii="Times New Roman" w:hAnsi="Times New Roman" w:cs="Times New Roman"/>
          <w:i w:val="0"/>
          <w:iCs w:val="0"/>
          <w:color w:val="auto"/>
          <w:sz w:val="24"/>
          <w:szCs w:val="24"/>
        </w:rPr>
        <w:t>2</w:t>
      </w:r>
      <w:r w:rsidRPr="00F87E1B">
        <w:rPr>
          <w:rFonts w:ascii="Times New Roman" w:hAnsi="Times New Roman" w:cs="Times New Roman"/>
          <w:i w:val="0"/>
          <w:iCs w:val="0"/>
          <w:color w:val="auto"/>
          <w:sz w:val="24"/>
          <w:szCs w:val="24"/>
        </w:rPr>
        <w:t>-S</w:t>
      </w:r>
      <w:r w:rsidR="00E24803" w:rsidRPr="00F87E1B">
        <w:rPr>
          <w:rFonts w:ascii="Times New Roman" w:hAnsi="Times New Roman" w:cs="Times New Roman"/>
          <w:i w:val="0"/>
          <w:iCs w:val="0"/>
          <w:color w:val="auto"/>
          <w:sz w:val="24"/>
          <w:szCs w:val="24"/>
        </w:rPr>
        <w:t>3</w:t>
      </w:r>
      <w:r w:rsidRPr="00F87E1B">
        <w:rPr>
          <w:rFonts w:ascii="Times New Roman" w:hAnsi="Times New Roman" w:cs="Times New Roman"/>
          <w:i w:val="0"/>
          <w:iCs w:val="0"/>
          <w:color w:val="auto"/>
          <w:sz w:val="24"/>
          <w:szCs w:val="24"/>
        </w:rPr>
        <w:t>). In blue, spectral profiles of selected references. In</w:t>
      </w:r>
      <w:r w:rsidR="00CE6810" w:rsidRPr="00F87E1B">
        <w:rPr>
          <w:rFonts w:ascii="Times New Roman" w:hAnsi="Times New Roman" w:cs="Times New Roman"/>
          <w:i w:val="0"/>
          <w:iCs w:val="0"/>
          <w:color w:val="auto"/>
          <w:sz w:val="24"/>
          <w:szCs w:val="24"/>
        </w:rPr>
        <w:t xml:space="preserve"> </w:t>
      </w:r>
      <w:r w:rsidRPr="00F87E1B">
        <w:rPr>
          <w:rFonts w:ascii="Times New Roman" w:hAnsi="Times New Roman" w:cs="Times New Roman"/>
          <w:i w:val="0"/>
          <w:iCs w:val="0"/>
          <w:color w:val="auto"/>
          <w:sz w:val="24"/>
          <w:szCs w:val="24"/>
        </w:rPr>
        <w:t>(d-f), spectra were recorded across the line shown in (c) with steps of 0.4-0.5 µm and averaged within the depth values reported in each panel.</w:t>
      </w:r>
    </w:p>
    <w:p w14:paraId="2D640F1A" w14:textId="626BDAD2" w:rsidR="00AB0270" w:rsidRPr="00F87E1B" w:rsidRDefault="00AB0270" w:rsidP="00B07350">
      <w:pPr>
        <w:spacing w:line="480" w:lineRule="auto"/>
        <w:jc w:val="both"/>
        <w:rPr>
          <w:rFonts w:ascii="Times New Roman" w:hAnsi="Times New Roman" w:cs="Times New Roman"/>
          <w:b/>
          <w:bCs/>
          <w:sz w:val="24"/>
          <w:szCs w:val="24"/>
          <w:highlight w:val="yellow"/>
        </w:rPr>
      </w:pPr>
      <w:r w:rsidRPr="00F87E1B">
        <w:rPr>
          <w:rFonts w:ascii="Times New Roman" w:hAnsi="Times New Roman" w:cs="Times New Roman"/>
          <w:b/>
          <w:bCs/>
          <w:sz w:val="24"/>
          <w:szCs w:val="24"/>
          <w:highlight w:val="yellow"/>
        </w:rPr>
        <w:br w:type="page"/>
      </w:r>
    </w:p>
    <w:p w14:paraId="72A42EC3" w14:textId="6612992D" w:rsidR="00AB0270" w:rsidRPr="00F87E1B" w:rsidRDefault="00AB0270"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S</w:t>
      </w:r>
      <w:r w:rsidR="00674952" w:rsidRPr="00F87E1B">
        <w:rPr>
          <w:rFonts w:ascii="Times New Roman" w:hAnsi="Times New Roman" w:cs="Times New Roman"/>
          <w:b/>
          <w:bCs/>
          <w:sz w:val="24"/>
          <w:szCs w:val="24"/>
        </w:rPr>
        <w:t>6</w:t>
      </w:r>
      <w:r w:rsidRPr="00F87E1B">
        <w:rPr>
          <w:rFonts w:ascii="Times New Roman" w:hAnsi="Times New Roman" w:cs="Times New Roman"/>
          <w:b/>
          <w:bCs/>
          <w:sz w:val="24"/>
          <w:szCs w:val="24"/>
        </w:rPr>
        <w:t>. Vibrant yellow sample: further SR µXRF mapping results</w:t>
      </w:r>
    </w:p>
    <w:p w14:paraId="48C5B34B" w14:textId="5E64096B" w:rsidR="00DA17FF" w:rsidRPr="00F87E1B" w:rsidRDefault="005474E3" w:rsidP="00B07350">
      <w:pPr>
        <w:spacing w:line="480" w:lineRule="auto"/>
        <w:jc w:val="center"/>
        <w:rPr>
          <w:rFonts w:ascii="Times New Roman" w:hAnsi="Times New Roman" w:cs="Times New Roman"/>
          <w:b/>
          <w:bCs/>
          <w:sz w:val="24"/>
          <w:szCs w:val="24"/>
        </w:rPr>
      </w:pPr>
      <w:r w:rsidRPr="00F87E1B">
        <w:rPr>
          <w:rFonts w:ascii="Times New Roman" w:hAnsi="Times New Roman" w:cs="Times New Roman"/>
          <w:b/>
          <w:bCs/>
          <w:noProof/>
          <w:sz w:val="24"/>
          <w:szCs w:val="24"/>
        </w:rPr>
        <w:drawing>
          <wp:inline distT="0" distB="0" distL="0" distR="0" wp14:anchorId="3ECA38A5" wp14:editId="25C371C7">
            <wp:extent cx="2520000" cy="35461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520000" cy="3546107"/>
                    </a:xfrm>
                    <a:prstGeom prst="rect">
                      <a:avLst/>
                    </a:prstGeom>
                  </pic:spPr>
                </pic:pic>
              </a:graphicData>
            </a:graphic>
          </wp:inline>
        </w:drawing>
      </w:r>
    </w:p>
    <w:p w14:paraId="3ABBC16A" w14:textId="7A6DF0FD" w:rsidR="0088397A" w:rsidRPr="00F87E1B" w:rsidRDefault="0088397A" w:rsidP="00B07350">
      <w:pPr>
        <w:pStyle w:val="Caption"/>
        <w:spacing w:line="480" w:lineRule="auto"/>
        <w:jc w:val="both"/>
        <w:rPr>
          <w:rFonts w:ascii="Times New Roman" w:hAnsi="Times New Roman" w:cs="Times New Roman"/>
          <w:b/>
          <w:bCs/>
          <w:sz w:val="24"/>
          <w:szCs w:val="24"/>
        </w:rPr>
      </w:pPr>
      <w:r w:rsidRPr="00F87E1B">
        <w:rPr>
          <w:rFonts w:ascii="Times New Roman" w:hAnsi="Times New Roman" w:cs="Times New Roman"/>
          <w:b/>
          <w:bCs/>
          <w:i w:val="0"/>
          <w:iCs w:val="0"/>
          <w:color w:val="auto"/>
          <w:sz w:val="24"/>
          <w:szCs w:val="24"/>
        </w:rPr>
        <w:t>Figure S</w:t>
      </w:r>
      <w:r w:rsidR="00674952" w:rsidRPr="00F87E1B">
        <w:rPr>
          <w:rFonts w:ascii="Times New Roman" w:hAnsi="Times New Roman" w:cs="Times New Roman"/>
          <w:b/>
          <w:bCs/>
          <w:i w:val="0"/>
          <w:iCs w:val="0"/>
          <w:color w:val="auto"/>
          <w:sz w:val="24"/>
          <w:szCs w:val="24"/>
        </w:rPr>
        <w:t>4</w:t>
      </w:r>
      <w:r w:rsidRPr="00F87E1B">
        <w:rPr>
          <w:rFonts w:ascii="Times New Roman" w:hAnsi="Times New Roman" w:cs="Times New Roman"/>
          <w:b/>
          <w:bCs/>
          <w:i w:val="0"/>
          <w:iCs w:val="0"/>
          <w:color w:val="auto"/>
          <w:sz w:val="24"/>
          <w:szCs w:val="24"/>
        </w:rPr>
        <w:t xml:space="preserve">. </w:t>
      </w:r>
      <w:r w:rsidR="00DE2F73" w:rsidRPr="00F87E1B">
        <w:rPr>
          <w:rFonts w:ascii="Times New Roman" w:hAnsi="Times New Roman" w:cs="Times New Roman"/>
          <w:i w:val="0"/>
          <w:iCs w:val="0"/>
          <w:color w:val="auto"/>
          <w:sz w:val="24"/>
          <w:szCs w:val="24"/>
        </w:rPr>
        <w:t xml:space="preserve">Vibrant yellow sample. (a) Visible light microscopy image of the cross section. Area marked in </w:t>
      </w:r>
      <w:r w:rsidR="00CE6810" w:rsidRPr="00F87E1B">
        <w:rPr>
          <w:rFonts w:ascii="Times New Roman" w:hAnsi="Times New Roman" w:cs="Times New Roman"/>
          <w:i w:val="0"/>
          <w:iCs w:val="0"/>
          <w:color w:val="auto"/>
          <w:sz w:val="24"/>
          <w:szCs w:val="24"/>
        </w:rPr>
        <w:t>black</w:t>
      </w:r>
      <w:r w:rsidR="00DE2F73" w:rsidRPr="00F87E1B">
        <w:rPr>
          <w:rFonts w:ascii="Times New Roman" w:hAnsi="Times New Roman" w:cs="Times New Roman"/>
          <w:i w:val="0"/>
          <w:iCs w:val="0"/>
          <w:color w:val="auto"/>
          <w:sz w:val="24"/>
          <w:szCs w:val="24"/>
        </w:rPr>
        <w:t xml:space="preserve"> corresponds to the SR µXRF map in panel (b). (b) RGB composite SR µ</w:t>
      </w:r>
      <w:r w:rsidR="00E30FB0" w:rsidRPr="00F87E1B">
        <w:rPr>
          <w:rFonts w:ascii="Times New Roman" w:hAnsi="Times New Roman" w:cs="Times New Roman"/>
          <w:i w:val="0"/>
          <w:iCs w:val="0"/>
          <w:color w:val="auto"/>
          <w:sz w:val="24"/>
          <w:szCs w:val="24"/>
        </w:rPr>
        <w:t>X</w:t>
      </w:r>
      <w:r w:rsidR="00DE2F73" w:rsidRPr="00F87E1B">
        <w:rPr>
          <w:rFonts w:ascii="Times New Roman" w:hAnsi="Times New Roman" w:cs="Times New Roman"/>
          <w:i w:val="0"/>
          <w:iCs w:val="0"/>
          <w:color w:val="auto"/>
          <w:sz w:val="24"/>
          <w:szCs w:val="24"/>
        </w:rPr>
        <w:t>RF maps of Ba/Pb/S [step size (h × v), 0.5 × 0.25 µm</w:t>
      </w:r>
      <w:r w:rsidR="00DE2F73" w:rsidRPr="00F87E1B">
        <w:rPr>
          <w:rFonts w:ascii="Times New Roman" w:hAnsi="Times New Roman" w:cs="Times New Roman"/>
          <w:i w:val="0"/>
          <w:iCs w:val="0"/>
          <w:color w:val="auto"/>
          <w:sz w:val="24"/>
          <w:szCs w:val="24"/>
          <w:vertAlign w:val="superscript"/>
        </w:rPr>
        <w:t>2</w:t>
      </w:r>
      <w:r w:rsidR="00DE2F73" w:rsidRPr="00F87E1B">
        <w:rPr>
          <w:rFonts w:ascii="Times New Roman" w:hAnsi="Times New Roman" w:cs="Times New Roman"/>
          <w:i w:val="0"/>
          <w:iCs w:val="0"/>
          <w:color w:val="auto"/>
          <w:sz w:val="24"/>
          <w:szCs w:val="24"/>
        </w:rPr>
        <w:t>; exposure time, 50 ms/pixel; energy, 7.2 keV].</w:t>
      </w:r>
    </w:p>
    <w:p w14:paraId="3CCDB594" w14:textId="77777777" w:rsidR="0088397A" w:rsidRPr="00F87E1B" w:rsidRDefault="0088397A" w:rsidP="00B07350">
      <w:pPr>
        <w:spacing w:line="480" w:lineRule="auto"/>
        <w:jc w:val="both"/>
        <w:rPr>
          <w:rFonts w:ascii="Times New Roman" w:hAnsi="Times New Roman" w:cs="Times New Roman"/>
          <w:b/>
          <w:bCs/>
          <w:sz w:val="24"/>
          <w:szCs w:val="24"/>
        </w:rPr>
      </w:pPr>
    </w:p>
    <w:p w14:paraId="2B19F5AE" w14:textId="77777777" w:rsidR="0088397A" w:rsidRPr="00F87E1B" w:rsidRDefault="0088397A" w:rsidP="00B07350">
      <w:pPr>
        <w:spacing w:line="480" w:lineRule="auto"/>
        <w:jc w:val="both"/>
        <w:rPr>
          <w:rFonts w:ascii="Times New Roman" w:hAnsi="Times New Roman" w:cs="Times New Roman"/>
          <w:b/>
          <w:bCs/>
          <w:sz w:val="24"/>
          <w:szCs w:val="24"/>
        </w:rPr>
      </w:pPr>
    </w:p>
    <w:p w14:paraId="51AF1A3E" w14:textId="5E41B81A" w:rsidR="00D21895" w:rsidRPr="00F87E1B" w:rsidRDefault="00E5791B"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br w:type="page"/>
      </w:r>
    </w:p>
    <w:p w14:paraId="611F1110" w14:textId="748CC30B" w:rsidR="00FB2109" w:rsidRPr="00F87E1B" w:rsidRDefault="006C7FE0" w:rsidP="00B07350">
      <w:pPr>
        <w:spacing w:line="480" w:lineRule="auto"/>
        <w:jc w:val="both"/>
        <w:rPr>
          <w:rFonts w:ascii="Times New Roman" w:hAnsi="Times New Roman" w:cs="Times New Roman"/>
          <w:b/>
          <w:bCs/>
          <w:sz w:val="24"/>
          <w:szCs w:val="24"/>
        </w:rPr>
      </w:pPr>
      <w:r w:rsidRPr="00F87E1B">
        <w:rPr>
          <w:rFonts w:ascii="Times New Roman" w:hAnsi="Times New Roman" w:cs="Times New Roman"/>
          <w:b/>
          <w:bCs/>
          <w:sz w:val="24"/>
          <w:szCs w:val="24"/>
        </w:rPr>
        <w:lastRenderedPageBreak/>
        <w:t>Bibliography</w:t>
      </w:r>
    </w:p>
    <w:p w14:paraId="1DF1E77B" w14:textId="67696A73" w:rsidR="003C6944" w:rsidRPr="003C6944" w:rsidRDefault="006C7FE0" w:rsidP="003C694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F87E1B">
        <w:rPr>
          <w:rFonts w:ascii="Times New Roman" w:hAnsi="Times New Roman" w:cs="Times New Roman"/>
          <w:sz w:val="24"/>
          <w:szCs w:val="24"/>
        </w:rPr>
        <w:fldChar w:fldCharType="begin" w:fldLock="1"/>
      </w:r>
      <w:r w:rsidRPr="00F87E1B">
        <w:rPr>
          <w:rFonts w:ascii="Times New Roman" w:hAnsi="Times New Roman" w:cs="Times New Roman"/>
          <w:sz w:val="24"/>
          <w:szCs w:val="24"/>
        </w:rPr>
        <w:instrText xml:space="preserve">ADDIN Mendeley Bibliography CSL_BIBLIOGRAPHY </w:instrText>
      </w:r>
      <w:r w:rsidRPr="00F87E1B">
        <w:rPr>
          <w:rFonts w:ascii="Times New Roman" w:hAnsi="Times New Roman" w:cs="Times New Roman"/>
          <w:sz w:val="24"/>
          <w:szCs w:val="24"/>
        </w:rPr>
        <w:fldChar w:fldCharType="separate"/>
      </w:r>
      <w:r w:rsidR="003C6944" w:rsidRPr="003C6944">
        <w:rPr>
          <w:rFonts w:ascii="Times New Roman" w:hAnsi="Times New Roman" w:cs="Times New Roman"/>
          <w:smallCaps/>
          <w:noProof/>
          <w:sz w:val="24"/>
          <w:szCs w:val="24"/>
        </w:rPr>
        <w:t>Bell, I. M.</w:t>
      </w:r>
      <w:r w:rsidR="003C6944" w:rsidRPr="003C6944">
        <w:rPr>
          <w:rFonts w:ascii="Times New Roman" w:hAnsi="Times New Roman" w:cs="Times New Roman"/>
          <w:noProof/>
          <w:sz w:val="24"/>
          <w:szCs w:val="24"/>
        </w:rPr>
        <w:t xml:space="preserve">, </w:t>
      </w:r>
      <w:r w:rsidR="003C6944" w:rsidRPr="003C6944">
        <w:rPr>
          <w:rFonts w:ascii="Times New Roman" w:hAnsi="Times New Roman" w:cs="Times New Roman"/>
          <w:smallCaps/>
          <w:noProof/>
          <w:sz w:val="24"/>
          <w:szCs w:val="24"/>
        </w:rPr>
        <w:t>Clark, R. J. H.</w:t>
      </w:r>
      <w:r w:rsidR="003C6944" w:rsidRPr="003C6944">
        <w:rPr>
          <w:rFonts w:ascii="Times New Roman" w:hAnsi="Times New Roman" w:cs="Times New Roman"/>
          <w:noProof/>
          <w:sz w:val="24"/>
          <w:szCs w:val="24"/>
        </w:rPr>
        <w:t xml:space="preserve"> &amp; </w:t>
      </w:r>
      <w:r w:rsidR="003C6944" w:rsidRPr="003C6944">
        <w:rPr>
          <w:rFonts w:ascii="Times New Roman" w:hAnsi="Times New Roman" w:cs="Times New Roman"/>
          <w:smallCaps/>
          <w:noProof/>
          <w:sz w:val="24"/>
          <w:szCs w:val="24"/>
        </w:rPr>
        <w:t>Gibbs, P. J.</w:t>
      </w:r>
      <w:r w:rsidR="003C6944" w:rsidRPr="003C6944">
        <w:rPr>
          <w:rFonts w:ascii="Times New Roman" w:hAnsi="Times New Roman" w:cs="Times New Roman"/>
          <w:noProof/>
          <w:sz w:val="24"/>
          <w:szCs w:val="24"/>
        </w:rPr>
        <w:t xml:space="preserve"> (1997). Raman spectroscopic library of natural and synthetic pigments (pre- ≈ 1850 AD). </w:t>
      </w:r>
      <w:r w:rsidR="003C6944" w:rsidRPr="003C6944">
        <w:rPr>
          <w:rFonts w:ascii="Times New Roman" w:hAnsi="Times New Roman" w:cs="Times New Roman"/>
          <w:i/>
          <w:iCs/>
          <w:noProof/>
          <w:sz w:val="24"/>
          <w:szCs w:val="24"/>
        </w:rPr>
        <w:t>Spectrochimica Acta Part A: Molecular and Biomolecular Spectroscopy</w:t>
      </w:r>
      <w:r w:rsidR="003C6944" w:rsidRPr="003C6944">
        <w:rPr>
          <w:rFonts w:ascii="Times New Roman" w:hAnsi="Times New Roman" w:cs="Times New Roman"/>
          <w:noProof/>
          <w:sz w:val="24"/>
          <w:szCs w:val="24"/>
        </w:rPr>
        <w:t xml:space="preserve"> </w:t>
      </w:r>
      <w:r w:rsidR="003C6944" w:rsidRPr="003C6944">
        <w:rPr>
          <w:rFonts w:ascii="Times New Roman" w:hAnsi="Times New Roman" w:cs="Times New Roman"/>
          <w:b/>
          <w:bCs/>
          <w:noProof/>
          <w:sz w:val="24"/>
          <w:szCs w:val="24"/>
        </w:rPr>
        <w:t>53</w:t>
      </w:r>
      <w:r w:rsidR="003C6944" w:rsidRPr="003C6944">
        <w:rPr>
          <w:rFonts w:ascii="Times New Roman" w:hAnsi="Times New Roman" w:cs="Times New Roman"/>
          <w:noProof/>
          <w:sz w:val="24"/>
          <w:szCs w:val="24"/>
        </w:rPr>
        <w:t>, 2159–2179.</w:t>
      </w:r>
    </w:p>
    <w:p w14:paraId="644A2D9A" w14:textId="77777777" w:rsidR="003C6944" w:rsidRPr="003C6944" w:rsidRDefault="003C6944" w:rsidP="003C694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C6944">
        <w:rPr>
          <w:rFonts w:ascii="Times New Roman" w:hAnsi="Times New Roman" w:cs="Times New Roman"/>
          <w:smallCaps/>
          <w:noProof/>
          <w:sz w:val="24"/>
          <w:szCs w:val="24"/>
        </w:rPr>
        <w:t>Burgio, L.</w:t>
      </w:r>
      <w:r w:rsidRPr="003C6944">
        <w:rPr>
          <w:rFonts w:ascii="Times New Roman" w:hAnsi="Times New Roman" w:cs="Times New Roman"/>
          <w:noProof/>
          <w:sz w:val="24"/>
          <w:szCs w:val="24"/>
        </w:rPr>
        <w:t xml:space="preserve"> &amp; </w:t>
      </w:r>
      <w:r w:rsidRPr="003C6944">
        <w:rPr>
          <w:rFonts w:ascii="Times New Roman" w:hAnsi="Times New Roman" w:cs="Times New Roman"/>
          <w:smallCaps/>
          <w:noProof/>
          <w:sz w:val="24"/>
          <w:szCs w:val="24"/>
        </w:rPr>
        <w:t>Clark, R. J. H.</w:t>
      </w:r>
      <w:r w:rsidRPr="003C6944">
        <w:rPr>
          <w:rFonts w:ascii="Times New Roman" w:hAnsi="Times New Roman" w:cs="Times New Roman"/>
          <w:noProof/>
          <w:sz w:val="24"/>
          <w:szCs w:val="24"/>
        </w:rPr>
        <w:t xml:space="preserve"> (2001). Library of FT-Raman spectra of pigments, minerals, pigment media and varnishes, and supplement to existing library of Raman spectra of pigments with visible excitation. </w:t>
      </w:r>
      <w:r w:rsidRPr="003C6944">
        <w:rPr>
          <w:rFonts w:ascii="Times New Roman" w:hAnsi="Times New Roman" w:cs="Times New Roman"/>
          <w:i/>
          <w:iCs/>
          <w:noProof/>
          <w:sz w:val="24"/>
          <w:szCs w:val="24"/>
        </w:rPr>
        <w:t>Spectrochimica Acta Part A: Molecular and Biomolecular Spectroscopy</w:t>
      </w:r>
      <w:r w:rsidRPr="003C6944">
        <w:rPr>
          <w:rFonts w:ascii="Times New Roman" w:hAnsi="Times New Roman" w:cs="Times New Roman"/>
          <w:noProof/>
          <w:sz w:val="24"/>
          <w:szCs w:val="24"/>
        </w:rPr>
        <w:t xml:space="preserve"> </w:t>
      </w:r>
      <w:r w:rsidRPr="003C6944">
        <w:rPr>
          <w:rFonts w:ascii="Times New Roman" w:hAnsi="Times New Roman" w:cs="Times New Roman"/>
          <w:b/>
          <w:bCs/>
          <w:noProof/>
          <w:sz w:val="24"/>
          <w:szCs w:val="24"/>
        </w:rPr>
        <w:t>57</w:t>
      </w:r>
      <w:r w:rsidRPr="003C6944">
        <w:rPr>
          <w:rFonts w:ascii="Times New Roman" w:hAnsi="Times New Roman" w:cs="Times New Roman"/>
          <w:noProof/>
          <w:sz w:val="24"/>
          <w:szCs w:val="24"/>
        </w:rPr>
        <w:t>, 1491–1521.</w:t>
      </w:r>
    </w:p>
    <w:p w14:paraId="0CC45792" w14:textId="77777777" w:rsidR="003C6944" w:rsidRPr="003C6944" w:rsidRDefault="003C6944" w:rsidP="003C694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C6944">
        <w:rPr>
          <w:rFonts w:ascii="Times New Roman" w:hAnsi="Times New Roman" w:cs="Times New Roman"/>
          <w:smallCaps/>
          <w:noProof/>
          <w:sz w:val="24"/>
          <w:szCs w:val="24"/>
        </w:rPr>
        <w:t>Comelli, D.</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Maclennan, D.</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Ghirardello, M.</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Phenix, A.</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Schmidt Patterson, C.</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Khanjian, H.</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Gross, M.</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Valentini, G.</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Trentelman, K.</w:t>
      </w:r>
      <w:r w:rsidRPr="003C6944">
        <w:rPr>
          <w:rFonts w:ascii="Times New Roman" w:hAnsi="Times New Roman" w:cs="Times New Roman"/>
          <w:noProof/>
          <w:sz w:val="24"/>
          <w:szCs w:val="24"/>
        </w:rPr>
        <w:t xml:space="preserve"> &amp; </w:t>
      </w:r>
      <w:r w:rsidRPr="003C6944">
        <w:rPr>
          <w:rFonts w:ascii="Times New Roman" w:hAnsi="Times New Roman" w:cs="Times New Roman"/>
          <w:smallCaps/>
          <w:noProof/>
          <w:sz w:val="24"/>
          <w:szCs w:val="24"/>
        </w:rPr>
        <w:t>Nevin, A.</w:t>
      </w:r>
      <w:r w:rsidRPr="003C6944">
        <w:rPr>
          <w:rFonts w:ascii="Times New Roman" w:hAnsi="Times New Roman" w:cs="Times New Roman"/>
          <w:noProof/>
          <w:sz w:val="24"/>
          <w:szCs w:val="24"/>
        </w:rPr>
        <w:t xml:space="preserve"> (2019). Degradation of Cadmium Yellow Paint: New Evidence from Photoluminescence Studies of Trap States in Picasso’s Femme (époque des ‘demoiselles d’Avignon’). </w:t>
      </w:r>
      <w:r w:rsidRPr="003C6944">
        <w:rPr>
          <w:rFonts w:ascii="Times New Roman" w:hAnsi="Times New Roman" w:cs="Times New Roman"/>
          <w:i/>
          <w:iCs/>
          <w:noProof/>
          <w:sz w:val="24"/>
          <w:szCs w:val="24"/>
        </w:rPr>
        <w:t>Analytical Chemistry</w:t>
      </w:r>
      <w:r w:rsidRPr="003C6944">
        <w:rPr>
          <w:rFonts w:ascii="Times New Roman" w:hAnsi="Times New Roman" w:cs="Times New Roman"/>
          <w:noProof/>
          <w:sz w:val="24"/>
          <w:szCs w:val="24"/>
        </w:rPr>
        <w:t xml:space="preserve"> </w:t>
      </w:r>
      <w:r w:rsidRPr="003C6944">
        <w:rPr>
          <w:rFonts w:ascii="Times New Roman" w:hAnsi="Times New Roman" w:cs="Times New Roman"/>
          <w:b/>
          <w:bCs/>
          <w:noProof/>
          <w:sz w:val="24"/>
          <w:szCs w:val="24"/>
        </w:rPr>
        <w:t>91</w:t>
      </w:r>
      <w:r w:rsidRPr="003C6944">
        <w:rPr>
          <w:rFonts w:ascii="Times New Roman" w:hAnsi="Times New Roman" w:cs="Times New Roman"/>
          <w:noProof/>
          <w:sz w:val="24"/>
          <w:szCs w:val="24"/>
        </w:rPr>
        <w:t>, 3421–3428.</w:t>
      </w:r>
    </w:p>
    <w:p w14:paraId="636041B8" w14:textId="77777777" w:rsidR="003C6944" w:rsidRPr="003C6944" w:rsidRDefault="003C6944" w:rsidP="003C6944">
      <w:pPr>
        <w:widowControl w:val="0"/>
        <w:autoSpaceDE w:val="0"/>
        <w:autoSpaceDN w:val="0"/>
        <w:adjustRightInd w:val="0"/>
        <w:spacing w:after="0" w:line="480" w:lineRule="auto"/>
        <w:ind w:left="480" w:hanging="480"/>
        <w:rPr>
          <w:rFonts w:ascii="Times New Roman" w:hAnsi="Times New Roman" w:cs="Times New Roman"/>
          <w:noProof/>
          <w:sz w:val="24"/>
        </w:rPr>
      </w:pPr>
      <w:r w:rsidRPr="003C6944">
        <w:rPr>
          <w:rFonts w:ascii="Times New Roman" w:hAnsi="Times New Roman" w:cs="Times New Roman"/>
          <w:smallCaps/>
          <w:noProof/>
          <w:sz w:val="24"/>
          <w:szCs w:val="24"/>
        </w:rPr>
        <w:t>Lee, A. S.</w:t>
      </w:r>
      <w:r w:rsidRPr="003C6944">
        <w:rPr>
          <w:rFonts w:ascii="Times New Roman" w:hAnsi="Times New Roman" w:cs="Times New Roman"/>
          <w:noProof/>
          <w:sz w:val="24"/>
          <w:szCs w:val="24"/>
        </w:rPr>
        <w:t xml:space="preserve">, </w:t>
      </w:r>
      <w:r w:rsidRPr="003C6944">
        <w:rPr>
          <w:rFonts w:ascii="Times New Roman" w:hAnsi="Times New Roman" w:cs="Times New Roman"/>
          <w:smallCaps/>
          <w:noProof/>
          <w:sz w:val="24"/>
          <w:szCs w:val="24"/>
        </w:rPr>
        <w:t>Otieno-Alego, V.</w:t>
      </w:r>
      <w:r w:rsidRPr="003C6944">
        <w:rPr>
          <w:rFonts w:ascii="Times New Roman" w:hAnsi="Times New Roman" w:cs="Times New Roman"/>
          <w:noProof/>
          <w:sz w:val="24"/>
          <w:szCs w:val="24"/>
        </w:rPr>
        <w:t xml:space="preserve"> &amp; </w:t>
      </w:r>
      <w:r w:rsidRPr="003C6944">
        <w:rPr>
          <w:rFonts w:ascii="Times New Roman" w:hAnsi="Times New Roman" w:cs="Times New Roman"/>
          <w:smallCaps/>
          <w:noProof/>
          <w:sz w:val="24"/>
          <w:szCs w:val="24"/>
        </w:rPr>
        <w:t>Creagh, D. C.</w:t>
      </w:r>
      <w:r w:rsidRPr="003C6944">
        <w:rPr>
          <w:rFonts w:ascii="Times New Roman" w:hAnsi="Times New Roman" w:cs="Times New Roman"/>
          <w:noProof/>
          <w:sz w:val="24"/>
          <w:szCs w:val="24"/>
        </w:rPr>
        <w:t xml:space="preserve"> (2008). Identification of iron-gall inks with near-infrared Raman microspectroscopy. </w:t>
      </w:r>
      <w:r w:rsidRPr="003C6944">
        <w:rPr>
          <w:rFonts w:ascii="Times New Roman" w:hAnsi="Times New Roman" w:cs="Times New Roman"/>
          <w:i/>
          <w:iCs/>
          <w:noProof/>
          <w:sz w:val="24"/>
          <w:szCs w:val="24"/>
        </w:rPr>
        <w:t>JOURNAL OF RAMAN SPECTROSCOPY J. Raman Spectrosc</w:t>
      </w:r>
      <w:r w:rsidRPr="003C6944">
        <w:rPr>
          <w:rFonts w:ascii="Times New Roman" w:hAnsi="Times New Roman" w:cs="Times New Roman"/>
          <w:noProof/>
          <w:sz w:val="24"/>
          <w:szCs w:val="24"/>
        </w:rPr>
        <w:t xml:space="preserve"> </w:t>
      </w:r>
      <w:r w:rsidRPr="003C6944">
        <w:rPr>
          <w:rFonts w:ascii="Times New Roman" w:hAnsi="Times New Roman" w:cs="Times New Roman"/>
          <w:b/>
          <w:bCs/>
          <w:noProof/>
          <w:sz w:val="24"/>
          <w:szCs w:val="24"/>
        </w:rPr>
        <w:t>39</w:t>
      </w:r>
      <w:r w:rsidRPr="003C6944">
        <w:rPr>
          <w:rFonts w:ascii="Times New Roman" w:hAnsi="Times New Roman" w:cs="Times New Roman"/>
          <w:noProof/>
          <w:sz w:val="24"/>
          <w:szCs w:val="24"/>
        </w:rPr>
        <w:t>, 1079–1084.</w:t>
      </w:r>
    </w:p>
    <w:p w14:paraId="15EF1254" w14:textId="3B61909E" w:rsidR="00FB2109" w:rsidRPr="00F87E1B" w:rsidRDefault="006C7FE0" w:rsidP="00B07350">
      <w:pPr>
        <w:spacing w:line="480" w:lineRule="auto"/>
        <w:jc w:val="both"/>
        <w:rPr>
          <w:rFonts w:ascii="Times New Roman" w:hAnsi="Times New Roman" w:cs="Times New Roman"/>
          <w:sz w:val="24"/>
          <w:szCs w:val="24"/>
        </w:rPr>
      </w:pPr>
      <w:r w:rsidRPr="00F87E1B">
        <w:rPr>
          <w:rFonts w:ascii="Times New Roman" w:hAnsi="Times New Roman" w:cs="Times New Roman"/>
          <w:sz w:val="24"/>
          <w:szCs w:val="24"/>
        </w:rPr>
        <w:fldChar w:fldCharType="end"/>
      </w:r>
    </w:p>
    <w:sectPr w:rsidR="00FB2109" w:rsidRPr="00F87E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B245C"/>
    <w:multiLevelType w:val="hybridMultilevel"/>
    <w:tmpl w:val="AA8670BC"/>
    <w:lvl w:ilvl="0" w:tplc="3986248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319CF"/>
    <w:multiLevelType w:val="hybridMultilevel"/>
    <w:tmpl w:val="28CA38A4"/>
    <w:lvl w:ilvl="0" w:tplc="DD22E65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253686">
    <w:abstractNumId w:val="1"/>
  </w:num>
  <w:num w:numId="2" w16cid:durableId="40441237">
    <w:abstractNumId w:val="0"/>
  </w:num>
  <w:num w:numId="3" w16cid:durableId="22233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1C"/>
    <w:rsid w:val="00023283"/>
    <w:rsid w:val="00023C11"/>
    <w:rsid w:val="00023F22"/>
    <w:rsid w:val="00024FEE"/>
    <w:rsid w:val="00033E3A"/>
    <w:rsid w:val="00040E05"/>
    <w:rsid w:val="0005018D"/>
    <w:rsid w:val="0006469F"/>
    <w:rsid w:val="000B0CDE"/>
    <w:rsid w:val="001118B4"/>
    <w:rsid w:val="00165574"/>
    <w:rsid w:val="00195B48"/>
    <w:rsid w:val="001D4C37"/>
    <w:rsid w:val="0024692A"/>
    <w:rsid w:val="00246CD8"/>
    <w:rsid w:val="002644D4"/>
    <w:rsid w:val="00287C59"/>
    <w:rsid w:val="00294ECB"/>
    <w:rsid w:val="002F3275"/>
    <w:rsid w:val="0037382A"/>
    <w:rsid w:val="003C6944"/>
    <w:rsid w:val="00400CE5"/>
    <w:rsid w:val="00406A3C"/>
    <w:rsid w:val="00441089"/>
    <w:rsid w:val="004F20A8"/>
    <w:rsid w:val="005137C5"/>
    <w:rsid w:val="0053198C"/>
    <w:rsid w:val="005474E3"/>
    <w:rsid w:val="005619CA"/>
    <w:rsid w:val="00594580"/>
    <w:rsid w:val="005977B1"/>
    <w:rsid w:val="005B4F58"/>
    <w:rsid w:val="00607CF1"/>
    <w:rsid w:val="0061304C"/>
    <w:rsid w:val="0062330C"/>
    <w:rsid w:val="00641952"/>
    <w:rsid w:val="00655921"/>
    <w:rsid w:val="00657AA9"/>
    <w:rsid w:val="006632B1"/>
    <w:rsid w:val="00674952"/>
    <w:rsid w:val="006A17F5"/>
    <w:rsid w:val="006C42DA"/>
    <w:rsid w:val="006C7FE0"/>
    <w:rsid w:val="0075481E"/>
    <w:rsid w:val="00784C71"/>
    <w:rsid w:val="00796834"/>
    <w:rsid w:val="007D6386"/>
    <w:rsid w:val="007E761B"/>
    <w:rsid w:val="008179FF"/>
    <w:rsid w:val="00845FBC"/>
    <w:rsid w:val="0085134B"/>
    <w:rsid w:val="0088397A"/>
    <w:rsid w:val="008A4786"/>
    <w:rsid w:val="008E125B"/>
    <w:rsid w:val="009475FC"/>
    <w:rsid w:val="00967C53"/>
    <w:rsid w:val="009E4302"/>
    <w:rsid w:val="00A227F9"/>
    <w:rsid w:val="00A6129E"/>
    <w:rsid w:val="00A7711A"/>
    <w:rsid w:val="00A81388"/>
    <w:rsid w:val="00AA2DE7"/>
    <w:rsid w:val="00AB0270"/>
    <w:rsid w:val="00AD47C9"/>
    <w:rsid w:val="00AE09A2"/>
    <w:rsid w:val="00AE4E79"/>
    <w:rsid w:val="00B0106C"/>
    <w:rsid w:val="00B07350"/>
    <w:rsid w:val="00B663F3"/>
    <w:rsid w:val="00B87C26"/>
    <w:rsid w:val="00B954A3"/>
    <w:rsid w:val="00BB0653"/>
    <w:rsid w:val="00C04586"/>
    <w:rsid w:val="00C67D5D"/>
    <w:rsid w:val="00CB74A5"/>
    <w:rsid w:val="00CD431C"/>
    <w:rsid w:val="00CE6810"/>
    <w:rsid w:val="00D21895"/>
    <w:rsid w:val="00D21BD6"/>
    <w:rsid w:val="00D3325A"/>
    <w:rsid w:val="00D55F6B"/>
    <w:rsid w:val="00DA17FF"/>
    <w:rsid w:val="00DA7E01"/>
    <w:rsid w:val="00DB1FEA"/>
    <w:rsid w:val="00DB6673"/>
    <w:rsid w:val="00DE2F73"/>
    <w:rsid w:val="00E23752"/>
    <w:rsid w:val="00E24803"/>
    <w:rsid w:val="00E30FB0"/>
    <w:rsid w:val="00E52739"/>
    <w:rsid w:val="00E540C8"/>
    <w:rsid w:val="00E5791B"/>
    <w:rsid w:val="00ED333D"/>
    <w:rsid w:val="00ED7048"/>
    <w:rsid w:val="00F25E64"/>
    <w:rsid w:val="00F42282"/>
    <w:rsid w:val="00F87E1B"/>
    <w:rsid w:val="00FB2109"/>
    <w:rsid w:val="00FE15A1"/>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CFD6"/>
  <w15:chartTrackingRefBased/>
  <w15:docId w15:val="{CEFA235A-4EBE-41EC-868D-1A77BD69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3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CB02ArticleText">
    <w:name w:val="RSC B02 Article Text"/>
    <w:basedOn w:val="Normal"/>
    <w:link w:val="RSCB02ArticleTextChar"/>
    <w:qFormat/>
    <w:rsid w:val="005619CA"/>
    <w:pPr>
      <w:spacing w:after="0" w:line="240" w:lineRule="exact"/>
      <w:jc w:val="both"/>
    </w:pPr>
    <w:rPr>
      <w:rFonts w:cs="Times New Roman"/>
      <w:w w:val="108"/>
      <w:sz w:val="18"/>
      <w:szCs w:val="18"/>
    </w:rPr>
  </w:style>
  <w:style w:type="character" w:customStyle="1" w:styleId="RSCB02ArticleTextChar">
    <w:name w:val="RSC B02 Article Text Char"/>
    <w:basedOn w:val="DefaultParagraphFont"/>
    <w:link w:val="RSCB02ArticleText"/>
    <w:rsid w:val="005619CA"/>
    <w:rPr>
      <w:rFonts w:cs="Times New Roman"/>
      <w:w w:val="108"/>
      <w:sz w:val="18"/>
      <w:szCs w:val="18"/>
    </w:rPr>
  </w:style>
  <w:style w:type="paragraph" w:customStyle="1" w:styleId="RSCB08CHeadingIn-line">
    <w:name w:val="RSC B08 C Heading (In-line)"/>
    <w:link w:val="RSCB08CHeadingIn-lineChar"/>
    <w:qFormat/>
    <w:rsid w:val="005619CA"/>
    <w:pPr>
      <w:spacing w:after="0" w:line="276" w:lineRule="auto"/>
    </w:pPr>
    <w:rPr>
      <w:b/>
      <w:sz w:val="18"/>
    </w:rPr>
  </w:style>
  <w:style w:type="character" w:customStyle="1" w:styleId="RSCB08CHeadingIn-lineChar">
    <w:name w:val="RSC B08 C Heading (In-line) Char"/>
    <w:basedOn w:val="DefaultParagraphFont"/>
    <w:link w:val="RSCB08CHeadingIn-line"/>
    <w:rsid w:val="005619CA"/>
    <w:rPr>
      <w:b/>
      <w:sz w:val="18"/>
    </w:rPr>
  </w:style>
  <w:style w:type="character" w:styleId="CommentReference">
    <w:name w:val="annotation reference"/>
    <w:basedOn w:val="DefaultParagraphFont"/>
    <w:uiPriority w:val="99"/>
    <w:semiHidden/>
    <w:unhideWhenUsed/>
    <w:rsid w:val="005619CA"/>
    <w:rPr>
      <w:sz w:val="16"/>
      <w:szCs w:val="16"/>
    </w:rPr>
  </w:style>
  <w:style w:type="paragraph" w:styleId="CommentText">
    <w:name w:val="annotation text"/>
    <w:basedOn w:val="Normal"/>
    <w:link w:val="CommentTextChar"/>
    <w:uiPriority w:val="99"/>
    <w:unhideWhenUsed/>
    <w:rsid w:val="005619CA"/>
    <w:pPr>
      <w:spacing w:after="200" w:line="240" w:lineRule="auto"/>
    </w:pPr>
    <w:rPr>
      <w:sz w:val="20"/>
      <w:szCs w:val="20"/>
    </w:rPr>
  </w:style>
  <w:style w:type="character" w:customStyle="1" w:styleId="CommentTextChar">
    <w:name w:val="Comment Text Char"/>
    <w:basedOn w:val="DefaultParagraphFont"/>
    <w:link w:val="CommentText"/>
    <w:uiPriority w:val="99"/>
    <w:rsid w:val="005619CA"/>
    <w:rPr>
      <w:sz w:val="20"/>
      <w:szCs w:val="20"/>
    </w:rPr>
  </w:style>
  <w:style w:type="table" w:styleId="PlainTable2">
    <w:name w:val="Plain Table 2"/>
    <w:basedOn w:val="TableNormal"/>
    <w:uiPriority w:val="42"/>
    <w:rsid w:val="005619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BB0653"/>
    <w:pPr>
      <w:spacing w:after="200" w:line="240" w:lineRule="auto"/>
    </w:pPr>
    <w:rPr>
      <w:i/>
      <w:iCs/>
      <w:color w:val="44546A" w:themeColor="text2"/>
      <w:sz w:val="18"/>
      <w:szCs w:val="18"/>
    </w:rPr>
  </w:style>
  <w:style w:type="paragraph" w:customStyle="1" w:styleId="EndNoteBibliography">
    <w:name w:val="EndNote Bibliography"/>
    <w:basedOn w:val="Normal"/>
    <w:link w:val="EndNoteBibliographyChar"/>
    <w:rsid w:val="006A17F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A17F5"/>
    <w:rPr>
      <w:rFonts w:ascii="Calibri" w:hAnsi="Calibri" w:cs="Calibri"/>
      <w:noProof/>
      <w:lang w:val="en-US"/>
    </w:rPr>
  </w:style>
  <w:style w:type="paragraph" w:customStyle="1" w:styleId="RSCH01PaperTitle">
    <w:name w:val="RSC H01 Paper Title"/>
    <w:basedOn w:val="Normal"/>
    <w:next w:val="Normal"/>
    <w:link w:val="RSCH01PaperTitleChar"/>
    <w:qFormat/>
    <w:rsid w:val="00287C59"/>
    <w:pPr>
      <w:tabs>
        <w:tab w:val="left" w:pos="284"/>
      </w:tabs>
      <w:spacing w:before="400" w:line="240" w:lineRule="auto"/>
    </w:pPr>
    <w:rPr>
      <w:rFonts w:cs="Times New Roman"/>
      <w:b/>
      <w:sz w:val="29"/>
      <w:szCs w:val="32"/>
    </w:rPr>
  </w:style>
  <w:style w:type="paragraph" w:customStyle="1" w:styleId="RSCB01ARTAbstract">
    <w:name w:val="RSC B01 ART Abstract"/>
    <w:basedOn w:val="Normal"/>
    <w:link w:val="RSCB01ARTAbstractChar"/>
    <w:qFormat/>
    <w:rsid w:val="00287C59"/>
    <w:pPr>
      <w:spacing w:after="200" w:line="240" w:lineRule="exact"/>
      <w:jc w:val="both"/>
    </w:pPr>
    <w:rPr>
      <w:noProof/>
      <w:sz w:val="16"/>
      <w:lang w:eastAsia="en-GB"/>
    </w:rPr>
  </w:style>
  <w:style w:type="character" w:customStyle="1" w:styleId="RSCH01PaperTitleChar">
    <w:name w:val="RSC H01 Paper Title Char"/>
    <w:basedOn w:val="DefaultParagraphFont"/>
    <w:link w:val="RSCH01PaperTitle"/>
    <w:rsid w:val="00287C59"/>
    <w:rPr>
      <w:rFonts w:cs="Times New Roman"/>
      <w:b/>
      <w:sz w:val="29"/>
      <w:szCs w:val="32"/>
    </w:rPr>
  </w:style>
  <w:style w:type="character" w:customStyle="1" w:styleId="RSCB01ARTAbstractChar">
    <w:name w:val="RSC B01 ART Abstract Char"/>
    <w:basedOn w:val="DefaultParagraphFont"/>
    <w:link w:val="RSCB01ARTAbstract"/>
    <w:rsid w:val="00287C59"/>
    <w:rPr>
      <w:noProof/>
      <w:sz w:val="16"/>
      <w:lang w:eastAsia="en-GB"/>
    </w:rPr>
  </w:style>
  <w:style w:type="paragraph" w:customStyle="1" w:styleId="RSCF01FootnoteAuthorAddress">
    <w:name w:val="RSC F01 Footnote Author Address"/>
    <w:link w:val="RSCF01FootnoteAuthorAddressChar"/>
    <w:qFormat/>
    <w:rsid w:val="00655921"/>
    <w:pPr>
      <w:numPr>
        <w:numId w:val="1"/>
      </w:numPr>
      <w:pBdr>
        <w:top w:val="single" w:sz="12" w:space="1" w:color="A6A6A6" w:themeColor="background1" w:themeShade="A6"/>
      </w:pBdr>
      <w:spacing w:after="0" w:line="240" w:lineRule="auto"/>
      <w:ind w:left="85" w:hanging="85"/>
      <w:suppressOverlap/>
    </w:pPr>
    <w:rPr>
      <w:rFonts w:cs="Times New Roman"/>
      <w:i/>
      <w:w w:val="105"/>
      <w:sz w:val="14"/>
      <w:szCs w:val="14"/>
    </w:rPr>
  </w:style>
  <w:style w:type="character" w:customStyle="1" w:styleId="RSCF01FootnoteAuthorAddressChar">
    <w:name w:val="RSC F01 Footnote Author Address Char"/>
    <w:basedOn w:val="DefaultParagraphFont"/>
    <w:link w:val="RSCF01FootnoteAuthorAddress"/>
    <w:rsid w:val="00655921"/>
    <w:rPr>
      <w:rFonts w:cs="Times New Roman"/>
      <w:i/>
      <w:w w:val="105"/>
      <w:sz w:val="14"/>
      <w:szCs w:val="14"/>
    </w:rPr>
  </w:style>
  <w:style w:type="character" w:styleId="Hyperlink">
    <w:name w:val="Hyperlink"/>
    <w:basedOn w:val="DefaultParagraphFont"/>
    <w:uiPriority w:val="99"/>
    <w:unhideWhenUsed/>
    <w:rsid w:val="00655921"/>
    <w:rPr>
      <w:color w:val="0563C1" w:themeColor="hyperlink"/>
      <w:u w:val="single"/>
    </w:rPr>
  </w:style>
  <w:style w:type="character" w:styleId="UnresolvedMention">
    <w:name w:val="Unresolved Mention"/>
    <w:basedOn w:val="DefaultParagraphFont"/>
    <w:uiPriority w:val="99"/>
    <w:semiHidden/>
    <w:unhideWhenUsed/>
    <w:rsid w:val="00655921"/>
    <w:rPr>
      <w:color w:val="605E5C"/>
      <w:shd w:val="clear" w:color="auto" w:fill="E1DFDD"/>
    </w:rPr>
  </w:style>
  <w:style w:type="paragraph" w:styleId="ListParagraph">
    <w:name w:val="List Paragraph"/>
    <w:basedOn w:val="Normal"/>
    <w:uiPriority w:val="34"/>
    <w:qFormat/>
    <w:rsid w:val="0065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7877">
      <w:bodyDiv w:val="1"/>
      <w:marLeft w:val="0"/>
      <w:marRight w:val="0"/>
      <w:marTop w:val="0"/>
      <w:marBottom w:val="0"/>
      <w:divBdr>
        <w:top w:val="none" w:sz="0" w:space="0" w:color="auto"/>
        <w:left w:val="none" w:sz="0" w:space="0" w:color="auto"/>
        <w:bottom w:val="none" w:sz="0" w:space="0" w:color="auto"/>
        <w:right w:val="none" w:sz="0" w:space="0" w:color="auto"/>
      </w:divBdr>
    </w:div>
    <w:div w:id="829249029">
      <w:bodyDiv w:val="1"/>
      <w:marLeft w:val="0"/>
      <w:marRight w:val="0"/>
      <w:marTop w:val="0"/>
      <w:marBottom w:val="0"/>
      <w:divBdr>
        <w:top w:val="none" w:sz="0" w:space="0" w:color="auto"/>
        <w:left w:val="none" w:sz="0" w:space="0" w:color="auto"/>
        <w:bottom w:val="none" w:sz="0" w:space="0" w:color="auto"/>
        <w:right w:val="none" w:sz="0" w:space="0" w:color="auto"/>
      </w:divBdr>
    </w:div>
    <w:div w:id="843589063">
      <w:bodyDiv w:val="1"/>
      <w:marLeft w:val="0"/>
      <w:marRight w:val="0"/>
      <w:marTop w:val="0"/>
      <w:marBottom w:val="0"/>
      <w:divBdr>
        <w:top w:val="none" w:sz="0" w:space="0" w:color="auto"/>
        <w:left w:val="none" w:sz="0" w:space="0" w:color="auto"/>
        <w:bottom w:val="none" w:sz="0" w:space="0" w:color="auto"/>
        <w:right w:val="none" w:sz="0" w:space="0" w:color="auto"/>
      </w:divBdr>
    </w:div>
    <w:div w:id="1042746389">
      <w:bodyDiv w:val="1"/>
      <w:marLeft w:val="0"/>
      <w:marRight w:val="0"/>
      <w:marTop w:val="0"/>
      <w:marBottom w:val="0"/>
      <w:divBdr>
        <w:top w:val="none" w:sz="0" w:space="0" w:color="auto"/>
        <w:left w:val="none" w:sz="0" w:space="0" w:color="auto"/>
        <w:bottom w:val="none" w:sz="0" w:space="0" w:color="auto"/>
        <w:right w:val="none" w:sz="0" w:space="0" w:color="auto"/>
      </w:divBdr>
    </w:div>
    <w:div w:id="1477189513">
      <w:bodyDiv w:val="1"/>
      <w:marLeft w:val="0"/>
      <w:marRight w:val="0"/>
      <w:marTop w:val="0"/>
      <w:marBottom w:val="0"/>
      <w:divBdr>
        <w:top w:val="none" w:sz="0" w:space="0" w:color="auto"/>
        <w:left w:val="none" w:sz="0" w:space="0" w:color="auto"/>
        <w:bottom w:val="none" w:sz="0" w:space="0" w:color="auto"/>
        <w:right w:val="none" w:sz="0" w:space="0" w:color="auto"/>
      </w:divBdr>
    </w:div>
    <w:div w:id="1671760161">
      <w:bodyDiv w:val="1"/>
      <w:marLeft w:val="0"/>
      <w:marRight w:val="0"/>
      <w:marTop w:val="0"/>
      <w:marBottom w:val="0"/>
      <w:divBdr>
        <w:top w:val="none" w:sz="0" w:space="0" w:color="auto"/>
        <w:left w:val="none" w:sz="0" w:space="0" w:color="auto"/>
        <w:bottom w:val="none" w:sz="0" w:space="0" w:color="auto"/>
        <w:right w:val="none" w:sz="0" w:space="0" w:color="auto"/>
      </w:divBdr>
    </w:div>
    <w:div w:id="1674607407">
      <w:bodyDiv w:val="1"/>
      <w:marLeft w:val="0"/>
      <w:marRight w:val="0"/>
      <w:marTop w:val="0"/>
      <w:marBottom w:val="0"/>
      <w:divBdr>
        <w:top w:val="none" w:sz="0" w:space="0" w:color="auto"/>
        <w:left w:val="none" w:sz="0" w:space="0" w:color="auto"/>
        <w:bottom w:val="none" w:sz="0" w:space="0" w:color="auto"/>
        <w:right w:val="none" w:sz="0" w:space="0" w:color="auto"/>
      </w:divBdr>
    </w:div>
    <w:div w:id="20763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ine.cotte@esrf.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a.ghirardello@polimi.it" TargetMode="Externa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2CF7-DD20-409F-9204-C31FE6FF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18835</Characters>
  <Application>Microsoft Office Word</Application>
  <DocSecurity>0</DocSecurity>
  <Lines>156</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Monico</dc:creator>
  <cp:keywords/>
  <dc:description/>
  <cp:lastModifiedBy>Marta Ghirardello</cp:lastModifiedBy>
  <cp:revision>11</cp:revision>
  <dcterms:created xsi:type="dcterms:W3CDTF">2022-04-14T08:07:00Z</dcterms:created>
  <dcterms:modified xsi:type="dcterms:W3CDTF">2022-05-09T09:57:00Z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http://www.zotero.org/styles/applied-sciences</vt:lpwstr>
  </property>
  <property fmtid="{D5CDD505-2E9C-101B-9397-08002B2CF9AE}" pid="3" name="Mendeley Recent Style Name 0_1">
    <vt:lpwstr>Applied Sciences</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http://www.zotero.org/styles/journal-of-analytical-atomic-spectrometry</vt:lpwstr>
  </property>
  <property fmtid="{D5CDD505-2E9C-101B-9397-08002B2CF9AE}" pid="7" name="Mendeley Recent Style Name 2_1">
    <vt:lpwstr>Journal of Analytical Atomic Spectrometry</vt:lpwstr>
  </property>
  <property fmtid="{D5CDD505-2E9C-101B-9397-08002B2CF9AE}" pid="8" name="Mendeley Recent Style Id 3_1">
    <vt:lpwstr>http://www.zotero.org/styles/microscopy-and-microanalysis</vt:lpwstr>
  </property>
  <property fmtid="{D5CDD505-2E9C-101B-9397-08002B2CF9AE}" pid="9" name="Mendeley Recent Style Name 3_1">
    <vt:lpwstr>Microscopy and Microanalysis</vt:lpwstr>
  </property>
  <property fmtid="{D5CDD505-2E9C-101B-9397-08002B2CF9AE}" pid="10" name="Mendeley Recent Style Id 4_1">
    <vt:lpwstr>http://www.zotero.org/styles/molecules</vt:lpwstr>
  </property>
  <property fmtid="{D5CDD505-2E9C-101B-9397-08002B2CF9AE}" pid="11" name="Mendeley Recent Style Name 4_1">
    <vt:lpwstr>Molecules</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http://www.zotero.org/styles/springer-basic-author-date</vt:lpwstr>
  </property>
  <property fmtid="{D5CDD505-2E9C-101B-9397-08002B2CF9AE}" pid="15" name="Mendeley Recent Style Name 6_1">
    <vt:lpwstr>Springer - Basic (author-date)</vt:lpwstr>
  </property>
  <property fmtid="{D5CDD505-2E9C-101B-9397-08002B2CF9AE}" pid="16" name="Mendeley Recent Style Id 7_1">
    <vt:lpwstr>http://www.zotero.org/styles/springer-basic-author-date-no-et-al</vt:lpwstr>
  </property>
  <property fmtid="{D5CDD505-2E9C-101B-9397-08002B2CF9AE}" pid="17" name="Mendeley Recent Style Name 7_1">
    <vt:lpwstr>Springer - Basic (author-date, no "et al.")</vt:lpwstr>
  </property>
  <property fmtid="{D5CDD505-2E9C-101B-9397-08002B2CF9AE}" pid="18" name="Mendeley Recent Style Id 8_1">
    <vt:lpwstr>http://www.zotero.org/styles/springer-basic-note</vt:lpwstr>
  </property>
  <property fmtid="{D5CDD505-2E9C-101B-9397-08002B2CF9AE}" pid="19" name="Mendeley Recent Style Name 8_1">
    <vt:lpwstr>Springer - Basic (note)</vt:lpwstr>
  </property>
  <property fmtid="{D5CDD505-2E9C-101B-9397-08002B2CF9AE}" pid="20" name="Mendeley Recent Style Id 9_1">
    <vt:lpwstr>http://www.zotero.org/styles/springer-basic-brackets-no-et-al</vt:lpwstr>
  </property>
  <property fmtid="{D5CDD505-2E9C-101B-9397-08002B2CF9AE}" pid="21" name="Mendeley Recent Style Name 9_1">
    <vt:lpwstr>Springer - Basic (numeric, brackets, no "et al.")</vt:lpwstr>
  </property>
  <property fmtid="{D5CDD505-2E9C-101B-9397-08002B2CF9AE}" pid="22" name="Mendeley Document_1">
    <vt:lpwstr>True</vt:lpwstr>
  </property>
  <property fmtid="{D5CDD505-2E9C-101B-9397-08002B2CF9AE}" pid="23" name="Mendeley Unique User Id_1">
    <vt:lpwstr>1d375664-14d8-34fd-b92b-1782a184b4da</vt:lpwstr>
  </property>
  <property fmtid="{D5CDD505-2E9C-101B-9397-08002B2CF9AE}" pid="24" name="Mendeley Citation Style_1">
    <vt:lpwstr>http://www.zotero.org/styles/microscopy-and-microanalysis</vt:lpwstr>
  </property>
</Properties>
</file>