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6923B" w14:textId="361C4655" w:rsidR="00C95323" w:rsidRPr="00E0084B" w:rsidRDefault="00C95323" w:rsidP="00CA75D2">
      <w:pPr>
        <w:spacing w:before="120" w:after="240" w:line="24" w:lineRule="atLeast"/>
        <w:jc w:val="center"/>
        <w:rPr>
          <w:rFonts w:eastAsiaTheme="majorEastAsia"/>
          <w:b/>
          <w:sz w:val="28"/>
          <w:szCs w:val="28"/>
        </w:rPr>
      </w:pPr>
      <w:r w:rsidRPr="00E0084B">
        <w:rPr>
          <w:rFonts w:eastAsiaTheme="majorEastAsia"/>
          <w:b/>
          <w:sz w:val="28"/>
          <w:szCs w:val="28"/>
        </w:rPr>
        <w:t>Supplementary Material</w:t>
      </w:r>
    </w:p>
    <w:p w14:paraId="69C47546" w14:textId="77777777" w:rsidR="00CA75D2" w:rsidRPr="002E38FD" w:rsidRDefault="00CA75D2" w:rsidP="00CA75D2">
      <w:pPr>
        <w:spacing w:after="240" w:line="24" w:lineRule="atLeast"/>
        <w:ind w:left="720" w:hanging="720"/>
        <w:jc w:val="center"/>
        <w:rPr>
          <w:sz w:val="20"/>
          <w:szCs w:val="20"/>
          <w:lang w:eastAsia="es-ES"/>
        </w:rPr>
      </w:pPr>
      <w:bookmarkStart w:id="0" w:name="_Hlk83727421"/>
      <w:bookmarkEnd w:id="0"/>
      <w:r w:rsidRPr="002E38FD">
        <w:rPr>
          <w:rFonts w:eastAsiaTheme="majorEastAsia"/>
          <w:b/>
          <w:sz w:val="28"/>
          <w:szCs w:val="28"/>
        </w:rPr>
        <w:t>Sub-pixel tomographic methods for characterising the solid architecture of foams</w:t>
      </w:r>
    </w:p>
    <w:p w14:paraId="30D3DE1D" w14:textId="3119FB7E" w:rsidR="00CA75D2" w:rsidRPr="00A541A2" w:rsidRDefault="00CA75D2" w:rsidP="00CA75D2">
      <w:pPr>
        <w:spacing w:before="240" w:after="240" w:line="24" w:lineRule="atLeast"/>
        <w:jc w:val="center"/>
        <w:rPr>
          <w:rFonts w:eastAsiaTheme="majorEastAsia"/>
          <w:b/>
          <w:sz w:val="23"/>
          <w:szCs w:val="23"/>
        </w:rPr>
      </w:pPr>
      <w:r w:rsidRPr="00A541A2">
        <w:rPr>
          <w:color w:val="000000" w:themeColor="text1"/>
          <w:sz w:val="23"/>
          <w:szCs w:val="23"/>
        </w:rPr>
        <w:t>Paula Cimavilla-</w:t>
      </w:r>
      <w:proofErr w:type="spellStart"/>
      <w:r w:rsidRPr="00A541A2">
        <w:rPr>
          <w:color w:val="000000" w:themeColor="text1"/>
          <w:sz w:val="23"/>
          <w:szCs w:val="23"/>
        </w:rPr>
        <w:t>Román</w:t>
      </w:r>
      <w:r w:rsidRPr="00A541A2">
        <w:rPr>
          <w:color w:val="000000" w:themeColor="text1"/>
          <w:sz w:val="23"/>
          <w:szCs w:val="23"/>
          <w:vertAlign w:val="superscript"/>
        </w:rPr>
        <w:t>a</w:t>
      </w:r>
      <w:proofErr w:type="spellEnd"/>
      <w:r w:rsidRPr="00A541A2">
        <w:rPr>
          <w:color w:val="000000" w:themeColor="text1"/>
          <w:sz w:val="23"/>
          <w:szCs w:val="23"/>
        </w:rPr>
        <w:t xml:space="preserve">*, </w:t>
      </w:r>
      <w:proofErr w:type="spellStart"/>
      <w:r w:rsidRPr="00A541A2">
        <w:rPr>
          <w:rFonts w:cs="Calibri"/>
          <w:color w:val="000000" w:themeColor="text1"/>
          <w:sz w:val="23"/>
          <w:szCs w:val="23"/>
        </w:rPr>
        <w:t>Saúl</w:t>
      </w:r>
      <w:proofErr w:type="spellEnd"/>
      <w:r w:rsidRPr="00A541A2">
        <w:rPr>
          <w:rFonts w:cs="Calibri"/>
          <w:color w:val="000000" w:themeColor="text1"/>
          <w:sz w:val="23"/>
          <w:szCs w:val="23"/>
        </w:rPr>
        <w:t xml:space="preserve"> Pérez-</w:t>
      </w:r>
      <w:proofErr w:type="spellStart"/>
      <w:r w:rsidRPr="00A541A2">
        <w:rPr>
          <w:rFonts w:cs="Calibri"/>
          <w:color w:val="000000" w:themeColor="text1"/>
          <w:sz w:val="23"/>
          <w:szCs w:val="23"/>
        </w:rPr>
        <w:t>Tamarit</w:t>
      </w:r>
      <w:r w:rsidR="00606B86">
        <w:rPr>
          <w:rFonts w:cs="Calibri"/>
          <w:color w:val="000000" w:themeColor="text1"/>
          <w:sz w:val="23"/>
          <w:szCs w:val="23"/>
          <w:vertAlign w:val="superscript"/>
        </w:rPr>
        <w:t>a</w:t>
      </w:r>
      <w:proofErr w:type="spellEnd"/>
      <w:r w:rsidRPr="00A541A2">
        <w:rPr>
          <w:rFonts w:cs="Calibri"/>
          <w:color w:val="000000" w:themeColor="text1"/>
          <w:sz w:val="23"/>
          <w:szCs w:val="23"/>
        </w:rPr>
        <w:t xml:space="preserve">, </w:t>
      </w:r>
      <w:proofErr w:type="spellStart"/>
      <w:r w:rsidRPr="00A541A2">
        <w:rPr>
          <w:rFonts w:cs="Calibri"/>
          <w:color w:val="000000" w:themeColor="text1"/>
          <w:sz w:val="23"/>
          <w:szCs w:val="23"/>
        </w:rPr>
        <w:t>Suset</w:t>
      </w:r>
      <w:proofErr w:type="spellEnd"/>
      <w:r w:rsidRPr="00A541A2">
        <w:rPr>
          <w:rFonts w:cs="Calibri"/>
          <w:color w:val="000000" w:themeColor="text1"/>
          <w:sz w:val="23"/>
          <w:szCs w:val="23"/>
        </w:rPr>
        <w:t xml:space="preserve"> Barroso-</w:t>
      </w:r>
      <w:proofErr w:type="spellStart"/>
      <w:proofErr w:type="gramStart"/>
      <w:r w:rsidRPr="00A541A2">
        <w:rPr>
          <w:rFonts w:cs="Calibri"/>
          <w:color w:val="000000" w:themeColor="text1"/>
          <w:sz w:val="23"/>
          <w:szCs w:val="23"/>
        </w:rPr>
        <w:t>Solares</w:t>
      </w:r>
      <w:r w:rsidRPr="00A541A2">
        <w:rPr>
          <w:rFonts w:cs="Calibri"/>
          <w:color w:val="000000" w:themeColor="text1"/>
          <w:sz w:val="23"/>
          <w:szCs w:val="23"/>
          <w:vertAlign w:val="superscript"/>
        </w:rPr>
        <w:t>a,</w:t>
      </w:r>
      <w:r w:rsidR="00454A74">
        <w:rPr>
          <w:rFonts w:cs="Calibri"/>
          <w:color w:val="000000" w:themeColor="text1"/>
          <w:sz w:val="23"/>
          <w:szCs w:val="23"/>
          <w:vertAlign w:val="superscript"/>
        </w:rPr>
        <w:t>b</w:t>
      </w:r>
      <w:proofErr w:type="spellEnd"/>
      <w:proofErr w:type="gramEnd"/>
      <w:r w:rsidRPr="00A541A2">
        <w:rPr>
          <w:rFonts w:cs="Calibri"/>
          <w:color w:val="000000" w:themeColor="text1"/>
          <w:sz w:val="23"/>
          <w:szCs w:val="23"/>
        </w:rPr>
        <w:t xml:space="preserve">, Javier </w:t>
      </w:r>
      <w:proofErr w:type="spellStart"/>
      <w:r w:rsidRPr="00A541A2">
        <w:rPr>
          <w:rFonts w:cs="Calibri"/>
          <w:color w:val="000000" w:themeColor="text1"/>
          <w:sz w:val="23"/>
          <w:szCs w:val="23"/>
        </w:rPr>
        <w:t>Pinto</w:t>
      </w:r>
      <w:r w:rsidRPr="00A541A2">
        <w:rPr>
          <w:rFonts w:cs="Calibri"/>
          <w:color w:val="000000" w:themeColor="text1"/>
          <w:sz w:val="23"/>
          <w:szCs w:val="23"/>
          <w:vertAlign w:val="superscript"/>
        </w:rPr>
        <w:t>a,</w:t>
      </w:r>
      <w:r w:rsidR="00454A74">
        <w:rPr>
          <w:rFonts w:cs="Calibri"/>
          <w:color w:val="000000" w:themeColor="text1"/>
          <w:sz w:val="23"/>
          <w:szCs w:val="23"/>
          <w:vertAlign w:val="superscript"/>
        </w:rPr>
        <w:t>b</w:t>
      </w:r>
      <w:proofErr w:type="spellEnd"/>
      <w:r w:rsidRPr="00A541A2">
        <w:rPr>
          <w:rFonts w:cs="Calibri"/>
          <w:color w:val="000000" w:themeColor="text1"/>
          <w:sz w:val="23"/>
          <w:szCs w:val="23"/>
        </w:rPr>
        <w:t>, Miguel Ángel Rodríguez-</w:t>
      </w:r>
      <w:proofErr w:type="spellStart"/>
      <w:r w:rsidRPr="00A541A2">
        <w:rPr>
          <w:rFonts w:cs="Calibri"/>
          <w:color w:val="000000" w:themeColor="text1"/>
          <w:sz w:val="23"/>
          <w:szCs w:val="23"/>
        </w:rPr>
        <w:t>Pérez</w:t>
      </w:r>
      <w:r w:rsidRPr="00A541A2">
        <w:rPr>
          <w:rFonts w:cs="Calibri"/>
          <w:color w:val="000000" w:themeColor="text1"/>
          <w:sz w:val="23"/>
          <w:szCs w:val="23"/>
          <w:vertAlign w:val="superscript"/>
        </w:rPr>
        <w:t>a,</w:t>
      </w:r>
      <w:r w:rsidR="00454A74">
        <w:rPr>
          <w:rFonts w:cs="Calibri"/>
          <w:color w:val="000000" w:themeColor="text1"/>
          <w:sz w:val="23"/>
          <w:szCs w:val="23"/>
          <w:vertAlign w:val="superscript"/>
        </w:rPr>
        <w:t>b</w:t>
      </w:r>
      <w:proofErr w:type="spellEnd"/>
    </w:p>
    <w:p w14:paraId="4AFCD6A7" w14:textId="77777777" w:rsidR="00CA75D2" w:rsidRPr="002E38FD" w:rsidRDefault="00CA75D2" w:rsidP="00CA75D2">
      <w:pPr>
        <w:spacing w:before="120" w:after="240" w:line="24" w:lineRule="atLeast"/>
        <w:jc w:val="center"/>
        <w:rPr>
          <w:color w:val="000000" w:themeColor="text1"/>
          <w:sz w:val="22"/>
          <w:szCs w:val="22"/>
        </w:rPr>
      </w:pPr>
      <w:r w:rsidRPr="002E38FD">
        <w:rPr>
          <w:color w:val="000000" w:themeColor="text1"/>
          <w:sz w:val="22"/>
          <w:szCs w:val="22"/>
          <w:vertAlign w:val="superscript"/>
        </w:rPr>
        <w:t>a</w:t>
      </w:r>
      <w:r w:rsidRPr="002E38FD">
        <w:rPr>
          <w:color w:val="000000" w:themeColor="text1"/>
          <w:sz w:val="22"/>
          <w:szCs w:val="22"/>
        </w:rPr>
        <w:t xml:space="preserve"> Cellular Materials Laboratory (CellMat), Condensed Matter Physics Department, University of Valladolid, </w:t>
      </w:r>
      <w:proofErr w:type="spellStart"/>
      <w:r w:rsidRPr="002E38FD">
        <w:rPr>
          <w:color w:val="000000" w:themeColor="text1"/>
          <w:sz w:val="22"/>
          <w:szCs w:val="22"/>
        </w:rPr>
        <w:t>Paseo</w:t>
      </w:r>
      <w:proofErr w:type="spellEnd"/>
      <w:r w:rsidRPr="002E38FD">
        <w:rPr>
          <w:color w:val="000000" w:themeColor="text1"/>
          <w:sz w:val="22"/>
          <w:szCs w:val="22"/>
        </w:rPr>
        <w:t xml:space="preserve"> Belen 7, Valladolid 47011, Spain</w:t>
      </w:r>
    </w:p>
    <w:p w14:paraId="4965CCC3" w14:textId="7CEC142A" w:rsidR="00CA75D2" w:rsidRPr="002E38FD" w:rsidRDefault="00454A74" w:rsidP="00CA75D2">
      <w:pPr>
        <w:spacing w:before="240" w:after="240" w:line="24" w:lineRule="atLeast"/>
        <w:jc w:val="center"/>
        <w:rPr>
          <w:color w:val="000000" w:themeColor="text1"/>
          <w:sz w:val="22"/>
          <w:szCs w:val="22"/>
        </w:rPr>
      </w:pPr>
      <w:proofErr w:type="spellStart"/>
      <w:r>
        <w:rPr>
          <w:color w:val="000000" w:themeColor="text1"/>
          <w:sz w:val="22"/>
          <w:szCs w:val="22"/>
          <w:vertAlign w:val="superscript"/>
        </w:rPr>
        <w:t>b</w:t>
      </w:r>
      <w:r w:rsidR="00CA75D2" w:rsidRPr="002E38FD">
        <w:rPr>
          <w:color w:val="000000" w:themeColor="text1"/>
          <w:sz w:val="22"/>
          <w:szCs w:val="22"/>
        </w:rPr>
        <w:t>BioEcoUva</w:t>
      </w:r>
      <w:proofErr w:type="spellEnd"/>
      <w:r w:rsidR="00CA75D2" w:rsidRPr="002E38FD">
        <w:rPr>
          <w:color w:val="000000" w:themeColor="text1"/>
          <w:sz w:val="22"/>
          <w:szCs w:val="22"/>
        </w:rPr>
        <w:t>. Research Institute on Bioeconomy, University of Valladolid</w:t>
      </w:r>
    </w:p>
    <w:p w14:paraId="0FC04178" w14:textId="6C9A6611" w:rsidR="00CA75D2" w:rsidRDefault="00CA75D2" w:rsidP="00CA75D2">
      <w:pPr>
        <w:spacing w:before="240" w:after="240" w:line="24" w:lineRule="atLeast"/>
        <w:jc w:val="center"/>
        <w:rPr>
          <w:sz w:val="22"/>
          <w:szCs w:val="22"/>
          <w:lang w:val="en-US"/>
        </w:rPr>
      </w:pPr>
      <w:r w:rsidRPr="00A541A2">
        <w:rPr>
          <w:color w:val="000000" w:themeColor="text1"/>
          <w:sz w:val="22"/>
          <w:szCs w:val="22"/>
          <w:lang w:val="en-US"/>
        </w:rPr>
        <w:t>*</w:t>
      </w:r>
      <w:r w:rsidRPr="00A541A2">
        <w:rPr>
          <w:sz w:val="22"/>
          <w:szCs w:val="22"/>
          <w:lang w:val="en-US"/>
        </w:rPr>
        <w:t xml:space="preserve"> Correspondence: Paula Cimavilla Román </w:t>
      </w:r>
      <w:bookmarkStart w:id="1" w:name="_Hlk83727633"/>
      <w:r w:rsidRPr="00A541A2">
        <w:rPr>
          <w:sz w:val="22"/>
          <w:szCs w:val="22"/>
          <w:lang w:val="en-US"/>
        </w:rPr>
        <w:t xml:space="preserve">(E-mail: </w:t>
      </w:r>
      <w:hyperlink r:id="rId7" w:history="1">
        <w:r w:rsidRPr="00A541A2">
          <w:rPr>
            <w:rStyle w:val="Hyperlink"/>
            <w:sz w:val="22"/>
            <w:szCs w:val="22"/>
            <w:lang w:val="en-US"/>
          </w:rPr>
          <w:t>paulacimavilla@fmc.uva.es</w:t>
        </w:r>
      </w:hyperlink>
      <w:r w:rsidRPr="00A541A2">
        <w:rPr>
          <w:sz w:val="22"/>
          <w:szCs w:val="22"/>
          <w:lang w:val="en-US"/>
        </w:rPr>
        <w:t>)</w:t>
      </w:r>
      <w:bookmarkEnd w:id="1"/>
    </w:p>
    <w:p w14:paraId="6463CA43" w14:textId="77777777" w:rsidR="00C95323" w:rsidRPr="00CA75D2" w:rsidRDefault="00C95323" w:rsidP="00CA75D2">
      <w:pPr>
        <w:spacing w:before="240" w:after="200" w:line="20" w:lineRule="atLeast"/>
        <w:jc w:val="center"/>
        <w:rPr>
          <w:sz w:val="22"/>
          <w:szCs w:val="22"/>
          <w:lang w:val="en-US"/>
        </w:rPr>
      </w:pPr>
    </w:p>
    <w:p w14:paraId="0C1E01C0" w14:textId="23364E70" w:rsidR="00C95323" w:rsidRPr="00C42427" w:rsidRDefault="00C95323" w:rsidP="00C95323">
      <w:pPr>
        <w:spacing w:after="120"/>
        <w:jc w:val="left"/>
        <w:rPr>
          <w:rFonts w:eastAsiaTheme="majorEastAsia"/>
          <w:b/>
          <w:sz w:val="26"/>
          <w:szCs w:val="26"/>
        </w:rPr>
      </w:pPr>
      <w:proofErr w:type="spellStart"/>
      <w:r w:rsidRPr="00C42427">
        <w:rPr>
          <w:rFonts w:eastAsiaTheme="majorEastAsia"/>
          <w:b/>
          <w:sz w:val="26"/>
          <w:szCs w:val="26"/>
        </w:rPr>
        <w:t>S1</w:t>
      </w:r>
      <w:proofErr w:type="spellEnd"/>
      <w:r>
        <w:rPr>
          <w:rFonts w:eastAsiaTheme="majorEastAsia"/>
          <w:b/>
          <w:sz w:val="26"/>
          <w:szCs w:val="26"/>
        </w:rPr>
        <w:tab/>
      </w:r>
      <w:r w:rsidRPr="00A01D7B">
        <w:rPr>
          <w:b/>
        </w:rPr>
        <w:t>Attenuation Density Function</w:t>
      </w:r>
      <w:r>
        <w:rPr>
          <w:b/>
        </w:rPr>
        <w:t xml:space="preserve"> of the Polymer Matrix</w:t>
      </w:r>
    </w:p>
    <w:p w14:paraId="7635C870" w14:textId="09FB57BC" w:rsidR="00C95323" w:rsidRPr="00C42427" w:rsidRDefault="00C95323" w:rsidP="00C95323">
      <w:pPr>
        <w:spacing w:after="120"/>
        <w:rPr>
          <w:rFonts w:eastAsiaTheme="majorEastAsia"/>
          <w:bCs/>
        </w:rPr>
      </w:pPr>
      <w:r>
        <w:rPr>
          <w:rFonts w:eastAsiaTheme="majorEastAsia"/>
          <w:bCs/>
        </w:rPr>
        <w:t xml:space="preserve">Figure 2 (b) in the manuscript was obtained after applying the workflow detailed in </w:t>
      </w:r>
      <w:r w:rsidR="00514430">
        <w:rPr>
          <w:rFonts w:eastAsiaTheme="majorEastAsia"/>
          <w:bCs/>
        </w:rPr>
        <w:fldChar w:fldCharType="begin"/>
      </w:r>
      <w:r w:rsidR="00514430">
        <w:rPr>
          <w:rFonts w:eastAsiaTheme="majorEastAsia"/>
          <w:bCs/>
        </w:rPr>
        <w:instrText xml:space="preserve"> REF _Ref90979183 \h  \* MERGEFORMAT </w:instrText>
      </w:r>
      <w:r w:rsidR="00514430">
        <w:rPr>
          <w:rFonts w:eastAsiaTheme="majorEastAsia"/>
          <w:bCs/>
        </w:rPr>
      </w:r>
      <w:r w:rsidR="00514430">
        <w:rPr>
          <w:rFonts w:eastAsiaTheme="majorEastAsia"/>
          <w:bCs/>
        </w:rPr>
        <w:fldChar w:fldCharType="separate"/>
      </w:r>
      <w:r w:rsidR="00561F70" w:rsidRPr="00561F70">
        <w:rPr>
          <w:rFonts w:eastAsiaTheme="majorEastAsia"/>
          <w:bCs/>
        </w:rPr>
        <w:t xml:space="preserve">Figure </w:t>
      </w:r>
      <w:proofErr w:type="spellStart"/>
      <w:r w:rsidR="00561F70" w:rsidRPr="00561F70">
        <w:rPr>
          <w:rFonts w:eastAsiaTheme="majorEastAsia"/>
          <w:bCs/>
        </w:rPr>
        <w:t>S1</w:t>
      </w:r>
      <w:proofErr w:type="spellEnd"/>
      <w:r w:rsidR="00514430">
        <w:rPr>
          <w:rFonts w:eastAsiaTheme="majorEastAsia"/>
          <w:bCs/>
        </w:rPr>
        <w:fldChar w:fldCharType="end"/>
      </w:r>
      <w:r>
        <w:rPr>
          <w:rFonts w:eastAsiaTheme="majorEastAsia"/>
          <w:bCs/>
        </w:rPr>
        <w:t>. To obtain the gas phase histogram (</w:t>
      </w:r>
      <w:r w:rsidR="00514430">
        <w:rPr>
          <w:rFonts w:eastAsiaTheme="majorEastAsia"/>
          <w:bCs/>
        </w:rPr>
        <w:fldChar w:fldCharType="begin"/>
      </w:r>
      <w:r w:rsidR="00514430">
        <w:rPr>
          <w:rFonts w:eastAsiaTheme="majorEastAsia"/>
          <w:bCs/>
        </w:rPr>
        <w:instrText xml:space="preserve"> REF _Ref90979183 \h  \* MERGEFORMAT </w:instrText>
      </w:r>
      <w:r w:rsidR="00514430">
        <w:rPr>
          <w:rFonts w:eastAsiaTheme="majorEastAsia"/>
          <w:bCs/>
        </w:rPr>
      </w:r>
      <w:r w:rsidR="00514430">
        <w:rPr>
          <w:rFonts w:eastAsiaTheme="majorEastAsia"/>
          <w:bCs/>
        </w:rPr>
        <w:fldChar w:fldCharType="separate"/>
      </w:r>
      <w:r w:rsidR="00561F70" w:rsidRPr="00561F70">
        <w:rPr>
          <w:rFonts w:eastAsiaTheme="majorEastAsia"/>
          <w:bCs/>
        </w:rPr>
        <w:t xml:space="preserve">Figure </w:t>
      </w:r>
      <w:proofErr w:type="spellStart"/>
      <w:r w:rsidR="00561F70" w:rsidRPr="00561F70">
        <w:rPr>
          <w:rFonts w:eastAsiaTheme="majorEastAsia"/>
          <w:bCs/>
        </w:rPr>
        <w:t>S1</w:t>
      </w:r>
      <w:proofErr w:type="spellEnd"/>
      <w:r w:rsidR="00514430">
        <w:rPr>
          <w:rFonts w:eastAsiaTheme="majorEastAsia"/>
          <w:bCs/>
        </w:rPr>
        <w:fldChar w:fldCharType="end"/>
      </w:r>
      <w:r>
        <w:rPr>
          <w:rFonts w:eastAsiaTheme="majorEastAsia"/>
          <w:bCs/>
        </w:rPr>
        <w:t xml:space="preserve">(f)) the original tomography volumes had to be </w:t>
      </w:r>
      <w:proofErr w:type="spellStart"/>
      <w:r>
        <w:rPr>
          <w:rFonts w:eastAsiaTheme="majorEastAsia"/>
          <w:bCs/>
        </w:rPr>
        <w:t>binarised</w:t>
      </w:r>
      <w:proofErr w:type="spellEnd"/>
      <w:r>
        <w:rPr>
          <w:rFonts w:eastAsiaTheme="majorEastAsia"/>
          <w:bCs/>
        </w:rPr>
        <w:t xml:space="preserve">. A satisfactory </w:t>
      </w:r>
      <w:proofErr w:type="spellStart"/>
      <w:r>
        <w:rPr>
          <w:rFonts w:eastAsiaTheme="majorEastAsia"/>
          <w:bCs/>
        </w:rPr>
        <w:t>binarisation</w:t>
      </w:r>
      <w:proofErr w:type="spellEnd"/>
      <w:r>
        <w:rPr>
          <w:rFonts w:eastAsiaTheme="majorEastAsia"/>
          <w:bCs/>
        </w:rPr>
        <w:t xml:space="preserve"> of the gas phase was achieved after applying the </w:t>
      </w:r>
      <w:proofErr w:type="spellStart"/>
      <w:r w:rsidR="003D1FD3">
        <w:rPr>
          <w:rFonts w:eastAsiaTheme="majorEastAsia"/>
          <w:bCs/>
        </w:rPr>
        <w:t>2D</w:t>
      </w:r>
      <w:proofErr w:type="spellEnd"/>
      <w:r w:rsidR="003D1FD3">
        <w:rPr>
          <w:rFonts w:eastAsiaTheme="majorEastAsia"/>
          <w:bCs/>
        </w:rPr>
        <w:t xml:space="preserve"> </w:t>
      </w:r>
      <w:r>
        <w:rPr>
          <w:rFonts w:eastAsiaTheme="majorEastAsia"/>
          <w:bCs/>
        </w:rPr>
        <w:t xml:space="preserve">Anisotropic Diffusion filter implemented </w:t>
      </w:r>
      <w:r w:rsidR="00454A74">
        <w:rPr>
          <w:rFonts w:eastAsiaTheme="majorEastAsia"/>
          <w:bCs/>
        </w:rPr>
        <w:t>i</w:t>
      </w:r>
      <w:r w:rsidR="003D1FD3">
        <w:rPr>
          <w:rFonts w:eastAsiaTheme="majorEastAsia"/>
          <w:bCs/>
        </w:rPr>
        <w:t>n</w:t>
      </w:r>
      <w:r>
        <w:rPr>
          <w:rFonts w:eastAsiaTheme="majorEastAsia"/>
          <w:bCs/>
        </w:rPr>
        <w:t xml:space="preserve"> Fiji (parameters: 20 iterations, smooth 1, d</w:t>
      </w:r>
      <w:r w:rsidRPr="00464351">
        <w:rPr>
          <w:rFonts w:eastAsiaTheme="majorEastAsia"/>
          <w:bCs/>
        </w:rPr>
        <w:t>iffusion limiter along minimal variation</w:t>
      </w:r>
      <w:r>
        <w:rPr>
          <w:rFonts w:eastAsiaTheme="majorEastAsia"/>
          <w:bCs/>
        </w:rPr>
        <w:t xml:space="preserve"> 0.5, d</w:t>
      </w:r>
      <w:r w:rsidRPr="00464351">
        <w:rPr>
          <w:rFonts w:eastAsiaTheme="majorEastAsia"/>
          <w:bCs/>
        </w:rPr>
        <w:t>iffusion limiter along maximal variation</w:t>
      </w:r>
      <w:r>
        <w:rPr>
          <w:rFonts w:eastAsiaTheme="majorEastAsia"/>
          <w:bCs/>
        </w:rPr>
        <w:t xml:space="preserve"> 0.9, t</w:t>
      </w:r>
      <w:r w:rsidRPr="00464351">
        <w:rPr>
          <w:rFonts w:eastAsiaTheme="majorEastAsia"/>
          <w:bCs/>
        </w:rPr>
        <w:t>ime step</w:t>
      </w:r>
      <w:r>
        <w:rPr>
          <w:rFonts w:eastAsiaTheme="majorEastAsia"/>
          <w:bCs/>
        </w:rPr>
        <w:t xml:space="preserve"> 20</w:t>
      </w:r>
      <w:r w:rsidR="003D1FD3">
        <w:rPr>
          <w:rFonts w:eastAsiaTheme="majorEastAsia"/>
          <w:bCs/>
        </w:rPr>
        <w:t>,</w:t>
      </w:r>
      <w:r>
        <w:rPr>
          <w:rFonts w:eastAsiaTheme="majorEastAsia"/>
          <w:bCs/>
        </w:rPr>
        <w:t xml:space="preserve"> and edge threshold 10). The diffusion filter permitted to homogenise the attenuation values of gas inside the cells. To ensure correct subtraction of the attenuation density functions the volume fraction </w:t>
      </w:r>
      <w:r w:rsidR="00514430">
        <w:rPr>
          <w:rFonts w:eastAsiaTheme="majorEastAsia"/>
          <w:bCs/>
        </w:rPr>
        <w:t xml:space="preserve">of </w:t>
      </w:r>
      <w:r>
        <w:rPr>
          <w:rFonts w:eastAsiaTheme="majorEastAsia"/>
          <w:bCs/>
        </w:rPr>
        <w:t xml:space="preserve">gas </w:t>
      </w:r>
      <w:proofErr w:type="spellStart"/>
      <w:r>
        <w:rPr>
          <w:rFonts w:eastAsiaTheme="majorEastAsia"/>
          <w:bCs/>
        </w:rPr>
        <w:t>binarised</w:t>
      </w:r>
      <w:proofErr w:type="spellEnd"/>
      <w:r>
        <w:rPr>
          <w:rFonts w:eastAsiaTheme="majorEastAsia"/>
          <w:bCs/>
        </w:rPr>
        <w:t xml:space="preserve"> </w:t>
      </w:r>
      <w:r w:rsidR="003D40B2">
        <w:rPr>
          <w:rFonts w:eastAsiaTheme="majorEastAsia"/>
          <w:bCs/>
        </w:rPr>
        <w:t>had to</w:t>
      </w:r>
      <w:r>
        <w:rPr>
          <w:rFonts w:eastAsiaTheme="majorEastAsia"/>
          <w:bCs/>
        </w:rPr>
        <w:t xml:space="preserve"> be equivalent to the macroscopic porosity of the sample. </w:t>
      </w:r>
      <w:r w:rsidR="007E615C">
        <w:rPr>
          <w:rFonts w:eastAsiaTheme="majorEastAsia"/>
          <w:bCs/>
        </w:rPr>
        <w:t>Finally,</w:t>
      </w:r>
      <w:r w:rsidR="00514430">
        <w:rPr>
          <w:rFonts w:eastAsiaTheme="majorEastAsia"/>
          <w:bCs/>
        </w:rPr>
        <w:t xml:space="preserve"> to obtain Figure 2 (b) in the manuscript the subtraction of the probability density plots in </w:t>
      </w:r>
      <w:r w:rsidR="00514430">
        <w:rPr>
          <w:rFonts w:eastAsiaTheme="majorEastAsia"/>
          <w:bCs/>
        </w:rPr>
        <w:fldChar w:fldCharType="begin"/>
      </w:r>
      <w:r w:rsidR="00514430">
        <w:rPr>
          <w:rFonts w:eastAsiaTheme="majorEastAsia"/>
          <w:bCs/>
        </w:rPr>
        <w:instrText xml:space="preserve"> REF _Ref90979183 \h  \* MERGEFORMAT </w:instrText>
      </w:r>
      <w:r w:rsidR="00514430">
        <w:rPr>
          <w:rFonts w:eastAsiaTheme="majorEastAsia"/>
          <w:bCs/>
        </w:rPr>
      </w:r>
      <w:r w:rsidR="00514430">
        <w:rPr>
          <w:rFonts w:eastAsiaTheme="majorEastAsia"/>
          <w:bCs/>
        </w:rPr>
        <w:fldChar w:fldCharType="separate"/>
      </w:r>
      <w:r w:rsidR="00561F70" w:rsidRPr="00561F70">
        <w:rPr>
          <w:rFonts w:eastAsiaTheme="majorEastAsia"/>
          <w:bCs/>
        </w:rPr>
        <w:t xml:space="preserve">Figure </w:t>
      </w:r>
      <w:proofErr w:type="spellStart"/>
      <w:r w:rsidR="00561F70" w:rsidRPr="00561F70">
        <w:rPr>
          <w:rFonts w:eastAsiaTheme="majorEastAsia"/>
          <w:bCs/>
        </w:rPr>
        <w:t>S1</w:t>
      </w:r>
      <w:proofErr w:type="spellEnd"/>
      <w:r w:rsidR="00514430">
        <w:rPr>
          <w:rFonts w:eastAsiaTheme="majorEastAsia"/>
          <w:bCs/>
        </w:rPr>
        <w:fldChar w:fldCharType="end"/>
      </w:r>
      <w:r w:rsidR="00514430">
        <w:rPr>
          <w:rFonts w:eastAsiaTheme="majorEastAsia"/>
          <w:bCs/>
        </w:rPr>
        <w:t xml:space="preserve"> (b) and (f) was performed numerically.</w:t>
      </w:r>
    </w:p>
    <w:p w14:paraId="08576F89" w14:textId="77777777" w:rsidR="00C95323" w:rsidRPr="00C95323" w:rsidRDefault="00C95323" w:rsidP="000F7CED">
      <w:pPr>
        <w:pStyle w:val="Caption"/>
        <w:keepNext/>
        <w:spacing w:before="240" w:after="120"/>
        <w:jc w:val="center"/>
        <w:rPr>
          <w:b/>
          <w:i w:val="0"/>
          <w:color w:val="auto"/>
          <w:sz w:val="20"/>
          <w14:numForm w14:val="lining"/>
        </w:rPr>
      </w:pPr>
      <w:r w:rsidRPr="00C95323">
        <w:rPr>
          <w:b/>
          <w:i w:val="0"/>
          <w:noProof/>
          <w:color w:val="auto"/>
          <w:sz w:val="20"/>
          <w14:numForm w14:val="lining"/>
        </w:rPr>
        <w:lastRenderedPageBreak/>
        <w:drawing>
          <wp:inline distT="0" distB="0" distL="0" distR="0" wp14:anchorId="4525648F" wp14:editId="2198F38C">
            <wp:extent cx="5400000" cy="2366936"/>
            <wp:effectExtent l="0" t="0" r="0" b="0"/>
            <wp:docPr id="2" name="Imagen 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6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88C94" w14:textId="5958AC83" w:rsidR="003D1FD3" w:rsidRPr="00932587" w:rsidRDefault="00C95323" w:rsidP="00932587">
      <w:pPr>
        <w:pStyle w:val="Caption"/>
        <w:keepNext/>
        <w:spacing w:before="240" w:after="240"/>
        <w:rPr>
          <w:bCs/>
          <w:i w:val="0"/>
          <w:color w:val="auto"/>
          <w:sz w:val="20"/>
          <w14:numForm w14:val="lining"/>
        </w:rPr>
      </w:pPr>
      <w:bookmarkStart w:id="2" w:name="_Ref90979183"/>
      <w:r w:rsidRPr="00C95323">
        <w:rPr>
          <w:b/>
          <w:i w:val="0"/>
          <w:color w:val="auto"/>
          <w:sz w:val="20"/>
          <w14:numForm w14:val="lining"/>
        </w:rPr>
        <w:t xml:space="preserve">Figure </w:t>
      </w:r>
      <w:proofErr w:type="spellStart"/>
      <w:r w:rsidRPr="00C95323">
        <w:rPr>
          <w:b/>
          <w:i w:val="0"/>
          <w:color w:val="auto"/>
          <w:sz w:val="20"/>
          <w14:numForm w14:val="lining"/>
        </w:rPr>
        <w:t>S</w:t>
      </w:r>
      <w:r w:rsidRPr="00C95323">
        <w:rPr>
          <w:b/>
          <w:i w:val="0"/>
          <w:color w:val="auto"/>
          <w:sz w:val="20"/>
          <w14:numForm w14:val="lining"/>
        </w:rPr>
        <w:fldChar w:fldCharType="begin"/>
      </w:r>
      <w:r w:rsidRPr="00C95323">
        <w:rPr>
          <w:b/>
          <w:i w:val="0"/>
          <w:color w:val="auto"/>
          <w:sz w:val="20"/>
          <w14:numForm w14:val="lining"/>
        </w:rPr>
        <w:instrText xml:space="preserve"> SEQ Figure \* ARABIC </w:instrText>
      </w:r>
      <w:r w:rsidRPr="00C95323">
        <w:rPr>
          <w:b/>
          <w:i w:val="0"/>
          <w:color w:val="auto"/>
          <w:sz w:val="20"/>
          <w14:numForm w14:val="lining"/>
        </w:rPr>
        <w:fldChar w:fldCharType="separate"/>
      </w:r>
      <w:r w:rsidR="00561F70">
        <w:rPr>
          <w:b/>
          <w:i w:val="0"/>
          <w:noProof/>
          <w:color w:val="auto"/>
          <w:sz w:val="20"/>
          <w14:numForm w14:val="lining"/>
        </w:rPr>
        <w:t>1</w:t>
      </w:r>
      <w:proofErr w:type="spellEnd"/>
      <w:r w:rsidRPr="00C95323">
        <w:rPr>
          <w:b/>
          <w:i w:val="0"/>
          <w:color w:val="auto"/>
          <w:sz w:val="20"/>
          <w14:numForm w14:val="lining"/>
        </w:rPr>
        <w:fldChar w:fldCharType="end"/>
      </w:r>
      <w:bookmarkEnd w:id="2"/>
      <w:r w:rsidRPr="00C95323">
        <w:rPr>
          <w:b/>
          <w:i w:val="0"/>
          <w:color w:val="auto"/>
          <w:sz w:val="20"/>
          <w14:numForm w14:val="lining"/>
        </w:rPr>
        <w:t xml:space="preserve">: </w:t>
      </w:r>
      <w:r w:rsidRPr="00C95323">
        <w:rPr>
          <w:bCs/>
          <w:i w:val="0"/>
          <w:color w:val="auto"/>
          <w:sz w:val="20"/>
          <w14:numForm w14:val="lining"/>
        </w:rPr>
        <w:t xml:space="preserve">Workflow for obtaining the solid phase attenuation density function (Figure 2 (b)). From the lab-scale tomography volumes (a), the attenuation density function for the foam (gas + polymer) is then calculated performing a spline interpolation to the attenuation values histogram (bin size: 0.01) (b). Next, an anisotropic diffusion filter was applied to the lab-scale tomography volumes (c), and the filtered volume was </w:t>
      </w:r>
      <w:proofErr w:type="spellStart"/>
      <w:r w:rsidRPr="00C95323">
        <w:rPr>
          <w:bCs/>
          <w:i w:val="0"/>
          <w:color w:val="auto"/>
          <w:sz w:val="20"/>
          <w14:numForm w14:val="lining"/>
        </w:rPr>
        <w:t>binarised</w:t>
      </w:r>
      <w:proofErr w:type="spellEnd"/>
      <w:r w:rsidRPr="00C95323">
        <w:rPr>
          <w:bCs/>
          <w:i w:val="0"/>
          <w:color w:val="auto"/>
          <w:sz w:val="20"/>
          <w14:numForm w14:val="lining"/>
        </w:rPr>
        <w:t xml:space="preserve"> to obtain the gas phase inside the cells (d). ROIs were created from the </w:t>
      </w:r>
      <w:proofErr w:type="spellStart"/>
      <w:r w:rsidRPr="00C95323">
        <w:rPr>
          <w:bCs/>
          <w:i w:val="0"/>
          <w:color w:val="auto"/>
          <w:sz w:val="20"/>
          <w14:numForm w14:val="lining"/>
        </w:rPr>
        <w:t>binarised</w:t>
      </w:r>
      <w:proofErr w:type="spellEnd"/>
      <w:r w:rsidRPr="00C95323">
        <w:rPr>
          <w:bCs/>
          <w:i w:val="0"/>
          <w:color w:val="auto"/>
          <w:sz w:val="20"/>
          <w14:numForm w14:val="lining"/>
        </w:rPr>
        <w:t xml:space="preserve"> volume (e) and after applying them on the original lab-scale reconstructed volumes (a) the attenuation density function of the gas could be computed (f).</w:t>
      </w:r>
    </w:p>
    <w:p w14:paraId="35336932" w14:textId="1CDC109E" w:rsidR="0061657D" w:rsidRDefault="0061657D" w:rsidP="0061657D">
      <w:pPr>
        <w:spacing w:after="120"/>
        <w:jc w:val="left"/>
        <w:rPr>
          <w:b/>
        </w:rPr>
      </w:pPr>
      <w:proofErr w:type="spellStart"/>
      <w:r w:rsidRPr="00C42427">
        <w:rPr>
          <w:rFonts w:eastAsiaTheme="majorEastAsia"/>
          <w:b/>
          <w:sz w:val="26"/>
          <w:szCs w:val="26"/>
        </w:rPr>
        <w:t>S</w:t>
      </w:r>
      <w:r>
        <w:rPr>
          <w:rFonts w:eastAsiaTheme="majorEastAsia"/>
          <w:b/>
          <w:sz w:val="26"/>
          <w:szCs w:val="26"/>
        </w:rPr>
        <w:t>2</w:t>
      </w:r>
      <w:proofErr w:type="spellEnd"/>
      <w:r>
        <w:rPr>
          <w:rFonts w:eastAsiaTheme="majorEastAsia"/>
          <w:b/>
          <w:sz w:val="26"/>
          <w:szCs w:val="26"/>
        </w:rPr>
        <w:tab/>
      </w:r>
      <w:r>
        <w:rPr>
          <w:b/>
        </w:rPr>
        <w:t xml:space="preserve">Normalisation factor: </w:t>
      </w:r>
      <w:r w:rsidR="00315642">
        <w:rPr>
          <w:b/>
        </w:rPr>
        <w:t>Watershed segmentation</w:t>
      </w:r>
      <w:r w:rsidRPr="0061657D">
        <w:rPr>
          <w:b/>
        </w:rPr>
        <w:t xml:space="preserve"> method</w:t>
      </w:r>
    </w:p>
    <w:p w14:paraId="1640CD99" w14:textId="2B7304F2" w:rsidR="0061657D" w:rsidRPr="0061657D" w:rsidRDefault="0061657D" w:rsidP="0061657D">
      <w:pPr>
        <w:spacing w:after="120"/>
        <w:jc w:val="left"/>
        <w:rPr>
          <w:rFonts w:eastAsiaTheme="majorEastAsia"/>
          <w:bCs/>
        </w:rPr>
      </w:pPr>
      <w:proofErr w:type="spellStart"/>
      <w:r>
        <w:rPr>
          <w:rFonts w:eastAsiaTheme="majorEastAsia"/>
          <w:bCs/>
        </w:rPr>
        <w:t>Eq</w:t>
      </w:r>
      <w:proofErr w:type="spellEnd"/>
      <w:r>
        <w:rPr>
          <w:rFonts w:eastAsiaTheme="majorEastAsia"/>
          <w:bCs/>
        </w:rPr>
        <w:t xml:space="preserve"> (7) in the manuscript is obtained following the derivation detailed in </w:t>
      </w:r>
      <w:r>
        <w:rPr>
          <w:rFonts w:eastAsiaTheme="majorEastAsia"/>
          <w:bCs/>
        </w:rPr>
        <w:fldChar w:fldCharType="begin"/>
      </w:r>
      <w:r>
        <w:rPr>
          <w:rFonts w:eastAsiaTheme="majorEastAsia"/>
          <w:bCs/>
        </w:rPr>
        <w:instrText xml:space="preserve"> REF _Ref91417435  \* MERGEFORMAT </w:instrText>
      </w:r>
      <w:r>
        <w:rPr>
          <w:rFonts w:eastAsiaTheme="majorEastAsia"/>
          <w:bCs/>
        </w:rPr>
        <w:fldChar w:fldCharType="separate"/>
      </w:r>
      <w:r w:rsidR="00561F70" w:rsidRPr="00561F70">
        <w:rPr>
          <w:rFonts w:eastAsiaTheme="majorEastAsia"/>
          <w:bCs/>
        </w:rPr>
        <w:t xml:space="preserve">Figure </w:t>
      </w:r>
      <w:proofErr w:type="spellStart"/>
      <w:r w:rsidR="00561F70" w:rsidRPr="00561F70">
        <w:rPr>
          <w:rFonts w:eastAsiaTheme="majorEastAsia"/>
          <w:bCs/>
        </w:rPr>
        <w:t>S2</w:t>
      </w:r>
      <w:proofErr w:type="spellEnd"/>
      <w:r>
        <w:rPr>
          <w:rFonts w:eastAsiaTheme="majorEastAsia"/>
          <w:bCs/>
        </w:rPr>
        <w:fldChar w:fldCharType="end"/>
      </w:r>
      <w:r>
        <w:rPr>
          <w:rFonts w:eastAsiaTheme="majorEastAsia"/>
          <w:bCs/>
        </w:rPr>
        <w:t>.</w:t>
      </w:r>
    </w:p>
    <w:p w14:paraId="47053D7A" w14:textId="77777777" w:rsidR="009318FF" w:rsidRDefault="00737002" w:rsidP="009318FF">
      <w:pPr>
        <w:keepNext/>
        <w:spacing w:after="0"/>
      </w:pPr>
      <w:r>
        <w:rPr>
          <w:noProof/>
        </w:rPr>
        <w:drawing>
          <wp:inline distT="0" distB="0" distL="0" distR="0" wp14:anchorId="768D7479" wp14:editId="567D42F0">
            <wp:extent cx="5400000" cy="2033093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033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257DF8" w14:textId="697DDEDF" w:rsidR="00737002" w:rsidRPr="0061657D" w:rsidRDefault="009318FF" w:rsidP="00932587">
      <w:pPr>
        <w:pStyle w:val="Caption"/>
        <w:spacing w:after="240"/>
        <w:jc w:val="center"/>
        <w:rPr>
          <w:i w:val="0"/>
          <w:iCs w:val="0"/>
          <w:color w:val="auto"/>
        </w:rPr>
      </w:pPr>
      <w:bookmarkStart w:id="3" w:name="_Ref91417435"/>
      <w:r w:rsidRPr="009318FF">
        <w:rPr>
          <w:b/>
          <w:bCs/>
          <w:i w:val="0"/>
          <w:iCs w:val="0"/>
          <w:color w:val="auto"/>
        </w:rPr>
        <w:t>Figure</w:t>
      </w:r>
      <w:r w:rsidRPr="0061657D">
        <w:rPr>
          <w:b/>
          <w:bCs/>
          <w:i w:val="0"/>
          <w:iCs w:val="0"/>
          <w:color w:val="auto"/>
        </w:rPr>
        <w:t xml:space="preserve"> </w:t>
      </w:r>
      <w:proofErr w:type="spellStart"/>
      <w:r w:rsidRPr="0061657D">
        <w:rPr>
          <w:b/>
          <w:bCs/>
          <w:i w:val="0"/>
          <w:iCs w:val="0"/>
          <w:color w:val="auto"/>
        </w:rPr>
        <w:t>S</w:t>
      </w:r>
      <w:r w:rsidRPr="0061657D">
        <w:rPr>
          <w:b/>
          <w:bCs/>
          <w:i w:val="0"/>
          <w:iCs w:val="0"/>
          <w:color w:val="auto"/>
        </w:rPr>
        <w:fldChar w:fldCharType="begin"/>
      </w:r>
      <w:r w:rsidRPr="0061657D">
        <w:rPr>
          <w:b/>
          <w:bCs/>
          <w:i w:val="0"/>
          <w:iCs w:val="0"/>
          <w:color w:val="auto"/>
        </w:rPr>
        <w:instrText xml:space="preserve"> SEQ Figure \* ARABIC </w:instrText>
      </w:r>
      <w:r w:rsidRPr="0061657D">
        <w:rPr>
          <w:b/>
          <w:bCs/>
          <w:i w:val="0"/>
          <w:iCs w:val="0"/>
          <w:color w:val="auto"/>
        </w:rPr>
        <w:fldChar w:fldCharType="separate"/>
      </w:r>
      <w:r w:rsidR="00561F70">
        <w:rPr>
          <w:b/>
          <w:bCs/>
          <w:i w:val="0"/>
          <w:iCs w:val="0"/>
          <w:noProof/>
          <w:color w:val="auto"/>
        </w:rPr>
        <w:t>2</w:t>
      </w:r>
      <w:proofErr w:type="spellEnd"/>
      <w:r w:rsidRPr="0061657D">
        <w:rPr>
          <w:b/>
          <w:bCs/>
          <w:i w:val="0"/>
          <w:iCs w:val="0"/>
          <w:color w:val="auto"/>
        </w:rPr>
        <w:fldChar w:fldCharType="end"/>
      </w:r>
      <w:bookmarkEnd w:id="3"/>
      <w:r w:rsidRPr="0061657D">
        <w:rPr>
          <w:i w:val="0"/>
          <w:iCs w:val="0"/>
          <w:color w:val="auto"/>
        </w:rPr>
        <w:t xml:space="preserve">: Steps to obtain the normalisation factor for the fraction of mass in the struts obtained from laboratory tomographies using the </w:t>
      </w:r>
      <w:r w:rsidR="00A77CCF" w:rsidRPr="00A77CCF">
        <w:rPr>
          <w:i w:val="0"/>
          <w:iCs w:val="0"/>
          <w:color w:val="auto"/>
        </w:rPr>
        <w:t>Watershed segmentation method</w:t>
      </w:r>
      <w:r w:rsidR="0061657D" w:rsidRPr="0061657D">
        <w:rPr>
          <w:i w:val="0"/>
          <w:iCs w:val="0"/>
          <w:color w:val="auto"/>
        </w:rPr>
        <w:t>.</w:t>
      </w:r>
    </w:p>
    <w:p w14:paraId="046328A7" w14:textId="2836EFE1" w:rsidR="00C95323" w:rsidRPr="00C95323" w:rsidRDefault="00C95323" w:rsidP="00C95323">
      <w:pPr>
        <w:spacing w:after="120"/>
        <w:jc w:val="left"/>
        <w:rPr>
          <w:rFonts w:eastAsiaTheme="majorEastAsia"/>
          <w:b/>
          <w:sz w:val="26"/>
          <w:szCs w:val="26"/>
        </w:rPr>
      </w:pPr>
      <w:proofErr w:type="spellStart"/>
      <w:r w:rsidRPr="00C42427">
        <w:rPr>
          <w:rFonts w:eastAsiaTheme="majorEastAsia"/>
          <w:b/>
          <w:sz w:val="26"/>
          <w:szCs w:val="26"/>
        </w:rPr>
        <w:t>S</w:t>
      </w:r>
      <w:r w:rsidR="0061657D">
        <w:rPr>
          <w:rFonts w:eastAsiaTheme="majorEastAsia"/>
          <w:b/>
          <w:sz w:val="26"/>
          <w:szCs w:val="26"/>
        </w:rPr>
        <w:t>3</w:t>
      </w:r>
      <w:proofErr w:type="spellEnd"/>
      <w:r>
        <w:rPr>
          <w:rFonts w:eastAsiaTheme="majorEastAsia"/>
          <w:b/>
          <w:sz w:val="26"/>
          <w:szCs w:val="26"/>
        </w:rPr>
        <w:tab/>
      </w:r>
      <w:r w:rsidR="002D0E22">
        <w:rPr>
          <w:b/>
        </w:rPr>
        <w:t>Volume fraction of polymer in sub-pixel cell walls</w:t>
      </w:r>
    </w:p>
    <w:p w14:paraId="41D9E6AC" w14:textId="7E9B960D" w:rsidR="00AB55A3" w:rsidRDefault="002D0E22" w:rsidP="00C95323">
      <w:r>
        <w:t xml:space="preserve">Using eq. 3 </w:t>
      </w:r>
      <w:r w:rsidR="00332310">
        <w:t xml:space="preserve">in the manuscript </w:t>
      </w:r>
      <w:r>
        <w:t xml:space="preserve">and the </w:t>
      </w:r>
      <w:r w:rsidR="008A3217">
        <w:t>right</w:t>
      </w:r>
      <w:r>
        <w:t xml:space="preserve"> attenuation </w:t>
      </w:r>
      <w:r w:rsidR="00AD6582">
        <w:t>coefficients</w:t>
      </w:r>
      <w:r>
        <w:t xml:space="preserve"> of the gas and polymer phase it </w:t>
      </w:r>
      <w:r w:rsidR="000F7CED">
        <w:t>is</w:t>
      </w:r>
      <w:r>
        <w:t xml:space="preserve"> possible to obtain the fraction of polymer in </w:t>
      </w:r>
      <w:r w:rsidR="000F7CED">
        <w:t xml:space="preserve">the </w:t>
      </w:r>
      <w:r w:rsidR="00ED2235">
        <w:t>under</w:t>
      </w:r>
      <w:r w:rsidR="008A3217">
        <w:t>-</w:t>
      </w:r>
      <w:r w:rsidR="00ED2235">
        <w:t xml:space="preserve">resolved cell walls. </w:t>
      </w:r>
      <w:r w:rsidR="008A3217">
        <w:t>However</w:t>
      </w:r>
      <w:r w:rsidR="004B3111">
        <w:t xml:space="preserve">, the choice of </w:t>
      </w:r>
      <w:r w:rsidR="008A3217">
        <w:t xml:space="preserve">an </w:t>
      </w:r>
      <w:r w:rsidR="004B3111">
        <w:t xml:space="preserve">attenuation </w:t>
      </w:r>
      <w:r w:rsidR="008A3217">
        <w:t>coefficient</w:t>
      </w:r>
      <w:r w:rsidR="004B3111">
        <w:t xml:space="preserve"> for each phase is</w:t>
      </w:r>
      <w:r w:rsidR="008A3217">
        <w:t xml:space="preserve"> not obvious since gas or high thickness polymer regions (struts) show a spectrum of attenuation values (Figure </w:t>
      </w:r>
      <w:proofErr w:type="spellStart"/>
      <w:r w:rsidR="008A3217">
        <w:t>S1</w:t>
      </w:r>
      <w:proofErr w:type="spellEnd"/>
      <w:r w:rsidR="008A3217">
        <w:t xml:space="preserve"> (f) and Figure 9).</w:t>
      </w:r>
      <w:r w:rsidR="003E5277">
        <w:t xml:space="preserve"> </w:t>
      </w:r>
      <w:r w:rsidR="00332310">
        <w:t xml:space="preserve">To obtain reasonable results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μ</m:t>
                </m:r>
              </m:e>
            </m:acc>
          </m:e>
          <m:sub>
            <m:r>
              <w:rPr>
                <w:rFonts w:ascii="Cambria Math" w:eastAsiaTheme="majorEastAsia" w:hAnsi="Cambria Math"/>
                <w:vertAlign w:val="subscript"/>
              </w:rPr>
              <m:t>s</m:t>
            </m:r>
          </m:sub>
        </m:sSub>
      </m:oMath>
      <w:r w:rsidR="003E5277">
        <w:t xml:space="preserve"> </w:t>
      </w:r>
      <w:r w:rsidR="00332310">
        <w:t>must be</w:t>
      </w:r>
      <w:r w:rsidR="008A3217">
        <w:t xml:space="preserve"> the minimum attenuation value </w:t>
      </w:r>
      <w:r w:rsidR="003E5277">
        <w:t>of</w:t>
      </w:r>
      <w:r w:rsidR="00BB2785">
        <w:t xml:space="preserve"> </w:t>
      </w:r>
      <w:r w:rsidR="003E5277">
        <w:t xml:space="preserve">solid with thickness above the pixel size </w:t>
      </w:r>
      <w:r w:rsidR="00BB2785">
        <w:t>(</w:t>
      </w:r>
      <w:r w:rsidR="003E5277">
        <w:t xml:space="preserve">for </w:t>
      </w:r>
      <w:proofErr w:type="spellStart"/>
      <w:r w:rsidR="003E5277">
        <w:lastRenderedPageBreak/>
        <w:t>RPU</w:t>
      </w:r>
      <w:proofErr w:type="spellEnd"/>
      <w:r w:rsidR="003E5277">
        <w:t xml:space="preserve"> foams that is the minimum value of the struts attenuation density function </w:t>
      </w:r>
      <w:r w:rsidR="008A3217">
        <w:t>Figure 9 (a)</w:t>
      </w:r>
      <w:r w:rsidR="00BB2785" w:rsidRPr="007B716F">
        <w:t>).</w:t>
      </w:r>
      <w:r w:rsidR="003E5277">
        <w:t xml:space="preserve"> Using larger attenuation values for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μ</m:t>
                </m:r>
              </m:e>
            </m:acc>
          </m:e>
          <m:sub>
            <m:r>
              <w:rPr>
                <w:rFonts w:ascii="Cambria Math" w:eastAsiaTheme="majorEastAsia" w:hAnsi="Cambria Math"/>
                <w:vertAlign w:val="subscript"/>
              </w:rPr>
              <m:t>s</m:t>
            </m:r>
          </m:sub>
        </m:sSub>
      </m:oMath>
      <w:r w:rsidR="003E5277">
        <w:t xml:space="preserve"> would imply that solid elements thicker than the pixel size are, according to eq. 3, a mix of gas and solid phase.</w:t>
      </w:r>
      <w:r w:rsidR="00BB2785">
        <w:t xml:space="preserve"> </w:t>
      </w:r>
      <w:r w:rsidR="008A3217">
        <w:t xml:space="preserve">Therefore, </w:t>
      </w:r>
      <w:r w:rsidR="003E5277">
        <w:t>any value</w:t>
      </w:r>
      <w:r w:rsidR="008A3217">
        <w:t xml:space="preserve"> below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μ</m:t>
                </m:r>
              </m:e>
            </m:acc>
          </m:e>
          <m:sub>
            <m:r>
              <w:rPr>
                <w:rFonts w:ascii="Cambria Math" w:eastAsiaTheme="majorEastAsia" w:hAnsi="Cambria Math"/>
                <w:vertAlign w:val="subscript"/>
              </w:rPr>
              <m:t>s</m:t>
            </m:r>
          </m:sub>
        </m:sSub>
      </m:oMath>
      <w:r w:rsidR="008A3217">
        <w:t xml:space="preserve"> will correspond to regions with sizes below the pixel</w:t>
      </w:r>
      <w:r w:rsidR="000F7CED">
        <w:t xml:space="preserve"> s</w:t>
      </w:r>
      <w:r w:rsidR="008A3217">
        <w:t>ize. F</w:t>
      </w:r>
      <w:r w:rsidR="00BB2785">
        <w:t>or the gas phase t</w:t>
      </w:r>
      <w:r w:rsidR="00ED2235">
        <w:t xml:space="preserve">he </w:t>
      </w:r>
      <w:r w:rsidR="00BB2785">
        <w:t>representative</w:t>
      </w:r>
      <w:r w:rsidR="00ED2235">
        <w:t xml:space="preserve"> attenuation coefficient </w:t>
      </w:r>
      <w:r w:rsidR="00BB2785"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μ</m:t>
                </m:r>
              </m:e>
            </m:acc>
          </m:e>
          <m:sub>
            <m:r>
              <w:rPr>
                <w:rFonts w:ascii="Cambria Math" w:eastAsiaTheme="majorEastAsia" w:hAnsi="Cambria Math"/>
                <w:vertAlign w:val="subscript"/>
              </w:rPr>
              <m:t>g</m:t>
            </m:r>
          </m:sub>
        </m:sSub>
      </m:oMath>
      <w:r w:rsidR="00BB2785">
        <w:t xml:space="preserve">) </w:t>
      </w:r>
      <w:r w:rsidR="00ED2235">
        <w:t>can be obtained from</w:t>
      </w:r>
      <w:r w:rsidR="00BB2785">
        <w:t xml:space="preserve"> the</w:t>
      </w:r>
      <w:r w:rsidR="00ED2235">
        <w:t xml:space="preserve"> probability density function in </w:t>
      </w:r>
      <w:r w:rsidR="00AB7064">
        <w:fldChar w:fldCharType="begin"/>
      </w:r>
      <w:r w:rsidR="00AB7064">
        <w:instrText xml:space="preserve"> REF _Ref90979183  \* MERGEFORMAT </w:instrText>
      </w:r>
      <w:r w:rsidR="00AB7064">
        <w:fldChar w:fldCharType="separate"/>
      </w:r>
      <w:r w:rsidR="00561F70" w:rsidRPr="00561F70">
        <w:t xml:space="preserve">Figure </w:t>
      </w:r>
      <w:proofErr w:type="spellStart"/>
      <w:r w:rsidR="00561F70" w:rsidRPr="00561F70">
        <w:t>S1</w:t>
      </w:r>
      <w:proofErr w:type="spellEnd"/>
      <w:r w:rsidR="00AB7064">
        <w:fldChar w:fldCharType="end"/>
      </w:r>
      <w:r w:rsidR="00ED2235">
        <w:t xml:space="preserve">(f). The average value of the density function is </w:t>
      </w:r>
      <w:r w:rsidR="00B962DE">
        <w:t xml:space="preserve">approximately 0 (exact value </w:t>
      </w:r>
      <w:r w:rsidR="00BB2785" w:rsidRPr="007B716F">
        <w:t>-</w:t>
      </w:r>
      <w:r w:rsidR="00ED2235" w:rsidRPr="007B716F">
        <w:t>0.0</w:t>
      </w:r>
      <w:r w:rsidR="00BB2785" w:rsidRPr="007B716F">
        <w:t>07</w:t>
      </w:r>
      <w:r w:rsidR="00B962DE">
        <w:t>)</w:t>
      </w:r>
      <w:r w:rsidR="00ED2235">
        <w:t xml:space="preserve"> </w:t>
      </w:r>
      <w:r w:rsidR="00BB2785">
        <w:t>excluding shading areas.</w:t>
      </w:r>
      <w:r w:rsidR="001C4223">
        <w:t xml:space="preserve"> </w:t>
      </w:r>
      <w:r w:rsidR="00332310">
        <w:t>I</w:t>
      </w:r>
      <w:r w:rsidR="002A6921">
        <w:t xml:space="preserve">n </w:t>
      </w:r>
      <w:r w:rsidR="00AB7064">
        <w:fldChar w:fldCharType="begin"/>
      </w:r>
      <w:r w:rsidR="00AB7064">
        <w:instrText xml:space="preserve"> REF _Ref91260962  \* MERGEFORMAT </w:instrText>
      </w:r>
      <w:r w:rsidR="00AB7064">
        <w:fldChar w:fldCharType="separate"/>
      </w:r>
      <w:r w:rsidR="00561F70" w:rsidRPr="00561F70">
        <w:t xml:space="preserve">Figure </w:t>
      </w:r>
      <w:proofErr w:type="spellStart"/>
      <w:r w:rsidR="00561F70" w:rsidRPr="00561F70">
        <w:t>S3</w:t>
      </w:r>
      <w:proofErr w:type="spellEnd"/>
      <w:r w:rsidR="00AB7064">
        <w:fldChar w:fldCharType="end"/>
      </w:r>
      <w:r w:rsidR="00FB0791">
        <w:t xml:space="preserve"> (a)</w:t>
      </w:r>
      <w:r w:rsidR="00AB7064">
        <w:t xml:space="preserve"> </w:t>
      </w:r>
      <w:r w:rsidR="002A6921">
        <w:t>the change in attenuation with the volume fraction of polymer can be seen</w:t>
      </w:r>
      <w:r w:rsidR="008A3217">
        <w:t xml:space="preserve">. </w:t>
      </w:r>
      <w:r w:rsidR="00FB0791">
        <w:t xml:space="preserve">In addition, </w:t>
      </w:r>
      <w:r w:rsidR="003E5277">
        <w:t xml:space="preserve">the cell walls attenuation probability density function in Figure 9 (a) was transformed into volume fraction of solid using eq. 3. Then, </w:t>
      </w:r>
      <w:r w:rsidR="00FB0791">
        <w:t xml:space="preserve">assuming that the solid thickness in </w:t>
      </w:r>
      <w:r w:rsidR="003E5277">
        <w:t>partial</w:t>
      </w:r>
      <w:r w:rsidR="00FB0791">
        <w:t xml:space="preserve"> pixel</w:t>
      </w:r>
      <w:r w:rsidR="003E5277">
        <w:t>s</w:t>
      </w:r>
      <w:r w:rsidR="00FB0791">
        <w:t xml:space="preserve"> is </w:t>
      </w:r>
      <w:r w:rsidR="007B716F">
        <w:t xml:space="preserve">equal to </w:t>
      </w:r>
      <w:r w:rsidR="003E5277">
        <w:t>the</w:t>
      </w:r>
      <w:r w:rsidR="008A3217">
        <w:t xml:space="preserve"> </w:t>
      </w:r>
      <w:r w:rsidR="007B716F">
        <w:t>volume fraction times the pixel size the probability density function of the cell walls can be expressed in terms of its thickness (</w:t>
      </w:r>
      <w:r w:rsidR="007B716F">
        <w:fldChar w:fldCharType="begin"/>
      </w:r>
      <w:r w:rsidR="007B716F">
        <w:instrText xml:space="preserve"> REF _Ref91260962  \* MERGEFORMAT </w:instrText>
      </w:r>
      <w:r w:rsidR="007B716F">
        <w:fldChar w:fldCharType="separate"/>
      </w:r>
      <w:r w:rsidR="00561F70" w:rsidRPr="00561F70">
        <w:t xml:space="preserve">Figure </w:t>
      </w:r>
      <w:proofErr w:type="spellStart"/>
      <w:r w:rsidR="00561F70" w:rsidRPr="00561F70">
        <w:t>S3</w:t>
      </w:r>
      <w:proofErr w:type="spellEnd"/>
      <w:r w:rsidR="007B716F">
        <w:fldChar w:fldCharType="end"/>
      </w:r>
      <w:r w:rsidR="007B716F">
        <w:t xml:space="preserve"> (b)).</w:t>
      </w:r>
    </w:p>
    <w:p w14:paraId="5AD368E1" w14:textId="77777777" w:rsidR="0065038A" w:rsidRDefault="0065038A" w:rsidP="00AB7064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64542369" wp14:editId="59BF1ED7">
            <wp:extent cx="5040000" cy="2492105"/>
            <wp:effectExtent l="0" t="0" r="8255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9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A76C3" w14:textId="4BAF90A0" w:rsidR="00EF27AD" w:rsidRPr="003E5277" w:rsidRDefault="0065038A" w:rsidP="00AB7064">
      <w:pPr>
        <w:pStyle w:val="Caption"/>
        <w:jc w:val="center"/>
        <w:rPr>
          <w:bCs/>
          <w:i w:val="0"/>
          <w:color w:val="auto"/>
          <w:sz w:val="20"/>
          <w14:numForm w14:val="lining"/>
        </w:rPr>
      </w:pPr>
      <w:bookmarkStart w:id="4" w:name="_Ref91260962"/>
      <w:r w:rsidRPr="0065038A">
        <w:rPr>
          <w:b/>
          <w:i w:val="0"/>
          <w:color w:val="auto"/>
          <w:sz w:val="20"/>
          <w14:numForm w14:val="lining"/>
        </w:rPr>
        <w:t xml:space="preserve">Figure </w:t>
      </w:r>
      <w:proofErr w:type="spellStart"/>
      <w:r w:rsidRPr="0065038A">
        <w:rPr>
          <w:b/>
          <w:i w:val="0"/>
          <w:color w:val="auto"/>
          <w:sz w:val="20"/>
          <w14:numForm w14:val="lining"/>
        </w:rPr>
        <w:t>S</w:t>
      </w:r>
      <w:r w:rsidRPr="0065038A">
        <w:rPr>
          <w:b/>
          <w:i w:val="0"/>
          <w:color w:val="auto"/>
          <w:sz w:val="20"/>
          <w14:numForm w14:val="lining"/>
        </w:rPr>
        <w:fldChar w:fldCharType="begin"/>
      </w:r>
      <w:r w:rsidRPr="0065038A">
        <w:rPr>
          <w:b/>
          <w:i w:val="0"/>
          <w:color w:val="auto"/>
          <w:sz w:val="20"/>
          <w14:numForm w14:val="lining"/>
        </w:rPr>
        <w:instrText xml:space="preserve"> SEQ Figure \* ARABIC </w:instrText>
      </w:r>
      <w:r w:rsidRPr="0065038A">
        <w:rPr>
          <w:b/>
          <w:i w:val="0"/>
          <w:color w:val="auto"/>
          <w:sz w:val="20"/>
          <w14:numForm w14:val="lining"/>
        </w:rPr>
        <w:fldChar w:fldCharType="separate"/>
      </w:r>
      <w:r w:rsidR="00561F70">
        <w:rPr>
          <w:b/>
          <w:i w:val="0"/>
          <w:noProof/>
          <w:color w:val="auto"/>
          <w:sz w:val="20"/>
          <w14:numForm w14:val="lining"/>
        </w:rPr>
        <w:t>3</w:t>
      </w:r>
      <w:proofErr w:type="spellEnd"/>
      <w:r w:rsidRPr="0065038A">
        <w:rPr>
          <w:b/>
          <w:i w:val="0"/>
          <w:color w:val="auto"/>
          <w:sz w:val="20"/>
          <w14:numForm w14:val="lining"/>
        </w:rPr>
        <w:fldChar w:fldCharType="end"/>
      </w:r>
      <w:bookmarkEnd w:id="4"/>
      <w:r w:rsidR="00AB7064">
        <w:rPr>
          <w:b/>
          <w:i w:val="0"/>
          <w:color w:val="auto"/>
          <w:sz w:val="20"/>
          <w14:numForm w14:val="lining"/>
        </w:rPr>
        <w:t xml:space="preserve">: </w:t>
      </w:r>
      <w:r w:rsidR="003E5277" w:rsidRPr="003E5277">
        <w:rPr>
          <w:bCs/>
          <w:i w:val="0"/>
          <w:color w:val="auto"/>
          <w:sz w:val="20"/>
          <w14:numForm w14:val="lining"/>
        </w:rPr>
        <w:t>(a) The increase in attenuation coefficient of partial pixels (</w:t>
      </w:r>
      <w:proofErr w:type="spellStart"/>
      <w:r w:rsidR="003E5277" w:rsidRPr="003E5277">
        <w:rPr>
          <w:bCs/>
          <w:i w:val="0"/>
          <w:color w:val="auto"/>
          <w:sz w:val="20"/>
          <w14:numForm w14:val="lining"/>
        </w:rPr>
        <w:t>solid+gas</w:t>
      </w:r>
      <w:proofErr w:type="spellEnd"/>
      <w:r w:rsidR="003E5277" w:rsidRPr="003E5277">
        <w:rPr>
          <w:bCs/>
          <w:i w:val="0"/>
          <w:color w:val="auto"/>
          <w:sz w:val="20"/>
          <w14:numForm w14:val="lining"/>
        </w:rPr>
        <w:t xml:space="preserve">) with the fraction of solid is calculated for three different values of </w:t>
      </w:r>
      <m:oMath>
        <m:sSub>
          <m:sSubPr>
            <m:ctrlPr>
              <w:rPr>
                <w:rFonts w:ascii="Cambria Math" w:hAnsi="Cambria Math"/>
                <w:bCs/>
                <w:i w:val="0"/>
                <w:color w:val="auto"/>
                <w:sz w:val="20"/>
                <w14:numForm w14:val="lining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bCs/>
                    <w:i w:val="0"/>
                    <w:color w:val="auto"/>
                    <w:sz w:val="20"/>
                    <w14:numForm w14:val="lining"/>
                  </w:rPr>
                </m:ctrlPr>
              </m:accPr>
              <m:e>
                <m:r>
                  <w:rPr>
                    <w:rFonts w:ascii="Cambria Math" w:hAnsi="Cambria Math"/>
                    <w:color w:val="auto"/>
                    <w:sz w:val="20"/>
                    <w14:numForm w14:val="lining"/>
                  </w:rPr>
                  <m:t>μ</m:t>
                </m:r>
              </m:e>
            </m:acc>
          </m:e>
          <m:sub>
            <m:r>
              <w:rPr>
                <w:rFonts w:ascii="Cambria Math" w:hAnsi="Cambria Math"/>
                <w:color w:val="auto"/>
                <w:sz w:val="20"/>
                <w14:numForm w14:val="lining"/>
              </w:rPr>
              <m:t>s</m:t>
            </m:r>
          </m:sub>
        </m:sSub>
      </m:oMath>
      <w:r w:rsidR="003E5277" w:rsidRPr="003E5277">
        <w:rPr>
          <w:bCs/>
          <w:i w:val="0"/>
          <w:color w:val="auto"/>
          <w:sz w:val="20"/>
          <w14:numForm w14:val="lining"/>
        </w:rPr>
        <w:t xml:space="preserve"> (pure solid attenuation). (b) The cell walls probability density function is presented in terms of the fraction of solid and solid thickness for three different values of </w:t>
      </w:r>
      <m:oMath>
        <m:sSub>
          <m:sSubPr>
            <m:ctrlPr>
              <w:rPr>
                <w:rFonts w:ascii="Cambria Math" w:hAnsi="Cambria Math"/>
                <w:bCs/>
                <w:i w:val="0"/>
                <w:color w:val="auto"/>
                <w:sz w:val="20"/>
                <w14:numForm w14:val="lining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bCs/>
                    <w:i w:val="0"/>
                    <w:color w:val="auto"/>
                    <w:sz w:val="20"/>
                    <w14:numForm w14:val="lining"/>
                  </w:rPr>
                </m:ctrlPr>
              </m:accPr>
              <m:e>
                <m:r>
                  <w:rPr>
                    <w:rFonts w:ascii="Cambria Math" w:hAnsi="Cambria Math"/>
                    <w:color w:val="auto"/>
                    <w:sz w:val="20"/>
                    <w14:numForm w14:val="lining"/>
                  </w:rPr>
                  <m:t>μ</m:t>
                </m:r>
              </m:e>
            </m:acc>
          </m:e>
          <m:sub>
            <m:r>
              <w:rPr>
                <w:rFonts w:ascii="Cambria Math" w:hAnsi="Cambria Math"/>
                <w:color w:val="auto"/>
                <w:sz w:val="20"/>
                <w14:numForm w14:val="lining"/>
              </w:rPr>
              <m:t>s</m:t>
            </m:r>
          </m:sub>
        </m:sSub>
      </m:oMath>
      <w:r w:rsidR="003E5277" w:rsidRPr="003E5277">
        <w:rPr>
          <w:bCs/>
          <w:i w:val="0"/>
          <w:color w:val="auto"/>
          <w:sz w:val="20"/>
          <w14:numForm w14:val="lining"/>
        </w:rPr>
        <w:t>.</w:t>
      </w:r>
    </w:p>
    <w:sectPr w:rsidR="00EF27AD" w:rsidRPr="003E5277" w:rsidSect="00DF14A6">
      <w:footerReference w:type="default" r:id="rId11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F956B" w14:textId="77777777" w:rsidR="008559B3" w:rsidRDefault="008559B3" w:rsidP="007962DD">
      <w:pPr>
        <w:spacing w:after="0" w:line="240" w:lineRule="auto"/>
      </w:pPr>
      <w:r>
        <w:separator/>
      </w:r>
    </w:p>
  </w:endnote>
  <w:endnote w:type="continuationSeparator" w:id="0">
    <w:p w14:paraId="47DA5D67" w14:textId="77777777" w:rsidR="008559B3" w:rsidRDefault="008559B3" w:rsidP="00796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3906741"/>
      <w:docPartObj>
        <w:docPartGallery w:val="Page Numbers (Bottom of Page)"/>
        <w:docPartUnique/>
      </w:docPartObj>
    </w:sdtPr>
    <w:sdtEndPr/>
    <w:sdtContent>
      <w:p w14:paraId="74C0737D" w14:textId="37E778C9" w:rsidR="003A775E" w:rsidRDefault="003A775E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7978598A" w14:textId="77777777" w:rsidR="003A775E" w:rsidRDefault="003A77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B47B3" w14:textId="77777777" w:rsidR="008559B3" w:rsidRDefault="008559B3" w:rsidP="007962DD">
      <w:pPr>
        <w:spacing w:after="0" w:line="240" w:lineRule="auto"/>
      </w:pPr>
      <w:r>
        <w:separator/>
      </w:r>
    </w:p>
  </w:footnote>
  <w:footnote w:type="continuationSeparator" w:id="0">
    <w:p w14:paraId="50EA6319" w14:textId="77777777" w:rsidR="008559B3" w:rsidRDefault="008559B3" w:rsidP="007962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e0sLQ0NbcwNDOyNDBT0lEKTi0uzszPAykwNasFADioWe8tAAAA"/>
  </w:docVars>
  <w:rsids>
    <w:rsidRoot w:val="008510FE"/>
    <w:rsid w:val="000017F4"/>
    <w:rsid w:val="00006392"/>
    <w:rsid w:val="0000671C"/>
    <w:rsid w:val="00006F52"/>
    <w:rsid w:val="00011055"/>
    <w:rsid w:val="000115A6"/>
    <w:rsid w:val="00011F0D"/>
    <w:rsid w:val="000129C5"/>
    <w:rsid w:val="00012DFA"/>
    <w:rsid w:val="000143E0"/>
    <w:rsid w:val="000148EA"/>
    <w:rsid w:val="00015E92"/>
    <w:rsid w:val="00017193"/>
    <w:rsid w:val="00020F80"/>
    <w:rsid w:val="00023412"/>
    <w:rsid w:val="00023C8B"/>
    <w:rsid w:val="0002409A"/>
    <w:rsid w:val="00025181"/>
    <w:rsid w:val="00035E1E"/>
    <w:rsid w:val="00041B53"/>
    <w:rsid w:val="00043461"/>
    <w:rsid w:val="0004419D"/>
    <w:rsid w:val="000463CB"/>
    <w:rsid w:val="00051878"/>
    <w:rsid w:val="0005455C"/>
    <w:rsid w:val="00055C34"/>
    <w:rsid w:val="000613E2"/>
    <w:rsid w:val="00061EFC"/>
    <w:rsid w:val="00066B88"/>
    <w:rsid w:val="000721A5"/>
    <w:rsid w:val="0007468D"/>
    <w:rsid w:val="00075D7C"/>
    <w:rsid w:val="00076A65"/>
    <w:rsid w:val="000827DB"/>
    <w:rsid w:val="00087F9B"/>
    <w:rsid w:val="0009083E"/>
    <w:rsid w:val="00091B25"/>
    <w:rsid w:val="00092188"/>
    <w:rsid w:val="000930DF"/>
    <w:rsid w:val="0009450B"/>
    <w:rsid w:val="000A2EA3"/>
    <w:rsid w:val="000B2E29"/>
    <w:rsid w:val="000B2FBE"/>
    <w:rsid w:val="000B481B"/>
    <w:rsid w:val="000B59B9"/>
    <w:rsid w:val="000B6997"/>
    <w:rsid w:val="000B7EFD"/>
    <w:rsid w:val="000C08F5"/>
    <w:rsid w:val="000C1D3B"/>
    <w:rsid w:val="000C3A57"/>
    <w:rsid w:val="000C430D"/>
    <w:rsid w:val="000C5510"/>
    <w:rsid w:val="000C6F43"/>
    <w:rsid w:val="000C7B8E"/>
    <w:rsid w:val="000D1E65"/>
    <w:rsid w:val="000D5D4C"/>
    <w:rsid w:val="000D779D"/>
    <w:rsid w:val="000E069F"/>
    <w:rsid w:val="000E2B2E"/>
    <w:rsid w:val="000E2B56"/>
    <w:rsid w:val="000E64F5"/>
    <w:rsid w:val="000E6BC6"/>
    <w:rsid w:val="000F04DE"/>
    <w:rsid w:val="000F0ADF"/>
    <w:rsid w:val="000F19B2"/>
    <w:rsid w:val="000F2DE4"/>
    <w:rsid w:val="000F7451"/>
    <w:rsid w:val="000F7CED"/>
    <w:rsid w:val="0010006B"/>
    <w:rsid w:val="0010040C"/>
    <w:rsid w:val="00101484"/>
    <w:rsid w:val="00101BEC"/>
    <w:rsid w:val="00103B64"/>
    <w:rsid w:val="0010510F"/>
    <w:rsid w:val="00106A8F"/>
    <w:rsid w:val="00107A6E"/>
    <w:rsid w:val="001104D5"/>
    <w:rsid w:val="00113D4D"/>
    <w:rsid w:val="0012169D"/>
    <w:rsid w:val="00121829"/>
    <w:rsid w:val="00123F10"/>
    <w:rsid w:val="0012405B"/>
    <w:rsid w:val="0012491C"/>
    <w:rsid w:val="001252F9"/>
    <w:rsid w:val="00130B8E"/>
    <w:rsid w:val="001313F0"/>
    <w:rsid w:val="001317BF"/>
    <w:rsid w:val="00132E48"/>
    <w:rsid w:val="001330F0"/>
    <w:rsid w:val="00134483"/>
    <w:rsid w:val="0013460B"/>
    <w:rsid w:val="00135404"/>
    <w:rsid w:val="0013719F"/>
    <w:rsid w:val="00137C8D"/>
    <w:rsid w:val="00143573"/>
    <w:rsid w:val="0014630F"/>
    <w:rsid w:val="0014767F"/>
    <w:rsid w:val="00151E6C"/>
    <w:rsid w:val="00151F93"/>
    <w:rsid w:val="00153FC4"/>
    <w:rsid w:val="0015499A"/>
    <w:rsid w:val="001555EC"/>
    <w:rsid w:val="00155F68"/>
    <w:rsid w:val="00160F0D"/>
    <w:rsid w:val="0016184A"/>
    <w:rsid w:val="00165EB1"/>
    <w:rsid w:val="0017049B"/>
    <w:rsid w:val="00172A1F"/>
    <w:rsid w:val="00172CC4"/>
    <w:rsid w:val="001742E0"/>
    <w:rsid w:val="00174CA1"/>
    <w:rsid w:val="00175F03"/>
    <w:rsid w:val="0017674E"/>
    <w:rsid w:val="0017794A"/>
    <w:rsid w:val="001833F6"/>
    <w:rsid w:val="00183AA5"/>
    <w:rsid w:val="00183C43"/>
    <w:rsid w:val="00184A87"/>
    <w:rsid w:val="00184B2B"/>
    <w:rsid w:val="00184E53"/>
    <w:rsid w:val="001852D4"/>
    <w:rsid w:val="00185941"/>
    <w:rsid w:val="00185A8D"/>
    <w:rsid w:val="001921D8"/>
    <w:rsid w:val="00193E95"/>
    <w:rsid w:val="001A280D"/>
    <w:rsid w:val="001A30F3"/>
    <w:rsid w:val="001A398B"/>
    <w:rsid w:val="001A5ACB"/>
    <w:rsid w:val="001A61B1"/>
    <w:rsid w:val="001A69ED"/>
    <w:rsid w:val="001B2FE1"/>
    <w:rsid w:val="001B32CF"/>
    <w:rsid w:val="001B474C"/>
    <w:rsid w:val="001B6749"/>
    <w:rsid w:val="001B6D54"/>
    <w:rsid w:val="001B7353"/>
    <w:rsid w:val="001C3B05"/>
    <w:rsid w:val="001C3B10"/>
    <w:rsid w:val="001C4223"/>
    <w:rsid w:val="001C5122"/>
    <w:rsid w:val="001C74AB"/>
    <w:rsid w:val="001C7956"/>
    <w:rsid w:val="001D393A"/>
    <w:rsid w:val="001D470B"/>
    <w:rsid w:val="001D728A"/>
    <w:rsid w:val="001D7912"/>
    <w:rsid w:val="001E3C1B"/>
    <w:rsid w:val="001E43F1"/>
    <w:rsid w:val="001E46BE"/>
    <w:rsid w:val="001E4C3C"/>
    <w:rsid w:val="001E5CC5"/>
    <w:rsid w:val="001F55BC"/>
    <w:rsid w:val="001F6751"/>
    <w:rsid w:val="001F68D1"/>
    <w:rsid w:val="001F79F4"/>
    <w:rsid w:val="00200EE1"/>
    <w:rsid w:val="00216342"/>
    <w:rsid w:val="0022000B"/>
    <w:rsid w:val="00220FFE"/>
    <w:rsid w:val="00221F5C"/>
    <w:rsid w:val="00222761"/>
    <w:rsid w:val="00223F45"/>
    <w:rsid w:val="0022623C"/>
    <w:rsid w:val="0023164F"/>
    <w:rsid w:val="00231C92"/>
    <w:rsid w:val="00233609"/>
    <w:rsid w:val="00236446"/>
    <w:rsid w:val="002375B5"/>
    <w:rsid w:val="0024112B"/>
    <w:rsid w:val="0024176D"/>
    <w:rsid w:val="00242CB9"/>
    <w:rsid w:val="002444BA"/>
    <w:rsid w:val="00244979"/>
    <w:rsid w:val="002461B8"/>
    <w:rsid w:val="00250B74"/>
    <w:rsid w:val="002514B4"/>
    <w:rsid w:val="00252845"/>
    <w:rsid w:val="00252969"/>
    <w:rsid w:val="00252C14"/>
    <w:rsid w:val="00255A98"/>
    <w:rsid w:val="00257008"/>
    <w:rsid w:val="0026175F"/>
    <w:rsid w:val="002729F4"/>
    <w:rsid w:val="00273026"/>
    <w:rsid w:val="0027434C"/>
    <w:rsid w:val="00276270"/>
    <w:rsid w:val="0027773C"/>
    <w:rsid w:val="00277829"/>
    <w:rsid w:val="002809AF"/>
    <w:rsid w:val="00280C2A"/>
    <w:rsid w:val="00281035"/>
    <w:rsid w:val="00285AE7"/>
    <w:rsid w:val="00287504"/>
    <w:rsid w:val="002877C7"/>
    <w:rsid w:val="00291836"/>
    <w:rsid w:val="00292CD4"/>
    <w:rsid w:val="00297986"/>
    <w:rsid w:val="002A04CF"/>
    <w:rsid w:val="002A6921"/>
    <w:rsid w:val="002A76E4"/>
    <w:rsid w:val="002B29F7"/>
    <w:rsid w:val="002B2EBE"/>
    <w:rsid w:val="002B48B2"/>
    <w:rsid w:val="002B54D3"/>
    <w:rsid w:val="002B66F2"/>
    <w:rsid w:val="002C3A70"/>
    <w:rsid w:val="002C4571"/>
    <w:rsid w:val="002C45D5"/>
    <w:rsid w:val="002C558E"/>
    <w:rsid w:val="002C7B0D"/>
    <w:rsid w:val="002C7F26"/>
    <w:rsid w:val="002D0E22"/>
    <w:rsid w:val="002D2B02"/>
    <w:rsid w:val="002D5567"/>
    <w:rsid w:val="002E2194"/>
    <w:rsid w:val="002E38FD"/>
    <w:rsid w:val="002E6418"/>
    <w:rsid w:val="002F1954"/>
    <w:rsid w:val="002F265D"/>
    <w:rsid w:val="002F4F1F"/>
    <w:rsid w:val="002F6363"/>
    <w:rsid w:val="0030149E"/>
    <w:rsid w:val="00305F0B"/>
    <w:rsid w:val="003134F0"/>
    <w:rsid w:val="00313B7B"/>
    <w:rsid w:val="00315642"/>
    <w:rsid w:val="0031577A"/>
    <w:rsid w:val="0031604D"/>
    <w:rsid w:val="0032037F"/>
    <w:rsid w:val="00324DC9"/>
    <w:rsid w:val="00325355"/>
    <w:rsid w:val="003255FE"/>
    <w:rsid w:val="00326671"/>
    <w:rsid w:val="003277C8"/>
    <w:rsid w:val="00331F51"/>
    <w:rsid w:val="00332310"/>
    <w:rsid w:val="003330C3"/>
    <w:rsid w:val="003356F3"/>
    <w:rsid w:val="00335B40"/>
    <w:rsid w:val="00337777"/>
    <w:rsid w:val="00337C76"/>
    <w:rsid w:val="00337F13"/>
    <w:rsid w:val="003409ED"/>
    <w:rsid w:val="00343ECD"/>
    <w:rsid w:val="0034423D"/>
    <w:rsid w:val="00345AD3"/>
    <w:rsid w:val="003475DE"/>
    <w:rsid w:val="00354521"/>
    <w:rsid w:val="003605FE"/>
    <w:rsid w:val="00360650"/>
    <w:rsid w:val="0036226E"/>
    <w:rsid w:val="00362C8F"/>
    <w:rsid w:val="00363B80"/>
    <w:rsid w:val="0036657A"/>
    <w:rsid w:val="00370334"/>
    <w:rsid w:val="00373015"/>
    <w:rsid w:val="00374AE0"/>
    <w:rsid w:val="00374F7C"/>
    <w:rsid w:val="00375794"/>
    <w:rsid w:val="003818E9"/>
    <w:rsid w:val="00383FE6"/>
    <w:rsid w:val="00385F98"/>
    <w:rsid w:val="00386E1C"/>
    <w:rsid w:val="00391FA1"/>
    <w:rsid w:val="00395C7D"/>
    <w:rsid w:val="00397077"/>
    <w:rsid w:val="003971AD"/>
    <w:rsid w:val="0039727B"/>
    <w:rsid w:val="003A004F"/>
    <w:rsid w:val="003A03CC"/>
    <w:rsid w:val="003A0F73"/>
    <w:rsid w:val="003A1D07"/>
    <w:rsid w:val="003A2A8E"/>
    <w:rsid w:val="003A553D"/>
    <w:rsid w:val="003A5ADE"/>
    <w:rsid w:val="003A6A4E"/>
    <w:rsid w:val="003A775E"/>
    <w:rsid w:val="003B0914"/>
    <w:rsid w:val="003B4B72"/>
    <w:rsid w:val="003C1B6F"/>
    <w:rsid w:val="003C3821"/>
    <w:rsid w:val="003C6C56"/>
    <w:rsid w:val="003C7201"/>
    <w:rsid w:val="003C76C2"/>
    <w:rsid w:val="003D05FF"/>
    <w:rsid w:val="003D1FD3"/>
    <w:rsid w:val="003D40B2"/>
    <w:rsid w:val="003D4255"/>
    <w:rsid w:val="003D57BB"/>
    <w:rsid w:val="003D5C24"/>
    <w:rsid w:val="003D752D"/>
    <w:rsid w:val="003E3667"/>
    <w:rsid w:val="003E3C35"/>
    <w:rsid w:val="003E5277"/>
    <w:rsid w:val="003E5C03"/>
    <w:rsid w:val="003E7278"/>
    <w:rsid w:val="003F1F7E"/>
    <w:rsid w:val="00400358"/>
    <w:rsid w:val="004009C2"/>
    <w:rsid w:val="004017E7"/>
    <w:rsid w:val="00401D0B"/>
    <w:rsid w:val="004034E1"/>
    <w:rsid w:val="0040355E"/>
    <w:rsid w:val="00405629"/>
    <w:rsid w:val="0041398A"/>
    <w:rsid w:val="00416A0D"/>
    <w:rsid w:val="00420B4B"/>
    <w:rsid w:val="0042266F"/>
    <w:rsid w:val="00426AF3"/>
    <w:rsid w:val="0042728B"/>
    <w:rsid w:val="00430FF7"/>
    <w:rsid w:val="00431508"/>
    <w:rsid w:val="00432548"/>
    <w:rsid w:val="0043494F"/>
    <w:rsid w:val="0043529A"/>
    <w:rsid w:val="0043612E"/>
    <w:rsid w:val="00437C24"/>
    <w:rsid w:val="00437FCA"/>
    <w:rsid w:val="00441B22"/>
    <w:rsid w:val="00443343"/>
    <w:rsid w:val="00443B95"/>
    <w:rsid w:val="00446EFB"/>
    <w:rsid w:val="0045096C"/>
    <w:rsid w:val="00453518"/>
    <w:rsid w:val="004535D1"/>
    <w:rsid w:val="00454A74"/>
    <w:rsid w:val="00454AE4"/>
    <w:rsid w:val="0046023F"/>
    <w:rsid w:val="00460AA4"/>
    <w:rsid w:val="00462C5E"/>
    <w:rsid w:val="00463927"/>
    <w:rsid w:val="00464D23"/>
    <w:rsid w:val="00465BF0"/>
    <w:rsid w:val="004700D3"/>
    <w:rsid w:val="00472D13"/>
    <w:rsid w:val="004732ED"/>
    <w:rsid w:val="00473A66"/>
    <w:rsid w:val="0047426A"/>
    <w:rsid w:val="004752C9"/>
    <w:rsid w:val="00475E27"/>
    <w:rsid w:val="0047703D"/>
    <w:rsid w:val="0048155A"/>
    <w:rsid w:val="00481B12"/>
    <w:rsid w:val="00485159"/>
    <w:rsid w:val="00487313"/>
    <w:rsid w:val="0049037A"/>
    <w:rsid w:val="00495D5B"/>
    <w:rsid w:val="004961E8"/>
    <w:rsid w:val="00497024"/>
    <w:rsid w:val="00497E2A"/>
    <w:rsid w:val="004A0F0B"/>
    <w:rsid w:val="004A449D"/>
    <w:rsid w:val="004A57B4"/>
    <w:rsid w:val="004A68FC"/>
    <w:rsid w:val="004B2221"/>
    <w:rsid w:val="004B3111"/>
    <w:rsid w:val="004B5C4F"/>
    <w:rsid w:val="004C1CC3"/>
    <w:rsid w:val="004C2769"/>
    <w:rsid w:val="004C2FED"/>
    <w:rsid w:val="004C4219"/>
    <w:rsid w:val="004D3B1F"/>
    <w:rsid w:val="004D4430"/>
    <w:rsid w:val="004D46C2"/>
    <w:rsid w:val="004E2760"/>
    <w:rsid w:val="004E4C3C"/>
    <w:rsid w:val="004F0A2F"/>
    <w:rsid w:val="004F1F3B"/>
    <w:rsid w:val="004F2CFB"/>
    <w:rsid w:val="004F3517"/>
    <w:rsid w:val="004F4B3F"/>
    <w:rsid w:val="004F5935"/>
    <w:rsid w:val="004F5995"/>
    <w:rsid w:val="004F716D"/>
    <w:rsid w:val="004F7211"/>
    <w:rsid w:val="00501EA1"/>
    <w:rsid w:val="00503600"/>
    <w:rsid w:val="00507568"/>
    <w:rsid w:val="00507CCB"/>
    <w:rsid w:val="0051345A"/>
    <w:rsid w:val="00514041"/>
    <w:rsid w:val="00514430"/>
    <w:rsid w:val="005177A2"/>
    <w:rsid w:val="00521E3B"/>
    <w:rsid w:val="00521FEE"/>
    <w:rsid w:val="0052590D"/>
    <w:rsid w:val="0052692B"/>
    <w:rsid w:val="005279C1"/>
    <w:rsid w:val="0053051D"/>
    <w:rsid w:val="005307F5"/>
    <w:rsid w:val="00533DCB"/>
    <w:rsid w:val="00534571"/>
    <w:rsid w:val="00537AF5"/>
    <w:rsid w:val="00545CA2"/>
    <w:rsid w:val="00546BC1"/>
    <w:rsid w:val="005517E6"/>
    <w:rsid w:val="005528B9"/>
    <w:rsid w:val="00553A38"/>
    <w:rsid w:val="005546E8"/>
    <w:rsid w:val="00555AC1"/>
    <w:rsid w:val="00561F70"/>
    <w:rsid w:val="00562197"/>
    <w:rsid w:val="00562B7A"/>
    <w:rsid w:val="0056520E"/>
    <w:rsid w:val="00566526"/>
    <w:rsid w:val="00574D24"/>
    <w:rsid w:val="00575173"/>
    <w:rsid w:val="00576203"/>
    <w:rsid w:val="00576D9E"/>
    <w:rsid w:val="00582EDE"/>
    <w:rsid w:val="00585A7A"/>
    <w:rsid w:val="00586D19"/>
    <w:rsid w:val="00587E1F"/>
    <w:rsid w:val="00587ED4"/>
    <w:rsid w:val="00590D50"/>
    <w:rsid w:val="00591F1E"/>
    <w:rsid w:val="00592A96"/>
    <w:rsid w:val="00597767"/>
    <w:rsid w:val="00597911"/>
    <w:rsid w:val="005A3F5E"/>
    <w:rsid w:val="005A59EA"/>
    <w:rsid w:val="005A79D6"/>
    <w:rsid w:val="005B12B0"/>
    <w:rsid w:val="005B6568"/>
    <w:rsid w:val="005C029A"/>
    <w:rsid w:val="005C03F4"/>
    <w:rsid w:val="005C0D70"/>
    <w:rsid w:val="005C171C"/>
    <w:rsid w:val="005C2922"/>
    <w:rsid w:val="005C4012"/>
    <w:rsid w:val="005C59F8"/>
    <w:rsid w:val="005C6014"/>
    <w:rsid w:val="005D1B1B"/>
    <w:rsid w:val="005D31E5"/>
    <w:rsid w:val="005D4887"/>
    <w:rsid w:val="005D5B68"/>
    <w:rsid w:val="005E1561"/>
    <w:rsid w:val="005E1900"/>
    <w:rsid w:val="005E27F2"/>
    <w:rsid w:val="005E302C"/>
    <w:rsid w:val="005E3A6E"/>
    <w:rsid w:val="005E6329"/>
    <w:rsid w:val="005E6DE6"/>
    <w:rsid w:val="005F346F"/>
    <w:rsid w:val="005F611F"/>
    <w:rsid w:val="006004E6"/>
    <w:rsid w:val="006014A8"/>
    <w:rsid w:val="00603B40"/>
    <w:rsid w:val="00603C3F"/>
    <w:rsid w:val="006054C3"/>
    <w:rsid w:val="00606B86"/>
    <w:rsid w:val="00606DA5"/>
    <w:rsid w:val="006114FA"/>
    <w:rsid w:val="00613647"/>
    <w:rsid w:val="00615E08"/>
    <w:rsid w:val="0061657D"/>
    <w:rsid w:val="0061771B"/>
    <w:rsid w:val="00617C15"/>
    <w:rsid w:val="006201A6"/>
    <w:rsid w:val="006208BE"/>
    <w:rsid w:val="00622E70"/>
    <w:rsid w:val="00624CB0"/>
    <w:rsid w:val="00625D9F"/>
    <w:rsid w:val="00626CDD"/>
    <w:rsid w:val="006277A8"/>
    <w:rsid w:val="00630531"/>
    <w:rsid w:val="00633D99"/>
    <w:rsid w:val="00633F9E"/>
    <w:rsid w:val="006405A8"/>
    <w:rsid w:val="00646056"/>
    <w:rsid w:val="006471EB"/>
    <w:rsid w:val="00647D5D"/>
    <w:rsid w:val="0065038A"/>
    <w:rsid w:val="00651D01"/>
    <w:rsid w:val="00652291"/>
    <w:rsid w:val="00653689"/>
    <w:rsid w:val="006544F9"/>
    <w:rsid w:val="006568F2"/>
    <w:rsid w:val="00674B33"/>
    <w:rsid w:val="006755BB"/>
    <w:rsid w:val="006759AF"/>
    <w:rsid w:val="00676076"/>
    <w:rsid w:val="00681E4C"/>
    <w:rsid w:val="006839C6"/>
    <w:rsid w:val="00683CD4"/>
    <w:rsid w:val="00684B65"/>
    <w:rsid w:val="00684B87"/>
    <w:rsid w:val="00684F3E"/>
    <w:rsid w:val="006857BD"/>
    <w:rsid w:val="006869BA"/>
    <w:rsid w:val="006870BC"/>
    <w:rsid w:val="006871AB"/>
    <w:rsid w:val="006907DA"/>
    <w:rsid w:val="00690CDD"/>
    <w:rsid w:val="00696DED"/>
    <w:rsid w:val="006975CF"/>
    <w:rsid w:val="006A0693"/>
    <w:rsid w:val="006A10BF"/>
    <w:rsid w:val="006A534D"/>
    <w:rsid w:val="006A60AC"/>
    <w:rsid w:val="006A7945"/>
    <w:rsid w:val="006A7D8A"/>
    <w:rsid w:val="006B0448"/>
    <w:rsid w:val="006B077F"/>
    <w:rsid w:val="006B0870"/>
    <w:rsid w:val="006B23FC"/>
    <w:rsid w:val="006B56BE"/>
    <w:rsid w:val="006B577D"/>
    <w:rsid w:val="006B61C8"/>
    <w:rsid w:val="006B73E8"/>
    <w:rsid w:val="006B7EBB"/>
    <w:rsid w:val="006D4BA1"/>
    <w:rsid w:val="006D57A5"/>
    <w:rsid w:val="006E3C3C"/>
    <w:rsid w:val="006E598B"/>
    <w:rsid w:val="006E606C"/>
    <w:rsid w:val="006F0403"/>
    <w:rsid w:val="006F196C"/>
    <w:rsid w:val="006F2EA3"/>
    <w:rsid w:val="006F3AB2"/>
    <w:rsid w:val="006F3E98"/>
    <w:rsid w:val="006F51E4"/>
    <w:rsid w:val="007000D6"/>
    <w:rsid w:val="007004A4"/>
    <w:rsid w:val="0070155D"/>
    <w:rsid w:val="00702FC1"/>
    <w:rsid w:val="00706451"/>
    <w:rsid w:val="0071017E"/>
    <w:rsid w:val="007103BF"/>
    <w:rsid w:val="00711804"/>
    <w:rsid w:val="0072428B"/>
    <w:rsid w:val="00724F50"/>
    <w:rsid w:val="00725D00"/>
    <w:rsid w:val="00726260"/>
    <w:rsid w:val="0073240A"/>
    <w:rsid w:val="007360AD"/>
    <w:rsid w:val="00737002"/>
    <w:rsid w:val="00740ACC"/>
    <w:rsid w:val="00742D74"/>
    <w:rsid w:val="007434AF"/>
    <w:rsid w:val="00745ADA"/>
    <w:rsid w:val="00745B17"/>
    <w:rsid w:val="00745BBD"/>
    <w:rsid w:val="00751685"/>
    <w:rsid w:val="0075199F"/>
    <w:rsid w:val="00751CAA"/>
    <w:rsid w:val="00757DC9"/>
    <w:rsid w:val="00760A0F"/>
    <w:rsid w:val="00763863"/>
    <w:rsid w:val="00763B37"/>
    <w:rsid w:val="00763C54"/>
    <w:rsid w:val="00765AC4"/>
    <w:rsid w:val="007661C3"/>
    <w:rsid w:val="007665FA"/>
    <w:rsid w:val="00767BA4"/>
    <w:rsid w:val="0077702C"/>
    <w:rsid w:val="007771E7"/>
    <w:rsid w:val="0077722D"/>
    <w:rsid w:val="00777BE3"/>
    <w:rsid w:val="00780613"/>
    <w:rsid w:val="00783A13"/>
    <w:rsid w:val="007844F6"/>
    <w:rsid w:val="00785C27"/>
    <w:rsid w:val="007863FC"/>
    <w:rsid w:val="007910A4"/>
    <w:rsid w:val="0079261C"/>
    <w:rsid w:val="00794708"/>
    <w:rsid w:val="007947E5"/>
    <w:rsid w:val="00795F72"/>
    <w:rsid w:val="007962DD"/>
    <w:rsid w:val="0079691F"/>
    <w:rsid w:val="00797A20"/>
    <w:rsid w:val="007A03EE"/>
    <w:rsid w:val="007A0D81"/>
    <w:rsid w:val="007A1AF8"/>
    <w:rsid w:val="007A3996"/>
    <w:rsid w:val="007B22F2"/>
    <w:rsid w:val="007B716F"/>
    <w:rsid w:val="007C15E9"/>
    <w:rsid w:val="007C2B70"/>
    <w:rsid w:val="007C351E"/>
    <w:rsid w:val="007C3E53"/>
    <w:rsid w:val="007C5A3D"/>
    <w:rsid w:val="007C691F"/>
    <w:rsid w:val="007D23E3"/>
    <w:rsid w:val="007D33B8"/>
    <w:rsid w:val="007D7DE4"/>
    <w:rsid w:val="007E12FA"/>
    <w:rsid w:val="007E161B"/>
    <w:rsid w:val="007E2371"/>
    <w:rsid w:val="007E299E"/>
    <w:rsid w:val="007E54F4"/>
    <w:rsid w:val="007E60BE"/>
    <w:rsid w:val="007E615C"/>
    <w:rsid w:val="007F10A6"/>
    <w:rsid w:val="007F33E6"/>
    <w:rsid w:val="00803685"/>
    <w:rsid w:val="00805638"/>
    <w:rsid w:val="00807AB5"/>
    <w:rsid w:val="0081034C"/>
    <w:rsid w:val="00811BEE"/>
    <w:rsid w:val="008131A9"/>
    <w:rsid w:val="0081437B"/>
    <w:rsid w:val="00814818"/>
    <w:rsid w:val="00816E5A"/>
    <w:rsid w:val="008175D2"/>
    <w:rsid w:val="008202C2"/>
    <w:rsid w:val="0082631C"/>
    <w:rsid w:val="0083200B"/>
    <w:rsid w:val="00837A68"/>
    <w:rsid w:val="00837E87"/>
    <w:rsid w:val="00841AC3"/>
    <w:rsid w:val="0084257E"/>
    <w:rsid w:val="00842CCF"/>
    <w:rsid w:val="00844CC1"/>
    <w:rsid w:val="008465B1"/>
    <w:rsid w:val="00846BE6"/>
    <w:rsid w:val="00847BA8"/>
    <w:rsid w:val="008510FE"/>
    <w:rsid w:val="00855479"/>
    <w:rsid w:val="008559B3"/>
    <w:rsid w:val="00856E10"/>
    <w:rsid w:val="00857246"/>
    <w:rsid w:val="008602C7"/>
    <w:rsid w:val="008667DB"/>
    <w:rsid w:val="0087086F"/>
    <w:rsid w:val="00874349"/>
    <w:rsid w:val="008760FC"/>
    <w:rsid w:val="00876305"/>
    <w:rsid w:val="008841C0"/>
    <w:rsid w:val="00884A39"/>
    <w:rsid w:val="00886844"/>
    <w:rsid w:val="0089237C"/>
    <w:rsid w:val="008A10A2"/>
    <w:rsid w:val="008A1EF2"/>
    <w:rsid w:val="008A3217"/>
    <w:rsid w:val="008A325B"/>
    <w:rsid w:val="008A3D9D"/>
    <w:rsid w:val="008A4797"/>
    <w:rsid w:val="008A4BF4"/>
    <w:rsid w:val="008A6284"/>
    <w:rsid w:val="008B017B"/>
    <w:rsid w:val="008B6287"/>
    <w:rsid w:val="008C0026"/>
    <w:rsid w:val="008C0AC9"/>
    <w:rsid w:val="008C0BFB"/>
    <w:rsid w:val="008C5E09"/>
    <w:rsid w:val="008C63D6"/>
    <w:rsid w:val="008C6AC2"/>
    <w:rsid w:val="008D1BC8"/>
    <w:rsid w:val="008D1D18"/>
    <w:rsid w:val="008D2323"/>
    <w:rsid w:val="008D3F66"/>
    <w:rsid w:val="008D4340"/>
    <w:rsid w:val="008E4671"/>
    <w:rsid w:val="008E6F38"/>
    <w:rsid w:val="008F1C8C"/>
    <w:rsid w:val="008F2D34"/>
    <w:rsid w:val="008F30CA"/>
    <w:rsid w:val="008F3C5E"/>
    <w:rsid w:val="008F4273"/>
    <w:rsid w:val="008F48FA"/>
    <w:rsid w:val="008F58BE"/>
    <w:rsid w:val="008F6230"/>
    <w:rsid w:val="008F68CA"/>
    <w:rsid w:val="008F7178"/>
    <w:rsid w:val="00900148"/>
    <w:rsid w:val="00902FBA"/>
    <w:rsid w:val="009047A8"/>
    <w:rsid w:val="0090554D"/>
    <w:rsid w:val="00906820"/>
    <w:rsid w:val="00914916"/>
    <w:rsid w:val="00916780"/>
    <w:rsid w:val="00920308"/>
    <w:rsid w:val="0092135D"/>
    <w:rsid w:val="00922BBE"/>
    <w:rsid w:val="00922F4B"/>
    <w:rsid w:val="009234BD"/>
    <w:rsid w:val="00923BEC"/>
    <w:rsid w:val="00925D69"/>
    <w:rsid w:val="009274C1"/>
    <w:rsid w:val="00927F2A"/>
    <w:rsid w:val="009305FC"/>
    <w:rsid w:val="009318FF"/>
    <w:rsid w:val="00932587"/>
    <w:rsid w:val="00940CAB"/>
    <w:rsid w:val="0095072C"/>
    <w:rsid w:val="009577BB"/>
    <w:rsid w:val="009615EA"/>
    <w:rsid w:val="00961A66"/>
    <w:rsid w:val="009715C9"/>
    <w:rsid w:val="00973207"/>
    <w:rsid w:val="00974ED9"/>
    <w:rsid w:val="0098017B"/>
    <w:rsid w:val="00986E69"/>
    <w:rsid w:val="009956EF"/>
    <w:rsid w:val="009A03D2"/>
    <w:rsid w:val="009A37E9"/>
    <w:rsid w:val="009B3B80"/>
    <w:rsid w:val="009B3EA3"/>
    <w:rsid w:val="009B492B"/>
    <w:rsid w:val="009B567B"/>
    <w:rsid w:val="009C066E"/>
    <w:rsid w:val="009C2A48"/>
    <w:rsid w:val="009C6066"/>
    <w:rsid w:val="009D4FAE"/>
    <w:rsid w:val="009D731A"/>
    <w:rsid w:val="009D7918"/>
    <w:rsid w:val="009E169C"/>
    <w:rsid w:val="009E2366"/>
    <w:rsid w:val="009E40EB"/>
    <w:rsid w:val="009E423B"/>
    <w:rsid w:val="009E4835"/>
    <w:rsid w:val="009E74F6"/>
    <w:rsid w:val="009F1737"/>
    <w:rsid w:val="009F1D1A"/>
    <w:rsid w:val="009F1FB3"/>
    <w:rsid w:val="009F2FFB"/>
    <w:rsid w:val="009F4B91"/>
    <w:rsid w:val="00A01405"/>
    <w:rsid w:val="00A01D7B"/>
    <w:rsid w:val="00A02AE6"/>
    <w:rsid w:val="00A034EB"/>
    <w:rsid w:val="00A04678"/>
    <w:rsid w:val="00A0479D"/>
    <w:rsid w:val="00A11D28"/>
    <w:rsid w:val="00A12052"/>
    <w:rsid w:val="00A14F0A"/>
    <w:rsid w:val="00A15186"/>
    <w:rsid w:val="00A16372"/>
    <w:rsid w:val="00A16709"/>
    <w:rsid w:val="00A20B16"/>
    <w:rsid w:val="00A21DFE"/>
    <w:rsid w:val="00A233EC"/>
    <w:rsid w:val="00A249C5"/>
    <w:rsid w:val="00A26A54"/>
    <w:rsid w:val="00A26C0D"/>
    <w:rsid w:val="00A26FEC"/>
    <w:rsid w:val="00A30251"/>
    <w:rsid w:val="00A30295"/>
    <w:rsid w:val="00A3090F"/>
    <w:rsid w:val="00A30C91"/>
    <w:rsid w:val="00A334CD"/>
    <w:rsid w:val="00A33809"/>
    <w:rsid w:val="00A342C1"/>
    <w:rsid w:val="00A348A7"/>
    <w:rsid w:val="00A35945"/>
    <w:rsid w:val="00A35C38"/>
    <w:rsid w:val="00A418E9"/>
    <w:rsid w:val="00A42FAE"/>
    <w:rsid w:val="00A4417A"/>
    <w:rsid w:val="00A4459A"/>
    <w:rsid w:val="00A44C14"/>
    <w:rsid w:val="00A45982"/>
    <w:rsid w:val="00A47480"/>
    <w:rsid w:val="00A47773"/>
    <w:rsid w:val="00A541C8"/>
    <w:rsid w:val="00A545C6"/>
    <w:rsid w:val="00A56048"/>
    <w:rsid w:val="00A63353"/>
    <w:rsid w:val="00A670E6"/>
    <w:rsid w:val="00A71F24"/>
    <w:rsid w:val="00A722F7"/>
    <w:rsid w:val="00A74245"/>
    <w:rsid w:val="00A77CCF"/>
    <w:rsid w:val="00A8242C"/>
    <w:rsid w:val="00A831FE"/>
    <w:rsid w:val="00A83845"/>
    <w:rsid w:val="00A85B3F"/>
    <w:rsid w:val="00A9020C"/>
    <w:rsid w:val="00A91011"/>
    <w:rsid w:val="00A913EC"/>
    <w:rsid w:val="00A924B8"/>
    <w:rsid w:val="00A9345A"/>
    <w:rsid w:val="00A943EE"/>
    <w:rsid w:val="00A958D5"/>
    <w:rsid w:val="00A97C01"/>
    <w:rsid w:val="00AA139C"/>
    <w:rsid w:val="00AA1778"/>
    <w:rsid w:val="00AA3547"/>
    <w:rsid w:val="00AA4FC2"/>
    <w:rsid w:val="00AA56F5"/>
    <w:rsid w:val="00AA5CAF"/>
    <w:rsid w:val="00AB0EAE"/>
    <w:rsid w:val="00AB113E"/>
    <w:rsid w:val="00AB3701"/>
    <w:rsid w:val="00AB55A3"/>
    <w:rsid w:val="00AB5B2A"/>
    <w:rsid w:val="00AB7064"/>
    <w:rsid w:val="00AC1F08"/>
    <w:rsid w:val="00AC5064"/>
    <w:rsid w:val="00AC69F4"/>
    <w:rsid w:val="00AD21A4"/>
    <w:rsid w:val="00AD3CB5"/>
    <w:rsid w:val="00AD5088"/>
    <w:rsid w:val="00AD6582"/>
    <w:rsid w:val="00AD7AA1"/>
    <w:rsid w:val="00AE1E1D"/>
    <w:rsid w:val="00AE2148"/>
    <w:rsid w:val="00AE2C94"/>
    <w:rsid w:val="00AE3725"/>
    <w:rsid w:val="00AF0128"/>
    <w:rsid w:val="00AF4FB5"/>
    <w:rsid w:val="00AF516D"/>
    <w:rsid w:val="00AF552A"/>
    <w:rsid w:val="00AF65C1"/>
    <w:rsid w:val="00B00114"/>
    <w:rsid w:val="00B002F5"/>
    <w:rsid w:val="00B00D9B"/>
    <w:rsid w:val="00B00E64"/>
    <w:rsid w:val="00B015F3"/>
    <w:rsid w:val="00B0379D"/>
    <w:rsid w:val="00B03DEE"/>
    <w:rsid w:val="00B04D2E"/>
    <w:rsid w:val="00B056A3"/>
    <w:rsid w:val="00B0623C"/>
    <w:rsid w:val="00B06C64"/>
    <w:rsid w:val="00B0733F"/>
    <w:rsid w:val="00B07D77"/>
    <w:rsid w:val="00B10C2A"/>
    <w:rsid w:val="00B10F72"/>
    <w:rsid w:val="00B130B8"/>
    <w:rsid w:val="00B13953"/>
    <w:rsid w:val="00B13C51"/>
    <w:rsid w:val="00B152A7"/>
    <w:rsid w:val="00B15B38"/>
    <w:rsid w:val="00B17383"/>
    <w:rsid w:val="00B17A3A"/>
    <w:rsid w:val="00B22034"/>
    <w:rsid w:val="00B277BC"/>
    <w:rsid w:val="00B3191E"/>
    <w:rsid w:val="00B342D6"/>
    <w:rsid w:val="00B35043"/>
    <w:rsid w:val="00B513D0"/>
    <w:rsid w:val="00B54830"/>
    <w:rsid w:val="00B56C09"/>
    <w:rsid w:val="00B63070"/>
    <w:rsid w:val="00B6393C"/>
    <w:rsid w:val="00B6569E"/>
    <w:rsid w:val="00B66E42"/>
    <w:rsid w:val="00B678FC"/>
    <w:rsid w:val="00B7094A"/>
    <w:rsid w:val="00B71823"/>
    <w:rsid w:val="00B71CDB"/>
    <w:rsid w:val="00B721F8"/>
    <w:rsid w:val="00B72BE3"/>
    <w:rsid w:val="00B73564"/>
    <w:rsid w:val="00B73E97"/>
    <w:rsid w:val="00B74F7E"/>
    <w:rsid w:val="00B77A9E"/>
    <w:rsid w:val="00B80E77"/>
    <w:rsid w:val="00B819E1"/>
    <w:rsid w:val="00B82D6C"/>
    <w:rsid w:val="00B86BEF"/>
    <w:rsid w:val="00B91047"/>
    <w:rsid w:val="00B93FDD"/>
    <w:rsid w:val="00B95981"/>
    <w:rsid w:val="00B960C2"/>
    <w:rsid w:val="00B961D6"/>
    <w:rsid w:val="00B962DE"/>
    <w:rsid w:val="00B96DC9"/>
    <w:rsid w:val="00BA447E"/>
    <w:rsid w:val="00BA5133"/>
    <w:rsid w:val="00BA656D"/>
    <w:rsid w:val="00BA6B48"/>
    <w:rsid w:val="00BA719E"/>
    <w:rsid w:val="00BA7ADB"/>
    <w:rsid w:val="00BB00D1"/>
    <w:rsid w:val="00BB2785"/>
    <w:rsid w:val="00BB4BF3"/>
    <w:rsid w:val="00BB7438"/>
    <w:rsid w:val="00BB798E"/>
    <w:rsid w:val="00BC1513"/>
    <w:rsid w:val="00BC37EC"/>
    <w:rsid w:val="00BC4B56"/>
    <w:rsid w:val="00BC4DE2"/>
    <w:rsid w:val="00BC6067"/>
    <w:rsid w:val="00BC63FC"/>
    <w:rsid w:val="00BC7CAA"/>
    <w:rsid w:val="00BD05FC"/>
    <w:rsid w:val="00BD1291"/>
    <w:rsid w:val="00BD1D99"/>
    <w:rsid w:val="00BD38ED"/>
    <w:rsid w:val="00BD43FE"/>
    <w:rsid w:val="00BE001B"/>
    <w:rsid w:val="00BE1894"/>
    <w:rsid w:val="00BE3A82"/>
    <w:rsid w:val="00BE3D9B"/>
    <w:rsid w:val="00BE5EAE"/>
    <w:rsid w:val="00BE759B"/>
    <w:rsid w:val="00BF0A0C"/>
    <w:rsid w:val="00BF2856"/>
    <w:rsid w:val="00BF3B48"/>
    <w:rsid w:val="00BF5123"/>
    <w:rsid w:val="00BF562A"/>
    <w:rsid w:val="00BF6050"/>
    <w:rsid w:val="00BF6859"/>
    <w:rsid w:val="00C03C43"/>
    <w:rsid w:val="00C04280"/>
    <w:rsid w:val="00C05505"/>
    <w:rsid w:val="00C059D6"/>
    <w:rsid w:val="00C11870"/>
    <w:rsid w:val="00C12E40"/>
    <w:rsid w:val="00C13F6E"/>
    <w:rsid w:val="00C14D90"/>
    <w:rsid w:val="00C15EA9"/>
    <w:rsid w:val="00C20194"/>
    <w:rsid w:val="00C226D0"/>
    <w:rsid w:val="00C22AB3"/>
    <w:rsid w:val="00C2572F"/>
    <w:rsid w:val="00C27005"/>
    <w:rsid w:val="00C2775F"/>
    <w:rsid w:val="00C3054C"/>
    <w:rsid w:val="00C33023"/>
    <w:rsid w:val="00C33975"/>
    <w:rsid w:val="00C3657C"/>
    <w:rsid w:val="00C36A3F"/>
    <w:rsid w:val="00C4164E"/>
    <w:rsid w:val="00C41E50"/>
    <w:rsid w:val="00C51EDD"/>
    <w:rsid w:val="00C5263A"/>
    <w:rsid w:val="00C52A37"/>
    <w:rsid w:val="00C538D0"/>
    <w:rsid w:val="00C554CE"/>
    <w:rsid w:val="00C563D6"/>
    <w:rsid w:val="00C60ED5"/>
    <w:rsid w:val="00C616A0"/>
    <w:rsid w:val="00C620E2"/>
    <w:rsid w:val="00C63D97"/>
    <w:rsid w:val="00C64CDA"/>
    <w:rsid w:val="00C66E08"/>
    <w:rsid w:val="00C67FA9"/>
    <w:rsid w:val="00C714E5"/>
    <w:rsid w:val="00C71FAC"/>
    <w:rsid w:val="00C7778C"/>
    <w:rsid w:val="00C8066D"/>
    <w:rsid w:val="00C8418A"/>
    <w:rsid w:val="00C857BE"/>
    <w:rsid w:val="00C87C7C"/>
    <w:rsid w:val="00C95323"/>
    <w:rsid w:val="00CA0328"/>
    <w:rsid w:val="00CA4828"/>
    <w:rsid w:val="00CA75D2"/>
    <w:rsid w:val="00CB130A"/>
    <w:rsid w:val="00CB1399"/>
    <w:rsid w:val="00CB39D2"/>
    <w:rsid w:val="00CB5368"/>
    <w:rsid w:val="00CB60A4"/>
    <w:rsid w:val="00CB69BB"/>
    <w:rsid w:val="00CB6D37"/>
    <w:rsid w:val="00CB6DF3"/>
    <w:rsid w:val="00CC159E"/>
    <w:rsid w:val="00CC209C"/>
    <w:rsid w:val="00CC3BEF"/>
    <w:rsid w:val="00CC3C72"/>
    <w:rsid w:val="00CC4C27"/>
    <w:rsid w:val="00CD0A22"/>
    <w:rsid w:val="00CD1F7E"/>
    <w:rsid w:val="00CD427F"/>
    <w:rsid w:val="00CD6916"/>
    <w:rsid w:val="00CD6B8D"/>
    <w:rsid w:val="00CD7AA3"/>
    <w:rsid w:val="00CE02FF"/>
    <w:rsid w:val="00CE0C53"/>
    <w:rsid w:val="00CE6FBE"/>
    <w:rsid w:val="00CE79D0"/>
    <w:rsid w:val="00CF1294"/>
    <w:rsid w:val="00CF36A8"/>
    <w:rsid w:val="00CF48E1"/>
    <w:rsid w:val="00CF5DA6"/>
    <w:rsid w:val="00CF5EDE"/>
    <w:rsid w:val="00CF5FD9"/>
    <w:rsid w:val="00CF722D"/>
    <w:rsid w:val="00CF7572"/>
    <w:rsid w:val="00D03E63"/>
    <w:rsid w:val="00D06020"/>
    <w:rsid w:val="00D0626A"/>
    <w:rsid w:val="00D06283"/>
    <w:rsid w:val="00D067B6"/>
    <w:rsid w:val="00D06DCD"/>
    <w:rsid w:val="00D10693"/>
    <w:rsid w:val="00D1225F"/>
    <w:rsid w:val="00D1227F"/>
    <w:rsid w:val="00D17062"/>
    <w:rsid w:val="00D17094"/>
    <w:rsid w:val="00D2399C"/>
    <w:rsid w:val="00D2458F"/>
    <w:rsid w:val="00D30845"/>
    <w:rsid w:val="00D33C53"/>
    <w:rsid w:val="00D34338"/>
    <w:rsid w:val="00D403C4"/>
    <w:rsid w:val="00D41AF3"/>
    <w:rsid w:val="00D459EA"/>
    <w:rsid w:val="00D45D8B"/>
    <w:rsid w:val="00D464E4"/>
    <w:rsid w:val="00D5749E"/>
    <w:rsid w:val="00D62986"/>
    <w:rsid w:val="00D62D27"/>
    <w:rsid w:val="00D6500C"/>
    <w:rsid w:val="00D65BAC"/>
    <w:rsid w:val="00D75453"/>
    <w:rsid w:val="00D754CB"/>
    <w:rsid w:val="00D7592F"/>
    <w:rsid w:val="00D7739A"/>
    <w:rsid w:val="00D811F9"/>
    <w:rsid w:val="00D81E60"/>
    <w:rsid w:val="00D84F1F"/>
    <w:rsid w:val="00D85BCE"/>
    <w:rsid w:val="00D90BE3"/>
    <w:rsid w:val="00D9330E"/>
    <w:rsid w:val="00D94E96"/>
    <w:rsid w:val="00D9595C"/>
    <w:rsid w:val="00D974C8"/>
    <w:rsid w:val="00DA000F"/>
    <w:rsid w:val="00DA013B"/>
    <w:rsid w:val="00DA1354"/>
    <w:rsid w:val="00DA1714"/>
    <w:rsid w:val="00DA1F0F"/>
    <w:rsid w:val="00DA2961"/>
    <w:rsid w:val="00DA2EE9"/>
    <w:rsid w:val="00DA61B0"/>
    <w:rsid w:val="00DA7CF8"/>
    <w:rsid w:val="00DB2EBC"/>
    <w:rsid w:val="00DB333D"/>
    <w:rsid w:val="00DB33C6"/>
    <w:rsid w:val="00DB3BE2"/>
    <w:rsid w:val="00DB6869"/>
    <w:rsid w:val="00DB6D15"/>
    <w:rsid w:val="00DC0305"/>
    <w:rsid w:val="00DC16DB"/>
    <w:rsid w:val="00DC2C55"/>
    <w:rsid w:val="00DC42D4"/>
    <w:rsid w:val="00DC543F"/>
    <w:rsid w:val="00DC6DCB"/>
    <w:rsid w:val="00DD284B"/>
    <w:rsid w:val="00DD2C7A"/>
    <w:rsid w:val="00DD724C"/>
    <w:rsid w:val="00DE064B"/>
    <w:rsid w:val="00DE711A"/>
    <w:rsid w:val="00DF14A6"/>
    <w:rsid w:val="00DF1C5C"/>
    <w:rsid w:val="00DF315C"/>
    <w:rsid w:val="00DF38C9"/>
    <w:rsid w:val="00DF5D0C"/>
    <w:rsid w:val="00E009CA"/>
    <w:rsid w:val="00E037A0"/>
    <w:rsid w:val="00E07515"/>
    <w:rsid w:val="00E101AF"/>
    <w:rsid w:val="00E134A3"/>
    <w:rsid w:val="00E15E86"/>
    <w:rsid w:val="00E16E4D"/>
    <w:rsid w:val="00E20595"/>
    <w:rsid w:val="00E26076"/>
    <w:rsid w:val="00E26C51"/>
    <w:rsid w:val="00E321F6"/>
    <w:rsid w:val="00E4095C"/>
    <w:rsid w:val="00E475AB"/>
    <w:rsid w:val="00E51184"/>
    <w:rsid w:val="00E518E2"/>
    <w:rsid w:val="00E54042"/>
    <w:rsid w:val="00E54157"/>
    <w:rsid w:val="00E55528"/>
    <w:rsid w:val="00E57BCB"/>
    <w:rsid w:val="00E6465F"/>
    <w:rsid w:val="00E64840"/>
    <w:rsid w:val="00E74160"/>
    <w:rsid w:val="00E75C18"/>
    <w:rsid w:val="00E764C9"/>
    <w:rsid w:val="00E80B93"/>
    <w:rsid w:val="00E826B2"/>
    <w:rsid w:val="00E848BB"/>
    <w:rsid w:val="00E86463"/>
    <w:rsid w:val="00E91105"/>
    <w:rsid w:val="00E927B5"/>
    <w:rsid w:val="00E9434A"/>
    <w:rsid w:val="00E9492B"/>
    <w:rsid w:val="00E96922"/>
    <w:rsid w:val="00EA0B69"/>
    <w:rsid w:val="00EA1F5A"/>
    <w:rsid w:val="00EA4E1F"/>
    <w:rsid w:val="00EB03B3"/>
    <w:rsid w:val="00EB3423"/>
    <w:rsid w:val="00EB3535"/>
    <w:rsid w:val="00EB383C"/>
    <w:rsid w:val="00EB3C05"/>
    <w:rsid w:val="00EC0B99"/>
    <w:rsid w:val="00EC34DC"/>
    <w:rsid w:val="00EC77F6"/>
    <w:rsid w:val="00EC79ED"/>
    <w:rsid w:val="00ED1B65"/>
    <w:rsid w:val="00ED2235"/>
    <w:rsid w:val="00ED2B0F"/>
    <w:rsid w:val="00ED663D"/>
    <w:rsid w:val="00ED7E12"/>
    <w:rsid w:val="00EE05AF"/>
    <w:rsid w:val="00EE0E3E"/>
    <w:rsid w:val="00EE15E8"/>
    <w:rsid w:val="00EE16E6"/>
    <w:rsid w:val="00EE4026"/>
    <w:rsid w:val="00EE5405"/>
    <w:rsid w:val="00EE5B35"/>
    <w:rsid w:val="00EE7C79"/>
    <w:rsid w:val="00EF0B09"/>
    <w:rsid w:val="00EF0CCC"/>
    <w:rsid w:val="00EF19B5"/>
    <w:rsid w:val="00EF27AD"/>
    <w:rsid w:val="00EF3424"/>
    <w:rsid w:val="00EF3756"/>
    <w:rsid w:val="00EF5269"/>
    <w:rsid w:val="00EF6253"/>
    <w:rsid w:val="00EF6D6D"/>
    <w:rsid w:val="00F00EEF"/>
    <w:rsid w:val="00F0108E"/>
    <w:rsid w:val="00F06D5D"/>
    <w:rsid w:val="00F1280B"/>
    <w:rsid w:val="00F146E1"/>
    <w:rsid w:val="00F20D93"/>
    <w:rsid w:val="00F22E3D"/>
    <w:rsid w:val="00F24164"/>
    <w:rsid w:val="00F24912"/>
    <w:rsid w:val="00F25105"/>
    <w:rsid w:val="00F2688D"/>
    <w:rsid w:val="00F33358"/>
    <w:rsid w:val="00F368C2"/>
    <w:rsid w:val="00F369B3"/>
    <w:rsid w:val="00F37650"/>
    <w:rsid w:val="00F42900"/>
    <w:rsid w:val="00F434D7"/>
    <w:rsid w:val="00F43B09"/>
    <w:rsid w:val="00F45475"/>
    <w:rsid w:val="00F53FF5"/>
    <w:rsid w:val="00F546E1"/>
    <w:rsid w:val="00F54ECF"/>
    <w:rsid w:val="00F5602F"/>
    <w:rsid w:val="00F57FB9"/>
    <w:rsid w:val="00F627ED"/>
    <w:rsid w:val="00F62D29"/>
    <w:rsid w:val="00F65821"/>
    <w:rsid w:val="00F67AF0"/>
    <w:rsid w:val="00F71D55"/>
    <w:rsid w:val="00F74A7E"/>
    <w:rsid w:val="00F80856"/>
    <w:rsid w:val="00F861B7"/>
    <w:rsid w:val="00F868AA"/>
    <w:rsid w:val="00F86A91"/>
    <w:rsid w:val="00F87150"/>
    <w:rsid w:val="00F90C81"/>
    <w:rsid w:val="00F90F70"/>
    <w:rsid w:val="00F93CA8"/>
    <w:rsid w:val="00F95C96"/>
    <w:rsid w:val="00FA0B93"/>
    <w:rsid w:val="00FA26C2"/>
    <w:rsid w:val="00FB066E"/>
    <w:rsid w:val="00FB0791"/>
    <w:rsid w:val="00FB4EC2"/>
    <w:rsid w:val="00FC712D"/>
    <w:rsid w:val="00FC7360"/>
    <w:rsid w:val="00FD1A97"/>
    <w:rsid w:val="00FD2AE9"/>
    <w:rsid w:val="00FD2F8E"/>
    <w:rsid w:val="00FD364B"/>
    <w:rsid w:val="00FD44F7"/>
    <w:rsid w:val="00FD48CD"/>
    <w:rsid w:val="00FD60D3"/>
    <w:rsid w:val="00FE14A4"/>
    <w:rsid w:val="00FE5BC8"/>
    <w:rsid w:val="00FE5F86"/>
    <w:rsid w:val="00FE68F3"/>
    <w:rsid w:val="00FE6FB8"/>
    <w:rsid w:val="00FF3313"/>
    <w:rsid w:val="00FF3C78"/>
    <w:rsid w:val="00FF4987"/>
    <w:rsid w:val="00FF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816516"/>
  <w14:defaultImageDpi w14:val="32767"/>
  <w15:chartTrackingRefBased/>
  <w15:docId w15:val="{443D0D6E-E821-4148-8396-6EB739C20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sz w:val="24"/>
        <w:szCs w:val="24"/>
        <w:lang w:val="en-GB" w:eastAsia="en-GB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57D"/>
    <w:pPr>
      <w:spacing w:line="36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37C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7C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7C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cionTFM">
    <w:name w:val="Seccion TFM"/>
    <w:basedOn w:val="Heading1"/>
    <w:next w:val="Normal"/>
    <w:link w:val="SeccionTFMCar"/>
    <w:autoRedefine/>
    <w:qFormat/>
    <w:rsid w:val="00B961D6"/>
    <w:pPr>
      <w:spacing w:before="40" w:after="160"/>
    </w:pPr>
    <w:rPr>
      <w:rFonts w:ascii="Cambria" w:hAnsi="Cambria"/>
      <w:b/>
      <w:color w:val="002060"/>
      <w:sz w:val="30"/>
      <w:szCs w:val="30"/>
    </w:rPr>
  </w:style>
  <w:style w:type="character" w:customStyle="1" w:styleId="SeccionTFMCar">
    <w:name w:val="Seccion TFM Car"/>
    <w:basedOn w:val="DefaultParagraphFont"/>
    <w:link w:val="SeccionTFM"/>
    <w:rsid w:val="00B961D6"/>
    <w:rPr>
      <w:rFonts w:eastAsiaTheme="majorEastAsia" w:cstheme="majorBidi"/>
      <w:b/>
      <w:color w:val="002060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137C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ubseccionTFM">
    <w:name w:val="Subseccion TFM"/>
    <w:basedOn w:val="Heading2"/>
    <w:next w:val="Normal"/>
    <w:link w:val="SubseccionTFMCar"/>
    <w:autoRedefine/>
    <w:qFormat/>
    <w:rsid w:val="00B961D6"/>
    <w:pPr>
      <w:spacing w:after="160"/>
    </w:pPr>
    <w:rPr>
      <w:rFonts w:ascii="Cambria" w:hAnsi="Cambria"/>
      <w:b/>
      <w:color w:val="276399"/>
      <w:sz w:val="28"/>
      <w:szCs w:val="28"/>
    </w:rPr>
  </w:style>
  <w:style w:type="character" w:customStyle="1" w:styleId="SubseccionTFMCar">
    <w:name w:val="Subseccion TFM Car"/>
    <w:basedOn w:val="DefaultParagraphFont"/>
    <w:link w:val="SubseccionTFM"/>
    <w:rsid w:val="00B961D6"/>
    <w:rPr>
      <w:rFonts w:eastAsiaTheme="majorEastAsia" w:cstheme="majorBidi"/>
      <w:b/>
      <w:color w:val="276399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7C8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SubsubseccionTFM">
    <w:name w:val="SubsubseccionTFM"/>
    <w:basedOn w:val="Heading3"/>
    <w:link w:val="SubsubseccionTFMCar"/>
    <w:autoRedefine/>
    <w:qFormat/>
    <w:rsid w:val="00B961D6"/>
    <w:pPr>
      <w:spacing w:after="160"/>
    </w:pPr>
    <w:rPr>
      <w:rFonts w:ascii="Cambria" w:hAnsi="Cambria"/>
      <w:b/>
      <w:color w:val="307CC2"/>
      <w:sz w:val="26"/>
      <w:szCs w:val="26"/>
    </w:rPr>
  </w:style>
  <w:style w:type="character" w:customStyle="1" w:styleId="SubsubseccionTFMCar">
    <w:name w:val="SubsubseccionTFM Car"/>
    <w:basedOn w:val="DefaultParagraphFont"/>
    <w:link w:val="SubsubseccionTFM"/>
    <w:rsid w:val="00B961D6"/>
    <w:rPr>
      <w:rFonts w:eastAsiaTheme="majorEastAsia" w:cstheme="majorBidi"/>
      <w:b/>
      <w:color w:val="307CC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7C8D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Caption">
    <w:name w:val="caption"/>
    <w:aliases w:val="PhD Table"/>
    <w:basedOn w:val="Normal"/>
    <w:next w:val="Normal"/>
    <w:link w:val="CaptionChar"/>
    <w:unhideWhenUsed/>
    <w:qFormat/>
    <w:rsid w:val="00137C8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37C8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7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137C8D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137C8D"/>
    <w:pPr>
      <w:jc w:val="left"/>
      <w:outlineLvl w:val="9"/>
    </w:pPr>
  </w:style>
  <w:style w:type="paragraph" w:customStyle="1" w:styleId="Estilo2">
    <w:name w:val="Estilo2"/>
    <w:basedOn w:val="Normal"/>
    <w:link w:val="Estilo2Car"/>
    <w:autoRedefine/>
    <w:qFormat/>
    <w:rsid w:val="00B961D6"/>
    <w:rPr>
      <w:b/>
      <w:i/>
      <w:color w:val="009BD2"/>
    </w:rPr>
  </w:style>
  <w:style w:type="character" w:customStyle="1" w:styleId="Estilo2Car">
    <w:name w:val="Estilo2 Car"/>
    <w:basedOn w:val="DefaultParagraphFont"/>
    <w:link w:val="Estilo2"/>
    <w:rsid w:val="00B961D6"/>
    <w:rPr>
      <w:b/>
      <w:i/>
      <w:color w:val="009BD2"/>
    </w:rPr>
  </w:style>
  <w:style w:type="character" w:styleId="Hyperlink">
    <w:name w:val="Hyperlink"/>
    <w:basedOn w:val="DefaultParagraphFont"/>
    <w:uiPriority w:val="99"/>
    <w:unhideWhenUsed/>
    <w:rsid w:val="008510FE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411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411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411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11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112B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F54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175D2"/>
    <w:rPr>
      <w:color w:val="808080"/>
    </w:rPr>
  </w:style>
  <w:style w:type="paragraph" w:styleId="Header">
    <w:name w:val="header"/>
    <w:basedOn w:val="Normal"/>
    <w:link w:val="HeaderChar"/>
    <w:unhideWhenUsed/>
    <w:rsid w:val="007962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962DD"/>
  </w:style>
  <w:style w:type="paragraph" w:styleId="Footer">
    <w:name w:val="footer"/>
    <w:basedOn w:val="Normal"/>
    <w:link w:val="FooterChar"/>
    <w:uiPriority w:val="99"/>
    <w:unhideWhenUsed/>
    <w:rsid w:val="007962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62DD"/>
  </w:style>
  <w:style w:type="paragraph" w:styleId="BalloonText">
    <w:name w:val="Balloon Text"/>
    <w:basedOn w:val="Normal"/>
    <w:link w:val="BalloonTextChar"/>
    <w:uiPriority w:val="99"/>
    <w:semiHidden/>
    <w:unhideWhenUsed/>
    <w:rsid w:val="004C27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769"/>
    <w:rPr>
      <w:rFonts w:ascii="Segoe UI" w:hAnsi="Segoe UI" w:cs="Segoe UI"/>
      <w:sz w:val="18"/>
      <w:szCs w:val="18"/>
    </w:rPr>
  </w:style>
  <w:style w:type="character" w:customStyle="1" w:styleId="CaptionChar">
    <w:name w:val="Caption Char"/>
    <w:aliases w:val="PhD Table Char"/>
    <w:basedOn w:val="DefaultParagraphFont"/>
    <w:link w:val="Caption"/>
    <w:rsid w:val="00C95323"/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1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aulacimavilla@fmc.uva.e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B96F8EAF-DDAC-4686-A4E4-80F298431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3</Pages>
  <Words>722</Words>
  <Characters>4118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</dc:creator>
  <cp:keywords/>
  <dc:description/>
  <cp:lastModifiedBy>Paula</cp:lastModifiedBy>
  <cp:revision>26</cp:revision>
  <cp:lastPrinted>2022-01-07T10:22:00Z</cp:lastPrinted>
  <dcterms:created xsi:type="dcterms:W3CDTF">2021-12-20T16:18:00Z</dcterms:created>
  <dcterms:modified xsi:type="dcterms:W3CDTF">2022-02-11T10:30:00Z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d73376e7-9ba2-3127-953a-6ca5dde00dfe</vt:lpwstr>
  </property>
  <property fmtid="{D5CDD505-2E9C-101B-9397-08002B2CF9AE}" pid="4" name="Mendeley Citation Style_1">
    <vt:lpwstr>http://www.zotero.org/styles/microscopy-and-microanalysis</vt:lpwstr>
  </property>
  <property fmtid="{D5CDD505-2E9C-101B-9397-08002B2CF9AE}" pid="5" name="Mendeley Recent Style Id 0_1">
    <vt:lpwstr>http://www.zotero.org/styles/apl-materials</vt:lpwstr>
  </property>
  <property fmtid="{D5CDD505-2E9C-101B-9397-08002B2CF9AE}" pid="6" name="Mendeley Recent Style Name 0_1">
    <vt:lpwstr>APL Materials</vt:lpwstr>
  </property>
  <property fmtid="{D5CDD505-2E9C-101B-9397-08002B2CF9AE}" pid="7" name="Mendeley Recent Style Id 1_1">
    <vt:lpwstr>http://www.zotero.org/styles/applied-physics-letters</vt:lpwstr>
  </property>
  <property fmtid="{D5CDD505-2E9C-101B-9397-08002B2CF9AE}" pid="8" name="Mendeley Recent Style Name 1_1">
    <vt:lpwstr>Applied Physics Letters</vt:lpwstr>
  </property>
  <property fmtid="{D5CDD505-2E9C-101B-9397-08002B2CF9AE}" pid="9" name="Mendeley Recent Style Id 2_1">
    <vt:lpwstr>http://www.zotero.org/styles/chicago-fullnote-bibliography</vt:lpwstr>
  </property>
  <property fmtid="{D5CDD505-2E9C-101B-9397-08002B2CF9AE}" pid="10" name="Mendeley Recent Style Name 2_1">
    <vt:lpwstr>Chicago Manual of Style 17th edition (full note)</vt:lpwstr>
  </property>
  <property fmtid="{D5CDD505-2E9C-101B-9397-08002B2CF9AE}" pid="11" name="Mendeley Recent Style Id 3_1">
    <vt:lpwstr>http://www.zotero.org/styles/harvard-cite-them-right</vt:lpwstr>
  </property>
  <property fmtid="{D5CDD505-2E9C-101B-9397-08002B2CF9AE}" pid="12" name="Mendeley Recent Style Name 3_1">
    <vt:lpwstr>Cite Them Right 10th edition - Harvard</vt:lpwstr>
  </property>
  <property fmtid="{D5CDD505-2E9C-101B-9397-08002B2CF9AE}" pid="13" name="Mendeley Recent Style Id 4_1">
    <vt:lpwstr>http://www.zotero.org/styles/european-polymer-journal</vt:lpwstr>
  </property>
  <property fmtid="{D5CDD505-2E9C-101B-9397-08002B2CF9AE}" pid="14" name="Mendeley Recent Style Name 4_1">
    <vt:lpwstr>European Polymer Journal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(deprecated)</vt:lpwstr>
  </property>
  <property fmtid="{D5CDD505-2E9C-101B-9397-08002B2CF9AE}" pid="17" name="Mendeley Recent Style Id 6_1">
    <vt:lpwstr>http://www.zotero.org/styles/materials-and-design</vt:lpwstr>
  </property>
  <property fmtid="{D5CDD505-2E9C-101B-9397-08002B2CF9AE}" pid="18" name="Mendeley Recent Style Name 6_1">
    <vt:lpwstr>Materials &amp; Design</vt:lpwstr>
  </property>
  <property fmtid="{D5CDD505-2E9C-101B-9397-08002B2CF9AE}" pid="19" name="Mendeley Recent Style Id 7_1">
    <vt:lpwstr>http://www.zotero.org/styles/microscopy-and-microanalysis</vt:lpwstr>
  </property>
  <property fmtid="{D5CDD505-2E9C-101B-9397-08002B2CF9AE}" pid="20" name="Mendeley Recent Style Name 7_1">
    <vt:lpwstr>Microscopy and Microanalysis</vt:lpwstr>
  </property>
  <property fmtid="{D5CDD505-2E9C-101B-9397-08002B2CF9AE}" pid="21" name="Mendeley Recent Style Id 8_1">
    <vt:lpwstr>http://www.zotero.org/styles/physical-review-letters</vt:lpwstr>
  </property>
  <property fmtid="{D5CDD505-2E9C-101B-9397-08002B2CF9AE}" pid="22" name="Mendeley Recent Style Name 8_1">
    <vt:lpwstr>Physical Review Letters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</Properties>
</file>