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7BB28" w14:textId="37BC2114" w:rsidR="00F70807" w:rsidRPr="001B1EC0" w:rsidRDefault="00F70807" w:rsidP="00691F12">
      <w:pPr>
        <w:pStyle w:val="Heading2"/>
        <w:spacing w:line="240" w:lineRule="auto"/>
        <w:jc w:val="center"/>
        <w:rPr>
          <w:rFonts w:ascii="Times New Roman" w:hAnsi="Times New Roman" w:cs="Times New Roman"/>
          <w:b/>
          <w:bCs/>
          <w:color w:val="auto"/>
          <w:sz w:val="36"/>
          <w:szCs w:val="36"/>
        </w:rPr>
      </w:pPr>
      <w:r w:rsidRPr="001B1EC0">
        <w:rPr>
          <w:rFonts w:ascii="Times New Roman" w:hAnsi="Times New Roman" w:cs="Times New Roman"/>
          <w:b/>
          <w:bCs/>
          <w:color w:val="auto"/>
          <w:sz w:val="36"/>
          <w:szCs w:val="36"/>
        </w:rPr>
        <w:t xml:space="preserve">Supplemental Information for Cost </w:t>
      </w:r>
      <w:r w:rsidR="00613D3B">
        <w:rPr>
          <w:rFonts w:ascii="Times New Roman" w:hAnsi="Times New Roman" w:cs="Times New Roman"/>
          <w:b/>
          <w:bCs/>
          <w:color w:val="auto"/>
          <w:sz w:val="36"/>
          <w:szCs w:val="36"/>
        </w:rPr>
        <w:t>and</w:t>
      </w:r>
      <w:r w:rsidRPr="001B1EC0">
        <w:rPr>
          <w:rFonts w:ascii="Times New Roman" w:hAnsi="Times New Roman" w:cs="Times New Roman"/>
          <w:b/>
          <w:bCs/>
          <w:color w:val="auto"/>
          <w:sz w:val="36"/>
          <w:szCs w:val="36"/>
        </w:rPr>
        <w:t xml:space="preserve"> Capability Compromises in STEM Instrumentation for Low-Voltage Imaging.</w:t>
      </w:r>
    </w:p>
    <w:p w14:paraId="3BC3A055" w14:textId="77777777" w:rsidR="00F70807" w:rsidRPr="007E204E" w:rsidRDefault="00F70807" w:rsidP="00691F12">
      <w:pPr>
        <w:spacing w:line="240" w:lineRule="auto"/>
        <w:rPr>
          <w:rFonts w:ascii="Times New Roman" w:hAnsi="Times New Roman" w:cs="Times New Roman"/>
        </w:rPr>
      </w:pPr>
    </w:p>
    <w:p w14:paraId="5AEABC90" w14:textId="06FFB4CB" w:rsidR="00F70807" w:rsidRPr="0002724A" w:rsidRDefault="00F70807" w:rsidP="00691F12">
      <w:pPr>
        <w:spacing w:line="240" w:lineRule="auto"/>
        <w:jc w:val="center"/>
        <w:rPr>
          <w:rFonts w:ascii="Times New Roman" w:hAnsi="Times New Roman" w:cs="Times New Roman"/>
          <w:i/>
          <w:iCs/>
          <w:sz w:val="24"/>
          <w:szCs w:val="24"/>
          <w:vertAlign w:val="superscript"/>
        </w:rPr>
      </w:pPr>
      <w:r w:rsidRPr="0002724A">
        <w:rPr>
          <w:rFonts w:ascii="Times New Roman" w:hAnsi="Times New Roman" w:cs="Times New Roman"/>
          <w:i/>
          <w:iCs/>
          <w:sz w:val="24"/>
          <w:szCs w:val="24"/>
        </w:rPr>
        <w:t>Frances Quigley</w:t>
      </w:r>
      <w:r w:rsidRPr="0002724A">
        <w:rPr>
          <w:rFonts w:ascii="Times New Roman" w:hAnsi="Times New Roman" w:cs="Times New Roman"/>
          <w:i/>
          <w:iCs/>
          <w:sz w:val="24"/>
          <w:szCs w:val="24"/>
          <w:vertAlign w:val="superscript"/>
        </w:rPr>
        <w:t>1,2</w:t>
      </w:r>
      <w:r w:rsidRPr="0002724A">
        <w:rPr>
          <w:rFonts w:ascii="Times New Roman" w:hAnsi="Times New Roman" w:cs="Times New Roman"/>
          <w:i/>
          <w:iCs/>
          <w:sz w:val="24"/>
          <w:szCs w:val="24"/>
        </w:rPr>
        <w:t>, Patrick McBean</w:t>
      </w:r>
      <w:r w:rsidRPr="0002724A">
        <w:rPr>
          <w:rFonts w:ascii="Times New Roman" w:hAnsi="Times New Roman" w:cs="Times New Roman"/>
          <w:i/>
          <w:iCs/>
          <w:sz w:val="24"/>
          <w:szCs w:val="24"/>
          <w:vertAlign w:val="superscript"/>
        </w:rPr>
        <w:t>1,2</w:t>
      </w:r>
      <w:r w:rsidRPr="0002724A">
        <w:rPr>
          <w:rFonts w:ascii="Times New Roman" w:hAnsi="Times New Roman" w:cs="Times New Roman"/>
          <w:i/>
          <w:iCs/>
          <w:sz w:val="24"/>
          <w:szCs w:val="24"/>
        </w:rPr>
        <w:t>, Peter O’Donovan</w:t>
      </w:r>
      <w:r w:rsidRPr="00DB4A55">
        <w:rPr>
          <w:rFonts w:ascii="Times New Roman" w:hAnsi="Times New Roman" w:cs="Times New Roman"/>
          <w:i/>
          <w:iCs/>
          <w:sz w:val="24"/>
          <w:szCs w:val="24"/>
          <w:vertAlign w:val="superscript"/>
        </w:rPr>
        <w:t>1</w:t>
      </w:r>
      <w:r w:rsidRPr="0002724A">
        <w:rPr>
          <w:rFonts w:ascii="Times New Roman" w:hAnsi="Times New Roman" w:cs="Times New Roman"/>
          <w:i/>
          <w:iCs/>
          <w:sz w:val="24"/>
          <w:szCs w:val="24"/>
        </w:rPr>
        <w:t xml:space="preserve">, </w:t>
      </w:r>
      <w:r w:rsidR="00BB270C">
        <w:rPr>
          <w:rFonts w:ascii="Times New Roman" w:hAnsi="Times New Roman" w:cs="Times New Roman"/>
          <w:i/>
          <w:iCs/>
          <w:sz w:val="24"/>
          <w:szCs w:val="24"/>
        </w:rPr>
        <w:t>Jonathan J. P. Peters</w:t>
      </w:r>
      <w:r w:rsidR="008201AD" w:rsidRPr="00225C0F">
        <w:rPr>
          <w:rFonts w:ascii="Times New Roman" w:hAnsi="Times New Roman" w:cs="Times New Roman"/>
          <w:i/>
          <w:iCs/>
          <w:sz w:val="24"/>
          <w:szCs w:val="24"/>
          <w:vertAlign w:val="superscript"/>
        </w:rPr>
        <w:t>1,2</w:t>
      </w:r>
      <w:r w:rsidR="00BB270C">
        <w:rPr>
          <w:rFonts w:ascii="Times New Roman" w:hAnsi="Times New Roman" w:cs="Times New Roman"/>
          <w:i/>
          <w:iCs/>
          <w:sz w:val="24"/>
          <w:szCs w:val="24"/>
        </w:rPr>
        <w:t>,</w:t>
      </w:r>
      <w:r w:rsidR="00F426D9">
        <w:rPr>
          <w:rFonts w:ascii="Times New Roman" w:hAnsi="Times New Roman" w:cs="Times New Roman"/>
          <w:i/>
          <w:iCs/>
          <w:sz w:val="24"/>
          <w:szCs w:val="24"/>
        </w:rPr>
        <w:t xml:space="preserve"> </w:t>
      </w:r>
      <w:r w:rsidRPr="0002724A">
        <w:rPr>
          <w:rFonts w:ascii="Times New Roman" w:hAnsi="Times New Roman" w:cs="Times New Roman"/>
          <w:i/>
          <w:iCs/>
          <w:sz w:val="24"/>
          <w:szCs w:val="24"/>
        </w:rPr>
        <w:t>Lewys Jones</w:t>
      </w:r>
      <w:r w:rsidRPr="0002724A">
        <w:rPr>
          <w:rFonts w:ascii="Times New Roman" w:hAnsi="Times New Roman" w:cs="Times New Roman"/>
          <w:i/>
          <w:iCs/>
          <w:sz w:val="24"/>
          <w:szCs w:val="24"/>
          <w:vertAlign w:val="superscript"/>
        </w:rPr>
        <w:t>1,2</w:t>
      </w:r>
    </w:p>
    <w:p w14:paraId="7A50B86D" w14:textId="77777777" w:rsidR="00F70807" w:rsidRPr="00CF0EFC" w:rsidRDefault="00F70807" w:rsidP="00691F12">
      <w:pPr>
        <w:spacing w:line="240" w:lineRule="auto"/>
        <w:jc w:val="center"/>
        <w:rPr>
          <w:rFonts w:ascii="Times New Roman" w:hAnsi="Times New Roman" w:cs="Times New Roman"/>
          <w:i/>
        </w:rPr>
      </w:pPr>
      <w:r w:rsidRPr="00CF0EFC">
        <w:rPr>
          <w:rFonts w:ascii="Times New Roman" w:hAnsi="Times New Roman" w:cs="Times New Roman"/>
          <w:i/>
        </w:rPr>
        <w:t xml:space="preserve">1. </w:t>
      </w:r>
      <w:r w:rsidRPr="00CF0EFC">
        <w:rPr>
          <w:rFonts w:ascii="Times New Roman" w:eastAsiaTheme="majorEastAsia" w:hAnsi="Times New Roman" w:cs="Times New Roman"/>
          <w:i/>
          <w:color w:val="000000" w:themeColor="text1"/>
        </w:rPr>
        <w:t>School of Physics, Trinity College Dublin, Dublin 2, Ireland</w:t>
      </w:r>
      <w:r w:rsidRPr="00CF0EFC">
        <w:rPr>
          <w:rFonts w:ascii="Times New Roman" w:hAnsi="Times New Roman" w:cs="Times New Roman"/>
          <w:i/>
        </w:rPr>
        <w:t xml:space="preserve"> </w:t>
      </w:r>
    </w:p>
    <w:p w14:paraId="05C01ED1" w14:textId="474DCFD0" w:rsidR="00F70807" w:rsidRPr="00CF0EFC" w:rsidRDefault="00F70807" w:rsidP="00691F12">
      <w:pPr>
        <w:spacing w:line="240" w:lineRule="auto"/>
        <w:jc w:val="center"/>
        <w:rPr>
          <w:i/>
          <w:sz w:val="24"/>
          <w:szCs w:val="24"/>
        </w:rPr>
      </w:pPr>
      <w:r w:rsidRPr="00CF0EFC">
        <w:rPr>
          <w:rFonts w:ascii="Times New Roman" w:eastAsiaTheme="majorEastAsia" w:hAnsi="Times New Roman" w:cs="Times New Roman"/>
          <w:i/>
          <w:color w:val="000000" w:themeColor="text1"/>
        </w:rPr>
        <w:t>2</w:t>
      </w:r>
      <w:r w:rsidR="001F6842" w:rsidRPr="00CF0EFC">
        <w:rPr>
          <w:rFonts w:ascii="Times New Roman" w:eastAsiaTheme="majorEastAsia" w:hAnsi="Times New Roman" w:cs="Times New Roman"/>
          <w:i/>
          <w:color w:val="000000" w:themeColor="text1"/>
        </w:rPr>
        <w:t>.</w:t>
      </w:r>
      <w:r w:rsidRPr="00CF0EFC">
        <w:rPr>
          <w:rFonts w:ascii="Times New Roman" w:eastAsiaTheme="majorEastAsia" w:hAnsi="Times New Roman" w:cs="Times New Roman"/>
          <w:i/>
          <w:color w:val="000000" w:themeColor="text1"/>
        </w:rPr>
        <w:t xml:space="preserve"> </w:t>
      </w:r>
      <w:r w:rsidRPr="00CF0EFC">
        <w:rPr>
          <w:rFonts w:ascii="Times New Roman" w:hAnsi="Times New Roman" w:cs="Times New Roman"/>
          <w:i/>
        </w:rPr>
        <w:t>Advanced Microscopy Laboratory, Centre for Research on Adaptive Nanostructures &amp; Nanodevices (CRANN), Dublin 2, Ireland</w:t>
      </w:r>
      <w:r w:rsidRPr="00CF0EFC">
        <w:rPr>
          <w:rFonts w:ascii="Times New Roman" w:eastAsiaTheme="majorEastAsia" w:hAnsi="Times New Roman" w:cs="Times New Roman"/>
          <w:i/>
          <w:color w:val="000000" w:themeColor="text1"/>
        </w:rPr>
        <w:t xml:space="preserve"> </w:t>
      </w:r>
    </w:p>
    <w:p w14:paraId="366AFD16" w14:textId="44F4F87C" w:rsidR="00F70807" w:rsidRDefault="00F70807" w:rsidP="00691F12">
      <w:pPr>
        <w:pStyle w:val="Heading1"/>
        <w:spacing w:line="240" w:lineRule="auto"/>
      </w:pPr>
      <w:r w:rsidRPr="001B1EC0">
        <w:t>Calculating the electron dose after the monochromation of the electron beam</w:t>
      </w:r>
    </w:p>
    <w:p w14:paraId="417C0192" w14:textId="7C342925" w:rsidR="00F70807" w:rsidRDefault="00F70807" w:rsidP="00691F12">
      <w:pPr>
        <w:spacing w:line="240" w:lineRule="auto"/>
        <w:jc w:val="both"/>
        <w:rPr>
          <w:rFonts w:ascii="Times New Roman" w:hAnsi="Times New Roman" w:cs="Times New Roman"/>
          <w:sz w:val="24"/>
          <w:szCs w:val="24"/>
        </w:rPr>
      </w:pPr>
      <w:r w:rsidRPr="0053151D">
        <w:rPr>
          <w:rFonts w:ascii="Times New Roman" w:hAnsi="Times New Roman" w:cs="Times New Roman"/>
          <w:sz w:val="24"/>
          <w:szCs w:val="24"/>
        </w:rPr>
        <w:t xml:space="preserve">The beam current reduction of a Schottky </w:t>
      </w:r>
      <w:r w:rsidR="008F23C0">
        <w:rPr>
          <w:rFonts w:ascii="Times New Roman" w:hAnsi="Times New Roman" w:cs="Times New Roman"/>
          <w:sz w:val="24"/>
          <w:szCs w:val="24"/>
        </w:rPr>
        <w:t xml:space="preserve">and cold </w:t>
      </w:r>
      <w:r w:rsidRPr="0053151D">
        <w:rPr>
          <w:rFonts w:ascii="Times New Roman" w:hAnsi="Times New Roman" w:cs="Times New Roman"/>
          <w:sz w:val="24"/>
          <w:szCs w:val="24"/>
        </w:rPr>
        <w:t xml:space="preserve">FEG from various levels of monochromation was determined from the EELS ZLP of the Schottky </w:t>
      </w:r>
      <w:r w:rsidR="008F23C0">
        <w:rPr>
          <w:rFonts w:ascii="Times New Roman" w:hAnsi="Times New Roman" w:cs="Times New Roman"/>
          <w:sz w:val="24"/>
          <w:szCs w:val="24"/>
        </w:rPr>
        <w:t xml:space="preserve">and cold </w:t>
      </w:r>
      <w:r w:rsidRPr="0053151D">
        <w:rPr>
          <w:rFonts w:ascii="Times New Roman" w:hAnsi="Times New Roman" w:cs="Times New Roman"/>
          <w:sz w:val="24"/>
          <w:szCs w:val="24"/>
        </w:rPr>
        <w:t>FEG</w:t>
      </w:r>
      <w:r w:rsidR="008F23C0">
        <w:rPr>
          <w:rFonts w:ascii="Times New Roman" w:hAnsi="Times New Roman" w:cs="Times New Roman"/>
          <w:sz w:val="24"/>
          <w:szCs w:val="24"/>
        </w:rPr>
        <w:t>s</w:t>
      </w:r>
      <w:r w:rsidRPr="0053151D">
        <w:rPr>
          <w:rFonts w:ascii="Times New Roman" w:hAnsi="Times New Roman" w:cs="Times New Roman"/>
          <w:sz w:val="24"/>
          <w:szCs w:val="24"/>
        </w:rPr>
        <w:t xml:space="preserve"> (Figure 3 of </w:t>
      </w:r>
      <w:r w:rsidR="001A40D9">
        <w:rPr>
          <w:rFonts w:ascii="Times New Roman" w:hAnsi="Times New Roman" w:cs="Times New Roman"/>
          <w:sz w:val="24"/>
          <w:szCs w:val="24"/>
        </w:rPr>
        <w:fldChar w:fldCharType="begin" w:fldLock="1"/>
      </w:r>
      <w:r w:rsidR="001A40D9">
        <w:rPr>
          <w:rFonts w:ascii="Times New Roman" w:hAnsi="Times New Roman" w:cs="Times New Roman"/>
          <w:sz w:val="24"/>
          <w:szCs w:val="24"/>
        </w:rPr>
        <w:instrText>ADDIN CSL_CITATION {"citationItems":[{"id":"ITEM-1","itemData":{"DOI":"10.1007/s11244-008-9101-4","ISSN":"10225528","abstract":"The practical advantages of an electron monochromator for electron energy-loss spectroscopy (EELS) in transmission electron microscopy are described. Typical examples from materials and nanoparticle research demonstrate the use of EELS with high energy and spatial resolution. Recent instrumental developments are also reviewed with a discussion of how the technique could be used to study catalyst structures of the future. © Springer Science+Business Media, LLC 2008.","author":[{"dropping-particle":"","family":"Grogger","given":"Werner","non-dropping-particle":"","parse-names":false,"suffix":""},{"dropping-particle":"","family":"Hofer","given":"Ferdinand","non-dropping-particle":"","parse-names":false,"suffix":""},{"dropping-particle":"","family":"Kothleitner","given":"Gerald","non-dropping-particle":"","parse-names":false,"suffix":""},{"dropping-particle":"","family":"Schaffer","given":"Bernhard","non-dropping-particle":"","parse-names":false,"suffix":""}],"container-title":"Topics in Catalysis","id":"ITEM-1","issue":"1-4","issued":{"date-parts":[["2008"]]},"page":"200-207","title":"An introduction to high-resolution EELS in transmission electron microscopy","type":"article-journal","volume":"50"},"uris":["http://www.mendeley.com/documents/?uuid=e42ad368-cd8c-498a-90ef-136e74953639"]}],"mendeley":{"formattedCitation":"(Grogger et al., 2008)","plainTextFormattedCitation":"(Grogger et al., 2008)","previouslyFormattedCitation":"(Grogger et al., 2008)"},"properties":{"noteIndex":0},"schema":"https://github.com/citation-style-language/schema/raw/master/csl-citation.json"}</w:instrText>
      </w:r>
      <w:r w:rsidR="001A40D9">
        <w:rPr>
          <w:rFonts w:ascii="Times New Roman" w:hAnsi="Times New Roman" w:cs="Times New Roman"/>
          <w:sz w:val="24"/>
          <w:szCs w:val="24"/>
        </w:rPr>
        <w:fldChar w:fldCharType="separate"/>
      </w:r>
      <w:r w:rsidR="001A40D9" w:rsidRPr="001A40D9">
        <w:rPr>
          <w:rFonts w:ascii="Times New Roman" w:hAnsi="Times New Roman" w:cs="Times New Roman"/>
          <w:noProof/>
          <w:sz w:val="24"/>
          <w:szCs w:val="24"/>
        </w:rPr>
        <w:t>(Grogger et al., 2008)</w:t>
      </w:r>
      <w:r w:rsidR="001A40D9">
        <w:rPr>
          <w:rFonts w:ascii="Times New Roman" w:hAnsi="Times New Roman" w:cs="Times New Roman"/>
          <w:sz w:val="24"/>
          <w:szCs w:val="24"/>
        </w:rPr>
        <w:fldChar w:fldCharType="end"/>
      </w:r>
      <w:r w:rsidR="008F23C0">
        <w:rPr>
          <w:rFonts w:ascii="Times New Roman" w:hAnsi="Times New Roman" w:cs="Times New Roman"/>
          <w:sz w:val="24"/>
          <w:szCs w:val="24"/>
        </w:rPr>
        <w:t xml:space="preserve"> and </w:t>
      </w:r>
      <w:r w:rsidR="002B0BF8">
        <w:rPr>
          <w:rFonts w:ascii="Times New Roman" w:hAnsi="Times New Roman" w:cs="Times New Roman"/>
          <w:sz w:val="24"/>
          <w:szCs w:val="24"/>
        </w:rPr>
        <w:t xml:space="preserve">Figure </w:t>
      </w:r>
      <w:r w:rsidR="00050027">
        <w:rPr>
          <w:rFonts w:ascii="Times New Roman" w:hAnsi="Times New Roman" w:cs="Times New Roman"/>
          <w:sz w:val="24"/>
          <w:szCs w:val="24"/>
        </w:rPr>
        <w:t>2</w:t>
      </w:r>
      <w:r w:rsidR="002B0BF8">
        <w:rPr>
          <w:rFonts w:ascii="Times New Roman" w:hAnsi="Times New Roman" w:cs="Times New Roman"/>
          <w:sz w:val="24"/>
          <w:szCs w:val="24"/>
        </w:rPr>
        <w:t xml:space="preserve">a of </w:t>
      </w:r>
      <w:r w:rsidR="007E20C4">
        <w:rPr>
          <w:rFonts w:ascii="Times New Roman" w:hAnsi="Times New Roman" w:cs="Times New Roman"/>
          <w:sz w:val="24"/>
          <w:szCs w:val="24"/>
        </w:rPr>
        <w:fldChar w:fldCharType="begin" w:fldLock="1"/>
      </w:r>
      <w:r w:rsidR="002E40C8">
        <w:rPr>
          <w:rFonts w:ascii="Times New Roman" w:hAnsi="Times New Roman" w:cs="Times New Roman"/>
          <w:sz w:val="24"/>
          <w:szCs w:val="24"/>
        </w:rPr>
        <w:instrText>ADDIN CSL_CITATION {"citationItems":[{"id":"ITEM-1","itemData":{"DOI":"10.1038/s41598-018-23805-5","ISSN":"20452322","abstract":"Monochromated electron energy loss spectroscopy (EELS) is one of the leading techniques to study materials properties that correspond to low (&lt;5 eV) energy losses (i.e. band-gaps, plasmons, and excitons) with nanoscale spatial resolution. Recently a new generation of monochromators have become available, opening regimes and unlocking excitations that were previously unobservable in the electron microscope. The capabilities of these new instruments are still being explored, and here we study the effect of monochromation on various aspects of EELS analysis in the infrared (&lt;1 eV) regime. We investigate the effect of varying levels of monochromation on energy resolution, zero-loss peak (ZLP) tail reduction, ZLP tail shape, signal-to-noise-ratio, and spatial resolution. From these experiments, the new capabilities of monochromated EELS are shown to be highly promising for the future of localized spectroscopic analysis.","author":[{"dropping-particle":"","family":"Hachtel","given":"Jordan A.","non-dropping-particle":"","parse-names":false,"suffix":""},{"dropping-particle":"","family":"Lupini","given":"Andrew R.","non-dropping-particle":"","parse-names":false,"suffix":""},{"dropping-particle":"","family":"Idrobo","given":"Juan Carlos","non-dropping-particle":"","parse-names":false,"suffix":""}],"container-title":"Scientific Reports","id":"ITEM-1","issue":"1","issued":{"date-parts":[["2018","12","1"]]},"note":"www.nature.com/scientificreports","page":"1-10","publisher":"Nature Publishing Group","title":"Exploring the capabilities of monochromated electron energy loss spectroscopy in the infrared regime","type":"article-journal","volume":"8"},"uris":["http://www.mendeley.com/documents/?uuid=70fd010a-bb42-35b4-a458-be44e67b299b"]}],"mendeley":{"formattedCitation":"(Hachtel et al., 2018)","plainTextFormattedCitation":"(Hachtel et al., 2018)","previouslyFormattedCitation":"(Hachtel et al., 2018)"},"properties":{"noteIndex":0},"schema":"https://github.com/citation-style-language/schema/raw/master/csl-citation.json"}</w:instrText>
      </w:r>
      <w:r w:rsidR="007E20C4">
        <w:rPr>
          <w:rFonts w:ascii="Times New Roman" w:hAnsi="Times New Roman" w:cs="Times New Roman"/>
          <w:sz w:val="24"/>
          <w:szCs w:val="24"/>
        </w:rPr>
        <w:fldChar w:fldCharType="separate"/>
      </w:r>
      <w:r w:rsidR="00F24701" w:rsidRPr="00F24701">
        <w:rPr>
          <w:rFonts w:ascii="Times New Roman" w:hAnsi="Times New Roman" w:cs="Times New Roman"/>
          <w:noProof/>
          <w:sz w:val="24"/>
          <w:szCs w:val="24"/>
        </w:rPr>
        <w:t>(Hachtel et al., 2018)</w:t>
      </w:r>
      <w:r w:rsidR="007E20C4">
        <w:rPr>
          <w:rFonts w:ascii="Times New Roman" w:hAnsi="Times New Roman" w:cs="Times New Roman"/>
          <w:sz w:val="24"/>
          <w:szCs w:val="24"/>
        </w:rPr>
        <w:fldChar w:fldCharType="end"/>
      </w:r>
      <w:r w:rsidRPr="0053151D">
        <w:rPr>
          <w:rFonts w:ascii="Times New Roman" w:hAnsi="Times New Roman" w:cs="Times New Roman"/>
          <w:sz w:val="24"/>
          <w:szCs w:val="24"/>
        </w:rPr>
        <w:t xml:space="preserve">) using the method detailed by </w:t>
      </w:r>
      <w:r w:rsidR="001A40D9">
        <w:rPr>
          <w:rFonts w:ascii="Times New Roman" w:hAnsi="Times New Roman" w:cs="Times New Roman"/>
          <w:sz w:val="24"/>
          <w:szCs w:val="24"/>
        </w:rPr>
        <w:fldChar w:fldCharType="begin" w:fldLock="1"/>
      </w:r>
      <w:r w:rsidR="001A40D9">
        <w:rPr>
          <w:rFonts w:ascii="Times New Roman" w:hAnsi="Times New Roman" w:cs="Times New Roman"/>
          <w:sz w:val="24"/>
          <w:szCs w:val="24"/>
        </w:rPr>
        <w:instrText>ADDIN CSL_CITATION {"citationItems":[{"id":"ITEM-1","itemData":{"DOI":"10.1038/s41598-018-23805-5","ISSN":"20452322","abstract":"Monochromated electron energy loss spectroscopy (EELS) is one of the leading techniques to study materials properties that correspond to low (&lt;5 eV) energy losses (i.e. band-gaps, plasmons, and excitons) with nanoscale spatial resolution. Recently a new generation of monochromators have become available, opening regimes and unlocking excitations that were previously unobservable in the electron microscope. The capabilities of these new instruments are still being explored, and here we study the effect of monochromation on various aspects of EELS analysis in the infrared (&lt;1 eV) regime. We investigate the effect of varying levels of monochromation on energy resolution, zero-loss peak (ZLP) tail reduction, ZLP tail shape, signal-to-noise-ratio, and spatial resolution. From these experiments, the new capabilities of monochromated EELS are shown to be highly promising for the future of localized spectroscopic analysis.","author":[{"dropping-particle":"","family":"Hachtel","given":"Jordan A.","non-dropping-particle":"","parse-names":false,"suffix":""},{"dropping-particle":"","family":"Lupini","given":"Andrew R.","non-dropping-particle":"","parse-names":false,"suffix":""},{"dropping-particle":"","family":"Idrobo","given":"Juan Carlos","non-dropping-particle":"","parse-names":false,"suffix":""}],"container-title":"Scientific Reports","id":"ITEM-1","issue":"1","issued":{"date-parts":[["2018","12","1"]]},"note":"www.nature.com/scientificreports","page":"1-10","publisher":"Nature Publishing Group","title":"Exploring the capabilities of monochromated electron energy loss spectroscopy in the infrared regime","type":"article-journal","volume":"8"},"uris":["http://www.mendeley.com/documents/?uuid=70fd010a-bb42-35b4-a458-be44e67b299b"]}],"mendeley":{"formattedCitation":"(Hachtel et al., 2018)","plainTextFormattedCitation":"(Hachtel et al., 2018)"},"properties":{"noteIndex":0},"schema":"https://github.com/citation-style-language/schema/raw/master/csl-citation.json"}</w:instrText>
      </w:r>
      <w:r w:rsidR="001A40D9">
        <w:rPr>
          <w:rFonts w:ascii="Times New Roman" w:hAnsi="Times New Roman" w:cs="Times New Roman"/>
          <w:sz w:val="24"/>
          <w:szCs w:val="24"/>
        </w:rPr>
        <w:fldChar w:fldCharType="separate"/>
      </w:r>
      <w:r w:rsidR="001A40D9" w:rsidRPr="001A40D9">
        <w:rPr>
          <w:rFonts w:ascii="Times New Roman" w:hAnsi="Times New Roman" w:cs="Times New Roman"/>
          <w:noProof/>
          <w:sz w:val="24"/>
          <w:szCs w:val="24"/>
        </w:rPr>
        <w:t>(Hachtel et al., 2018)</w:t>
      </w:r>
      <w:r w:rsidR="001A40D9">
        <w:rPr>
          <w:rFonts w:ascii="Times New Roman" w:hAnsi="Times New Roman" w:cs="Times New Roman"/>
          <w:sz w:val="24"/>
          <w:szCs w:val="24"/>
        </w:rPr>
        <w:fldChar w:fldCharType="end"/>
      </w:r>
      <w:r w:rsidRPr="0053151D">
        <w:rPr>
          <w:rFonts w:ascii="Times New Roman" w:hAnsi="Times New Roman" w:cs="Times New Roman"/>
          <w:sz w:val="24"/>
          <w:szCs w:val="24"/>
        </w:rPr>
        <w:t xml:space="preserve">. </w:t>
      </w:r>
      <w:r w:rsidR="0039273D">
        <w:rPr>
          <w:rFonts w:ascii="Times New Roman" w:hAnsi="Times New Roman" w:cs="Times New Roman"/>
          <w:sz w:val="24"/>
          <w:szCs w:val="24"/>
        </w:rPr>
        <w:t>These</w:t>
      </w:r>
      <w:r w:rsidR="0039273D" w:rsidRPr="0053151D">
        <w:rPr>
          <w:rFonts w:ascii="Times New Roman" w:hAnsi="Times New Roman" w:cs="Times New Roman"/>
          <w:sz w:val="24"/>
          <w:szCs w:val="24"/>
        </w:rPr>
        <w:t xml:space="preserve"> </w:t>
      </w:r>
      <w:r w:rsidRPr="0053151D">
        <w:rPr>
          <w:rFonts w:ascii="Times New Roman" w:hAnsi="Times New Roman" w:cs="Times New Roman"/>
          <w:sz w:val="24"/>
          <w:szCs w:val="24"/>
        </w:rPr>
        <w:t xml:space="preserve">can be seen on the </w:t>
      </w:r>
      <w:r w:rsidRPr="0039273D">
        <w:rPr>
          <w:rFonts w:ascii="Times New Roman" w:hAnsi="Times New Roman" w:cs="Times New Roman"/>
          <w:sz w:val="24"/>
          <w:szCs w:val="24"/>
        </w:rPr>
        <w:t>left-hand</w:t>
      </w:r>
      <w:r w:rsidRPr="0053151D">
        <w:rPr>
          <w:rFonts w:ascii="Times New Roman" w:hAnsi="Times New Roman" w:cs="Times New Roman"/>
          <w:sz w:val="24"/>
          <w:szCs w:val="24"/>
        </w:rPr>
        <w:t xml:space="preserve"> plot</w:t>
      </w:r>
      <w:r w:rsidR="0039273D">
        <w:rPr>
          <w:rFonts w:ascii="Times New Roman" w:hAnsi="Times New Roman" w:cs="Times New Roman"/>
          <w:sz w:val="24"/>
          <w:szCs w:val="24"/>
        </w:rPr>
        <w:t>s</w:t>
      </w:r>
      <w:r w:rsidRPr="0053151D">
        <w:rPr>
          <w:rFonts w:ascii="Times New Roman" w:hAnsi="Times New Roman" w:cs="Times New Roman"/>
          <w:sz w:val="24"/>
          <w:szCs w:val="24"/>
        </w:rPr>
        <w:t xml:space="preserve"> </w:t>
      </w:r>
      <w:r w:rsidR="00BB4531">
        <w:rPr>
          <w:rFonts w:ascii="Times New Roman" w:hAnsi="Times New Roman" w:cs="Times New Roman"/>
          <w:sz w:val="24"/>
          <w:szCs w:val="24"/>
        </w:rPr>
        <w:t>of</w:t>
      </w:r>
      <w:r w:rsidR="00A83373">
        <w:rPr>
          <w:rFonts w:ascii="Times New Roman" w:hAnsi="Times New Roman" w:cs="Times New Roman"/>
          <w:sz w:val="24"/>
          <w:szCs w:val="24"/>
        </w:rPr>
        <w:t xml:space="preserve"> </w:t>
      </w:r>
      <w:r w:rsidR="002269FC">
        <w:rPr>
          <w:rFonts w:ascii="Times New Roman" w:hAnsi="Times New Roman" w:cs="Times New Roman"/>
          <w:sz w:val="24"/>
          <w:szCs w:val="24"/>
        </w:rPr>
        <w:fldChar w:fldCharType="begin"/>
      </w:r>
      <w:r w:rsidR="002269FC">
        <w:rPr>
          <w:rFonts w:ascii="Times New Roman" w:hAnsi="Times New Roman" w:cs="Times New Roman"/>
          <w:sz w:val="24"/>
          <w:szCs w:val="24"/>
        </w:rPr>
        <w:instrText xml:space="preserve"> REF _Ref97210492 \h </w:instrText>
      </w:r>
      <w:r w:rsidR="002269FC">
        <w:rPr>
          <w:rFonts w:ascii="Times New Roman" w:hAnsi="Times New Roman" w:cs="Times New Roman"/>
          <w:sz w:val="24"/>
          <w:szCs w:val="24"/>
        </w:rPr>
      </w:r>
      <w:r w:rsidR="009369C8">
        <w:rPr>
          <w:rFonts w:ascii="Times New Roman" w:hAnsi="Times New Roman" w:cs="Times New Roman"/>
          <w:sz w:val="24"/>
          <w:szCs w:val="24"/>
        </w:rPr>
        <w:instrText xml:space="preserve"> \* MERGEFORMAT </w:instrText>
      </w:r>
      <w:r w:rsidR="002269FC">
        <w:rPr>
          <w:rFonts w:ascii="Times New Roman" w:hAnsi="Times New Roman" w:cs="Times New Roman"/>
          <w:sz w:val="24"/>
          <w:szCs w:val="24"/>
        </w:rPr>
        <w:fldChar w:fldCharType="separate"/>
      </w:r>
      <w:r w:rsidR="00DC6B90" w:rsidRPr="002920CB">
        <w:rPr>
          <w:rFonts w:ascii="Times New Roman" w:hAnsi="Times New Roman" w:cs="Times New Roman"/>
        </w:rPr>
        <w:t xml:space="preserve">Figure </w:t>
      </w:r>
      <w:r w:rsidR="00DC6B90">
        <w:rPr>
          <w:rFonts w:ascii="Times New Roman" w:hAnsi="Times New Roman" w:cs="Times New Roman"/>
        </w:rPr>
        <w:t>1</w:t>
      </w:r>
      <w:r w:rsidR="002269FC">
        <w:rPr>
          <w:rFonts w:ascii="Times New Roman" w:hAnsi="Times New Roman" w:cs="Times New Roman"/>
          <w:sz w:val="24"/>
          <w:szCs w:val="24"/>
        </w:rPr>
        <w:fldChar w:fldCharType="end"/>
      </w:r>
      <w:r w:rsidRPr="0053151D">
        <w:rPr>
          <w:rFonts w:ascii="Times New Roman" w:hAnsi="Times New Roman" w:cs="Times New Roman"/>
          <w:sz w:val="24"/>
          <w:szCs w:val="24"/>
        </w:rPr>
        <w:t xml:space="preserve"> below. The remaining area was then integrated and compared to the total area to determine the fractional reduction in current, shown in the right-hand plot </w:t>
      </w:r>
      <w:r w:rsidR="00BB4531">
        <w:rPr>
          <w:rFonts w:ascii="Times New Roman" w:hAnsi="Times New Roman" w:cs="Times New Roman"/>
          <w:sz w:val="24"/>
          <w:szCs w:val="24"/>
        </w:rPr>
        <w:t>of</w:t>
      </w:r>
      <w:r w:rsidR="00A83373">
        <w:rPr>
          <w:rFonts w:ascii="Times New Roman" w:hAnsi="Times New Roman" w:cs="Times New Roman"/>
          <w:sz w:val="24"/>
          <w:szCs w:val="24"/>
        </w:rPr>
        <w:t xml:space="preserve"> </w:t>
      </w:r>
      <w:r w:rsidR="00A83373">
        <w:rPr>
          <w:rFonts w:ascii="Times New Roman" w:hAnsi="Times New Roman" w:cs="Times New Roman"/>
          <w:sz w:val="24"/>
          <w:szCs w:val="24"/>
        </w:rPr>
        <w:fldChar w:fldCharType="begin"/>
      </w:r>
      <w:r w:rsidR="00A83373">
        <w:rPr>
          <w:rFonts w:ascii="Times New Roman" w:hAnsi="Times New Roman" w:cs="Times New Roman"/>
          <w:sz w:val="24"/>
          <w:szCs w:val="24"/>
        </w:rPr>
        <w:instrText xml:space="preserve"> REF _Ref97210492 \h </w:instrText>
      </w:r>
      <w:r w:rsidR="00A83373">
        <w:rPr>
          <w:rFonts w:ascii="Times New Roman" w:hAnsi="Times New Roman" w:cs="Times New Roman"/>
          <w:sz w:val="24"/>
          <w:szCs w:val="24"/>
        </w:rPr>
      </w:r>
      <w:r w:rsidR="009369C8">
        <w:rPr>
          <w:rFonts w:ascii="Times New Roman" w:hAnsi="Times New Roman" w:cs="Times New Roman"/>
          <w:sz w:val="24"/>
          <w:szCs w:val="24"/>
        </w:rPr>
        <w:instrText xml:space="preserve"> \* MERGEFORMAT </w:instrText>
      </w:r>
      <w:r w:rsidR="00A83373">
        <w:rPr>
          <w:rFonts w:ascii="Times New Roman" w:hAnsi="Times New Roman" w:cs="Times New Roman"/>
          <w:sz w:val="24"/>
          <w:szCs w:val="24"/>
        </w:rPr>
        <w:fldChar w:fldCharType="separate"/>
      </w:r>
      <w:r w:rsidR="00DC6B90" w:rsidRPr="002920CB">
        <w:rPr>
          <w:rFonts w:ascii="Times New Roman" w:hAnsi="Times New Roman" w:cs="Times New Roman"/>
        </w:rPr>
        <w:t xml:space="preserve">Figure </w:t>
      </w:r>
      <w:r w:rsidR="00DC6B90">
        <w:rPr>
          <w:rFonts w:ascii="Times New Roman" w:hAnsi="Times New Roman" w:cs="Times New Roman"/>
        </w:rPr>
        <w:t>1</w:t>
      </w:r>
      <w:r w:rsidR="00A83373">
        <w:rPr>
          <w:rFonts w:ascii="Times New Roman" w:hAnsi="Times New Roman" w:cs="Times New Roman"/>
          <w:sz w:val="24"/>
          <w:szCs w:val="24"/>
        </w:rPr>
        <w:fldChar w:fldCharType="end"/>
      </w:r>
      <w:r w:rsidRPr="0053151D">
        <w:rPr>
          <w:rFonts w:ascii="Times New Roman" w:hAnsi="Times New Roman" w:cs="Times New Roman"/>
          <w:sz w:val="24"/>
          <w:szCs w:val="24"/>
        </w:rPr>
        <w:t xml:space="preserve">. These have been extended beyond the maximum 500 meV </w:t>
      </w:r>
      <w:r w:rsidR="00757171">
        <w:rPr>
          <w:rFonts w:ascii="Times New Roman" w:hAnsi="Times New Roman" w:cs="Times New Roman"/>
          <w:sz w:val="24"/>
          <w:szCs w:val="24"/>
        </w:rPr>
        <w:t xml:space="preserve">and 250 meV </w:t>
      </w:r>
      <w:r w:rsidRPr="0053151D">
        <w:rPr>
          <w:rFonts w:ascii="Times New Roman" w:hAnsi="Times New Roman" w:cs="Times New Roman"/>
          <w:sz w:val="24"/>
          <w:szCs w:val="24"/>
        </w:rPr>
        <w:t>monochromation</w:t>
      </w:r>
      <w:r w:rsidR="00D325C2">
        <w:rPr>
          <w:rFonts w:ascii="Times New Roman" w:hAnsi="Times New Roman" w:cs="Times New Roman"/>
          <w:sz w:val="24"/>
          <w:szCs w:val="24"/>
        </w:rPr>
        <w:t xml:space="preserve"> for the Schottky FEG and cold FEG, respectively,</w:t>
      </w:r>
      <w:r w:rsidRPr="0053151D">
        <w:rPr>
          <w:rFonts w:ascii="Times New Roman" w:hAnsi="Times New Roman" w:cs="Times New Roman"/>
          <w:sz w:val="24"/>
          <w:szCs w:val="24"/>
        </w:rPr>
        <w:t xml:space="preserve"> in order to display the full trend. For a given dwell time, the fractional reduction in current is equal to the fractional reduction in dose.</w:t>
      </w:r>
    </w:p>
    <w:p w14:paraId="67BEB4D2" w14:textId="77777777" w:rsidR="00E02681" w:rsidRPr="007E204E" w:rsidRDefault="00E02681" w:rsidP="00691F12">
      <w:pPr>
        <w:pStyle w:val="Heading1"/>
        <w:spacing w:line="240" w:lineRule="auto"/>
      </w:pPr>
      <w:r w:rsidRPr="007E204E">
        <w:t>Gaussian Distribution of weights</w:t>
      </w:r>
    </w:p>
    <w:p w14:paraId="1A2BBC20" w14:textId="507ACA65" w:rsidR="00E02681" w:rsidRPr="0053151D" w:rsidRDefault="00E02681" w:rsidP="00691F12">
      <w:pPr>
        <w:spacing w:line="240" w:lineRule="auto"/>
        <w:jc w:val="both"/>
        <w:rPr>
          <w:rFonts w:ascii="Times New Roman" w:hAnsi="Times New Roman" w:cs="Times New Roman"/>
          <w:sz w:val="24"/>
          <w:szCs w:val="24"/>
        </w:rPr>
      </w:pPr>
      <w:r w:rsidRPr="0053151D">
        <w:rPr>
          <w:rFonts w:ascii="Times New Roman" w:hAnsi="Times New Roman" w:cs="Times New Roman"/>
          <w:sz w:val="24"/>
          <w:szCs w:val="24"/>
        </w:rPr>
        <w:t xml:space="preserve">As detailed in </w:t>
      </w:r>
      <w:r w:rsidR="00B35ADA">
        <w:rPr>
          <w:rFonts w:ascii="Times New Roman" w:hAnsi="Times New Roman" w:cs="Times New Roman"/>
          <w:sz w:val="24"/>
          <w:szCs w:val="24"/>
        </w:rPr>
        <w:fldChar w:fldCharType="begin" w:fldLock="1"/>
      </w:r>
      <w:r w:rsidR="00694E8C">
        <w:rPr>
          <w:rFonts w:ascii="Times New Roman" w:hAnsi="Times New Roman" w:cs="Times New Roman"/>
          <w:sz w:val="24"/>
          <w:szCs w:val="24"/>
        </w:rPr>
        <w:instrText>ADDIN CSL_CITATION {"citationItems":[{"id":"ITEM-1","itemData":{"DOI":"10.1016/j.ultramic.2019.112884","ISSN":"18792723","PMID":"31756598","author":[{"dropping-particle":"","family":"Aarholt","given":"Thomas","non-dropping-particle":"","parse-names":false,"suffix":""},{"dropping-particle":"","family":"Frodason","given":"Ymir K.","non-dropping-particle":"","parse-names":false,"suffix":""},{"dropping-particle":"","family":"Prytz","given":"Øystein","non-dropping-particle":"","parse-names":false,"suffix":""}],"container-title":"Ultramicroscopy","id":"ITEM-1","issue":"October 2019","issued":{"date-parts":[["2020"]]},"note":"https://doi.org/10.1016/j.ultramic.2019.112884","page":"112884","publisher":"Elsevier B.V.","title":"Imaging defect complexes in scanning transmission electron microscopy: Impact of depth, structural relaxation, and temperature investigated by simulations","type":"article-journal","volume":"209"},"uris":["http://www.mendeley.com/documents/?uuid=13f83e37-fe3d-4cf2-a126-9caabecb3e2d"]}],"mendeley":{"formattedCitation":"(Aarholt et al., 2020)","plainTextFormattedCitation":"(Aarholt et al., 2020)","previouslyFormattedCitation":"(Aarholt et al., 2020)"},"properties":{"noteIndex":0},"schema":"https://github.com/citation-style-language/schema/raw/master/csl-citation.json"}</w:instrText>
      </w:r>
      <w:r w:rsidR="00B35ADA">
        <w:rPr>
          <w:rFonts w:ascii="Times New Roman" w:hAnsi="Times New Roman" w:cs="Times New Roman"/>
          <w:sz w:val="24"/>
          <w:szCs w:val="24"/>
        </w:rPr>
        <w:fldChar w:fldCharType="separate"/>
      </w:r>
      <w:r w:rsidR="00B35ADA" w:rsidRPr="00B35ADA">
        <w:rPr>
          <w:rFonts w:ascii="Times New Roman" w:hAnsi="Times New Roman" w:cs="Times New Roman"/>
          <w:noProof/>
          <w:sz w:val="24"/>
          <w:szCs w:val="24"/>
        </w:rPr>
        <w:t>(Aarholt et al., 2020)</w:t>
      </w:r>
      <w:r w:rsidR="00B35ADA">
        <w:rPr>
          <w:rFonts w:ascii="Times New Roman" w:hAnsi="Times New Roman" w:cs="Times New Roman"/>
          <w:sz w:val="24"/>
          <w:szCs w:val="24"/>
        </w:rPr>
        <w:fldChar w:fldCharType="end"/>
      </w:r>
      <w:r w:rsidR="00694E8C">
        <w:rPr>
          <w:rFonts w:ascii="Times New Roman" w:hAnsi="Times New Roman" w:cs="Times New Roman"/>
          <w:sz w:val="24"/>
          <w:szCs w:val="24"/>
        </w:rPr>
        <w:t xml:space="preserve"> </w:t>
      </w:r>
      <w:r w:rsidRPr="0053151D">
        <w:rPr>
          <w:rFonts w:ascii="Times New Roman" w:hAnsi="Times New Roman" w:cs="Times New Roman"/>
          <w:sz w:val="24"/>
          <w:szCs w:val="24"/>
        </w:rPr>
        <w:t>a series of defocus images were weighted according to a normalised Gaussian distribution and then summed</w:t>
      </w:r>
      <w:r>
        <w:rPr>
          <w:rFonts w:ascii="Times New Roman" w:hAnsi="Times New Roman" w:cs="Times New Roman"/>
          <w:sz w:val="24"/>
          <w:szCs w:val="24"/>
        </w:rPr>
        <w:t xml:space="preserve">. </w:t>
      </w:r>
      <w:r w:rsidR="00A83373">
        <w:rPr>
          <w:rFonts w:ascii="Times New Roman" w:hAnsi="Times New Roman" w:cs="Times New Roman"/>
          <w:sz w:val="24"/>
          <w:szCs w:val="24"/>
        </w:rPr>
        <w:fldChar w:fldCharType="begin"/>
      </w:r>
      <w:r w:rsidR="00A83373">
        <w:rPr>
          <w:rFonts w:ascii="Times New Roman" w:hAnsi="Times New Roman" w:cs="Times New Roman"/>
          <w:sz w:val="24"/>
          <w:szCs w:val="24"/>
        </w:rPr>
        <w:instrText xml:space="preserve"> REF _Ref97210537 \h </w:instrText>
      </w:r>
      <w:r w:rsidR="00A83373">
        <w:rPr>
          <w:rFonts w:ascii="Times New Roman" w:hAnsi="Times New Roman" w:cs="Times New Roman"/>
          <w:sz w:val="24"/>
          <w:szCs w:val="24"/>
        </w:rPr>
      </w:r>
      <w:r w:rsidR="009369C8">
        <w:rPr>
          <w:rFonts w:ascii="Times New Roman" w:hAnsi="Times New Roman" w:cs="Times New Roman"/>
          <w:sz w:val="24"/>
          <w:szCs w:val="24"/>
        </w:rPr>
        <w:instrText xml:space="preserve"> \* MERGEFORMAT </w:instrText>
      </w:r>
      <w:r w:rsidR="00A83373">
        <w:rPr>
          <w:rFonts w:ascii="Times New Roman" w:hAnsi="Times New Roman" w:cs="Times New Roman"/>
          <w:sz w:val="24"/>
          <w:szCs w:val="24"/>
        </w:rPr>
        <w:fldChar w:fldCharType="separate"/>
      </w:r>
      <w:r w:rsidR="00DC6B90" w:rsidRPr="002920CB">
        <w:rPr>
          <w:rFonts w:ascii="Times New Roman" w:hAnsi="Times New Roman" w:cs="Times New Roman"/>
        </w:rPr>
        <w:t xml:space="preserve">Figure </w:t>
      </w:r>
      <w:r w:rsidR="00DC6B90">
        <w:rPr>
          <w:rFonts w:ascii="Times New Roman" w:hAnsi="Times New Roman" w:cs="Times New Roman"/>
        </w:rPr>
        <w:t>2</w:t>
      </w:r>
      <w:r w:rsidR="00A83373">
        <w:rPr>
          <w:rFonts w:ascii="Times New Roman" w:hAnsi="Times New Roman" w:cs="Times New Roman"/>
          <w:sz w:val="24"/>
          <w:szCs w:val="24"/>
        </w:rPr>
        <w:fldChar w:fldCharType="end"/>
      </w:r>
      <w:r w:rsidR="00A83373">
        <w:rPr>
          <w:rFonts w:ascii="Times New Roman" w:hAnsi="Times New Roman" w:cs="Times New Roman"/>
          <w:sz w:val="24"/>
          <w:szCs w:val="24"/>
        </w:rPr>
        <w:t xml:space="preserve"> </w:t>
      </w:r>
      <w:r w:rsidRPr="0053151D">
        <w:rPr>
          <w:rFonts w:ascii="Times New Roman" w:hAnsi="Times New Roman" w:cs="Times New Roman"/>
          <w:sz w:val="24"/>
          <w:szCs w:val="24"/>
        </w:rPr>
        <w:t>shows an example of this Gaussian distribution for one of the hardware configurations. 13 defocus planes were taken, evenly spanning a range of ±3σ</w:t>
      </w:r>
      <w:r>
        <w:rPr>
          <w:rFonts w:ascii="Times New Roman" w:hAnsi="Times New Roman" w:cs="Times New Roman"/>
          <w:sz w:val="24"/>
          <w:szCs w:val="24"/>
        </w:rPr>
        <w:t xml:space="preserve"> </w:t>
      </w:r>
      <w:r w:rsidRPr="00945EB3">
        <w:rPr>
          <w:rFonts w:ascii="Times New Roman" w:hAnsi="Times New Roman" w:cs="Times New Roman"/>
          <w:sz w:val="24"/>
          <w:szCs w:val="24"/>
        </w:rPr>
        <w:t xml:space="preserve">(where σ is defined as </w:t>
      </w:r>
      <m:oMath>
        <m:r>
          <w:rPr>
            <w:rFonts w:ascii="Cambria Math" w:hAnsi="Cambria Math" w:cs="Times New Roman"/>
            <w:sz w:val="24"/>
            <w:szCs w:val="24"/>
          </w:rPr>
          <m:t>σ=</m:t>
        </m:r>
        <m:f>
          <m:fPr>
            <m:ctrlPr>
              <w:rPr>
                <w:rFonts w:ascii="Cambria Math" w:hAnsi="Cambria Math" w:cs="Times New Roman"/>
                <w:sz w:val="24"/>
                <w:szCs w:val="24"/>
              </w:rPr>
            </m:ctrlPr>
          </m:fPr>
          <m:num>
            <m:r>
              <w:rPr>
                <w:rFonts w:ascii="Cambria Math" w:hAnsi="Cambria Math" w:cs="Times New Roman"/>
                <w:sz w:val="24"/>
                <w:szCs w:val="24"/>
              </w:rPr>
              <m:t>FWHM</m:t>
            </m:r>
          </m:num>
          <m:den>
            <m:r>
              <w:rPr>
                <w:rFonts w:ascii="Cambria Math" w:hAnsi="Cambria Math" w:cs="Times New Roman"/>
                <w:sz w:val="24"/>
                <w:szCs w:val="24"/>
              </w:rPr>
              <m:t>2</m:t>
            </m:r>
            <m:rad>
              <m:radPr>
                <m:degHide m:val="1"/>
                <m:ctrlPr>
                  <w:rPr>
                    <w:rFonts w:ascii="Cambria Math" w:hAnsi="Cambria Math" w:cs="Times New Roman"/>
                    <w:sz w:val="24"/>
                    <w:szCs w:val="24"/>
                  </w:rPr>
                </m:ctrlPr>
              </m:radPr>
              <m:deg/>
              <m:e>
                <m:r>
                  <w:rPr>
                    <w:rFonts w:ascii="Cambria Math" w:hAnsi="Cambria Math" w:cs="Times New Roman"/>
                    <w:sz w:val="24"/>
                    <w:szCs w:val="24"/>
                  </w:rPr>
                  <m:t>2</m:t>
                </m:r>
                <m:func>
                  <m:funcPr>
                    <m:ctrlPr>
                      <w:rPr>
                        <w:rFonts w:ascii="Cambria Math" w:hAnsi="Cambria Math" w:cs="Times New Roman"/>
                        <w:sz w:val="24"/>
                        <w:szCs w:val="24"/>
                      </w:rPr>
                    </m:ctrlPr>
                  </m:funcPr>
                  <m:fName>
                    <m:r>
                      <w:rPr>
                        <w:rFonts w:ascii="Cambria Math" w:hAnsi="Cambria Math" w:cs="Times New Roman"/>
                        <w:sz w:val="24"/>
                        <w:szCs w:val="24"/>
                      </w:rPr>
                      <m:t>ln</m:t>
                    </m:r>
                  </m:fName>
                  <m:e>
                    <m:d>
                      <m:dPr>
                        <m:ctrlPr>
                          <w:rPr>
                            <w:rFonts w:ascii="Cambria Math" w:hAnsi="Cambria Math" w:cs="Times New Roman"/>
                            <w:sz w:val="24"/>
                            <w:szCs w:val="24"/>
                          </w:rPr>
                        </m:ctrlPr>
                      </m:dPr>
                      <m:e>
                        <m:r>
                          <w:rPr>
                            <w:rFonts w:ascii="Cambria Math" w:hAnsi="Cambria Math" w:cs="Times New Roman"/>
                            <w:sz w:val="24"/>
                            <w:szCs w:val="24"/>
                          </w:rPr>
                          <m:t>2</m:t>
                        </m:r>
                      </m:e>
                    </m:d>
                  </m:e>
                </m:func>
              </m:e>
            </m:rad>
          </m:den>
        </m:f>
      </m:oMath>
      <w:r w:rsidRPr="00945EB3">
        <w:rPr>
          <w:rFonts w:ascii="Times New Roman" w:eastAsiaTheme="minorEastAsia" w:hAnsi="Times New Roman" w:cs="Times New Roman"/>
          <w:sz w:val="24"/>
          <w:szCs w:val="24"/>
        </w:rPr>
        <w:t xml:space="preserve"> ).</w:t>
      </w:r>
    </w:p>
    <w:p w14:paraId="028BF0B8" w14:textId="77777777" w:rsidR="00F51FB3" w:rsidRPr="007E204E" w:rsidRDefault="00F51FB3" w:rsidP="00691F12">
      <w:pPr>
        <w:pStyle w:val="Heading1"/>
        <w:spacing w:line="240" w:lineRule="auto"/>
      </w:pPr>
      <w:r w:rsidRPr="007E204E">
        <w:t>Signal-to-Noise Ratio Calculation</w:t>
      </w:r>
    </w:p>
    <w:p w14:paraId="4D9E8288" w14:textId="092A3C92" w:rsidR="00F51FB3" w:rsidRDefault="00F51FB3" w:rsidP="00691F12">
      <w:pPr>
        <w:pStyle w:val="CommentText"/>
        <w:jc w:val="both"/>
        <w:rPr>
          <w:rFonts w:ascii="Times New Roman" w:hAnsi="Times New Roman" w:cs="Times New Roman"/>
          <w:sz w:val="24"/>
          <w:szCs w:val="24"/>
        </w:rPr>
      </w:pPr>
      <w:r w:rsidRPr="0053151D">
        <w:rPr>
          <w:rFonts w:ascii="Times New Roman" w:hAnsi="Times New Roman" w:cs="Times New Roman"/>
          <w:sz w:val="24"/>
          <w:szCs w:val="24"/>
        </w:rPr>
        <w:t xml:space="preserve">In order to calculate the SNR, the final image (with </w:t>
      </w:r>
      <w:r>
        <w:rPr>
          <w:rFonts w:ascii="Times New Roman" w:hAnsi="Times New Roman" w:cs="Times New Roman"/>
          <w:sz w:val="24"/>
          <w:szCs w:val="24"/>
        </w:rPr>
        <w:t xml:space="preserve">all effects </w:t>
      </w:r>
      <w:r w:rsidRPr="0053151D">
        <w:rPr>
          <w:rFonts w:ascii="Times New Roman" w:hAnsi="Times New Roman" w:cs="Times New Roman"/>
          <w:sz w:val="24"/>
          <w:szCs w:val="24"/>
        </w:rPr>
        <w:t>included) and the ground truth image (i.e. the zero defocus plane image, with source size applied) are both mean-subtracted in order to examine only the undulations in the signal which produce the visual contrast. The ground truth was then subtracted from the final image to give just the noise. The SNR could then be calculated using the following equation;</w:t>
      </w:r>
    </w:p>
    <w:p w14:paraId="55028462" w14:textId="77777777" w:rsidR="00F51FB3" w:rsidRPr="006638FD" w:rsidRDefault="00F51FB3" w:rsidP="00691F12">
      <w:pPr>
        <w:pStyle w:val="CommentText"/>
        <w:rPr>
          <w:rFonts w:ascii="Times New Roman" w:eastAsiaTheme="minorEastAsia" w:hAnsi="Times New Roman" w:cs="Times New Roman"/>
          <w:sz w:val="24"/>
          <w:szCs w:val="24"/>
        </w:rPr>
      </w:pPr>
      <m:oMathPara>
        <m:oMath>
          <m:r>
            <w:rPr>
              <w:rFonts w:ascii="Cambria Math" w:hAnsi="Cambria Math" w:cs="Times New Roman"/>
              <w:sz w:val="24"/>
              <w:szCs w:val="24"/>
            </w:rPr>
            <m:t>SNR=</m:t>
          </m:r>
          <m:f>
            <m:fPr>
              <m:ctrlPr>
                <w:rPr>
                  <w:rFonts w:ascii="Cambria Math" w:hAnsi="Cambria Math" w:cs="Times New Roman"/>
                  <w:i/>
                  <w:sz w:val="24"/>
                  <w:szCs w:val="24"/>
                </w:rPr>
              </m:ctrlPr>
            </m:fPr>
            <m:num>
              <m:r>
                <w:rPr>
                  <w:rFonts w:ascii="Cambria Math" w:hAnsi="Cambria Math" w:cs="Times New Roman"/>
                  <w:sz w:val="24"/>
                  <w:szCs w:val="24"/>
                </w:rPr>
                <m:t>RMS(signal - mean(signal))</m:t>
              </m:r>
            </m:num>
            <m:den>
              <m:r>
                <w:rPr>
                  <w:rFonts w:ascii="Cambria Math" w:hAnsi="Cambria Math" w:cs="Times New Roman"/>
                  <w:sz w:val="24"/>
                  <w:szCs w:val="24"/>
                </w:rPr>
                <m:t>RMS(noise - mean(noise))</m:t>
              </m:r>
            </m:den>
          </m:f>
          <m:r>
            <w:rPr>
              <w:rFonts w:ascii="Cambria Math" w:eastAsiaTheme="minorEastAsia" w:hAnsi="Cambria Math" w:cs="Times New Roman"/>
              <w:sz w:val="24"/>
              <w:szCs w:val="24"/>
            </w:rPr>
            <m:t>.</m:t>
          </m:r>
        </m:oMath>
      </m:oMathPara>
    </w:p>
    <w:p w14:paraId="3CE41142" w14:textId="77B0B222" w:rsidR="006638FD" w:rsidRDefault="006638FD" w:rsidP="00691F12">
      <w:pPr>
        <w:pStyle w:val="Heading1"/>
        <w:spacing w:line="240" w:lineRule="auto"/>
      </w:pPr>
      <w:r>
        <w:t>References</w:t>
      </w:r>
    </w:p>
    <w:p w14:paraId="10518281" w14:textId="5E5FA2E6" w:rsidR="001A40D9" w:rsidRPr="001A40D9" w:rsidRDefault="006638FD" w:rsidP="001A40D9">
      <w:pPr>
        <w:widowControl w:val="0"/>
        <w:autoSpaceDE w:val="0"/>
        <w:autoSpaceDN w:val="0"/>
        <w:adjustRightInd w:val="0"/>
        <w:spacing w:line="240" w:lineRule="auto"/>
        <w:ind w:left="480" w:hanging="480"/>
        <w:rPr>
          <w:rFonts w:ascii="Times New Roman" w:hAnsi="Times New Roman" w:cs="Times New Roman"/>
          <w:noProof/>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001A40D9" w:rsidRPr="001A40D9">
        <w:rPr>
          <w:rFonts w:ascii="Times New Roman" w:hAnsi="Times New Roman" w:cs="Times New Roman"/>
          <w:smallCaps/>
          <w:noProof/>
          <w:sz w:val="24"/>
          <w:szCs w:val="24"/>
        </w:rPr>
        <w:t>Aarholt, T.</w:t>
      </w:r>
      <w:r w:rsidR="001A40D9" w:rsidRPr="001A40D9">
        <w:rPr>
          <w:rFonts w:ascii="Times New Roman" w:hAnsi="Times New Roman" w:cs="Times New Roman"/>
          <w:noProof/>
          <w:sz w:val="24"/>
          <w:szCs w:val="24"/>
        </w:rPr>
        <w:t xml:space="preserve">, </w:t>
      </w:r>
      <w:r w:rsidR="001A40D9" w:rsidRPr="001A40D9">
        <w:rPr>
          <w:rFonts w:ascii="Times New Roman" w:hAnsi="Times New Roman" w:cs="Times New Roman"/>
          <w:smallCaps/>
          <w:noProof/>
          <w:sz w:val="24"/>
          <w:szCs w:val="24"/>
        </w:rPr>
        <w:t>Frodason, Y. K.</w:t>
      </w:r>
      <w:r w:rsidR="001A40D9" w:rsidRPr="001A40D9">
        <w:rPr>
          <w:rFonts w:ascii="Times New Roman" w:hAnsi="Times New Roman" w:cs="Times New Roman"/>
          <w:noProof/>
          <w:sz w:val="24"/>
          <w:szCs w:val="24"/>
        </w:rPr>
        <w:t xml:space="preserve"> &amp; </w:t>
      </w:r>
      <w:r w:rsidR="001A40D9" w:rsidRPr="001A40D9">
        <w:rPr>
          <w:rFonts w:ascii="Times New Roman" w:hAnsi="Times New Roman" w:cs="Times New Roman"/>
          <w:smallCaps/>
          <w:noProof/>
          <w:sz w:val="24"/>
          <w:szCs w:val="24"/>
        </w:rPr>
        <w:t>Prytz, Ø.</w:t>
      </w:r>
      <w:r w:rsidR="001A40D9" w:rsidRPr="001A40D9">
        <w:rPr>
          <w:rFonts w:ascii="Times New Roman" w:hAnsi="Times New Roman" w:cs="Times New Roman"/>
          <w:noProof/>
          <w:sz w:val="24"/>
          <w:szCs w:val="24"/>
        </w:rPr>
        <w:t xml:space="preserve"> (2020). Imaging defect complexes in scanning transmission electron microscopy: Impact of depth, structural relaxation, and temperature investigated by simulations. </w:t>
      </w:r>
      <w:r w:rsidR="001A40D9" w:rsidRPr="001A40D9">
        <w:rPr>
          <w:rFonts w:ascii="Times New Roman" w:hAnsi="Times New Roman" w:cs="Times New Roman"/>
          <w:i/>
          <w:iCs/>
          <w:noProof/>
          <w:sz w:val="24"/>
          <w:szCs w:val="24"/>
        </w:rPr>
        <w:t>Ultramicroscopy</w:t>
      </w:r>
      <w:r w:rsidR="001A40D9" w:rsidRPr="001A40D9">
        <w:rPr>
          <w:rFonts w:ascii="Times New Roman" w:hAnsi="Times New Roman" w:cs="Times New Roman"/>
          <w:noProof/>
          <w:sz w:val="24"/>
          <w:szCs w:val="24"/>
        </w:rPr>
        <w:t xml:space="preserve"> </w:t>
      </w:r>
      <w:r w:rsidR="001A40D9" w:rsidRPr="001A40D9">
        <w:rPr>
          <w:rFonts w:ascii="Times New Roman" w:hAnsi="Times New Roman" w:cs="Times New Roman"/>
          <w:b/>
          <w:bCs/>
          <w:noProof/>
          <w:sz w:val="24"/>
          <w:szCs w:val="24"/>
        </w:rPr>
        <w:t>209</w:t>
      </w:r>
      <w:r w:rsidR="001A40D9" w:rsidRPr="001A40D9">
        <w:rPr>
          <w:rFonts w:ascii="Times New Roman" w:hAnsi="Times New Roman" w:cs="Times New Roman"/>
          <w:noProof/>
          <w:sz w:val="24"/>
          <w:szCs w:val="24"/>
        </w:rPr>
        <w:t>, 112884.</w:t>
      </w:r>
    </w:p>
    <w:p w14:paraId="22084A95" w14:textId="77777777" w:rsidR="001A40D9" w:rsidRPr="001A40D9" w:rsidRDefault="001A40D9" w:rsidP="001A40D9">
      <w:pPr>
        <w:widowControl w:val="0"/>
        <w:autoSpaceDE w:val="0"/>
        <w:autoSpaceDN w:val="0"/>
        <w:adjustRightInd w:val="0"/>
        <w:spacing w:line="240" w:lineRule="auto"/>
        <w:ind w:left="480" w:hanging="480"/>
        <w:rPr>
          <w:rFonts w:ascii="Times New Roman" w:hAnsi="Times New Roman" w:cs="Times New Roman"/>
          <w:noProof/>
          <w:sz w:val="24"/>
          <w:szCs w:val="24"/>
        </w:rPr>
      </w:pPr>
      <w:r w:rsidRPr="001A40D9">
        <w:rPr>
          <w:rFonts w:ascii="Times New Roman" w:hAnsi="Times New Roman" w:cs="Times New Roman"/>
          <w:smallCaps/>
          <w:noProof/>
          <w:sz w:val="24"/>
          <w:szCs w:val="24"/>
        </w:rPr>
        <w:t>Grogger, W.</w:t>
      </w:r>
      <w:r w:rsidRPr="001A40D9">
        <w:rPr>
          <w:rFonts w:ascii="Times New Roman" w:hAnsi="Times New Roman" w:cs="Times New Roman"/>
          <w:noProof/>
          <w:sz w:val="24"/>
          <w:szCs w:val="24"/>
        </w:rPr>
        <w:t xml:space="preserve">, </w:t>
      </w:r>
      <w:r w:rsidRPr="001A40D9">
        <w:rPr>
          <w:rFonts w:ascii="Times New Roman" w:hAnsi="Times New Roman" w:cs="Times New Roman"/>
          <w:smallCaps/>
          <w:noProof/>
          <w:sz w:val="24"/>
          <w:szCs w:val="24"/>
        </w:rPr>
        <w:t>Hofer, F.</w:t>
      </w:r>
      <w:r w:rsidRPr="001A40D9">
        <w:rPr>
          <w:rFonts w:ascii="Times New Roman" w:hAnsi="Times New Roman" w:cs="Times New Roman"/>
          <w:noProof/>
          <w:sz w:val="24"/>
          <w:szCs w:val="24"/>
        </w:rPr>
        <w:t xml:space="preserve">, </w:t>
      </w:r>
      <w:r w:rsidRPr="001A40D9">
        <w:rPr>
          <w:rFonts w:ascii="Times New Roman" w:hAnsi="Times New Roman" w:cs="Times New Roman"/>
          <w:smallCaps/>
          <w:noProof/>
          <w:sz w:val="24"/>
          <w:szCs w:val="24"/>
        </w:rPr>
        <w:t>Kothleitner, G.</w:t>
      </w:r>
      <w:r w:rsidRPr="001A40D9">
        <w:rPr>
          <w:rFonts w:ascii="Times New Roman" w:hAnsi="Times New Roman" w:cs="Times New Roman"/>
          <w:noProof/>
          <w:sz w:val="24"/>
          <w:szCs w:val="24"/>
        </w:rPr>
        <w:t xml:space="preserve"> &amp; </w:t>
      </w:r>
      <w:r w:rsidRPr="001A40D9">
        <w:rPr>
          <w:rFonts w:ascii="Times New Roman" w:hAnsi="Times New Roman" w:cs="Times New Roman"/>
          <w:smallCaps/>
          <w:noProof/>
          <w:sz w:val="24"/>
          <w:szCs w:val="24"/>
        </w:rPr>
        <w:t>Schaffer, B.</w:t>
      </w:r>
      <w:r w:rsidRPr="001A40D9">
        <w:rPr>
          <w:rFonts w:ascii="Times New Roman" w:hAnsi="Times New Roman" w:cs="Times New Roman"/>
          <w:noProof/>
          <w:sz w:val="24"/>
          <w:szCs w:val="24"/>
        </w:rPr>
        <w:t xml:space="preserve"> (2008). An introduction to high-resolution EELS in transmission electron microscopy. </w:t>
      </w:r>
      <w:r w:rsidRPr="001A40D9">
        <w:rPr>
          <w:rFonts w:ascii="Times New Roman" w:hAnsi="Times New Roman" w:cs="Times New Roman"/>
          <w:i/>
          <w:iCs/>
          <w:noProof/>
          <w:sz w:val="24"/>
          <w:szCs w:val="24"/>
        </w:rPr>
        <w:t>Topics in Catalysis</w:t>
      </w:r>
      <w:r w:rsidRPr="001A40D9">
        <w:rPr>
          <w:rFonts w:ascii="Times New Roman" w:hAnsi="Times New Roman" w:cs="Times New Roman"/>
          <w:noProof/>
          <w:sz w:val="24"/>
          <w:szCs w:val="24"/>
        </w:rPr>
        <w:t xml:space="preserve"> </w:t>
      </w:r>
      <w:r w:rsidRPr="001A40D9">
        <w:rPr>
          <w:rFonts w:ascii="Times New Roman" w:hAnsi="Times New Roman" w:cs="Times New Roman"/>
          <w:b/>
          <w:bCs/>
          <w:noProof/>
          <w:sz w:val="24"/>
          <w:szCs w:val="24"/>
        </w:rPr>
        <w:t>50</w:t>
      </w:r>
      <w:r w:rsidRPr="001A40D9">
        <w:rPr>
          <w:rFonts w:ascii="Times New Roman" w:hAnsi="Times New Roman" w:cs="Times New Roman"/>
          <w:noProof/>
          <w:sz w:val="24"/>
          <w:szCs w:val="24"/>
        </w:rPr>
        <w:t>, 200–207.</w:t>
      </w:r>
    </w:p>
    <w:p w14:paraId="3322070D" w14:textId="77777777" w:rsidR="001A40D9" w:rsidRPr="001A40D9" w:rsidRDefault="001A40D9" w:rsidP="001A40D9">
      <w:pPr>
        <w:widowControl w:val="0"/>
        <w:autoSpaceDE w:val="0"/>
        <w:autoSpaceDN w:val="0"/>
        <w:adjustRightInd w:val="0"/>
        <w:spacing w:line="240" w:lineRule="auto"/>
        <w:ind w:left="480" w:hanging="480"/>
        <w:rPr>
          <w:rFonts w:ascii="Times New Roman" w:hAnsi="Times New Roman" w:cs="Times New Roman"/>
          <w:noProof/>
          <w:sz w:val="24"/>
        </w:rPr>
      </w:pPr>
      <w:r w:rsidRPr="001A40D9">
        <w:rPr>
          <w:rFonts w:ascii="Times New Roman" w:hAnsi="Times New Roman" w:cs="Times New Roman"/>
          <w:smallCaps/>
          <w:noProof/>
          <w:sz w:val="24"/>
          <w:szCs w:val="24"/>
        </w:rPr>
        <w:t>Hachtel, J. A.</w:t>
      </w:r>
      <w:r w:rsidRPr="001A40D9">
        <w:rPr>
          <w:rFonts w:ascii="Times New Roman" w:hAnsi="Times New Roman" w:cs="Times New Roman"/>
          <w:noProof/>
          <w:sz w:val="24"/>
          <w:szCs w:val="24"/>
        </w:rPr>
        <w:t xml:space="preserve">, </w:t>
      </w:r>
      <w:r w:rsidRPr="001A40D9">
        <w:rPr>
          <w:rFonts w:ascii="Times New Roman" w:hAnsi="Times New Roman" w:cs="Times New Roman"/>
          <w:smallCaps/>
          <w:noProof/>
          <w:sz w:val="24"/>
          <w:szCs w:val="24"/>
        </w:rPr>
        <w:t>Lupini, A. R.</w:t>
      </w:r>
      <w:r w:rsidRPr="001A40D9">
        <w:rPr>
          <w:rFonts w:ascii="Times New Roman" w:hAnsi="Times New Roman" w:cs="Times New Roman"/>
          <w:noProof/>
          <w:sz w:val="24"/>
          <w:szCs w:val="24"/>
        </w:rPr>
        <w:t xml:space="preserve"> &amp; </w:t>
      </w:r>
      <w:r w:rsidRPr="001A40D9">
        <w:rPr>
          <w:rFonts w:ascii="Times New Roman" w:hAnsi="Times New Roman" w:cs="Times New Roman"/>
          <w:smallCaps/>
          <w:noProof/>
          <w:sz w:val="24"/>
          <w:szCs w:val="24"/>
        </w:rPr>
        <w:t>Idrobo, J. C.</w:t>
      </w:r>
      <w:r w:rsidRPr="001A40D9">
        <w:rPr>
          <w:rFonts w:ascii="Times New Roman" w:hAnsi="Times New Roman" w:cs="Times New Roman"/>
          <w:noProof/>
          <w:sz w:val="24"/>
          <w:szCs w:val="24"/>
        </w:rPr>
        <w:t xml:space="preserve"> (2018). Exploring the capabilities of monochromated electron energy loss spectroscopy in the infrared regime. </w:t>
      </w:r>
      <w:r w:rsidRPr="001A40D9">
        <w:rPr>
          <w:rFonts w:ascii="Times New Roman" w:hAnsi="Times New Roman" w:cs="Times New Roman"/>
          <w:i/>
          <w:iCs/>
          <w:noProof/>
          <w:sz w:val="24"/>
          <w:szCs w:val="24"/>
        </w:rPr>
        <w:t>Scientific Reports</w:t>
      </w:r>
      <w:r w:rsidRPr="001A40D9">
        <w:rPr>
          <w:rFonts w:ascii="Times New Roman" w:hAnsi="Times New Roman" w:cs="Times New Roman"/>
          <w:noProof/>
          <w:sz w:val="24"/>
          <w:szCs w:val="24"/>
        </w:rPr>
        <w:t xml:space="preserve"> </w:t>
      </w:r>
      <w:r w:rsidRPr="001A40D9">
        <w:rPr>
          <w:rFonts w:ascii="Times New Roman" w:hAnsi="Times New Roman" w:cs="Times New Roman"/>
          <w:b/>
          <w:bCs/>
          <w:noProof/>
          <w:sz w:val="24"/>
          <w:szCs w:val="24"/>
        </w:rPr>
        <w:t>8</w:t>
      </w:r>
      <w:r w:rsidRPr="001A40D9">
        <w:rPr>
          <w:rFonts w:ascii="Times New Roman" w:hAnsi="Times New Roman" w:cs="Times New Roman"/>
          <w:noProof/>
          <w:sz w:val="24"/>
          <w:szCs w:val="24"/>
        </w:rPr>
        <w:t>, 1–10.</w:t>
      </w:r>
    </w:p>
    <w:p w14:paraId="79DA838C" w14:textId="51550720" w:rsidR="009057D1" w:rsidRPr="007E204E" w:rsidRDefault="006638FD" w:rsidP="00691F12">
      <w:pPr>
        <w:pStyle w:val="CommentText"/>
        <w:rPr>
          <w:rFonts w:ascii="Times New Roman" w:hAnsi="Times New Roman" w:cs="Times New Roman"/>
        </w:rPr>
      </w:pPr>
      <w:r>
        <w:rPr>
          <w:rFonts w:ascii="Times New Roman" w:hAnsi="Times New Roman" w:cs="Times New Roman"/>
          <w:sz w:val="24"/>
          <w:szCs w:val="24"/>
        </w:rPr>
        <w:lastRenderedPageBreak/>
        <w:fldChar w:fldCharType="end"/>
      </w:r>
      <w:r w:rsidR="009057D1" w:rsidRPr="007E204E">
        <w:rPr>
          <w:rFonts w:ascii="Times New Roman" w:hAnsi="Times New Roman" w:cs="Times New Roman"/>
          <w:noProof/>
        </w:rPr>
        <w:drawing>
          <wp:inline distT="0" distB="0" distL="0" distR="0" wp14:anchorId="3EA09999" wp14:editId="67660138">
            <wp:extent cx="6048980" cy="3572933"/>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061850" cy="3580535"/>
                    </a:xfrm>
                    <a:prstGeom prst="rect">
                      <a:avLst/>
                    </a:prstGeom>
                    <a:noFill/>
                    <a:ln>
                      <a:noFill/>
                    </a:ln>
                  </pic:spPr>
                </pic:pic>
              </a:graphicData>
            </a:graphic>
          </wp:inline>
        </w:drawing>
      </w:r>
    </w:p>
    <w:p w14:paraId="4EF596A2" w14:textId="78B564A3" w:rsidR="009057D1" w:rsidRPr="002920CB" w:rsidRDefault="009057D1" w:rsidP="00691F12">
      <w:pPr>
        <w:pStyle w:val="Caption"/>
        <w:jc w:val="both"/>
        <w:rPr>
          <w:rFonts w:ascii="Times New Roman" w:hAnsi="Times New Roman" w:cs="Times New Roman"/>
          <w:color w:val="auto"/>
          <w:sz w:val="22"/>
          <w:szCs w:val="22"/>
        </w:rPr>
      </w:pPr>
      <w:bookmarkStart w:id="0" w:name="_Ref80873070"/>
      <w:bookmarkStart w:id="1" w:name="_Ref97210492"/>
      <w:r w:rsidRPr="002920CB">
        <w:rPr>
          <w:rFonts w:ascii="Times New Roman" w:hAnsi="Times New Roman" w:cs="Times New Roman"/>
          <w:color w:val="auto"/>
          <w:sz w:val="22"/>
          <w:szCs w:val="22"/>
        </w:rPr>
        <w:t xml:space="preserve">Figure </w:t>
      </w:r>
      <w:bookmarkEnd w:id="0"/>
      <w:r w:rsidRPr="002920CB">
        <w:rPr>
          <w:rFonts w:ascii="Times New Roman" w:hAnsi="Times New Roman" w:cs="Times New Roman"/>
          <w:color w:val="auto"/>
          <w:sz w:val="22"/>
          <w:szCs w:val="22"/>
        </w:rPr>
        <w:fldChar w:fldCharType="begin"/>
      </w:r>
      <w:r w:rsidRPr="002920CB">
        <w:rPr>
          <w:rFonts w:ascii="Times New Roman" w:hAnsi="Times New Roman" w:cs="Times New Roman"/>
          <w:color w:val="auto"/>
          <w:sz w:val="22"/>
          <w:szCs w:val="22"/>
        </w:rPr>
        <w:instrText xml:space="preserve"> SEQ Figure \* ARABIC\r 1 </w:instrText>
      </w:r>
      <w:r w:rsidRPr="002920CB">
        <w:rPr>
          <w:rFonts w:ascii="Times New Roman" w:hAnsi="Times New Roman" w:cs="Times New Roman"/>
          <w:color w:val="auto"/>
          <w:sz w:val="22"/>
          <w:szCs w:val="22"/>
        </w:rPr>
        <w:fldChar w:fldCharType="separate"/>
      </w:r>
      <w:r w:rsidR="00DC6B90">
        <w:rPr>
          <w:rFonts w:ascii="Times New Roman" w:hAnsi="Times New Roman" w:cs="Times New Roman"/>
          <w:noProof/>
          <w:color w:val="auto"/>
          <w:sz w:val="22"/>
          <w:szCs w:val="22"/>
        </w:rPr>
        <w:t>1</w:t>
      </w:r>
      <w:r w:rsidRPr="002920CB">
        <w:rPr>
          <w:rFonts w:ascii="Times New Roman" w:hAnsi="Times New Roman" w:cs="Times New Roman"/>
          <w:color w:val="auto"/>
          <w:sz w:val="22"/>
          <w:szCs w:val="22"/>
        </w:rPr>
        <w:fldChar w:fldCharType="end"/>
      </w:r>
      <w:bookmarkEnd w:id="1"/>
      <w:r w:rsidRPr="002920CB">
        <w:rPr>
          <w:rFonts w:ascii="Times New Roman" w:hAnsi="Times New Roman" w:cs="Times New Roman"/>
          <w:color w:val="auto"/>
          <w:sz w:val="22"/>
          <w:szCs w:val="22"/>
        </w:rPr>
        <w:t>: (Left) ZLP of an unmonochromated (solid blue)</w:t>
      </w:r>
      <w:r w:rsidR="007B5FB7" w:rsidRPr="002920CB">
        <w:rPr>
          <w:rFonts w:ascii="Times New Roman" w:hAnsi="Times New Roman" w:cs="Times New Roman"/>
          <w:color w:val="auto"/>
          <w:sz w:val="22"/>
          <w:szCs w:val="22"/>
        </w:rPr>
        <w:t>,</w:t>
      </w:r>
      <w:r w:rsidRPr="002920CB">
        <w:rPr>
          <w:rFonts w:ascii="Times New Roman" w:hAnsi="Times New Roman" w:cs="Times New Roman"/>
          <w:color w:val="auto"/>
          <w:sz w:val="22"/>
          <w:szCs w:val="22"/>
        </w:rPr>
        <w:t xml:space="preserve"> and </w:t>
      </w:r>
      <w:r w:rsidR="007B5FB7" w:rsidRPr="002920CB">
        <w:rPr>
          <w:rFonts w:ascii="Times New Roman" w:hAnsi="Times New Roman" w:cs="Times New Roman"/>
          <w:color w:val="auto"/>
          <w:sz w:val="22"/>
          <w:szCs w:val="22"/>
        </w:rPr>
        <w:t xml:space="preserve">monochromated at </w:t>
      </w:r>
      <w:r w:rsidRPr="002920CB">
        <w:rPr>
          <w:rFonts w:ascii="Times New Roman" w:hAnsi="Times New Roman" w:cs="Times New Roman"/>
          <w:color w:val="auto"/>
          <w:sz w:val="22"/>
          <w:szCs w:val="22"/>
        </w:rPr>
        <w:t>various levels (dashed)</w:t>
      </w:r>
      <w:r w:rsidR="007B5FB7" w:rsidRPr="002920CB">
        <w:rPr>
          <w:rFonts w:ascii="Times New Roman" w:hAnsi="Times New Roman" w:cs="Times New Roman"/>
          <w:color w:val="auto"/>
          <w:sz w:val="22"/>
          <w:szCs w:val="22"/>
        </w:rPr>
        <w:t>, of a cold FEG (to</w:t>
      </w:r>
      <w:r w:rsidR="00F00824" w:rsidRPr="002920CB">
        <w:rPr>
          <w:rFonts w:ascii="Times New Roman" w:hAnsi="Times New Roman" w:cs="Times New Roman"/>
          <w:color w:val="auto"/>
          <w:sz w:val="22"/>
          <w:szCs w:val="22"/>
        </w:rPr>
        <w:t>p) and Schottky (bottom)</w:t>
      </w:r>
      <w:r w:rsidRPr="002920CB">
        <w:rPr>
          <w:rFonts w:ascii="Times New Roman" w:hAnsi="Times New Roman" w:cs="Times New Roman"/>
          <w:color w:val="auto"/>
          <w:sz w:val="22"/>
          <w:szCs w:val="22"/>
        </w:rPr>
        <w:t xml:space="preserve">. The data points for the ZLP were taken from </w:t>
      </w:r>
      <w:r w:rsidR="00DE5000">
        <w:rPr>
          <w:rFonts w:ascii="Times New Roman" w:hAnsi="Times New Roman" w:cs="Times New Roman"/>
          <w:color w:val="auto"/>
          <w:sz w:val="22"/>
          <w:szCs w:val="22"/>
        </w:rPr>
        <w:t>F</w:t>
      </w:r>
      <w:r w:rsidRPr="002920CB">
        <w:rPr>
          <w:rFonts w:ascii="Times New Roman" w:hAnsi="Times New Roman" w:cs="Times New Roman"/>
          <w:color w:val="auto"/>
          <w:sz w:val="22"/>
          <w:szCs w:val="22"/>
        </w:rPr>
        <w:t xml:space="preserve">igure </w:t>
      </w:r>
      <w:r w:rsidR="000677AC">
        <w:rPr>
          <w:rFonts w:ascii="Times New Roman" w:hAnsi="Times New Roman" w:cs="Times New Roman"/>
          <w:color w:val="auto"/>
          <w:sz w:val="22"/>
          <w:szCs w:val="22"/>
        </w:rPr>
        <w:t>2</w:t>
      </w:r>
      <w:r w:rsidR="008644D0" w:rsidRPr="002920CB">
        <w:rPr>
          <w:rFonts w:ascii="Times New Roman" w:hAnsi="Times New Roman" w:cs="Times New Roman"/>
          <w:color w:val="auto"/>
          <w:sz w:val="22"/>
          <w:szCs w:val="22"/>
        </w:rPr>
        <w:t>a</w:t>
      </w:r>
      <w:r w:rsidR="0032656C" w:rsidRPr="002920CB">
        <w:rPr>
          <w:rFonts w:ascii="Times New Roman" w:hAnsi="Times New Roman" w:cs="Times New Roman"/>
          <w:color w:val="auto"/>
          <w:sz w:val="22"/>
          <w:szCs w:val="22"/>
        </w:rPr>
        <w:t xml:space="preserve"> in </w:t>
      </w:r>
      <w:r w:rsidR="002E40C8" w:rsidRPr="002920CB">
        <w:rPr>
          <w:rFonts w:ascii="Times New Roman" w:hAnsi="Times New Roman" w:cs="Times New Roman"/>
          <w:color w:val="auto"/>
          <w:sz w:val="22"/>
          <w:szCs w:val="22"/>
        </w:rPr>
        <w:fldChar w:fldCharType="begin" w:fldLock="1"/>
      </w:r>
      <w:r w:rsidR="006638FD">
        <w:rPr>
          <w:rFonts w:ascii="Times New Roman" w:hAnsi="Times New Roman" w:cs="Times New Roman"/>
          <w:color w:val="auto"/>
          <w:sz w:val="22"/>
          <w:szCs w:val="22"/>
        </w:rPr>
        <w:instrText>ADDIN CSL_CITATION {"citationItems":[{"id":"ITEM-1","itemData":{"DOI":"10.1038/s41598-018-23805-5","ISSN":"20452322","abstract":"Monochromated electron energy loss spectroscopy (EELS) is one of the leading techniques to study materials properties that correspond to low (&lt;5 eV) energy losses (i.e. band-gaps, plasmons, and excitons) with nanoscale spatial resolution. Recently a new generation of monochromators have become available, opening regimes and unlocking excitations that were previously unobservable in the electron microscope. The capabilities of these new instruments are still being explored, and here we study the effect of monochromation on various aspects of EELS analysis in the infrared (&lt;1 eV) regime. We investigate the effect of varying levels of monochromation on energy resolution, zero-loss peak (ZLP) tail reduction, ZLP tail shape, signal-to-noise-ratio, and spatial resolution. From these experiments, the new capabilities of monochromated EELS are shown to be highly promising for the future of localized spectroscopic analysis.","author":[{"dropping-particle":"","family":"Hachtel","given":"Jordan A.","non-dropping-particle":"","parse-names":false,"suffix":""},{"dropping-particle":"","family":"Lupini","given":"Andrew R.","non-dropping-particle":"","parse-names":false,"suffix":""},{"dropping-particle":"","family":"Idrobo","given":"Juan Carlos","non-dropping-particle":"","parse-names":false,"suffix":""}],"container-title":"Scientific Reports","id":"ITEM-1","issue":"1","issued":{"date-parts":[["2018","12","1"]]},"note":"www.nature.com/scientificreports","page":"1-10","publisher":"Nature Publishing Group","title":"Exploring the capabilities of monochromated electron energy loss spectroscopy in the infrared regime","type":"article-journal","volume":"8"},"uris":["http://www.mendeley.com/documents/?uuid=70fd010a-bb42-35b4-a458-be44e67b299b"]}],"mendeley":{"formattedCitation":"(Hachtel et al., 2018)","plainTextFormattedCitation":"(Hachtel et al., 2018)","previouslyFormattedCitation":"(Hachtel et al., 2018)"},"properties":{"noteIndex":0},"schema":"https://github.com/citation-style-language/schema/raw/master/csl-citation.json"}</w:instrText>
      </w:r>
      <w:r w:rsidR="002E40C8" w:rsidRPr="002920CB">
        <w:rPr>
          <w:rFonts w:ascii="Times New Roman" w:hAnsi="Times New Roman" w:cs="Times New Roman"/>
          <w:color w:val="auto"/>
          <w:sz w:val="22"/>
          <w:szCs w:val="22"/>
        </w:rPr>
        <w:fldChar w:fldCharType="separate"/>
      </w:r>
      <w:r w:rsidR="002E40C8" w:rsidRPr="002920CB">
        <w:rPr>
          <w:rFonts w:ascii="Times New Roman" w:hAnsi="Times New Roman" w:cs="Times New Roman"/>
          <w:i w:val="0"/>
          <w:noProof/>
          <w:color w:val="auto"/>
          <w:sz w:val="22"/>
          <w:szCs w:val="22"/>
        </w:rPr>
        <w:t>(Hachtel et al., 2018)</w:t>
      </w:r>
      <w:r w:rsidR="002E40C8" w:rsidRPr="002920CB">
        <w:rPr>
          <w:rFonts w:ascii="Times New Roman" w:hAnsi="Times New Roman" w:cs="Times New Roman"/>
          <w:color w:val="auto"/>
          <w:sz w:val="22"/>
          <w:szCs w:val="22"/>
        </w:rPr>
        <w:fldChar w:fldCharType="end"/>
      </w:r>
      <w:r w:rsidRPr="002920CB">
        <w:rPr>
          <w:rFonts w:ascii="Times New Roman" w:hAnsi="Times New Roman" w:cs="Times New Roman"/>
          <w:color w:val="auto"/>
          <w:sz w:val="22"/>
          <w:szCs w:val="22"/>
        </w:rPr>
        <w:t xml:space="preserve"> </w:t>
      </w:r>
      <w:r w:rsidR="0032656C" w:rsidRPr="002920CB">
        <w:rPr>
          <w:rFonts w:ascii="Times New Roman" w:hAnsi="Times New Roman" w:cs="Times New Roman"/>
          <w:color w:val="auto"/>
          <w:sz w:val="22"/>
          <w:szCs w:val="22"/>
        </w:rPr>
        <w:t xml:space="preserve">and </w:t>
      </w:r>
      <w:r w:rsidR="00DE5000">
        <w:rPr>
          <w:rFonts w:ascii="Times New Roman" w:hAnsi="Times New Roman" w:cs="Times New Roman"/>
          <w:color w:val="auto"/>
          <w:sz w:val="22"/>
          <w:szCs w:val="22"/>
        </w:rPr>
        <w:t>F</w:t>
      </w:r>
      <w:r w:rsidRPr="002920CB">
        <w:rPr>
          <w:rFonts w:ascii="Times New Roman" w:hAnsi="Times New Roman" w:cs="Times New Roman"/>
          <w:color w:val="auto"/>
          <w:sz w:val="22"/>
          <w:szCs w:val="22"/>
        </w:rPr>
        <w:t xml:space="preserve">igure 3 in </w:t>
      </w:r>
      <w:r w:rsidRPr="002920CB">
        <w:rPr>
          <w:rFonts w:ascii="Times New Roman" w:hAnsi="Times New Roman" w:cs="Times New Roman"/>
          <w:color w:val="auto"/>
          <w:sz w:val="22"/>
          <w:szCs w:val="22"/>
        </w:rPr>
        <w:fldChar w:fldCharType="begin" w:fldLock="1"/>
      </w:r>
      <w:r w:rsidR="002E40C8" w:rsidRPr="002920CB">
        <w:rPr>
          <w:rFonts w:ascii="Times New Roman" w:hAnsi="Times New Roman" w:cs="Times New Roman"/>
          <w:color w:val="auto"/>
          <w:sz w:val="22"/>
          <w:szCs w:val="22"/>
        </w:rPr>
        <w:instrText>ADDIN CSL_CITATION {"citationItems":[{"id":"ITEM-1","itemData":{"DOI":"10.1007/s11244-008-9101-4","ISSN":"10225528","abstract":"The practical advantages of an electron monochromator for electron energy-loss spectroscopy (EELS) in transmission electron microscopy are described. Typical examples from materials and nanoparticle research demonstrate the use of EELS with high energy and spatial resolution. Recent instrumental developments are also reviewed with a discussion of how the technique could be used to study catalyst structures of the future. © Springer Science+Business Media, LLC 2008.","author":[{"dropping-particle":"","family":"Grogger","given":"Werner","non-dropping-particle":"","parse-names":false,"suffix":""},{"dropping-particle":"","family":"Hofer","given":"Ferdinand","non-dropping-particle":"","parse-names":false,"suffix":""},{"dropping-particle":"","family":"Kothleitner","given":"Gerald","non-dropping-particle":"","parse-names":false,"suffix":""},{"dropping-particle":"","family":"Schaffer","given":"Bernhard","non-dropping-particle":"","parse-names":false,"suffix":""}],"container-title":"Topics in Catalysis","id":"ITEM-1","issue":"1-4","issued":{"date-parts":[["2008"]]},"page":"200-207","title":"An introduction to high-resolution EELS in transmission electron microscopy","type":"article-journal","volume":"50"},"uris":["http://www.mendeley.com/documents/?uuid=e42ad368-cd8c-498a-90ef-136e74953639"]}],"mendeley":{"formattedCitation":"(Grogger et al., 2008)","plainTextFormattedCitation":"(Grogger et al., 2008)","previouslyFormattedCitation":"(Grogger et al., 2008)"},"properties":{"noteIndex":0},"schema":"https://github.com/citation-style-language/schema/raw/master/csl-citation.json"}</w:instrText>
      </w:r>
      <w:r w:rsidRPr="002920CB">
        <w:rPr>
          <w:rFonts w:ascii="Times New Roman" w:hAnsi="Times New Roman" w:cs="Times New Roman"/>
          <w:color w:val="auto"/>
          <w:sz w:val="22"/>
          <w:szCs w:val="22"/>
        </w:rPr>
        <w:fldChar w:fldCharType="separate"/>
      </w:r>
      <w:r w:rsidR="007E20C4" w:rsidRPr="002920CB">
        <w:rPr>
          <w:rFonts w:ascii="Times New Roman" w:hAnsi="Times New Roman" w:cs="Times New Roman"/>
          <w:i w:val="0"/>
          <w:noProof/>
          <w:color w:val="auto"/>
          <w:sz w:val="22"/>
          <w:szCs w:val="22"/>
        </w:rPr>
        <w:t>(Grogger et al., 2008)</w:t>
      </w:r>
      <w:r w:rsidRPr="002920CB">
        <w:rPr>
          <w:rFonts w:ascii="Times New Roman" w:hAnsi="Times New Roman" w:cs="Times New Roman"/>
          <w:color w:val="auto"/>
          <w:sz w:val="22"/>
          <w:szCs w:val="22"/>
        </w:rPr>
        <w:fldChar w:fldCharType="end"/>
      </w:r>
      <w:r w:rsidR="0032656C" w:rsidRPr="002920CB">
        <w:rPr>
          <w:rFonts w:ascii="Times New Roman" w:hAnsi="Times New Roman" w:cs="Times New Roman"/>
          <w:color w:val="auto"/>
          <w:sz w:val="22"/>
          <w:szCs w:val="22"/>
        </w:rPr>
        <w:t xml:space="preserve"> for the cold and Schottky</w:t>
      </w:r>
      <w:r w:rsidR="0088566E" w:rsidRPr="002920CB">
        <w:rPr>
          <w:rFonts w:ascii="Times New Roman" w:hAnsi="Times New Roman" w:cs="Times New Roman"/>
          <w:color w:val="auto"/>
          <w:sz w:val="22"/>
          <w:szCs w:val="22"/>
        </w:rPr>
        <w:t xml:space="preserve"> FEG</w:t>
      </w:r>
      <w:r w:rsidR="0032656C" w:rsidRPr="002920CB">
        <w:rPr>
          <w:rFonts w:ascii="Times New Roman" w:hAnsi="Times New Roman" w:cs="Times New Roman"/>
          <w:color w:val="auto"/>
          <w:sz w:val="22"/>
          <w:szCs w:val="22"/>
        </w:rPr>
        <w:t>, respectively</w:t>
      </w:r>
      <w:r w:rsidRPr="002920CB">
        <w:rPr>
          <w:rFonts w:ascii="Times New Roman" w:hAnsi="Times New Roman" w:cs="Times New Roman"/>
          <w:color w:val="auto"/>
          <w:sz w:val="22"/>
          <w:szCs w:val="22"/>
        </w:rPr>
        <w:t>. (Right) By integrating the area after the different levels of monochromation, the relative current can be calculated and applied in terms of dose for Poisson noise.</w:t>
      </w:r>
    </w:p>
    <w:p w14:paraId="1C10A594" w14:textId="482FCFAD" w:rsidR="009A20CA" w:rsidRPr="007E204E" w:rsidRDefault="009A20CA" w:rsidP="00691F12">
      <w:pPr>
        <w:keepNext/>
        <w:spacing w:line="240" w:lineRule="auto"/>
        <w:jc w:val="center"/>
        <w:rPr>
          <w:rFonts w:ascii="Times New Roman" w:hAnsi="Times New Roman" w:cs="Times New Roman"/>
        </w:rPr>
      </w:pPr>
      <w:r w:rsidRPr="007E204E">
        <w:rPr>
          <w:rFonts w:ascii="Times New Roman" w:hAnsi="Times New Roman" w:cs="Times New Roman"/>
          <w:noProof/>
        </w:rPr>
        <w:drawing>
          <wp:inline distT="0" distB="0" distL="0" distR="0" wp14:anchorId="1520F9A3" wp14:editId="33C0E05D">
            <wp:extent cx="4580493" cy="32850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stretch>
                      <a:fillRect/>
                    </a:stretch>
                  </pic:blipFill>
                  <pic:spPr>
                    <a:xfrm>
                      <a:off x="0" y="0"/>
                      <a:ext cx="4587018" cy="3289745"/>
                    </a:xfrm>
                    <a:prstGeom prst="rect">
                      <a:avLst/>
                    </a:prstGeom>
                  </pic:spPr>
                </pic:pic>
              </a:graphicData>
            </a:graphic>
          </wp:inline>
        </w:drawing>
      </w:r>
    </w:p>
    <w:p w14:paraId="45ACE6D9" w14:textId="04CFD2AC" w:rsidR="009A20CA" w:rsidRPr="002920CB" w:rsidRDefault="009A20CA" w:rsidP="00691F12">
      <w:pPr>
        <w:pStyle w:val="Caption"/>
        <w:jc w:val="both"/>
        <w:rPr>
          <w:rFonts w:ascii="Times New Roman" w:eastAsiaTheme="minorEastAsia" w:hAnsi="Times New Roman" w:cs="Times New Roman"/>
          <w:color w:val="auto"/>
          <w:sz w:val="22"/>
          <w:szCs w:val="22"/>
        </w:rPr>
      </w:pPr>
      <w:bookmarkStart w:id="2" w:name="_Ref80874865"/>
      <w:bookmarkStart w:id="3" w:name="_Ref97210537"/>
      <w:r w:rsidRPr="002920CB">
        <w:rPr>
          <w:rFonts w:ascii="Times New Roman" w:hAnsi="Times New Roman" w:cs="Times New Roman"/>
          <w:color w:val="auto"/>
          <w:sz w:val="22"/>
          <w:szCs w:val="22"/>
        </w:rPr>
        <w:t xml:space="preserve">Figure </w:t>
      </w:r>
      <w:bookmarkEnd w:id="2"/>
      <w:r w:rsidRPr="002920CB">
        <w:rPr>
          <w:rFonts w:ascii="Times New Roman" w:hAnsi="Times New Roman" w:cs="Times New Roman"/>
          <w:color w:val="auto"/>
          <w:sz w:val="22"/>
          <w:szCs w:val="22"/>
        </w:rPr>
        <w:fldChar w:fldCharType="begin"/>
      </w:r>
      <w:r w:rsidRPr="002920CB">
        <w:rPr>
          <w:rFonts w:ascii="Times New Roman" w:hAnsi="Times New Roman" w:cs="Times New Roman"/>
          <w:color w:val="auto"/>
          <w:sz w:val="22"/>
          <w:szCs w:val="22"/>
        </w:rPr>
        <w:instrText xml:space="preserve"> SEQ Figure \* ARABIC\r 2 </w:instrText>
      </w:r>
      <w:r w:rsidRPr="002920CB">
        <w:rPr>
          <w:rFonts w:ascii="Times New Roman" w:hAnsi="Times New Roman" w:cs="Times New Roman"/>
          <w:color w:val="auto"/>
          <w:sz w:val="22"/>
          <w:szCs w:val="22"/>
        </w:rPr>
        <w:fldChar w:fldCharType="separate"/>
      </w:r>
      <w:r w:rsidR="00DC6B90">
        <w:rPr>
          <w:rFonts w:ascii="Times New Roman" w:hAnsi="Times New Roman" w:cs="Times New Roman"/>
          <w:noProof/>
          <w:color w:val="auto"/>
          <w:sz w:val="22"/>
          <w:szCs w:val="22"/>
        </w:rPr>
        <w:t>2</w:t>
      </w:r>
      <w:r w:rsidRPr="002920CB">
        <w:rPr>
          <w:rFonts w:ascii="Times New Roman" w:hAnsi="Times New Roman" w:cs="Times New Roman"/>
          <w:color w:val="auto"/>
          <w:sz w:val="22"/>
          <w:szCs w:val="22"/>
        </w:rPr>
        <w:fldChar w:fldCharType="end"/>
      </w:r>
      <w:bookmarkEnd w:id="3"/>
      <w:r w:rsidRPr="002920CB">
        <w:rPr>
          <w:rFonts w:ascii="Times New Roman" w:hAnsi="Times New Roman" w:cs="Times New Roman"/>
          <w:color w:val="auto"/>
          <w:sz w:val="22"/>
          <w:szCs w:val="22"/>
        </w:rPr>
        <w:t xml:space="preserve">: Gaussian Distribution of weights for weighted summation of defocus planes. An equally spaced range of defocus values spanning a range of ±3σ. </w:t>
      </w:r>
      <w:r w:rsidRPr="002920CB">
        <w:rPr>
          <w:rFonts w:ascii="Times New Roman" w:eastAsiaTheme="minorEastAsia" w:hAnsi="Times New Roman" w:cs="Times New Roman"/>
          <w:color w:val="auto"/>
          <w:sz w:val="22"/>
          <w:szCs w:val="22"/>
        </w:rPr>
        <w:t xml:space="preserve">A normalised Gaussian is then used to assign weights to each of these defoci. </w:t>
      </w:r>
    </w:p>
    <w:p w14:paraId="49AFB9A6" w14:textId="77777777" w:rsidR="0002781A" w:rsidRPr="007E204E" w:rsidRDefault="0002781A" w:rsidP="00691F12">
      <w:pPr>
        <w:keepNext/>
        <w:spacing w:line="240" w:lineRule="auto"/>
        <w:rPr>
          <w:rFonts w:ascii="Times New Roman" w:hAnsi="Times New Roman" w:cs="Times New Roman"/>
        </w:rPr>
        <w:sectPr w:rsidR="0002781A" w:rsidRPr="007E204E" w:rsidSect="0047005B">
          <w:pgSz w:w="11906" w:h="16838"/>
          <w:pgMar w:top="1440" w:right="1080" w:bottom="1440" w:left="1080" w:header="708" w:footer="708" w:gutter="0"/>
          <w:cols w:space="709"/>
          <w:docGrid w:linePitch="360"/>
        </w:sectPr>
      </w:pPr>
    </w:p>
    <w:p w14:paraId="1D86B70A" w14:textId="566586D0" w:rsidR="00433867" w:rsidRDefault="00DC13B1" w:rsidP="00691F12">
      <w:pPr>
        <w:spacing w:line="240" w:lineRule="auto"/>
        <w:rPr>
          <w:rFonts w:ascii="Times New Roman" w:eastAsiaTheme="majorEastAsia" w:hAnsi="Times New Roman" w:cs="Times New Roman"/>
          <w:b/>
          <w:color w:val="000000" w:themeColor="text1"/>
          <w:sz w:val="28"/>
          <w:szCs w:val="28"/>
        </w:rPr>
      </w:pPr>
      <w:r w:rsidRPr="00DC13B1">
        <w:rPr>
          <w:rFonts w:ascii="Times New Roman" w:eastAsiaTheme="majorEastAsia" w:hAnsi="Times New Roman" w:cs="Times New Roman"/>
          <w:b/>
          <w:color w:val="000000" w:themeColor="text1"/>
          <w:sz w:val="28"/>
          <w:szCs w:val="28"/>
        </w:rPr>
        <w:lastRenderedPageBreak/>
        <w:t xml:space="preserve">Images of </w:t>
      </w:r>
      <w:r w:rsidR="00736EB9">
        <w:rPr>
          <w:rFonts w:ascii="Times New Roman" w:eastAsiaTheme="majorEastAsia" w:hAnsi="Times New Roman" w:cs="Times New Roman"/>
          <w:b/>
          <w:color w:val="000000" w:themeColor="text1"/>
          <w:sz w:val="28"/>
          <w:szCs w:val="28"/>
        </w:rPr>
        <w:t>a</w:t>
      </w:r>
      <w:r w:rsidRPr="00DC13B1">
        <w:rPr>
          <w:rFonts w:ascii="Times New Roman" w:eastAsiaTheme="majorEastAsia" w:hAnsi="Times New Roman" w:cs="Times New Roman"/>
          <w:b/>
          <w:color w:val="000000" w:themeColor="text1"/>
          <w:sz w:val="28"/>
          <w:szCs w:val="28"/>
        </w:rPr>
        <w:t xml:space="preserve"> gold nanoparticle for </w:t>
      </w:r>
      <w:r w:rsidR="00736EB9">
        <w:rPr>
          <w:rFonts w:ascii="Times New Roman" w:eastAsiaTheme="majorEastAsia" w:hAnsi="Times New Roman" w:cs="Times New Roman"/>
          <w:b/>
          <w:color w:val="000000" w:themeColor="text1"/>
          <w:sz w:val="28"/>
          <w:szCs w:val="28"/>
        </w:rPr>
        <w:t>a</w:t>
      </w:r>
      <w:r w:rsidRPr="00DC13B1">
        <w:rPr>
          <w:rFonts w:ascii="Times New Roman" w:eastAsiaTheme="majorEastAsia" w:hAnsi="Times New Roman" w:cs="Times New Roman"/>
          <w:b/>
          <w:color w:val="000000" w:themeColor="text1"/>
          <w:sz w:val="28"/>
          <w:szCs w:val="28"/>
        </w:rPr>
        <w:t xml:space="preserve"> Schottky and cold FEG at different electron acceleration voltages</w:t>
      </w:r>
    </w:p>
    <w:p w14:paraId="5DF2FB9F" w14:textId="77777777" w:rsidR="00DC13B1" w:rsidRPr="00433867" w:rsidRDefault="00DC13B1" w:rsidP="00691F12">
      <w:pPr>
        <w:spacing w:line="240" w:lineRule="auto"/>
      </w:pPr>
    </w:p>
    <w:p w14:paraId="0965E59D" w14:textId="77777777" w:rsidR="006264DE" w:rsidRPr="007E204E" w:rsidRDefault="006264DE" w:rsidP="00691F12">
      <w:pPr>
        <w:keepNext/>
        <w:spacing w:line="240" w:lineRule="auto"/>
        <w:jc w:val="center"/>
        <w:rPr>
          <w:rFonts w:ascii="Times New Roman" w:hAnsi="Times New Roman" w:cs="Times New Roman"/>
        </w:rPr>
      </w:pPr>
      <w:r w:rsidRPr="007E204E">
        <w:rPr>
          <w:rFonts w:ascii="Times New Roman" w:hAnsi="Times New Roman" w:cs="Times New Roman"/>
          <w:noProof/>
        </w:rPr>
        <w:drawing>
          <wp:inline distT="0" distB="0" distL="0" distR="0" wp14:anchorId="4CACC122" wp14:editId="5858DD94">
            <wp:extent cx="8840327" cy="324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840327" cy="3240000"/>
                    </a:xfrm>
                    <a:prstGeom prst="rect">
                      <a:avLst/>
                    </a:prstGeom>
                  </pic:spPr>
                </pic:pic>
              </a:graphicData>
            </a:graphic>
          </wp:inline>
        </w:drawing>
      </w:r>
    </w:p>
    <w:p w14:paraId="252662E5" w14:textId="6CB92F7D" w:rsidR="006264DE" w:rsidRPr="002920CB" w:rsidRDefault="006264DE"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Figure 3: Simulated Au nanoparticle images at E = 60 keV with a Schottky FEG at various levels of monochromation. For each column ΔE = 25 meV, 50 meV, 75 meV, 110 meV, 150 meV, 200 meV, 250 meV, 287 meV, 400 meV, 500 meV, and 650 meV. The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coefficient for each row is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 0 mm, 1.1 mm, 1.8 mm, and 3.0 mm from top to bottom respectively. Scale bar is 15 angstroms.</w:t>
      </w:r>
    </w:p>
    <w:p w14:paraId="2C8BEBA9" w14:textId="77777777" w:rsidR="0002781A" w:rsidRPr="007E204E" w:rsidRDefault="0002781A" w:rsidP="00691F12">
      <w:pPr>
        <w:keepNext/>
        <w:spacing w:line="240" w:lineRule="auto"/>
        <w:jc w:val="center"/>
        <w:rPr>
          <w:rFonts w:ascii="Times New Roman" w:hAnsi="Times New Roman" w:cs="Times New Roman"/>
        </w:rPr>
      </w:pPr>
      <w:r w:rsidRPr="007E204E">
        <w:rPr>
          <w:rFonts w:ascii="Times New Roman" w:hAnsi="Times New Roman" w:cs="Times New Roman"/>
          <w:noProof/>
        </w:rPr>
        <w:lastRenderedPageBreak/>
        <w:drawing>
          <wp:inline distT="0" distB="0" distL="0" distR="0" wp14:anchorId="79D22B63" wp14:editId="14E35644">
            <wp:extent cx="8840324" cy="324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40324" cy="3240000"/>
                    </a:xfrm>
                    <a:prstGeom prst="rect">
                      <a:avLst/>
                    </a:prstGeom>
                  </pic:spPr>
                </pic:pic>
              </a:graphicData>
            </a:graphic>
          </wp:inline>
        </w:drawing>
      </w:r>
    </w:p>
    <w:p w14:paraId="0EDC874B" w14:textId="175FC1F4" w:rsidR="0002781A" w:rsidRPr="002920CB" w:rsidRDefault="0002781A"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 xml:space="preserve">Figure </w:t>
      </w:r>
      <w:r w:rsidR="006264DE" w:rsidRPr="002920CB">
        <w:rPr>
          <w:rFonts w:ascii="Times New Roman" w:hAnsi="Times New Roman" w:cs="Times New Roman"/>
          <w:color w:val="auto"/>
          <w:sz w:val="22"/>
          <w:szCs w:val="22"/>
        </w:rPr>
        <w:t>4</w:t>
      </w:r>
      <w:r w:rsidRPr="002920CB">
        <w:rPr>
          <w:rFonts w:ascii="Times New Roman" w:hAnsi="Times New Roman" w:cs="Times New Roman"/>
          <w:color w:val="auto"/>
          <w:sz w:val="22"/>
          <w:szCs w:val="22"/>
        </w:rPr>
        <w:t xml:space="preserve">: Simulated </w:t>
      </w:r>
      <w:r w:rsidR="00CB186B" w:rsidRPr="002920CB">
        <w:rPr>
          <w:rFonts w:ascii="Times New Roman" w:hAnsi="Times New Roman" w:cs="Times New Roman"/>
          <w:color w:val="auto"/>
          <w:sz w:val="22"/>
          <w:szCs w:val="22"/>
        </w:rPr>
        <w:t xml:space="preserve">Au nanoparticle </w:t>
      </w:r>
      <w:r w:rsidRPr="002920CB">
        <w:rPr>
          <w:rFonts w:ascii="Times New Roman" w:hAnsi="Times New Roman" w:cs="Times New Roman"/>
          <w:color w:val="auto"/>
          <w:sz w:val="22"/>
          <w:szCs w:val="22"/>
        </w:rPr>
        <w:t>images at E = 30 keV</w:t>
      </w:r>
      <w:r w:rsidR="00CB186B" w:rsidRPr="002920CB">
        <w:rPr>
          <w:rFonts w:ascii="Times New Roman" w:hAnsi="Times New Roman" w:cs="Times New Roman"/>
          <w:color w:val="auto"/>
          <w:sz w:val="22"/>
          <w:szCs w:val="22"/>
        </w:rPr>
        <w:t xml:space="preserve"> w</w:t>
      </w:r>
      <w:r w:rsidR="00CC480C" w:rsidRPr="002920CB">
        <w:rPr>
          <w:rFonts w:ascii="Times New Roman" w:hAnsi="Times New Roman" w:cs="Times New Roman"/>
          <w:color w:val="auto"/>
          <w:sz w:val="22"/>
          <w:szCs w:val="22"/>
        </w:rPr>
        <w:t xml:space="preserve">ith a Schottky FEG at </w:t>
      </w:r>
      <w:r w:rsidR="00016381" w:rsidRPr="002920CB">
        <w:rPr>
          <w:rFonts w:ascii="Times New Roman" w:hAnsi="Times New Roman" w:cs="Times New Roman"/>
          <w:color w:val="auto"/>
          <w:sz w:val="22"/>
          <w:szCs w:val="22"/>
        </w:rPr>
        <w:t>various</w:t>
      </w:r>
      <w:r w:rsidR="00CC480C" w:rsidRPr="002920CB">
        <w:rPr>
          <w:rFonts w:ascii="Times New Roman" w:hAnsi="Times New Roman" w:cs="Times New Roman"/>
          <w:color w:val="auto"/>
          <w:sz w:val="22"/>
          <w:szCs w:val="22"/>
        </w:rPr>
        <w:t xml:space="preserve"> levels of monochromation</w:t>
      </w:r>
      <w:r w:rsidRPr="002920CB">
        <w:rPr>
          <w:rFonts w:ascii="Times New Roman" w:hAnsi="Times New Roman" w:cs="Times New Roman"/>
          <w:color w:val="auto"/>
          <w:sz w:val="22"/>
          <w:szCs w:val="22"/>
        </w:rPr>
        <w:t>. For each column ΔE = 25 meV, 50 meV, 75 meV, 110 meV, 150 meV, 200 meV, 250 meV, 287 meV, 400 meV, 500 meV, and 650 meV. The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coefficient for each row is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 0 mm, 1.1 mm, 1.8 mm, and 3.0 mm from top to bottom respectively. Scale bar is </w:t>
      </w:r>
      <w:r w:rsidR="00CC480C" w:rsidRPr="002920CB">
        <w:rPr>
          <w:rFonts w:ascii="Times New Roman" w:hAnsi="Times New Roman" w:cs="Times New Roman"/>
          <w:color w:val="auto"/>
          <w:sz w:val="22"/>
          <w:szCs w:val="22"/>
        </w:rPr>
        <w:t>15 </w:t>
      </w:r>
      <w:r w:rsidRPr="002920CB">
        <w:rPr>
          <w:rFonts w:ascii="Times New Roman" w:hAnsi="Times New Roman" w:cs="Times New Roman"/>
          <w:color w:val="auto"/>
          <w:sz w:val="22"/>
          <w:szCs w:val="22"/>
        </w:rPr>
        <w:t>angstroms.</w:t>
      </w:r>
    </w:p>
    <w:p w14:paraId="3D3EF401" w14:textId="77777777" w:rsidR="0002781A" w:rsidRPr="007E204E" w:rsidRDefault="0002781A" w:rsidP="00691F12">
      <w:pPr>
        <w:keepNext/>
        <w:spacing w:line="240" w:lineRule="auto"/>
        <w:jc w:val="center"/>
        <w:rPr>
          <w:rFonts w:ascii="Times New Roman" w:hAnsi="Times New Roman" w:cs="Times New Roman"/>
        </w:rPr>
      </w:pPr>
      <w:r w:rsidRPr="007E204E">
        <w:rPr>
          <w:rFonts w:ascii="Times New Roman" w:hAnsi="Times New Roman" w:cs="Times New Roman"/>
          <w:noProof/>
        </w:rPr>
        <w:lastRenderedPageBreak/>
        <w:drawing>
          <wp:inline distT="0" distB="0" distL="0" distR="0" wp14:anchorId="78F098CC" wp14:editId="3EA956D9">
            <wp:extent cx="8840324" cy="324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40324" cy="3240000"/>
                    </a:xfrm>
                    <a:prstGeom prst="rect">
                      <a:avLst/>
                    </a:prstGeom>
                  </pic:spPr>
                </pic:pic>
              </a:graphicData>
            </a:graphic>
          </wp:inline>
        </w:drawing>
      </w:r>
    </w:p>
    <w:p w14:paraId="3323A733" w14:textId="4FA064B6" w:rsidR="0002781A" w:rsidRPr="002920CB" w:rsidRDefault="0002781A"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 xml:space="preserve">Figure </w:t>
      </w:r>
      <w:r w:rsidR="006264DE" w:rsidRPr="002920CB">
        <w:rPr>
          <w:rFonts w:ascii="Times New Roman" w:hAnsi="Times New Roman" w:cs="Times New Roman"/>
          <w:color w:val="auto"/>
          <w:sz w:val="22"/>
          <w:szCs w:val="22"/>
        </w:rPr>
        <w:t>5</w:t>
      </w:r>
      <w:r w:rsidRPr="002920CB">
        <w:rPr>
          <w:rFonts w:ascii="Times New Roman" w:hAnsi="Times New Roman" w:cs="Times New Roman"/>
          <w:color w:val="auto"/>
          <w:sz w:val="22"/>
          <w:szCs w:val="22"/>
        </w:rPr>
        <w:t xml:space="preserve">: Simulated </w:t>
      </w:r>
      <w:r w:rsidR="00CC480C" w:rsidRPr="002920CB">
        <w:rPr>
          <w:rFonts w:ascii="Times New Roman" w:hAnsi="Times New Roman" w:cs="Times New Roman"/>
          <w:color w:val="auto"/>
          <w:sz w:val="22"/>
          <w:szCs w:val="22"/>
        </w:rPr>
        <w:t xml:space="preserve">Au nanoparticle </w:t>
      </w:r>
      <w:r w:rsidRPr="002920CB">
        <w:rPr>
          <w:rFonts w:ascii="Times New Roman" w:hAnsi="Times New Roman" w:cs="Times New Roman"/>
          <w:color w:val="auto"/>
          <w:sz w:val="22"/>
          <w:szCs w:val="22"/>
        </w:rPr>
        <w:t>images at E = 15 keV</w:t>
      </w:r>
      <w:r w:rsidR="00016381" w:rsidRPr="002920CB">
        <w:rPr>
          <w:rFonts w:ascii="Times New Roman" w:hAnsi="Times New Roman" w:cs="Times New Roman"/>
          <w:color w:val="auto"/>
          <w:sz w:val="22"/>
          <w:szCs w:val="22"/>
        </w:rPr>
        <w:t xml:space="preserve"> with a Schottky FEG at various levels of monochromation</w:t>
      </w:r>
      <w:r w:rsidRPr="002920CB">
        <w:rPr>
          <w:rFonts w:ascii="Times New Roman" w:hAnsi="Times New Roman" w:cs="Times New Roman"/>
          <w:color w:val="auto"/>
          <w:sz w:val="22"/>
          <w:szCs w:val="22"/>
        </w:rPr>
        <w:t>. For each column ΔE = 25 meV, 50 meV, 75 meV, 110 meV, 150 meV, 200 meV, 250 meV, 287 meV, 400 meV, 500 meV, and 650 meV. The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coefficient for each row is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 0 mm, 1.1 mm, 1.8 mm, and 3.0 mm from top to bottom respectively. Scale bar is </w:t>
      </w:r>
      <w:r w:rsidR="00016381" w:rsidRPr="002920CB">
        <w:rPr>
          <w:rFonts w:ascii="Times New Roman" w:hAnsi="Times New Roman" w:cs="Times New Roman"/>
          <w:color w:val="auto"/>
          <w:sz w:val="22"/>
          <w:szCs w:val="22"/>
        </w:rPr>
        <w:t>15 </w:t>
      </w:r>
      <w:r w:rsidRPr="002920CB">
        <w:rPr>
          <w:rFonts w:ascii="Times New Roman" w:hAnsi="Times New Roman" w:cs="Times New Roman"/>
          <w:color w:val="auto"/>
          <w:sz w:val="22"/>
          <w:szCs w:val="22"/>
        </w:rPr>
        <w:t>angstroms.</w:t>
      </w:r>
    </w:p>
    <w:p w14:paraId="5FA3B0A7" w14:textId="77777777" w:rsidR="007860EF" w:rsidRPr="007E204E" w:rsidRDefault="007860EF" w:rsidP="00691F12">
      <w:pPr>
        <w:keepNext/>
        <w:spacing w:line="240" w:lineRule="auto"/>
        <w:jc w:val="center"/>
        <w:rPr>
          <w:rFonts w:ascii="Times New Roman" w:hAnsi="Times New Roman" w:cs="Times New Roman"/>
        </w:rPr>
      </w:pPr>
      <w:r w:rsidRPr="007E204E">
        <w:rPr>
          <w:rFonts w:ascii="Times New Roman" w:hAnsi="Times New Roman" w:cs="Times New Roman"/>
          <w:noProof/>
        </w:rPr>
        <w:lastRenderedPageBreak/>
        <w:drawing>
          <wp:inline distT="0" distB="0" distL="0" distR="0" wp14:anchorId="5A60BCD3" wp14:editId="4F0013B7">
            <wp:extent cx="8529820" cy="4320000"/>
            <wp:effectExtent l="0" t="0" r="508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29820" cy="4320000"/>
                    </a:xfrm>
                    <a:prstGeom prst="rect">
                      <a:avLst/>
                    </a:prstGeom>
                  </pic:spPr>
                </pic:pic>
              </a:graphicData>
            </a:graphic>
          </wp:inline>
        </w:drawing>
      </w:r>
    </w:p>
    <w:p w14:paraId="25BCE317" w14:textId="5744875D" w:rsidR="007860EF" w:rsidRPr="002920CB" w:rsidRDefault="007860EF"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Figure 6: Simulated Au nanoparticle images at E = 60 keV with a cold FEG at various levels of monochromation. For each column ΔE = 25 meV, 50 meV, 75 meV, 110 meV, 150 meV, 200 meV, 250 meV, 287 meV. The C</w:t>
      </w:r>
      <w:r w:rsidR="00865784" w:rsidRPr="002920CB">
        <w:rPr>
          <w:rFonts w:ascii="Times New Roman" w:hAnsi="Times New Roman" w:cs="Times New Roman"/>
          <w:color w:val="auto"/>
          <w:sz w:val="22"/>
          <w:szCs w:val="22"/>
          <w:vertAlign w:val="subscript"/>
        </w:rPr>
        <w:t>c</w:t>
      </w:r>
      <w:r w:rsidR="00865784" w:rsidRPr="002920CB">
        <w:rPr>
          <w:rFonts w:ascii="Times New Roman" w:hAnsi="Times New Roman" w:cs="Times New Roman"/>
          <w:color w:val="auto"/>
          <w:sz w:val="22"/>
          <w:szCs w:val="22"/>
        </w:rPr>
        <w:t xml:space="preserve"> </w:t>
      </w:r>
      <w:r w:rsidRPr="002920CB">
        <w:rPr>
          <w:rFonts w:ascii="Times New Roman" w:hAnsi="Times New Roman" w:cs="Times New Roman"/>
          <w:color w:val="auto"/>
          <w:sz w:val="22"/>
          <w:szCs w:val="22"/>
        </w:rPr>
        <w:t>coefficient for each row is C</w:t>
      </w:r>
      <w:r w:rsidR="00E16DFB" w:rsidRPr="002920CB">
        <w:rPr>
          <w:rFonts w:ascii="Times New Roman" w:hAnsi="Times New Roman" w:cs="Times New Roman"/>
          <w:color w:val="auto"/>
          <w:sz w:val="22"/>
          <w:szCs w:val="22"/>
          <w:vertAlign w:val="subscript"/>
        </w:rPr>
        <w:t>c</w:t>
      </w:r>
      <w:r w:rsidR="00001CBF" w:rsidRPr="002920CB">
        <w:rPr>
          <w:rFonts w:ascii="Times New Roman" w:hAnsi="Times New Roman" w:cs="Times New Roman"/>
          <w:color w:val="auto"/>
          <w:sz w:val="22"/>
          <w:szCs w:val="22"/>
        </w:rPr>
        <w:t xml:space="preserve"> </w:t>
      </w:r>
      <w:r w:rsidRPr="002920CB">
        <w:rPr>
          <w:rFonts w:ascii="Times New Roman" w:hAnsi="Times New Roman" w:cs="Times New Roman"/>
          <w:color w:val="auto"/>
          <w:sz w:val="22"/>
          <w:szCs w:val="22"/>
        </w:rPr>
        <w:t>= 0 mm, 1.1 mm, 1.8 mm, and 3.0 mm from top to bottom respectively. Scale bar is 15 angstroms.</w:t>
      </w:r>
    </w:p>
    <w:p w14:paraId="197D71B9" w14:textId="77777777" w:rsidR="007860EF" w:rsidRPr="007E204E" w:rsidRDefault="007860EF" w:rsidP="00691F12">
      <w:pPr>
        <w:keepNext/>
        <w:spacing w:line="240" w:lineRule="auto"/>
        <w:jc w:val="center"/>
        <w:rPr>
          <w:rFonts w:ascii="Times New Roman" w:hAnsi="Times New Roman" w:cs="Times New Roman"/>
        </w:rPr>
      </w:pPr>
      <w:r w:rsidRPr="007E204E">
        <w:rPr>
          <w:rFonts w:ascii="Times New Roman" w:hAnsi="Times New Roman" w:cs="Times New Roman"/>
          <w:noProof/>
        </w:rPr>
        <w:lastRenderedPageBreak/>
        <w:drawing>
          <wp:inline distT="0" distB="0" distL="0" distR="0" wp14:anchorId="686FB8BE" wp14:editId="6587413F">
            <wp:extent cx="8529820" cy="4319999"/>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529820" cy="4319999"/>
                    </a:xfrm>
                    <a:prstGeom prst="rect">
                      <a:avLst/>
                    </a:prstGeom>
                  </pic:spPr>
                </pic:pic>
              </a:graphicData>
            </a:graphic>
          </wp:inline>
        </w:drawing>
      </w:r>
    </w:p>
    <w:p w14:paraId="7C807E06" w14:textId="7B09CE2D" w:rsidR="007860EF" w:rsidRPr="002920CB" w:rsidRDefault="007860EF"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Figure 7: Simulated Au nanoparticle images at E = 30 keV with a cold FEG at various levels of monochromation. For each column ΔE = 25 meV, 50 meV, 75 meV, 110 meV, 150 meV, 200 meV, 250 meV, 287 meV. The C</w:t>
      </w:r>
      <w:r w:rsidR="000217EC"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coefficient for each row is C</w:t>
      </w:r>
      <w:r w:rsidR="000217EC"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 0 mm, 1.1 mm, 1.8 mm, and 3.0 mm from top to bottom respectively. Scale bar is 15 angstroms.</w:t>
      </w:r>
    </w:p>
    <w:p w14:paraId="76FAD964" w14:textId="77777777" w:rsidR="007860EF" w:rsidRPr="007E204E" w:rsidRDefault="007860EF" w:rsidP="00691F12">
      <w:pPr>
        <w:keepNext/>
        <w:spacing w:line="240" w:lineRule="auto"/>
        <w:jc w:val="center"/>
        <w:rPr>
          <w:rFonts w:ascii="Times New Roman" w:hAnsi="Times New Roman" w:cs="Times New Roman"/>
        </w:rPr>
      </w:pPr>
      <w:r w:rsidRPr="007E204E">
        <w:rPr>
          <w:rFonts w:ascii="Times New Roman" w:hAnsi="Times New Roman" w:cs="Times New Roman"/>
          <w:noProof/>
        </w:rPr>
        <w:lastRenderedPageBreak/>
        <w:drawing>
          <wp:inline distT="0" distB="0" distL="0" distR="0" wp14:anchorId="1DD1F7B1" wp14:editId="558318AD">
            <wp:extent cx="8529820" cy="4320000"/>
            <wp:effectExtent l="0" t="0" r="508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29820" cy="4320000"/>
                    </a:xfrm>
                    <a:prstGeom prst="rect">
                      <a:avLst/>
                    </a:prstGeom>
                  </pic:spPr>
                </pic:pic>
              </a:graphicData>
            </a:graphic>
          </wp:inline>
        </w:drawing>
      </w:r>
    </w:p>
    <w:p w14:paraId="1072C3E6" w14:textId="42379AEB" w:rsidR="007860EF" w:rsidRPr="002920CB" w:rsidRDefault="007860EF" w:rsidP="00691F12">
      <w:pPr>
        <w:pStyle w:val="Caption"/>
        <w:jc w:val="both"/>
        <w:rPr>
          <w:rFonts w:ascii="Times New Roman" w:hAnsi="Times New Roman" w:cs="Times New Roman"/>
          <w:color w:val="auto"/>
          <w:sz w:val="22"/>
          <w:szCs w:val="22"/>
        </w:rPr>
      </w:pPr>
      <w:r w:rsidRPr="002920CB">
        <w:rPr>
          <w:rFonts w:ascii="Times New Roman" w:hAnsi="Times New Roman" w:cs="Times New Roman"/>
          <w:color w:val="auto"/>
          <w:sz w:val="22"/>
          <w:szCs w:val="22"/>
        </w:rPr>
        <w:t>Figure 8: Simulated Au nanoparticle images at E = 15 keV with a cold FEG at various levels of monochromation. For each column ΔE = 25 meV, 50 meV, 75 meV, 110 meV, 150 meV, 200 meV, 250 meV, 287 meV. The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coefficient for each row is C</w:t>
      </w:r>
      <w:r w:rsidRPr="002920CB">
        <w:rPr>
          <w:rFonts w:ascii="Times New Roman" w:hAnsi="Times New Roman" w:cs="Times New Roman"/>
          <w:color w:val="auto"/>
          <w:sz w:val="22"/>
          <w:szCs w:val="22"/>
          <w:vertAlign w:val="subscript"/>
        </w:rPr>
        <w:t>c</w:t>
      </w:r>
      <w:r w:rsidRPr="002920CB">
        <w:rPr>
          <w:rFonts w:ascii="Times New Roman" w:hAnsi="Times New Roman" w:cs="Times New Roman"/>
          <w:color w:val="auto"/>
          <w:sz w:val="22"/>
          <w:szCs w:val="22"/>
        </w:rPr>
        <w:t xml:space="preserve"> = 0 mm, 1.1 mm, 1.8 mm, and 3.0 mm from top to bottom respectively. Scale bar is 15 angstroms.</w:t>
      </w:r>
    </w:p>
    <w:p w14:paraId="13666CC3" w14:textId="77777777" w:rsidR="007860EF" w:rsidRPr="00C431B1" w:rsidRDefault="007860EF" w:rsidP="00691F12">
      <w:pPr>
        <w:spacing w:line="240" w:lineRule="auto"/>
      </w:pPr>
    </w:p>
    <w:p w14:paraId="10A8970E" w14:textId="77777777" w:rsidR="009A20CA" w:rsidRDefault="009A20CA" w:rsidP="00691F12">
      <w:pPr>
        <w:spacing w:line="240" w:lineRule="auto"/>
        <w:rPr>
          <w:rFonts w:ascii="Times New Roman" w:hAnsi="Times New Roman" w:cs="Times New Roman"/>
        </w:rPr>
      </w:pPr>
    </w:p>
    <w:sectPr w:rsidR="009A20CA" w:rsidSect="003947AC">
      <w:pgSz w:w="16838" w:h="11906"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BEF8EF"/>
    <w:rsid w:val="00001CBF"/>
    <w:rsid w:val="00016381"/>
    <w:rsid w:val="000217EC"/>
    <w:rsid w:val="0002781A"/>
    <w:rsid w:val="000301C1"/>
    <w:rsid w:val="00050027"/>
    <w:rsid w:val="00051827"/>
    <w:rsid w:val="000677AC"/>
    <w:rsid w:val="00087D46"/>
    <w:rsid w:val="00092D28"/>
    <w:rsid w:val="000C73D3"/>
    <w:rsid w:val="000E4836"/>
    <w:rsid w:val="00106030"/>
    <w:rsid w:val="00134F78"/>
    <w:rsid w:val="00162C2C"/>
    <w:rsid w:val="00167EAF"/>
    <w:rsid w:val="00187B90"/>
    <w:rsid w:val="001A40D9"/>
    <w:rsid w:val="001B7BC4"/>
    <w:rsid w:val="001F6842"/>
    <w:rsid w:val="002269FC"/>
    <w:rsid w:val="00247AA2"/>
    <w:rsid w:val="00250908"/>
    <w:rsid w:val="002920CB"/>
    <w:rsid w:val="002B0BF8"/>
    <w:rsid w:val="002B6923"/>
    <w:rsid w:val="002E40C8"/>
    <w:rsid w:val="002F3E23"/>
    <w:rsid w:val="00317F02"/>
    <w:rsid w:val="0032656C"/>
    <w:rsid w:val="00355EBC"/>
    <w:rsid w:val="0038574A"/>
    <w:rsid w:val="0039273D"/>
    <w:rsid w:val="003947AC"/>
    <w:rsid w:val="003D0535"/>
    <w:rsid w:val="00416699"/>
    <w:rsid w:val="00433867"/>
    <w:rsid w:val="00434EF5"/>
    <w:rsid w:val="0047005B"/>
    <w:rsid w:val="004728F4"/>
    <w:rsid w:val="00477F70"/>
    <w:rsid w:val="004E32E8"/>
    <w:rsid w:val="00503E72"/>
    <w:rsid w:val="005453B4"/>
    <w:rsid w:val="00592EDB"/>
    <w:rsid w:val="005D2829"/>
    <w:rsid w:val="00606CB0"/>
    <w:rsid w:val="00613D3B"/>
    <w:rsid w:val="006264DE"/>
    <w:rsid w:val="006638FD"/>
    <w:rsid w:val="00691F12"/>
    <w:rsid w:val="00694E8C"/>
    <w:rsid w:val="006D4141"/>
    <w:rsid w:val="00736EB9"/>
    <w:rsid w:val="00757171"/>
    <w:rsid w:val="00777E72"/>
    <w:rsid w:val="007860EF"/>
    <w:rsid w:val="007B5FB7"/>
    <w:rsid w:val="007B7553"/>
    <w:rsid w:val="007E20C4"/>
    <w:rsid w:val="008201AD"/>
    <w:rsid w:val="00855AB0"/>
    <w:rsid w:val="00860C43"/>
    <w:rsid w:val="008644D0"/>
    <w:rsid w:val="00865784"/>
    <w:rsid w:val="0088566E"/>
    <w:rsid w:val="008953B1"/>
    <w:rsid w:val="008B0D23"/>
    <w:rsid w:val="008D3086"/>
    <w:rsid w:val="008F23C0"/>
    <w:rsid w:val="008F2C8B"/>
    <w:rsid w:val="009057D1"/>
    <w:rsid w:val="00912E2A"/>
    <w:rsid w:val="009369C8"/>
    <w:rsid w:val="00941936"/>
    <w:rsid w:val="00941ED1"/>
    <w:rsid w:val="00945EB3"/>
    <w:rsid w:val="009473D9"/>
    <w:rsid w:val="00950A78"/>
    <w:rsid w:val="009A20CA"/>
    <w:rsid w:val="009C4D23"/>
    <w:rsid w:val="00A83373"/>
    <w:rsid w:val="00AA38BF"/>
    <w:rsid w:val="00AC6BA6"/>
    <w:rsid w:val="00B12588"/>
    <w:rsid w:val="00B20157"/>
    <w:rsid w:val="00B33BB0"/>
    <w:rsid w:val="00B35ADA"/>
    <w:rsid w:val="00B52F27"/>
    <w:rsid w:val="00B84C89"/>
    <w:rsid w:val="00BB270C"/>
    <w:rsid w:val="00BB4531"/>
    <w:rsid w:val="00C431B1"/>
    <w:rsid w:val="00C57E16"/>
    <w:rsid w:val="00C7507C"/>
    <w:rsid w:val="00C978F5"/>
    <w:rsid w:val="00CB186B"/>
    <w:rsid w:val="00CC04E1"/>
    <w:rsid w:val="00CC3E39"/>
    <w:rsid w:val="00CC480C"/>
    <w:rsid w:val="00CD68EC"/>
    <w:rsid w:val="00CE38B0"/>
    <w:rsid w:val="00CF0EFC"/>
    <w:rsid w:val="00D325C2"/>
    <w:rsid w:val="00D4566D"/>
    <w:rsid w:val="00D51221"/>
    <w:rsid w:val="00D97BEA"/>
    <w:rsid w:val="00DA6B3C"/>
    <w:rsid w:val="00DC13B1"/>
    <w:rsid w:val="00DC6B90"/>
    <w:rsid w:val="00DE5000"/>
    <w:rsid w:val="00DE6648"/>
    <w:rsid w:val="00E0035C"/>
    <w:rsid w:val="00E02681"/>
    <w:rsid w:val="00E16DFB"/>
    <w:rsid w:val="00E5687C"/>
    <w:rsid w:val="00E9289C"/>
    <w:rsid w:val="00EA4E08"/>
    <w:rsid w:val="00ED7C10"/>
    <w:rsid w:val="00EF768A"/>
    <w:rsid w:val="00F00824"/>
    <w:rsid w:val="00F24701"/>
    <w:rsid w:val="00F25F1B"/>
    <w:rsid w:val="00F426D9"/>
    <w:rsid w:val="00F51FB3"/>
    <w:rsid w:val="00F70807"/>
    <w:rsid w:val="00F91E52"/>
    <w:rsid w:val="00FA4B9B"/>
    <w:rsid w:val="00FF02FF"/>
    <w:rsid w:val="06BEF8E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D767B"/>
  <w15:chartTrackingRefBased/>
  <w15:docId w15:val="{28C8B064-C642-4E10-955B-CF1EAEBC4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807"/>
    <w:rPr>
      <w:lang w:val="en-IE"/>
    </w:rPr>
  </w:style>
  <w:style w:type="paragraph" w:styleId="Heading1">
    <w:name w:val="heading 1"/>
    <w:basedOn w:val="Normal"/>
    <w:next w:val="Normal"/>
    <w:link w:val="Heading1Char"/>
    <w:autoRedefine/>
    <w:uiPriority w:val="9"/>
    <w:qFormat/>
    <w:rsid w:val="00F70807"/>
    <w:pPr>
      <w:keepNext/>
      <w:keepLines/>
      <w:spacing w:before="240" w:after="0" w:line="360" w:lineRule="auto"/>
      <w:outlineLvl w:val="0"/>
    </w:pPr>
    <w:rPr>
      <w:rFonts w:ascii="Times New Roman" w:eastAsiaTheme="majorEastAsia" w:hAnsi="Times New Roman" w:cs="Times New Roman"/>
      <w:b/>
      <w:color w:val="000000" w:themeColor="text1"/>
      <w:sz w:val="28"/>
      <w:szCs w:val="28"/>
    </w:rPr>
  </w:style>
  <w:style w:type="paragraph" w:styleId="Heading2">
    <w:name w:val="heading 2"/>
    <w:basedOn w:val="Normal"/>
    <w:next w:val="Normal"/>
    <w:link w:val="Heading2Char"/>
    <w:uiPriority w:val="9"/>
    <w:unhideWhenUsed/>
    <w:qFormat/>
    <w:rsid w:val="00F708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0807"/>
    <w:rPr>
      <w:rFonts w:ascii="Times New Roman" w:eastAsiaTheme="majorEastAsia" w:hAnsi="Times New Roman" w:cs="Times New Roman"/>
      <w:b/>
      <w:color w:val="000000" w:themeColor="text1"/>
      <w:sz w:val="28"/>
      <w:szCs w:val="28"/>
      <w:lang w:val="en-IE"/>
    </w:rPr>
  </w:style>
  <w:style w:type="character" w:customStyle="1" w:styleId="Heading2Char">
    <w:name w:val="Heading 2 Char"/>
    <w:basedOn w:val="DefaultParagraphFont"/>
    <w:link w:val="Heading2"/>
    <w:uiPriority w:val="9"/>
    <w:rsid w:val="00F70807"/>
    <w:rPr>
      <w:rFonts w:asciiTheme="majorHAnsi" w:eastAsiaTheme="majorEastAsia" w:hAnsiTheme="majorHAnsi" w:cstheme="majorBidi"/>
      <w:color w:val="2F5496" w:themeColor="accent1" w:themeShade="BF"/>
      <w:sz w:val="26"/>
      <w:szCs w:val="26"/>
      <w:lang w:val="en-IE"/>
    </w:rPr>
  </w:style>
  <w:style w:type="paragraph" w:styleId="CommentText">
    <w:name w:val="annotation text"/>
    <w:basedOn w:val="Normal"/>
    <w:link w:val="CommentTextChar"/>
    <w:uiPriority w:val="99"/>
    <w:unhideWhenUsed/>
    <w:rsid w:val="00F70807"/>
    <w:pPr>
      <w:spacing w:line="240" w:lineRule="auto"/>
    </w:pPr>
    <w:rPr>
      <w:sz w:val="20"/>
      <w:szCs w:val="20"/>
    </w:rPr>
  </w:style>
  <w:style w:type="character" w:customStyle="1" w:styleId="CommentTextChar">
    <w:name w:val="Comment Text Char"/>
    <w:basedOn w:val="DefaultParagraphFont"/>
    <w:link w:val="CommentText"/>
    <w:uiPriority w:val="99"/>
    <w:rsid w:val="00F70807"/>
    <w:rPr>
      <w:sz w:val="20"/>
      <w:szCs w:val="20"/>
      <w:lang w:val="en-IE"/>
    </w:rPr>
  </w:style>
  <w:style w:type="paragraph" w:styleId="Caption">
    <w:name w:val="caption"/>
    <w:basedOn w:val="Normal"/>
    <w:next w:val="Normal"/>
    <w:uiPriority w:val="35"/>
    <w:unhideWhenUsed/>
    <w:qFormat/>
    <w:rsid w:val="00F70807"/>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247AA2"/>
    <w:rPr>
      <w:sz w:val="16"/>
      <w:szCs w:val="16"/>
    </w:rPr>
  </w:style>
  <w:style w:type="paragraph" w:styleId="CommentSubject">
    <w:name w:val="annotation subject"/>
    <w:basedOn w:val="CommentText"/>
    <w:next w:val="CommentText"/>
    <w:link w:val="CommentSubjectChar"/>
    <w:uiPriority w:val="99"/>
    <w:semiHidden/>
    <w:unhideWhenUsed/>
    <w:rsid w:val="00247AA2"/>
    <w:rPr>
      <w:b/>
      <w:bCs/>
    </w:rPr>
  </w:style>
  <w:style w:type="character" w:customStyle="1" w:styleId="CommentSubjectChar">
    <w:name w:val="Comment Subject Char"/>
    <w:basedOn w:val="CommentTextChar"/>
    <w:link w:val="CommentSubject"/>
    <w:uiPriority w:val="99"/>
    <w:semiHidden/>
    <w:rsid w:val="00247AA2"/>
    <w:rPr>
      <w:b/>
      <w:bCs/>
      <w:sz w:val="20"/>
      <w:szCs w:val="20"/>
      <w:lang w:val="en-IE"/>
    </w:rPr>
  </w:style>
  <w:style w:type="paragraph" w:styleId="Revision">
    <w:name w:val="Revision"/>
    <w:hidden/>
    <w:uiPriority w:val="99"/>
    <w:semiHidden/>
    <w:rsid w:val="000C73D3"/>
    <w:pPr>
      <w:spacing w:after="0" w:line="240" w:lineRule="auto"/>
    </w:pPr>
    <w:rPr>
      <w:lang w:val="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tiff"/><Relationship Id="rId5" Type="http://schemas.openxmlformats.org/officeDocument/2006/relationships/styles" Target="style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67A3DC7F88BF646832DEA8091509D81" ma:contentTypeVersion="13" ma:contentTypeDescription="Create a new document." ma:contentTypeScope="" ma:versionID="3e29bad03ca8351c7431ff782573fa6b">
  <xsd:schema xmlns:xsd="http://www.w3.org/2001/XMLSchema" xmlns:xs="http://www.w3.org/2001/XMLSchema" xmlns:p="http://schemas.microsoft.com/office/2006/metadata/properties" xmlns:ns2="601ac0e3-65d1-49d1-b631-19142e006580" xmlns:ns3="6974b250-a0b4-4f2f-8bec-86b65ea76322" targetNamespace="http://schemas.microsoft.com/office/2006/metadata/properties" ma:root="true" ma:fieldsID="80cb1781553ee77fff86858c36f25eae" ns2:_="" ns3:_="">
    <xsd:import namespace="601ac0e3-65d1-49d1-b631-19142e006580"/>
    <xsd:import namespace="6974b250-a0b4-4f2f-8bec-86b65ea7632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1ac0e3-65d1-49d1-b631-19142e0065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74b250-a0b4-4f2f-8bec-86b65ea7632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E7E746-8789-4451-B8F8-C1A99BD84F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A837D59-772A-4AC2-8979-C595D1319412}">
  <ds:schemaRefs>
    <ds:schemaRef ds:uri="http://schemas.microsoft.com/sharepoint/v3/contenttype/forms"/>
  </ds:schemaRefs>
</ds:datastoreItem>
</file>

<file path=customXml/itemProps3.xml><?xml version="1.0" encoding="utf-8"?>
<ds:datastoreItem xmlns:ds="http://schemas.openxmlformats.org/officeDocument/2006/customXml" ds:itemID="{8FD12681-58C7-499C-A9D0-C4B276A095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1ac0e3-65d1-49d1-b631-19142e006580"/>
    <ds:schemaRef ds:uri="6974b250-a0b4-4f2f-8bec-86b65ea763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0DE4D7-62F7-47C6-AFD2-984C8FAE7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8</Pages>
  <Words>2562</Words>
  <Characters>14605</Characters>
  <Application>Microsoft Office Word</Application>
  <DocSecurity>0</DocSecurity>
  <Lines>121</Lines>
  <Paragraphs>34</Paragraphs>
  <ScaleCrop>false</ScaleCrop>
  <Company/>
  <LinksUpToDate>false</LinksUpToDate>
  <CharactersWithSpaces>17133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Quigley</dc:creator>
  <cp:keywords/>
  <dc:description/>
  <cp:lastModifiedBy>Frances Quigley</cp:lastModifiedBy>
  <cp:revision>111</cp:revision>
  <cp:lastPrinted>2022-03-03T15:11:00Z</cp:lastPrinted>
  <dcterms:created xsi:type="dcterms:W3CDTF">2021-08-30T03:02:00Z</dcterms:created>
  <dcterms:modified xsi:type="dcterms:W3CDTF">2022-03-03T15:11:00Z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0x010100567A3DC7F88BF646832DEA8091509D81</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7th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http://www.zotero.org/styles/microscopy-and-microanalysis</vt:lpwstr>
  </property>
  <property fmtid="{D5CDD505-2E9C-101B-9397-08002B2CF9AE}" pid="14" name="Mendeley Recent Style Name 5_1">
    <vt:lpwstr>Microscopy and Microanalysis</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http://www.zotero.org/styles/ultramicroscopy</vt:lpwstr>
  </property>
  <property fmtid="{D5CDD505-2E9C-101B-9397-08002B2CF9AE}" pid="22" name="Mendeley Recent Style Name 9_1">
    <vt:lpwstr>Ultramicroscopy</vt:lpwstr>
  </property>
  <property fmtid="{D5CDD505-2E9C-101B-9397-08002B2CF9AE}" pid="23" name="Mendeley Document_1">
    <vt:lpwstr>True</vt:lpwstr>
  </property>
  <property fmtid="{D5CDD505-2E9C-101B-9397-08002B2CF9AE}" pid="24" name="Mendeley Unique User Id_1">
    <vt:lpwstr>fda3a739-f2e5-3f58-a205-4282d6d96611</vt:lpwstr>
  </property>
  <property fmtid="{D5CDD505-2E9C-101B-9397-08002B2CF9AE}" pid="25" name="Mendeley Citation Style_1">
    <vt:lpwstr>http://www.zotero.org/styles/microscopy-and-microanalysis</vt:lpwstr>
  </property>
</Properties>
</file>