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3B8B5D" w14:textId="77777777" w:rsidR="002E49A5" w:rsidRDefault="002E49A5" w:rsidP="002C7BE9">
      <w:pPr>
        <w:pStyle w:val="Addresses"/>
        <w:spacing w:line="480" w:lineRule="auto"/>
      </w:pPr>
    </w:p>
    <w:p w14:paraId="415E2E06" w14:textId="77777777" w:rsidR="002E49A5" w:rsidRPr="0019723B" w:rsidRDefault="002E49A5" w:rsidP="002C7BE9">
      <w:pPr>
        <w:pStyle w:val="Title2"/>
        <w:spacing w:line="480" w:lineRule="auto"/>
        <w:rPr>
          <w:b w:val="0"/>
        </w:rPr>
      </w:pPr>
    </w:p>
    <w:p w14:paraId="551881B5" w14:textId="77777777" w:rsidR="002E49A5" w:rsidRPr="0019723B" w:rsidRDefault="002E49A5" w:rsidP="002C7BE9">
      <w:pPr>
        <w:pStyle w:val="Title2"/>
        <w:spacing w:line="480" w:lineRule="auto"/>
        <w:rPr>
          <w:b w:val="0"/>
          <w:sz w:val="32"/>
          <w:szCs w:val="32"/>
        </w:rPr>
      </w:pPr>
      <w:r w:rsidRPr="0019723B">
        <w:rPr>
          <w:b w:val="0"/>
          <w:sz w:val="32"/>
          <w:szCs w:val="32"/>
        </w:rPr>
        <w:t xml:space="preserve">Supporting Information </w:t>
      </w:r>
    </w:p>
    <w:p w14:paraId="2834F251" w14:textId="77777777" w:rsidR="002E49A5" w:rsidRPr="0019723B" w:rsidRDefault="002E49A5" w:rsidP="002C7BE9">
      <w:pPr>
        <w:pStyle w:val="Tableofcontents"/>
        <w:spacing w:line="480" w:lineRule="auto"/>
      </w:pPr>
    </w:p>
    <w:p w14:paraId="1240E70B" w14:textId="77777777" w:rsidR="002E49A5" w:rsidRPr="001D62F3" w:rsidRDefault="002E49A5" w:rsidP="002C7BE9">
      <w:pPr>
        <w:pStyle w:val="Title2"/>
        <w:spacing w:line="480" w:lineRule="auto"/>
        <w:rPr>
          <w:b w:val="0"/>
          <w:color w:val="FF0000"/>
        </w:rPr>
      </w:pPr>
      <w:r w:rsidRPr="001E7547">
        <w:t xml:space="preserve">Thermal evolution of C-Fe-Bi nanocomposite system: from nanoparticle </w:t>
      </w:r>
      <w:r>
        <w:t xml:space="preserve">formation to </w:t>
      </w:r>
      <w:r w:rsidRPr="001E7547">
        <w:t>heterogeneous graphitization</w:t>
      </w:r>
      <w:r>
        <w:t xml:space="preserve"> stage</w:t>
      </w:r>
    </w:p>
    <w:p w14:paraId="5EEC4DC3" w14:textId="77777777" w:rsidR="002E49A5" w:rsidRPr="00A35E4A" w:rsidRDefault="002E49A5" w:rsidP="002C7BE9">
      <w:pPr>
        <w:pStyle w:val="Tableofcontents"/>
        <w:spacing w:line="480" w:lineRule="auto"/>
      </w:pPr>
    </w:p>
    <w:p w14:paraId="2A701798" w14:textId="77777777" w:rsidR="002E49A5" w:rsidRPr="003B765F" w:rsidRDefault="002E49A5" w:rsidP="002C7BE9">
      <w:pPr>
        <w:pStyle w:val="Authors"/>
        <w:spacing w:line="480" w:lineRule="auto"/>
        <w:rPr>
          <w:rFonts w:eastAsia="MS Mincho" w:cs="Times New Roman"/>
          <w:i/>
          <w:noProof w:val="0"/>
          <w:sz w:val="24"/>
          <w:szCs w:val="24"/>
          <w:lang w:val="en-US" w:eastAsia="ja-JP"/>
        </w:rPr>
      </w:pPr>
      <w:r w:rsidRPr="003B765F">
        <w:rPr>
          <w:rFonts w:eastAsia="MS Mincho" w:cs="Times New Roman"/>
          <w:i/>
          <w:noProof w:val="0"/>
          <w:sz w:val="24"/>
          <w:szCs w:val="24"/>
          <w:lang w:val="en-US" w:eastAsia="ja-JP"/>
        </w:rPr>
        <w:t>M</w:t>
      </w:r>
      <w:r>
        <w:rPr>
          <w:rFonts w:eastAsia="MS Mincho" w:cs="Times New Roman"/>
          <w:i/>
          <w:noProof w:val="0"/>
          <w:sz w:val="24"/>
          <w:szCs w:val="24"/>
          <w:lang w:val="en-US" w:eastAsia="ja-JP"/>
        </w:rPr>
        <w:t>ihai M. Rusu</w:t>
      </w:r>
      <w:r w:rsidRPr="003B765F">
        <w:rPr>
          <w:rFonts w:eastAsia="MS Mincho" w:cs="Times New Roman"/>
          <w:i/>
          <w:noProof w:val="0"/>
          <w:sz w:val="24"/>
          <w:szCs w:val="24"/>
          <w:vertAlign w:val="superscript"/>
          <w:lang w:val="en-US" w:eastAsia="ja-JP"/>
        </w:rPr>
        <w:t>†</w:t>
      </w:r>
      <w:r w:rsidRPr="003B765F">
        <w:rPr>
          <w:rFonts w:eastAsia="MS Mincho" w:cs="Times New Roman"/>
          <w:i/>
          <w:noProof w:val="0"/>
          <w:sz w:val="24"/>
          <w:szCs w:val="24"/>
          <w:lang w:val="en-US" w:eastAsia="ja-JP"/>
        </w:rPr>
        <w:t xml:space="preserve"> Adriana </w:t>
      </w:r>
      <w:proofErr w:type="gramStart"/>
      <w:r w:rsidRPr="003B765F">
        <w:rPr>
          <w:rFonts w:eastAsia="MS Mincho" w:cs="Times New Roman"/>
          <w:i/>
          <w:noProof w:val="0"/>
          <w:sz w:val="24"/>
          <w:szCs w:val="24"/>
          <w:lang w:val="en-US" w:eastAsia="ja-JP"/>
        </w:rPr>
        <w:t>Vulpoi,</w:t>
      </w:r>
      <w:r w:rsidRPr="003B765F">
        <w:rPr>
          <w:rFonts w:eastAsia="MS Mincho" w:cs="Times New Roman"/>
          <w:i/>
          <w:noProof w:val="0"/>
          <w:sz w:val="24"/>
          <w:szCs w:val="24"/>
          <w:vertAlign w:val="superscript"/>
          <w:lang w:val="en-US" w:eastAsia="ja-JP"/>
        </w:rPr>
        <w:t>†</w:t>
      </w:r>
      <w:proofErr w:type="gramEnd"/>
      <w:r w:rsidRPr="003B765F">
        <w:rPr>
          <w:rFonts w:eastAsia="MS Mincho" w:cs="Times New Roman"/>
          <w:i/>
          <w:noProof w:val="0"/>
          <w:sz w:val="24"/>
          <w:szCs w:val="24"/>
          <w:lang w:val="en-US" w:eastAsia="ja-JP"/>
        </w:rPr>
        <w:t xml:space="preserve"> Isabelle Maurin, Liviu C. Cotet, Lucian </w:t>
      </w:r>
      <w:r>
        <w:rPr>
          <w:rFonts w:eastAsia="MS Mincho" w:cs="Times New Roman"/>
          <w:i/>
          <w:noProof w:val="0"/>
          <w:sz w:val="24"/>
          <w:szCs w:val="24"/>
          <w:lang w:val="en-US" w:eastAsia="ja-JP"/>
        </w:rPr>
        <w:t xml:space="preserve">C. </w:t>
      </w:r>
      <w:r w:rsidRPr="003B765F">
        <w:rPr>
          <w:rFonts w:eastAsia="MS Mincho" w:cs="Times New Roman"/>
          <w:i/>
          <w:noProof w:val="0"/>
          <w:sz w:val="24"/>
          <w:szCs w:val="24"/>
          <w:lang w:val="en-US" w:eastAsia="ja-JP"/>
        </w:rPr>
        <w:t>Pop, Carmen I. Fort, Monica Baia, Lucian Baia,</w:t>
      </w:r>
      <w:r w:rsidRPr="003B765F">
        <w:rPr>
          <w:rFonts w:eastAsia="MS Mincho"/>
          <w:i/>
          <w:noProof w:val="0"/>
          <w:sz w:val="24"/>
          <w:szCs w:val="24"/>
          <w:vertAlign w:val="superscript"/>
          <w:lang w:eastAsia="ja-JP"/>
        </w:rPr>
        <w:footnoteReference w:customMarkFollows="1" w:id="1"/>
        <w:t>*</w:t>
      </w:r>
      <w:r w:rsidRPr="003B765F">
        <w:rPr>
          <w:rFonts w:eastAsia="MS Mincho" w:cs="Times New Roman"/>
          <w:i/>
          <w:noProof w:val="0"/>
          <w:sz w:val="24"/>
          <w:szCs w:val="24"/>
          <w:lang w:val="en-US" w:eastAsia="ja-JP"/>
        </w:rPr>
        <w:t xml:space="preserve"> Ileana Florea</w:t>
      </w:r>
      <w:r w:rsidRPr="003B765F">
        <w:rPr>
          <w:rFonts w:eastAsia="MS Mincho" w:cs="Times New Roman"/>
          <w:i/>
          <w:noProof w:val="0"/>
          <w:sz w:val="24"/>
          <w:szCs w:val="24"/>
          <w:vertAlign w:val="superscript"/>
          <w:lang w:val="en-US" w:eastAsia="ja-JP"/>
        </w:rPr>
        <w:t>*</w:t>
      </w:r>
    </w:p>
    <w:p w14:paraId="2945EF52" w14:textId="77777777" w:rsidR="002E49A5" w:rsidRPr="0019723B" w:rsidRDefault="002E49A5" w:rsidP="002C7BE9">
      <w:pPr>
        <w:pStyle w:val="Tableofcontents"/>
        <w:spacing w:line="480" w:lineRule="auto"/>
      </w:pPr>
    </w:p>
    <w:p w14:paraId="7AFAF31A" w14:textId="77777777" w:rsidR="002E49A5" w:rsidRDefault="002E49A5" w:rsidP="002C7BE9">
      <w:pPr>
        <w:spacing w:line="480" w:lineRule="auto"/>
      </w:pPr>
      <w:r>
        <w:br w:type="page"/>
      </w:r>
    </w:p>
    <w:p w14:paraId="084D363E" w14:textId="77777777" w:rsidR="002E49A5" w:rsidRPr="00511C46" w:rsidRDefault="002E49A5" w:rsidP="00726093">
      <w:pPr>
        <w:pStyle w:val="VAFigureCaption"/>
        <w:spacing w:after="0"/>
        <w:ind w:left="360"/>
        <w:rPr>
          <w:rFonts w:ascii="Times New Roman" w:hAnsi="Times New Roman"/>
          <w:b/>
          <w:noProof/>
          <w:color w:val="FF0000"/>
          <w:lang w:val="en-GB"/>
        </w:rPr>
      </w:pPr>
      <w:r>
        <w:rPr>
          <w:rFonts w:ascii="Times New Roman" w:hAnsi="Times New Roman"/>
          <w:b/>
          <w:noProof/>
          <w:lang w:val="en-GB"/>
        </w:rPr>
        <w:lastRenderedPageBreak/>
        <w:t xml:space="preserve">1. </w:t>
      </w:r>
      <w:r w:rsidRPr="00462934">
        <w:rPr>
          <w:rFonts w:ascii="Times New Roman" w:hAnsi="Times New Roman"/>
          <w:b/>
          <w:noProof/>
          <w:color w:val="000000" w:themeColor="text1"/>
          <w:lang w:val="en-GB"/>
        </w:rPr>
        <w:t>XRD analysis of C-Bi-Fe nanocomposites: Pyrolysis experiment B and C</w:t>
      </w:r>
    </w:p>
    <w:p w14:paraId="15269D80" w14:textId="77777777" w:rsidR="002E49A5" w:rsidRPr="00E61357" w:rsidRDefault="002E49A5" w:rsidP="00E61357">
      <w:pPr>
        <w:rPr>
          <w:lang w:val="en-GB" w:eastAsia="en-US"/>
        </w:rPr>
      </w:pPr>
      <w:r>
        <w:rPr>
          <w:b/>
          <w:noProof/>
          <w:lang w:val="en-US" w:eastAsia="en-US"/>
        </w:rPr>
        <w:drawing>
          <wp:inline distT="0" distB="0" distL="0" distR="0" wp14:anchorId="1CF9D4E1" wp14:editId="376873A3">
            <wp:extent cx="4931229" cy="286676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2" cstate="print">
                      <a:extLst>
                        <a:ext uri="{28A0092B-C50C-407E-A947-70E740481C1C}">
                          <a14:useLocalDpi xmlns:a14="http://schemas.microsoft.com/office/drawing/2010/main" val="0"/>
                        </a:ext>
                      </a:extLst>
                    </a:blip>
                    <a:srcRect t="5451" b="9985"/>
                    <a:stretch/>
                  </pic:blipFill>
                  <pic:spPr bwMode="auto">
                    <a:xfrm>
                      <a:off x="0" y="0"/>
                      <a:ext cx="4938219" cy="2870824"/>
                    </a:xfrm>
                    <a:prstGeom prst="rect">
                      <a:avLst/>
                    </a:prstGeom>
                    <a:ln>
                      <a:noFill/>
                    </a:ln>
                    <a:extLst>
                      <a:ext uri="{53640926-AAD7-44D8-BBD7-CCE9431645EC}">
                        <a14:shadowObscured xmlns:a14="http://schemas.microsoft.com/office/drawing/2010/main"/>
                      </a:ext>
                    </a:extLst>
                  </pic:spPr>
                </pic:pic>
              </a:graphicData>
            </a:graphic>
          </wp:inline>
        </w:drawing>
      </w:r>
    </w:p>
    <w:p w14:paraId="0574FB17" w14:textId="77777777" w:rsidR="002E49A5" w:rsidRPr="00462934" w:rsidRDefault="002E49A5" w:rsidP="00915DBC">
      <w:pPr>
        <w:pStyle w:val="FigureCaption"/>
        <w:rPr>
          <w:rFonts w:ascii="Times New Roman" w:hAnsi="Times New Roman"/>
          <w:sz w:val="24"/>
          <w:szCs w:val="24"/>
        </w:rPr>
      </w:pPr>
      <w:r w:rsidRPr="00462934">
        <w:rPr>
          <w:rFonts w:ascii="Times New Roman" w:hAnsi="Times New Roman"/>
          <w:b/>
          <w:sz w:val="24"/>
          <w:szCs w:val="24"/>
        </w:rPr>
        <w:t xml:space="preserve">Figure S1. </w:t>
      </w:r>
      <w:r w:rsidRPr="00462934">
        <w:rPr>
          <w:rFonts w:ascii="Times New Roman" w:hAnsi="Times New Roman"/>
          <w:sz w:val="24"/>
          <w:szCs w:val="24"/>
        </w:rPr>
        <w:t>XRD profiles obtained for the C-Bi-Fe nanocomposites pyrolyzed at different temperatures under Ar/5% H</w:t>
      </w:r>
      <w:r w:rsidRPr="00462934">
        <w:rPr>
          <w:rFonts w:ascii="Times New Roman" w:hAnsi="Times New Roman"/>
          <w:sz w:val="24"/>
          <w:szCs w:val="24"/>
          <w:vertAlign w:val="subscript"/>
        </w:rPr>
        <w:t xml:space="preserve">2 </w:t>
      </w:r>
      <w:r w:rsidRPr="00462934">
        <w:rPr>
          <w:rFonts w:ascii="Times New Roman" w:hAnsi="Times New Roman"/>
          <w:sz w:val="24"/>
          <w:szCs w:val="24"/>
        </w:rPr>
        <w:t xml:space="preserve">flow: (a) monolithic samples (B1 – 600 °C, B2 – 750 °C, B3 – 900 °C) and (b) powdered samples prior to pyrolysis (B1p – 600 °C, B2p – 750 °C, B3p – 900 °C) </w:t>
      </w:r>
    </w:p>
    <w:p w14:paraId="73D14EAF" w14:textId="77777777" w:rsidR="002E49A5" w:rsidRPr="00462934" w:rsidRDefault="002E49A5" w:rsidP="00462934">
      <w:pPr>
        <w:rPr>
          <w:lang w:val="en-US" w:eastAsia="en-US"/>
        </w:rPr>
      </w:pPr>
    </w:p>
    <w:p w14:paraId="3FC48BA8" w14:textId="216CA679" w:rsidR="002E49A5" w:rsidRDefault="002E49A5" w:rsidP="00462934">
      <w:pPr>
        <w:spacing w:line="480" w:lineRule="auto"/>
        <w:ind w:firstLine="708"/>
        <w:jc w:val="both"/>
      </w:pPr>
      <w:r>
        <w:t>The XRD profiles of the C-Bi-Fe composites treated in Ar/H</w:t>
      </w:r>
      <w:r w:rsidRPr="003641E4">
        <w:rPr>
          <w:vertAlign w:val="subscript"/>
        </w:rPr>
        <w:t>2</w:t>
      </w:r>
      <w:r>
        <w:t xml:space="preserve"> atmospheres at different temperatures are presented in </w:t>
      </w:r>
      <w:r w:rsidRPr="003641E4">
        <w:rPr>
          <w:b/>
        </w:rPr>
        <w:t>Figure S1</w:t>
      </w:r>
      <w:r>
        <w:t>. The metallic contributions are observed earlier than the other pyrolysis experiments described in the main text (samples A1-A3), confirming that more reductive conditions are reached. Metallic Bi is evidenced in freshly cleaved samples (i.e. dotted XRD profile obtained for sample B2). However, t</w:t>
      </w:r>
      <w:r w:rsidRPr="00665001">
        <w:t xml:space="preserve">he Bi phase proved less stable </w:t>
      </w:r>
      <w:r>
        <w:t>for longer times as the metallic reflexions</w:t>
      </w:r>
      <w:r w:rsidRPr="00665001">
        <w:t xml:space="preserve"> </w:t>
      </w:r>
      <w:r>
        <w:t>diminished to low intensity</w:t>
      </w:r>
      <w:r w:rsidRPr="00665001">
        <w:t xml:space="preserve"> </w:t>
      </w:r>
      <w:r>
        <w:t>broad amorphous signals</w:t>
      </w:r>
      <w:r w:rsidRPr="00665001">
        <w:t xml:space="preserve"> </w:t>
      </w:r>
      <w:r>
        <w:t>probably due to exposure to</w:t>
      </w:r>
      <w:r w:rsidRPr="00665001">
        <w:t xml:space="preserve"> ambient </w:t>
      </w:r>
      <w:r>
        <w:t>atmospheres and surface oxidation</w:t>
      </w:r>
      <w:r w:rsidRPr="00665001">
        <w:t xml:space="preserve">. </w:t>
      </w:r>
      <w:r>
        <w:t>Interestingly, the samples pyrolyzed in N</w:t>
      </w:r>
      <w:r w:rsidRPr="00AC273C">
        <w:rPr>
          <w:vertAlign w:val="subscript"/>
        </w:rPr>
        <w:t>2</w:t>
      </w:r>
      <w:r>
        <w:t xml:space="preserve"> and Ar shown more stable contributions of the metallic Bi phase. In reductive atmospheres, at temperatures below 740 </w:t>
      </w:r>
      <w:r w:rsidRPr="00665001">
        <w:t>°</w:t>
      </w:r>
      <w:r w:rsidRPr="00665001">
        <w:rPr>
          <w:lang w:val="en-GB"/>
        </w:rPr>
        <w:t>C</w:t>
      </w:r>
      <w:r>
        <w:rPr>
          <w:lang w:val="en-GB"/>
        </w:rPr>
        <w:t xml:space="preserve"> and low carbon concentrations, the formation of α-Fe is thermodynamically favourable, as evidenced for sample B1. As observed in the profiles, the thermal conditions obtained for the samples B2, B3 pyrolyzed at higher temperatures will promote the nucleation of γ-Fe which will be stabilized due to carbon rich environment.</w:t>
      </w:r>
      <w:sdt>
        <w:sdtPr>
          <w:rPr>
            <w:color w:val="000000"/>
            <w:lang w:val="en-GB"/>
          </w:rPr>
          <w:tag w:val="MENDELEY_CITATION_v3_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"/>
          <w:id w:val="-1855336596"/>
          <w:placeholder>
            <w:docPart w:val="DefaultPlaceholder_-1854013440"/>
          </w:placeholder>
        </w:sdtPr>
        <w:sdtEndPr>
          <w:rPr>
            <w:lang w:val="de-DE"/>
          </w:rPr>
        </w:sdtEndPr>
        <w:sdtContent>
          <w:r w:rsidR="00A77823" w:rsidRPr="00A77823">
            <w:rPr>
              <w:color w:val="000000"/>
            </w:rPr>
            <w:t>(Khannanov et al., 2018)</w:t>
          </w:r>
        </w:sdtContent>
      </w:sdt>
      <w:r>
        <w:rPr>
          <w:lang w:val="en-GB"/>
        </w:rPr>
        <w:t xml:space="preserve"> The lack of graphitic reflexions and no clear Fe</w:t>
      </w:r>
      <w:r w:rsidRPr="00CB6CDD">
        <w:rPr>
          <w:vertAlign w:val="subscript"/>
          <w:lang w:val="en-GB"/>
        </w:rPr>
        <w:t>3</w:t>
      </w:r>
      <w:r>
        <w:rPr>
          <w:lang w:val="en-GB"/>
        </w:rPr>
        <w:t xml:space="preserve">C </w:t>
      </w:r>
      <w:r>
        <w:rPr>
          <w:lang w:val="en-GB"/>
        </w:rPr>
        <w:lastRenderedPageBreak/>
        <w:t xml:space="preserve">signals (contributing probably as wide signals in the range of 2θ = 43-47 as seen for the B2 sample) suggest that mobile carbon species are found in low concentrations. </w:t>
      </w:r>
    </w:p>
    <w:p w14:paraId="722E7E13" w14:textId="77777777" w:rsidR="002E49A5" w:rsidRDefault="002E49A5" w:rsidP="00915DBC">
      <w:pPr>
        <w:spacing w:line="480" w:lineRule="auto"/>
        <w:jc w:val="both"/>
        <w:rPr>
          <w:lang w:val="en-GB"/>
        </w:rPr>
      </w:pPr>
      <w:r>
        <w:t>For the B1p-B3p powdered samples, the main contributions of the Bi phases are expectedly lost, since Bi</w:t>
      </w:r>
      <w:r w:rsidRPr="00BE4030">
        <w:rPr>
          <w:vertAlign w:val="subscript"/>
        </w:rPr>
        <w:t>2</w:t>
      </w:r>
      <w:r>
        <w:t>O</w:t>
      </w:r>
      <w:r w:rsidRPr="00BE4030">
        <w:rPr>
          <w:vertAlign w:val="subscript"/>
        </w:rPr>
        <w:t>3</w:t>
      </w:r>
      <w:r>
        <w:t xml:space="preserve"> is rapidly converted into liquid Bi that will easily escape from the small C-Bi-Fe agglomerates. Similarly, due to higher surface exposed to the environment over long periods of time, some Fe</w:t>
      </w:r>
      <w:r w:rsidRPr="00CB6CDD">
        <w:rPr>
          <w:vertAlign w:val="subscript"/>
        </w:rPr>
        <w:t>2</w:t>
      </w:r>
      <w:r>
        <w:t>O</w:t>
      </w:r>
      <w:r w:rsidRPr="00CB6CDD">
        <w:rPr>
          <w:vertAlign w:val="subscript"/>
        </w:rPr>
        <w:t>3</w:t>
      </w:r>
      <w:r>
        <w:t xml:space="preserve"> oxide features are observed, while metallic </w:t>
      </w:r>
      <w:r>
        <w:rPr>
          <w:lang w:val="en-GB"/>
        </w:rPr>
        <w:t>α-Fe is observed only for sample B3p. Compared to B3, where γ-Fe is observed, the higher efficiency in eliminating the pyrolysis by-products in the powdered sample may lead to even lower carbon concentrations and hence lower stabilization for the γ-Fe.</w:t>
      </w:r>
    </w:p>
    <w:p w14:paraId="7CA79B21" w14:textId="77777777" w:rsidR="002E49A5" w:rsidRPr="00665001" w:rsidRDefault="002E49A5" w:rsidP="00915DBC">
      <w:pPr>
        <w:spacing w:line="480" w:lineRule="auto"/>
        <w:jc w:val="both"/>
        <w:rPr>
          <w:szCs w:val="19"/>
          <w:lang w:val="en-GB"/>
        </w:rPr>
      </w:pPr>
      <w:r>
        <w:rPr>
          <w:noProof/>
          <w:szCs w:val="19"/>
          <w:lang w:val="en-US" w:eastAsia="en-US"/>
        </w:rPr>
        <w:drawing>
          <wp:inline distT="0" distB="0" distL="0" distR="0" wp14:anchorId="3D28FB06" wp14:editId="6832E19B">
            <wp:extent cx="3773170" cy="388760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3">
                      <a:extLst>
                        <a:ext uri="{28A0092B-C50C-407E-A947-70E740481C1C}">
                          <a14:useLocalDpi xmlns:a14="http://schemas.microsoft.com/office/drawing/2010/main" val="0"/>
                        </a:ext>
                      </a:extLst>
                    </a:blip>
                    <a:srcRect b="7236"/>
                    <a:stretch/>
                  </pic:blipFill>
                  <pic:spPr bwMode="auto">
                    <a:xfrm>
                      <a:off x="0" y="0"/>
                      <a:ext cx="3777104" cy="3891655"/>
                    </a:xfrm>
                    <a:prstGeom prst="rect">
                      <a:avLst/>
                    </a:prstGeom>
                    <a:ln>
                      <a:noFill/>
                    </a:ln>
                    <a:extLst>
                      <a:ext uri="{53640926-AAD7-44D8-BBD7-CCE9431645EC}">
                        <a14:shadowObscured xmlns:a14="http://schemas.microsoft.com/office/drawing/2010/main"/>
                      </a:ext>
                    </a:extLst>
                  </pic:spPr>
                </pic:pic>
              </a:graphicData>
            </a:graphic>
          </wp:inline>
        </w:drawing>
      </w:r>
    </w:p>
    <w:p w14:paraId="44F7477C" w14:textId="77777777" w:rsidR="002E49A5" w:rsidRPr="00462934" w:rsidRDefault="002E49A5" w:rsidP="00915DBC">
      <w:pPr>
        <w:pStyle w:val="FigureCaption"/>
        <w:rPr>
          <w:rFonts w:ascii="Times New Roman" w:hAnsi="Times New Roman"/>
          <w:sz w:val="24"/>
          <w:szCs w:val="24"/>
        </w:rPr>
      </w:pPr>
      <w:r w:rsidRPr="00462934">
        <w:rPr>
          <w:rFonts w:ascii="Times New Roman" w:hAnsi="Times New Roman"/>
          <w:b/>
          <w:sz w:val="24"/>
          <w:szCs w:val="24"/>
        </w:rPr>
        <w:t xml:space="preserve">Figure S2. </w:t>
      </w:r>
      <w:r w:rsidRPr="00462934">
        <w:rPr>
          <w:rFonts w:ascii="Times New Roman" w:hAnsi="Times New Roman"/>
          <w:sz w:val="24"/>
          <w:szCs w:val="24"/>
        </w:rPr>
        <w:t>XRD profiles obtained for the C-Bi-Fe nanocomposites pyrolyzed at 1050 °C under Ar flow: sample C1 (long pyrolysis with intermediate plateau at 250 °C, monolithic sample), sample C2 (no intermediate plateau at 250 °C, monolithic sample) and sample C2p (no intermediate plateau at 250 °C, powdered sample prior to pyrolysis).</w:t>
      </w:r>
    </w:p>
    <w:p w14:paraId="5D7E3BAF" w14:textId="77777777" w:rsidR="002E49A5" w:rsidRPr="00462934" w:rsidRDefault="002E49A5" w:rsidP="00462934">
      <w:pPr>
        <w:rPr>
          <w:lang w:val="en-US" w:eastAsia="en-US"/>
        </w:rPr>
      </w:pPr>
    </w:p>
    <w:p w14:paraId="4EC48808" w14:textId="77777777" w:rsidR="002E49A5" w:rsidRDefault="002E49A5" w:rsidP="002C7BE9">
      <w:pPr>
        <w:pStyle w:val="TESupportingInformation"/>
        <w:rPr>
          <w:rFonts w:ascii="Times New Roman" w:hAnsi="Times New Roman"/>
          <w:lang w:val="en-GB"/>
        </w:rPr>
      </w:pPr>
      <w:r w:rsidRPr="00903521">
        <w:rPr>
          <w:rFonts w:ascii="Times New Roman" w:hAnsi="Times New Roman"/>
          <w:lang w:val="en-GB"/>
        </w:rPr>
        <w:t xml:space="preserve">The XRD patterns measured for the </w:t>
      </w:r>
      <w:r>
        <w:rPr>
          <w:rFonts w:ascii="Times New Roman" w:hAnsi="Times New Roman"/>
          <w:lang w:val="en-GB"/>
        </w:rPr>
        <w:t>C1-C2p samples</w:t>
      </w:r>
      <w:r w:rsidRPr="00903521">
        <w:rPr>
          <w:rFonts w:ascii="Times New Roman" w:hAnsi="Times New Roman"/>
          <w:lang w:val="en-GB"/>
        </w:rPr>
        <w:t xml:space="preserve"> </w:t>
      </w:r>
      <w:r>
        <w:rPr>
          <w:rFonts w:ascii="Times New Roman" w:hAnsi="Times New Roman"/>
          <w:lang w:val="en-GB"/>
        </w:rPr>
        <w:t xml:space="preserve">treated at 1050 </w:t>
      </w:r>
      <w:r w:rsidRPr="00903521">
        <w:rPr>
          <w:rFonts w:ascii="Times New Roman" w:hAnsi="Times New Roman"/>
          <w:lang w:val="en-GB"/>
        </w:rPr>
        <w:t xml:space="preserve">°C </w:t>
      </w:r>
      <w:r>
        <w:rPr>
          <w:rFonts w:ascii="Times New Roman" w:hAnsi="Times New Roman"/>
          <w:lang w:val="en-GB"/>
        </w:rPr>
        <w:t xml:space="preserve">under Ar flow </w:t>
      </w:r>
      <w:r w:rsidRPr="00903521">
        <w:rPr>
          <w:rFonts w:ascii="Times New Roman" w:hAnsi="Times New Roman"/>
          <w:lang w:val="en-GB"/>
        </w:rPr>
        <w:t xml:space="preserve">indicate that </w:t>
      </w:r>
      <w:r>
        <w:rPr>
          <w:rFonts w:ascii="Times New Roman" w:hAnsi="Times New Roman"/>
          <w:lang w:val="en-GB"/>
        </w:rPr>
        <w:t>Bi</w:t>
      </w:r>
      <w:r w:rsidRPr="00903521">
        <w:rPr>
          <w:rFonts w:ascii="Times New Roman" w:hAnsi="Times New Roman"/>
          <w:lang w:val="en-GB"/>
        </w:rPr>
        <w:t xml:space="preserve"> is still present in metallic state in the monolithic </w:t>
      </w:r>
      <w:r>
        <w:rPr>
          <w:rFonts w:ascii="Times New Roman" w:hAnsi="Times New Roman"/>
          <w:lang w:val="en-GB"/>
        </w:rPr>
        <w:t xml:space="preserve">C1-C2 </w:t>
      </w:r>
      <w:r w:rsidRPr="00903521">
        <w:rPr>
          <w:rFonts w:ascii="Times New Roman" w:hAnsi="Times New Roman"/>
          <w:lang w:val="en-GB"/>
        </w:rPr>
        <w:t xml:space="preserve">nanocomposites, while only small traces are evidenced in the powdered </w:t>
      </w:r>
      <w:r>
        <w:rPr>
          <w:rFonts w:ascii="Times New Roman" w:hAnsi="Times New Roman"/>
          <w:lang w:val="en-GB"/>
        </w:rPr>
        <w:t xml:space="preserve">C2p </w:t>
      </w:r>
      <w:r w:rsidRPr="00903521">
        <w:rPr>
          <w:rFonts w:ascii="Times New Roman" w:hAnsi="Times New Roman"/>
          <w:lang w:val="en-GB"/>
        </w:rPr>
        <w:t xml:space="preserve">sample. </w:t>
      </w:r>
      <w:r>
        <w:rPr>
          <w:rFonts w:ascii="Times New Roman" w:hAnsi="Times New Roman"/>
          <w:lang w:val="en-GB"/>
        </w:rPr>
        <w:t xml:space="preserve">Samples C2 exhibits the highest </w:t>
      </w:r>
      <w:r>
        <w:rPr>
          <w:rFonts w:ascii="Times New Roman" w:hAnsi="Times New Roman"/>
          <w:lang w:val="en-GB"/>
        </w:rPr>
        <w:lastRenderedPageBreak/>
        <w:t xml:space="preserve">intensities for metallic Bi, probably due to conserving its monolithic state and keeping the sample at elevated temperatures for shorter amounts of time (no 2h pretreatment at 250 </w:t>
      </w:r>
      <w:r w:rsidRPr="00903521">
        <w:rPr>
          <w:rFonts w:ascii="Times New Roman" w:hAnsi="Times New Roman"/>
          <w:lang w:val="en-GB"/>
        </w:rPr>
        <w:t>°C</w:t>
      </w:r>
      <w:r>
        <w:rPr>
          <w:rFonts w:ascii="Times New Roman" w:hAnsi="Times New Roman"/>
          <w:lang w:val="en-GB"/>
        </w:rPr>
        <w:t>). Iron</w:t>
      </w:r>
      <w:r w:rsidRPr="00903521">
        <w:rPr>
          <w:rFonts w:ascii="Times New Roman" w:hAnsi="Times New Roman"/>
          <w:lang w:val="en-GB"/>
        </w:rPr>
        <w:t xml:space="preserve"> is evidenced in all the samples in its mixed oxide states, showing magnetite/maghemite phase for the monolithic samples and also weak hematite signals for the powdered </w:t>
      </w:r>
      <w:r>
        <w:rPr>
          <w:rFonts w:ascii="Times New Roman" w:hAnsi="Times New Roman"/>
          <w:lang w:val="en-GB"/>
        </w:rPr>
        <w:t>C2p sample</w:t>
      </w:r>
      <w:r w:rsidRPr="00903521">
        <w:rPr>
          <w:rFonts w:ascii="Times New Roman" w:hAnsi="Times New Roman"/>
          <w:lang w:val="en-GB"/>
        </w:rPr>
        <w:t xml:space="preserve">. </w:t>
      </w:r>
      <w:r>
        <w:rPr>
          <w:rFonts w:ascii="Times New Roman" w:hAnsi="Times New Roman"/>
          <w:lang w:val="en-GB"/>
        </w:rPr>
        <w:t>Low intensity r</w:t>
      </w:r>
      <w:r w:rsidRPr="00903521">
        <w:rPr>
          <w:rFonts w:ascii="Times New Roman" w:hAnsi="Times New Roman"/>
          <w:lang w:val="en-GB"/>
        </w:rPr>
        <w:t xml:space="preserve">eflections </w:t>
      </w:r>
      <w:r>
        <w:rPr>
          <w:rFonts w:ascii="Times New Roman" w:hAnsi="Times New Roman"/>
          <w:lang w:val="en-GB"/>
        </w:rPr>
        <w:t xml:space="preserve">tracing </w:t>
      </w:r>
      <w:r w:rsidRPr="00903521">
        <w:rPr>
          <w:rFonts w:ascii="Times New Roman" w:hAnsi="Times New Roman"/>
          <w:lang w:val="en-GB"/>
        </w:rPr>
        <w:t xml:space="preserve">to </w:t>
      </w:r>
      <w:r>
        <w:rPr>
          <w:rFonts w:ascii="Times New Roman" w:hAnsi="Times New Roman"/>
          <w:lang w:val="en-GB"/>
        </w:rPr>
        <w:t>metallic Fe and possibly Fe</w:t>
      </w:r>
      <w:r w:rsidRPr="00903521">
        <w:rPr>
          <w:rFonts w:ascii="Times New Roman" w:hAnsi="Times New Roman"/>
          <w:vertAlign w:val="subscript"/>
          <w:lang w:val="en-GB"/>
        </w:rPr>
        <w:t>3</w:t>
      </w:r>
      <w:r>
        <w:rPr>
          <w:rFonts w:ascii="Times New Roman" w:hAnsi="Times New Roman"/>
          <w:lang w:val="en-GB"/>
        </w:rPr>
        <w:t xml:space="preserve">C </w:t>
      </w:r>
      <w:r w:rsidRPr="00903521">
        <w:rPr>
          <w:rFonts w:ascii="Times New Roman" w:hAnsi="Times New Roman"/>
          <w:lang w:val="en-GB"/>
        </w:rPr>
        <w:t>also contribute to the diffractograms measured for the monolithic samples</w:t>
      </w:r>
      <w:r>
        <w:rPr>
          <w:rFonts w:ascii="Times New Roman" w:hAnsi="Times New Roman"/>
          <w:lang w:val="en-GB"/>
        </w:rPr>
        <w:t>, suggesting higher reduction yields for samples C1-C2</w:t>
      </w:r>
      <w:r w:rsidRPr="00903521">
        <w:rPr>
          <w:rFonts w:ascii="Times New Roman" w:hAnsi="Times New Roman"/>
          <w:lang w:val="en-GB"/>
        </w:rPr>
        <w:t xml:space="preserve">. </w:t>
      </w:r>
      <w:r>
        <w:rPr>
          <w:rFonts w:ascii="Times New Roman" w:hAnsi="Times New Roman"/>
          <w:lang w:val="en-GB"/>
        </w:rPr>
        <w:t>No clear graphitization signs were evidenced.</w:t>
      </w:r>
    </w:p>
    <w:p w14:paraId="64A3847A" w14:textId="77777777" w:rsidR="002E49A5" w:rsidRDefault="002E49A5" w:rsidP="00726093">
      <w:pPr>
        <w:ind w:left="360"/>
        <w:rPr>
          <w:b/>
          <w:bCs/>
          <w:lang w:val="en-GB" w:eastAsia="en-US"/>
        </w:rPr>
      </w:pPr>
      <w:r w:rsidRPr="00726093">
        <w:rPr>
          <w:b/>
          <w:bCs/>
          <w:lang w:val="en-GB" w:eastAsia="en-US"/>
        </w:rPr>
        <w:t xml:space="preserve">2. </w:t>
      </w:r>
      <w:r>
        <w:rPr>
          <w:b/>
          <w:bCs/>
          <w:lang w:val="en-GB" w:eastAsia="en-US"/>
        </w:rPr>
        <w:t xml:space="preserve">Analysis of nanoparticle structure, composition and size distributions at various pyrolysis temperatures </w:t>
      </w:r>
    </w:p>
    <w:p w14:paraId="701E39E6" w14:textId="77777777" w:rsidR="002E49A5" w:rsidRPr="00726093" w:rsidRDefault="002E49A5" w:rsidP="00726093">
      <w:pPr>
        <w:ind w:left="360"/>
        <w:rPr>
          <w:b/>
          <w:bCs/>
          <w:lang w:val="en-GB" w:eastAsia="en-US"/>
        </w:rPr>
      </w:pPr>
      <w:r>
        <w:rPr>
          <w:b/>
          <w:bCs/>
          <w:lang w:val="en-GB" w:eastAsia="en-US"/>
        </w:rPr>
        <w:t xml:space="preserve"> </w:t>
      </w:r>
      <w:r w:rsidRPr="00726093">
        <w:rPr>
          <w:b/>
          <w:bCs/>
          <w:lang w:val="en-GB" w:eastAsia="en-US"/>
        </w:rPr>
        <w:t xml:space="preserve"> </w:t>
      </w:r>
    </w:p>
    <w:p w14:paraId="52A016E1" w14:textId="77777777" w:rsidR="002E49A5" w:rsidRDefault="002E49A5" w:rsidP="00645A02">
      <w:pPr>
        <w:rPr>
          <w:lang w:val="en-GB" w:eastAsia="en-US"/>
        </w:rPr>
      </w:pPr>
    </w:p>
    <w:p w14:paraId="629A85FC" w14:textId="77777777" w:rsidR="002E49A5" w:rsidRDefault="002E49A5" w:rsidP="00937245">
      <w:pPr>
        <w:pStyle w:val="ArticleText"/>
        <w:spacing w:line="480" w:lineRule="auto"/>
        <w:ind w:firstLine="360"/>
        <w:rPr>
          <w:szCs w:val="24"/>
          <w:lang w:val="en-US"/>
        </w:rPr>
      </w:pPr>
      <w:bookmarkStart w:id="0" w:name="_Hlk88879170"/>
      <w:r>
        <w:rPr>
          <w:szCs w:val="24"/>
          <w:lang w:val="en-US"/>
        </w:rPr>
        <w:t xml:space="preserve">High resolution </w:t>
      </w:r>
      <w:r w:rsidRPr="00C34D6E">
        <w:rPr>
          <w:szCs w:val="24"/>
          <w:lang w:val="en-US"/>
        </w:rPr>
        <w:t xml:space="preserve">TEM </w:t>
      </w:r>
      <w:r>
        <w:rPr>
          <w:szCs w:val="24"/>
          <w:lang w:val="en-US"/>
        </w:rPr>
        <w:t xml:space="preserve">and STEM/EDX </w:t>
      </w:r>
      <w:r w:rsidRPr="00C34D6E">
        <w:rPr>
          <w:szCs w:val="24"/>
          <w:lang w:val="en-US"/>
        </w:rPr>
        <w:t xml:space="preserve">analysis </w:t>
      </w:r>
      <w:r>
        <w:rPr>
          <w:szCs w:val="24"/>
          <w:lang w:val="en-US"/>
        </w:rPr>
        <w:t xml:space="preserve">were </w:t>
      </w:r>
      <w:r w:rsidRPr="00C34D6E">
        <w:rPr>
          <w:szCs w:val="24"/>
          <w:lang w:val="en-US"/>
        </w:rPr>
        <w:t xml:space="preserve">performed on hybrid </w:t>
      </w:r>
      <w:r>
        <w:rPr>
          <w:szCs w:val="24"/>
          <w:lang w:val="en-US"/>
        </w:rPr>
        <w:t xml:space="preserve">BFO </w:t>
      </w:r>
      <w:r w:rsidRPr="00C34D6E">
        <w:rPr>
          <w:szCs w:val="24"/>
          <w:lang w:val="en-US"/>
        </w:rPr>
        <w:t>nanoparticle</w:t>
      </w:r>
      <w:r>
        <w:rPr>
          <w:szCs w:val="24"/>
          <w:lang w:val="en-US"/>
        </w:rPr>
        <w:t>s</w:t>
      </w:r>
      <w:r w:rsidRPr="00C34D6E">
        <w:rPr>
          <w:szCs w:val="24"/>
          <w:lang w:val="en-US"/>
        </w:rPr>
        <w:t xml:space="preserve"> </w:t>
      </w:r>
      <w:r>
        <w:rPr>
          <w:szCs w:val="24"/>
          <w:lang w:val="en-US"/>
        </w:rPr>
        <w:t>found in C-Bi-Fe nanocomposites treated at 750 °C (sample B2, under Ar/H</w:t>
      </w:r>
      <w:r w:rsidRPr="00D57D08">
        <w:rPr>
          <w:szCs w:val="24"/>
          <w:vertAlign w:val="subscript"/>
          <w:lang w:val="en-US"/>
        </w:rPr>
        <w:t>2</w:t>
      </w:r>
      <w:r>
        <w:rPr>
          <w:szCs w:val="24"/>
          <w:lang w:val="en-US"/>
        </w:rPr>
        <w:t>) as</w:t>
      </w:r>
      <w:r w:rsidRPr="00C34D6E">
        <w:rPr>
          <w:szCs w:val="24"/>
          <w:lang w:val="en-US"/>
        </w:rPr>
        <w:t xml:space="preserve"> summarized in </w:t>
      </w:r>
      <w:r w:rsidRPr="00C34D6E">
        <w:rPr>
          <w:b/>
          <w:szCs w:val="24"/>
          <w:lang w:val="en-US"/>
        </w:rPr>
        <w:t xml:space="preserve">Figure </w:t>
      </w:r>
      <w:r>
        <w:rPr>
          <w:b/>
          <w:szCs w:val="24"/>
          <w:lang w:val="en-US"/>
        </w:rPr>
        <w:t>S3a</w:t>
      </w:r>
      <w:r w:rsidRPr="00C34D6E">
        <w:rPr>
          <w:b/>
          <w:szCs w:val="24"/>
          <w:lang w:val="en-US"/>
        </w:rPr>
        <w:t xml:space="preserve">. </w:t>
      </w:r>
      <w:r w:rsidRPr="00B81DD1">
        <w:rPr>
          <w:bCs/>
          <w:szCs w:val="24"/>
          <w:lang w:val="en-US"/>
        </w:rPr>
        <w:t xml:space="preserve">During HR-TEM studies, </w:t>
      </w:r>
      <w:r>
        <w:rPr>
          <w:bCs/>
          <w:szCs w:val="24"/>
          <w:lang w:val="en-US"/>
        </w:rPr>
        <w:t>the presence of carbon support could not permit</w:t>
      </w:r>
      <w:r w:rsidRPr="00811236">
        <w:rPr>
          <w:bCs/>
          <w:szCs w:val="24"/>
          <w:lang w:val="en-US"/>
        </w:rPr>
        <w:t xml:space="preserve"> </w:t>
      </w:r>
      <w:r>
        <w:rPr>
          <w:bCs/>
          <w:szCs w:val="24"/>
          <w:lang w:val="en-US"/>
        </w:rPr>
        <w:t>a high degree of movement for tilting the sample, nevertheless, different HR-TEM fringe patterns were successfully obtained at different α angles (</w:t>
      </w:r>
      <w:r w:rsidRPr="00D60AB1">
        <w:rPr>
          <w:b/>
          <w:szCs w:val="24"/>
          <w:lang w:val="en-US"/>
        </w:rPr>
        <w:t>Figure S3</w:t>
      </w:r>
      <w:r>
        <w:rPr>
          <w:bCs/>
          <w:szCs w:val="24"/>
          <w:lang w:val="en-US"/>
        </w:rPr>
        <w:t>a</w:t>
      </w:r>
      <w:r w:rsidRPr="00D60AB1">
        <w:rPr>
          <w:bCs/>
          <w:szCs w:val="24"/>
          <w:vertAlign w:val="subscript"/>
          <w:lang w:val="en-US"/>
        </w:rPr>
        <w:t>1</w:t>
      </w:r>
      <w:r>
        <w:rPr>
          <w:bCs/>
          <w:szCs w:val="24"/>
          <w:lang w:val="en-US"/>
        </w:rPr>
        <w:t xml:space="preserve">). </w:t>
      </w:r>
      <w:r w:rsidRPr="00C34D6E">
        <w:rPr>
          <w:szCs w:val="24"/>
          <w:lang w:val="en-US"/>
        </w:rPr>
        <w:t xml:space="preserve">The </w:t>
      </w:r>
      <w:r>
        <w:rPr>
          <w:szCs w:val="24"/>
          <w:lang w:val="en-US"/>
        </w:rPr>
        <w:t xml:space="preserve">set of </w:t>
      </w:r>
      <w:r w:rsidRPr="00C34D6E">
        <w:rPr>
          <w:szCs w:val="24"/>
          <w:lang w:val="en-US"/>
        </w:rPr>
        <w:t>interplanar spacing</w:t>
      </w:r>
      <w:r>
        <w:rPr>
          <w:szCs w:val="24"/>
          <w:lang w:val="en-US"/>
        </w:rPr>
        <w:t>s</w:t>
      </w:r>
      <w:r w:rsidRPr="00C34D6E">
        <w:rPr>
          <w:szCs w:val="24"/>
          <w:lang w:val="en-US"/>
        </w:rPr>
        <w:t xml:space="preserve"> </w:t>
      </w:r>
      <w:r>
        <w:rPr>
          <w:szCs w:val="24"/>
          <w:lang w:val="en-US"/>
        </w:rPr>
        <w:t>found in the Bi rich region (dark region in bright field TEM) were</w:t>
      </w:r>
      <w:r w:rsidRPr="00C34D6E">
        <w:rPr>
          <w:szCs w:val="24"/>
          <w:lang w:val="en-US"/>
        </w:rPr>
        <w:t xml:space="preserve"> </w:t>
      </w:r>
      <w:r w:rsidRPr="00544402">
        <w:rPr>
          <w:szCs w:val="24"/>
          <w:lang w:val="en-US"/>
        </w:rPr>
        <w:t xml:space="preserve">3.92, 3.30, 2.30, 2.03 and 1.97 Å that </w:t>
      </w:r>
      <w:r>
        <w:rPr>
          <w:szCs w:val="24"/>
          <w:lang w:val="en-US"/>
        </w:rPr>
        <w:t>match the (111), (110), (0-11), (221) and (222) planes found in metallic bismuth</w:t>
      </w:r>
      <w:r w:rsidRPr="00C34D6E">
        <w:rPr>
          <w:szCs w:val="24"/>
          <w:lang w:val="en-US"/>
        </w:rPr>
        <w:t xml:space="preserve">. </w:t>
      </w:r>
      <w:r>
        <w:rPr>
          <w:szCs w:val="24"/>
          <w:lang w:val="en-US"/>
        </w:rPr>
        <w:t xml:space="preserve">At different tilt angles, mullite specific </w:t>
      </w:r>
      <w:r w:rsidRPr="00C34D6E">
        <w:rPr>
          <w:szCs w:val="24"/>
          <w:lang w:val="en-US"/>
        </w:rPr>
        <w:t>interplanar spacing</w:t>
      </w:r>
      <w:r>
        <w:rPr>
          <w:szCs w:val="24"/>
          <w:lang w:val="en-US"/>
        </w:rPr>
        <w:t>s were also identified in Fe rich region (bright side of the NP in bright field) close to the interface with the Bi rich region: 5.77 (110),</w:t>
      </w:r>
      <w:r w:rsidRPr="009E50BA">
        <w:rPr>
          <w:szCs w:val="24"/>
          <w:lang w:val="en-US"/>
        </w:rPr>
        <w:t xml:space="preserve"> </w:t>
      </w:r>
      <w:r>
        <w:rPr>
          <w:szCs w:val="24"/>
          <w:lang w:val="en-US"/>
        </w:rPr>
        <w:t xml:space="preserve">3.00 (002), 2.63 </w:t>
      </w:r>
      <w:r w:rsidRPr="00595019">
        <w:rPr>
          <w:szCs w:val="24"/>
          <w:lang w:val="en-US"/>
        </w:rPr>
        <w:t>Å</w:t>
      </w:r>
      <w:r>
        <w:rPr>
          <w:szCs w:val="24"/>
          <w:lang w:val="en-US"/>
        </w:rPr>
        <w:t xml:space="preserve"> (130), 2.57 </w:t>
      </w:r>
      <w:r w:rsidRPr="00595019">
        <w:rPr>
          <w:szCs w:val="24"/>
          <w:lang w:val="en-US"/>
        </w:rPr>
        <w:t>Å</w:t>
      </w:r>
      <w:r>
        <w:rPr>
          <w:szCs w:val="24"/>
          <w:lang w:val="en-US"/>
        </w:rPr>
        <w:t xml:space="preserve"> (221) and 2.52 </w:t>
      </w:r>
      <w:r w:rsidRPr="00595019">
        <w:rPr>
          <w:szCs w:val="24"/>
          <w:lang w:val="en-US"/>
        </w:rPr>
        <w:t>Å</w:t>
      </w:r>
      <w:r>
        <w:rPr>
          <w:szCs w:val="24"/>
          <w:lang w:val="en-US"/>
        </w:rPr>
        <w:t xml:space="preserve"> (310). Also, at the Fe rich NP boundary, the interplane distances of 2.44 </w:t>
      </w:r>
      <w:r w:rsidRPr="00595019">
        <w:rPr>
          <w:szCs w:val="24"/>
          <w:lang w:val="en-US"/>
        </w:rPr>
        <w:t>Å</w:t>
      </w:r>
      <w:r>
        <w:rPr>
          <w:szCs w:val="24"/>
          <w:lang w:val="en-US"/>
        </w:rPr>
        <w:t xml:space="preserve"> (222) and 4.84 </w:t>
      </w:r>
      <w:r w:rsidRPr="00595019">
        <w:rPr>
          <w:szCs w:val="24"/>
          <w:lang w:val="en-US"/>
        </w:rPr>
        <w:t>Å</w:t>
      </w:r>
      <w:r>
        <w:rPr>
          <w:szCs w:val="24"/>
          <w:lang w:val="en-US"/>
        </w:rPr>
        <w:t xml:space="preserve"> (111) specific to Fe</w:t>
      </w:r>
      <w:r w:rsidRPr="004456A1">
        <w:rPr>
          <w:szCs w:val="24"/>
          <w:vertAlign w:val="subscript"/>
          <w:lang w:val="en-US"/>
        </w:rPr>
        <w:t>3</w:t>
      </w:r>
      <w:r>
        <w:rPr>
          <w:szCs w:val="24"/>
          <w:lang w:val="en-US"/>
        </w:rPr>
        <w:t>O</w:t>
      </w:r>
      <w:r w:rsidRPr="004456A1">
        <w:rPr>
          <w:szCs w:val="24"/>
          <w:vertAlign w:val="subscript"/>
          <w:lang w:val="en-US"/>
        </w:rPr>
        <w:t>4</w:t>
      </w:r>
      <w:r>
        <w:rPr>
          <w:szCs w:val="24"/>
          <w:lang w:val="en-US"/>
        </w:rPr>
        <w:t xml:space="preserve"> structure was also observed. Indeed, the </w:t>
      </w:r>
      <w:proofErr w:type="gramStart"/>
      <w:r>
        <w:rPr>
          <w:szCs w:val="24"/>
          <w:lang w:val="en-US"/>
        </w:rPr>
        <w:t>Fe:Bi</w:t>
      </w:r>
      <w:proofErr w:type="gramEnd"/>
      <w:r>
        <w:rPr>
          <w:szCs w:val="24"/>
          <w:lang w:val="en-US"/>
        </w:rPr>
        <w:t xml:space="preserve"> ratio obtained from the quantified EDX spectrum of the entire nanoparticle was 1.84 which is closer to the stoichiometry of mullite compared to the other bismuth ferrites. </w:t>
      </w:r>
    </w:p>
    <w:p w14:paraId="5D1302FD" w14:textId="77777777" w:rsidR="002E49A5" w:rsidRDefault="002E49A5" w:rsidP="00DA16B8">
      <w:pPr>
        <w:pStyle w:val="ArticleText"/>
        <w:spacing w:line="480" w:lineRule="auto"/>
        <w:ind w:firstLine="360"/>
        <w:rPr>
          <w:szCs w:val="24"/>
          <w:lang w:val="en-US"/>
        </w:rPr>
      </w:pPr>
      <w:r>
        <w:rPr>
          <w:noProof/>
          <w:szCs w:val="24"/>
          <w:lang w:val="en-US"/>
        </w:rPr>
        <w:lastRenderedPageBreak/>
        <w:drawing>
          <wp:inline distT="0" distB="0" distL="0" distR="0" wp14:anchorId="0305DBA4" wp14:editId="43D08EE8">
            <wp:extent cx="5353661" cy="8336280"/>
            <wp:effectExtent l="0" t="0" r="0" b="7620"/>
            <wp:docPr id="6" name="Picture 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58603" cy="8343975"/>
                    </a:xfrm>
                    <a:prstGeom prst="rect">
                      <a:avLst/>
                    </a:prstGeom>
                  </pic:spPr>
                </pic:pic>
              </a:graphicData>
            </a:graphic>
          </wp:inline>
        </w:drawing>
      </w:r>
    </w:p>
    <w:p w14:paraId="3D669A13" w14:textId="77777777" w:rsidR="002E49A5" w:rsidRPr="007E068F" w:rsidRDefault="002E49A5" w:rsidP="00EA6F5F">
      <w:pPr>
        <w:pStyle w:val="FigureCaption"/>
        <w:rPr>
          <w:rFonts w:ascii="Times New Roman" w:hAnsi="Times New Roman"/>
          <w:sz w:val="24"/>
          <w:szCs w:val="24"/>
        </w:rPr>
      </w:pPr>
      <w:r w:rsidRPr="007E068F">
        <w:rPr>
          <w:rFonts w:ascii="Times New Roman" w:hAnsi="Times New Roman"/>
          <w:b/>
          <w:bCs/>
          <w:sz w:val="24"/>
          <w:szCs w:val="24"/>
        </w:rPr>
        <w:t xml:space="preserve">Figure S3 – </w:t>
      </w:r>
      <w:r w:rsidRPr="007E068F">
        <w:rPr>
          <w:rFonts w:ascii="Times New Roman" w:hAnsi="Times New Roman"/>
          <w:sz w:val="24"/>
          <w:szCs w:val="24"/>
        </w:rPr>
        <w:t>TEM investigations of different types of NP found in C-Bi-Fe nanocomposites at different pyrolysis temperatures: (a</w:t>
      </w:r>
      <w:r w:rsidRPr="007E068F">
        <w:rPr>
          <w:rFonts w:ascii="Times New Roman" w:hAnsi="Times New Roman"/>
          <w:sz w:val="24"/>
          <w:szCs w:val="24"/>
          <w:vertAlign w:val="subscript"/>
        </w:rPr>
        <w:t>1</w:t>
      </w:r>
      <w:r w:rsidRPr="007E068F">
        <w:rPr>
          <w:rFonts w:ascii="Times New Roman" w:hAnsi="Times New Roman"/>
          <w:sz w:val="24"/>
          <w:szCs w:val="24"/>
        </w:rPr>
        <w:t>) HR-TEM and EDX studies on hybrid BFO NP from B</w:t>
      </w:r>
      <w:r w:rsidRPr="007E068F">
        <w:rPr>
          <w:rFonts w:ascii="Times New Roman" w:hAnsi="Times New Roman"/>
          <w:sz w:val="24"/>
          <w:szCs w:val="24"/>
          <w:vertAlign w:val="subscript"/>
        </w:rPr>
        <w:t>2</w:t>
      </w:r>
      <w:r w:rsidRPr="007E068F">
        <w:rPr>
          <w:rFonts w:ascii="Times New Roman" w:hAnsi="Times New Roman"/>
          <w:sz w:val="24"/>
          <w:szCs w:val="24"/>
        </w:rPr>
        <w:t xml:space="preserve"> sample (750 °C, under Ar/H</w:t>
      </w:r>
      <w:r w:rsidRPr="007E068F">
        <w:rPr>
          <w:rFonts w:ascii="Times New Roman" w:hAnsi="Times New Roman"/>
          <w:sz w:val="24"/>
          <w:szCs w:val="24"/>
          <w:vertAlign w:val="subscript"/>
        </w:rPr>
        <w:t>2</w:t>
      </w:r>
      <w:r w:rsidRPr="007E068F">
        <w:rPr>
          <w:rFonts w:ascii="Times New Roman" w:hAnsi="Times New Roman"/>
          <w:sz w:val="24"/>
          <w:szCs w:val="24"/>
        </w:rPr>
        <w:t>) at different tilt angles with identified Bi and Bi</w:t>
      </w:r>
      <w:r w:rsidRPr="007E068F">
        <w:rPr>
          <w:rFonts w:ascii="Times New Roman" w:hAnsi="Times New Roman"/>
          <w:sz w:val="24"/>
          <w:szCs w:val="24"/>
          <w:vertAlign w:val="subscript"/>
        </w:rPr>
        <w:t>2</w:t>
      </w:r>
      <w:r w:rsidRPr="007E068F">
        <w:rPr>
          <w:rFonts w:ascii="Times New Roman" w:hAnsi="Times New Roman"/>
          <w:sz w:val="24"/>
          <w:szCs w:val="24"/>
        </w:rPr>
        <w:t>Fe</w:t>
      </w:r>
      <w:r w:rsidRPr="007E068F">
        <w:rPr>
          <w:rFonts w:ascii="Times New Roman" w:hAnsi="Times New Roman"/>
          <w:sz w:val="24"/>
          <w:szCs w:val="24"/>
          <w:vertAlign w:val="subscript"/>
        </w:rPr>
        <w:t>4</w:t>
      </w:r>
      <w:r w:rsidRPr="007E068F">
        <w:rPr>
          <w:rFonts w:ascii="Times New Roman" w:hAnsi="Times New Roman"/>
          <w:sz w:val="24"/>
          <w:szCs w:val="24"/>
        </w:rPr>
        <w:t>O</w:t>
      </w:r>
      <w:r w:rsidRPr="007E068F">
        <w:rPr>
          <w:rFonts w:ascii="Times New Roman" w:hAnsi="Times New Roman"/>
          <w:sz w:val="24"/>
          <w:szCs w:val="24"/>
          <w:vertAlign w:val="subscript"/>
        </w:rPr>
        <w:t xml:space="preserve">9 </w:t>
      </w:r>
      <w:r w:rsidRPr="007E068F">
        <w:rPr>
          <w:rFonts w:ascii="Times New Roman" w:hAnsi="Times New Roman"/>
          <w:sz w:val="24"/>
          <w:szCs w:val="24"/>
        </w:rPr>
        <w:t>and</w:t>
      </w:r>
      <w:r w:rsidRPr="007E068F">
        <w:rPr>
          <w:rFonts w:ascii="Times New Roman" w:hAnsi="Times New Roman"/>
          <w:sz w:val="24"/>
          <w:szCs w:val="24"/>
          <w:vertAlign w:val="subscript"/>
        </w:rPr>
        <w:t xml:space="preserve"> </w:t>
      </w:r>
      <w:r w:rsidRPr="007E068F">
        <w:rPr>
          <w:rFonts w:ascii="Times New Roman" w:hAnsi="Times New Roman"/>
          <w:sz w:val="24"/>
          <w:szCs w:val="24"/>
        </w:rPr>
        <w:t>a Fe:Bi composition of 1.84 (a</w:t>
      </w:r>
      <w:r w:rsidRPr="007E068F">
        <w:rPr>
          <w:rFonts w:ascii="Times New Roman" w:hAnsi="Times New Roman"/>
          <w:sz w:val="24"/>
          <w:szCs w:val="24"/>
          <w:vertAlign w:val="subscript"/>
        </w:rPr>
        <w:t>2</w:t>
      </w:r>
      <w:r w:rsidRPr="007E068F">
        <w:rPr>
          <w:rFonts w:ascii="Times New Roman" w:hAnsi="Times New Roman"/>
          <w:sz w:val="24"/>
          <w:szCs w:val="24"/>
        </w:rPr>
        <w:t>)  amorphous Bi</w:t>
      </w:r>
      <w:r w:rsidRPr="007E068F">
        <w:rPr>
          <w:rFonts w:ascii="Times New Roman" w:hAnsi="Times New Roman"/>
          <w:sz w:val="24"/>
          <w:szCs w:val="24"/>
          <w:vertAlign w:val="subscript"/>
        </w:rPr>
        <w:t>2</w:t>
      </w:r>
      <w:r w:rsidRPr="007E068F">
        <w:rPr>
          <w:rFonts w:ascii="Times New Roman" w:hAnsi="Times New Roman"/>
          <w:sz w:val="24"/>
          <w:szCs w:val="24"/>
        </w:rPr>
        <w:t>O</w:t>
      </w:r>
      <w:r w:rsidRPr="007E068F">
        <w:rPr>
          <w:rFonts w:ascii="Times New Roman" w:hAnsi="Times New Roman"/>
          <w:sz w:val="24"/>
          <w:szCs w:val="24"/>
          <w:vertAlign w:val="subscript"/>
        </w:rPr>
        <w:t>3</w:t>
      </w:r>
      <w:r w:rsidRPr="007E068F">
        <w:rPr>
          <w:rFonts w:ascii="Times New Roman" w:hAnsi="Times New Roman"/>
          <w:sz w:val="24"/>
          <w:szCs w:val="24"/>
        </w:rPr>
        <w:t>/BFO and Fe</w:t>
      </w:r>
      <w:r w:rsidRPr="007E068F">
        <w:rPr>
          <w:rFonts w:ascii="Times New Roman" w:hAnsi="Times New Roman"/>
          <w:sz w:val="24"/>
          <w:szCs w:val="24"/>
          <w:vertAlign w:val="subscript"/>
        </w:rPr>
        <w:t>2</w:t>
      </w:r>
      <w:r w:rsidRPr="007E068F">
        <w:rPr>
          <w:rFonts w:ascii="Times New Roman" w:hAnsi="Times New Roman"/>
          <w:sz w:val="24"/>
          <w:szCs w:val="24"/>
        </w:rPr>
        <w:t>O</w:t>
      </w:r>
      <w:r w:rsidRPr="007E068F">
        <w:rPr>
          <w:rFonts w:ascii="Times New Roman" w:hAnsi="Times New Roman"/>
          <w:sz w:val="24"/>
          <w:szCs w:val="24"/>
          <w:vertAlign w:val="subscript"/>
        </w:rPr>
        <w:t>3</w:t>
      </w:r>
      <w:r w:rsidRPr="007E068F">
        <w:rPr>
          <w:rFonts w:ascii="Times New Roman" w:hAnsi="Times New Roman"/>
          <w:sz w:val="24"/>
          <w:szCs w:val="24"/>
        </w:rPr>
        <w:t>/Fe</w:t>
      </w:r>
      <w:r w:rsidRPr="007E068F">
        <w:rPr>
          <w:rFonts w:ascii="Times New Roman" w:hAnsi="Times New Roman"/>
          <w:sz w:val="24"/>
          <w:szCs w:val="24"/>
          <w:vertAlign w:val="subscript"/>
        </w:rPr>
        <w:t>3</w:t>
      </w:r>
      <w:r w:rsidRPr="007E068F">
        <w:rPr>
          <w:rFonts w:ascii="Times New Roman" w:hAnsi="Times New Roman"/>
          <w:sz w:val="24"/>
          <w:szCs w:val="24"/>
        </w:rPr>
        <w:t>O</w:t>
      </w:r>
      <w:r w:rsidRPr="007E068F">
        <w:rPr>
          <w:rFonts w:ascii="Times New Roman" w:hAnsi="Times New Roman"/>
          <w:sz w:val="24"/>
          <w:szCs w:val="24"/>
          <w:vertAlign w:val="subscript"/>
        </w:rPr>
        <w:t>4</w:t>
      </w:r>
      <w:r w:rsidRPr="007E068F">
        <w:rPr>
          <w:rFonts w:ascii="Times New Roman" w:hAnsi="Times New Roman"/>
          <w:sz w:val="24"/>
          <w:szCs w:val="24"/>
        </w:rPr>
        <w:t xml:space="preserve"> contributions  and </w:t>
      </w:r>
      <w:r w:rsidRPr="007E068F">
        <w:rPr>
          <w:rFonts w:ascii="Times New Roman" w:hAnsi="Times New Roman"/>
          <w:sz w:val="24"/>
          <w:szCs w:val="24"/>
        </w:rPr>
        <w:lastRenderedPageBreak/>
        <w:t>(a</w:t>
      </w:r>
      <w:r w:rsidRPr="007E068F">
        <w:rPr>
          <w:rFonts w:ascii="Times New Roman" w:hAnsi="Times New Roman"/>
          <w:sz w:val="24"/>
          <w:szCs w:val="24"/>
          <w:vertAlign w:val="subscript"/>
        </w:rPr>
        <w:t>3</w:t>
      </w:r>
      <w:r w:rsidRPr="007E068F">
        <w:rPr>
          <w:rFonts w:ascii="Times New Roman" w:hAnsi="Times New Roman"/>
          <w:sz w:val="24"/>
          <w:szCs w:val="24"/>
        </w:rPr>
        <w:t>) superposed results of the iFFT analysis revealing the phase distribution in hybrid nanoparticles; (a</w:t>
      </w:r>
      <w:r w:rsidRPr="007E068F">
        <w:rPr>
          <w:rFonts w:ascii="Times New Roman" w:hAnsi="Times New Roman"/>
          <w:sz w:val="24"/>
          <w:szCs w:val="24"/>
          <w:vertAlign w:val="subscript"/>
        </w:rPr>
        <w:t>4</w:t>
      </w:r>
      <w:r w:rsidRPr="007E068F">
        <w:rPr>
          <w:rFonts w:ascii="Times New Roman" w:hAnsi="Times New Roman"/>
          <w:sz w:val="24"/>
          <w:szCs w:val="24"/>
        </w:rPr>
        <w:t>) STEM-EDX line profile of a hybrid nanoparticle from sample A2 (750 °C, under N</w:t>
      </w:r>
      <w:r w:rsidRPr="007E068F">
        <w:rPr>
          <w:rFonts w:ascii="Times New Roman" w:hAnsi="Times New Roman"/>
          <w:sz w:val="24"/>
          <w:szCs w:val="24"/>
          <w:vertAlign w:val="subscript"/>
        </w:rPr>
        <w:t>2</w:t>
      </w:r>
      <w:r w:rsidRPr="007E068F">
        <w:rPr>
          <w:rFonts w:ascii="Times New Roman" w:hAnsi="Times New Roman"/>
          <w:sz w:val="24"/>
          <w:szCs w:val="24"/>
        </w:rPr>
        <w:t>) supporting the same results, (b</w:t>
      </w:r>
      <w:r w:rsidRPr="007E068F">
        <w:rPr>
          <w:rFonts w:ascii="Times New Roman" w:hAnsi="Times New Roman"/>
          <w:sz w:val="24"/>
          <w:szCs w:val="24"/>
          <w:vertAlign w:val="subscript"/>
        </w:rPr>
        <w:t>1</w:t>
      </w:r>
      <w:r w:rsidRPr="007E068F">
        <w:rPr>
          <w:rFonts w:ascii="Times New Roman" w:hAnsi="Times New Roman"/>
          <w:sz w:val="24"/>
          <w:szCs w:val="24"/>
        </w:rPr>
        <w:t>) STEM-EDX studies of nanoparticles observed in A3 nanocomposites (1050 °C, under N</w:t>
      </w:r>
      <w:r w:rsidRPr="007E068F">
        <w:rPr>
          <w:rFonts w:ascii="Times New Roman" w:hAnsi="Times New Roman"/>
          <w:sz w:val="24"/>
          <w:szCs w:val="24"/>
          <w:vertAlign w:val="subscript"/>
        </w:rPr>
        <w:t>2</w:t>
      </w:r>
      <w:r w:rsidRPr="007E068F">
        <w:rPr>
          <w:rFonts w:ascii="Times New Roman" w:hAnsi="Times New Roman"/>
          <w:sz w:val="24"/>
          <w:szCs w:val="24"/>
        </w:rPr>
        <w:t>), (b</w:t>
      </w:r>
      <w:r w:rsidRPr="007E068F">
        <w:rPr>
          <w:rFonts w:ascii="Times New Roman" w:hAnsi="Times New Roman"/>
          <w:sz w:val="24"/>
          <w:szCs w:val="24"/>
          <w:vertAlign w:val="subscript"/>
        </w:rPr>
        <w:t>2</w:t>
      </w:r>
      <w:r w:rsidRPr="007E068F">
        <w:rPr>
          <w:rFonts w:ascii="Times New Roman" w:hAnsi="Times New Roman"/>
          <w:sz w:val="24"/>
          <w:szCs w:val="24"/>
        </w:rPr>
        <w:t>) HAADF-STEM and EDX map of Fe based NP frequently found in A3 samples, (c</w:t>
      </w:r>
      <w:r w:rsidRPr="007E068F">
        <w:rPr>
          <w:rFonts w:ascii="Times New Roman" w:hAnsi="Times New Roman"/>
          <w:sz w:val="24"/>
          <w:szCs w:val="24"/>
          <w:vertAlign w:val="subscript"/>
        </w:rPr>
        <w:t>1</w:t>
      </w:r>
      <w:r w:rsidRPr="007E068F">
        <w:rPr>
          <w:rFonts w:ascii="Times New Roman" w:hAnsi="Times New Roman"/>
          <w:sz w:val="24"/>
          <w:szCs w:val="24"/>
        </w:rPr>
        <w:t>) BF-TEM micrograph of graphitic regions specific to sample G (1050 °C, under N</w:t>
      </w:r>
      <w:r w:rsidRPr="007E068F">
        <w:rPr>
          <w:rFonts w:ascii="Times New Roman" w:hAnsi="Times New Roman"/>
          <w:sz w:val="24"/>
          <w:szCs w:val="24"/>
          <w:vertAlign w:val="subscript"/>
        </w:rPr>
        <w:t>2</w:t>
      </w:r>
      <w:r w:rsidRPr="007E068F">
        <w:rPr>
          <w:rFonts w:ascii="Times New Roman" w:hAnsi="Times New Roman"/>
          <w:sz w:val="24"/>
          <w:szCs w:val="24"/>
        </w:rPr>
        <w:t xml:space="preserve"> with graphitization)    and (c</w:t>
      </w:r>
      <w:r w:rsidRPr="007E068F">
        <w:rPr>
          <w:rFonts w:ascii="Times New Roman" w:hAnsi="Times New Roman"/>
          <w:sz w:val="24"/>
          <w:szCs w:val="24"/>
          <w:vertAlign w:val="subscript"/>
        </w:rPr>
        <w:t>2</w:t>
      </w:r>
      <w:r w:rsidRPr="007E068F">
        <w:rPr>
          <w:rFonts w:ascii="Times New Roman" w:hAnsi="Times New Roman"/>
          <w:sz w:val="24"/>
          <w:szCs w:val="24"/>
        </w:rPr>
        <w:t>) HR-TEM of an individual Fe NP with surrounding walls of turbostratic carbon nanostructures.</w:t>
      </w:r>
    </w:p>
    <w:p w14:paraId="24318F8A" w14:textId="77777777" w:rsidR="002E49A5" w:rsidRDefault="002E49A5" w:rsidP="00937245">
      <w:pPr>
        <w:pStyle w:val="ArticleText"/>
        <w:spacing w:line="480" w:lineRule="auto"/>
        <w:ind w:firstLine="360"/>
        <w:rPr>
          <w:szCs w:val="24"/>
          <w:lang w:val="en-US"/>
        </w:rPr>
      </w:pPr>
      <w:r>
        <w:rPr>
          <w:szCs w:val="24"/>
          <w:lang w:val="en-US"/>
        </w:rPr>
        <w:t>In the FFT patterns obtained from dark and bright regions of the nanoparticle (</w:t>
      </w:r>
      <w:r w:rsidRPr="004456A1">
        <w:rPr>
          <w:b/>
          <w:bCs/>
          <w:szCs w:val="24"/>
          <w:lang w:val="en-US"/>
        </w:rPr>
        <w:t>Figure S3a</w:t>
      </w:r>
      <w:r w:rsidRPr="004456A1">
        <w:rPr>
          <w:b/>
          <w:bCs/>
          <w:szCs w:val="24"/>
          <w:vertAlign w:val="subscript"/>
          <w:lang w:val="en-US"/>
        </w:rPr>
        <w:t>2</w:t>
      </w:r>
      <w:r>
        <w:rPr>
          <w:szCs w:val="24"/>
          <w:lang w:val="en-US"/>
        </w:rPr>
        <w:t xml:space="preserve">) two rings were frequently observed at different focus points and tilt angles: a broad one corresponding to an interplane distance of 3.0-3.2 </w:t>
      </w:r>
      <w:r w:rsidRPr="00C34D6E">
        <w:rPr>
          <w:szCs w:val="24"/>
          <w:lang w:val="en-US"/>
        </w:rPr>
        <w:t>Å</w:t>
      </w:r>
      <w:r>
        <w:rPr>
          <w:szCs w:val="24"/>
          <w:lang w:val="en-US"/>
        </w:rPr>
        <w:t xml:space="preserve">, that include the dominant planes for all Bi compounds (see main signals in XRD) and a second ring corresponding to 2.5 - 2.7 </w:t>
      </w:r>
      <w:r w:rsidRPr="00C34D6E">
        <w:rPr>
          <w:szCs w:val="24"/>
          <w:lang w:val="en-US"/>
        </w:rPr>
        <w:t xml:space="preserve">Å </w:t>
      </w:r>
      <w:r>
        <w:rPr>
          <w:szCs w:val="24"/>
          <w:lang w:val="en-US"/>
        </w:rPr>
        <w:t>specific to iron oxides. By filtering only these signals using the inverse FFT, the bright regions were again discriminated at different tilt angles due to the higher contribution of the second ring (Figure S3a</w:t>
      </w:r>
      <w:r w:rsidRPr="00923446">
        <w:rPr>
          <w:szCs w:val="24"/>
          <w:vertAlign w:val="subscript"/>
          <w:lang w:val="en-US"/>
        </w:rPr>
        <w:t>2</w:t>
      </w:r>
      <w:r>
        <w:rPr>
          <w:szCs w:val="24"/>
          <w:lang w:val="en-US"/>
        </w:rPr>
        <w:t xml:space="preserve">). Finally, the FFT and iFFT analysis enabled the identification of a large crystalline domain with crystalline spacings specific to Bi (2.36 </w:t>
      </w:r>
      <w:r w:rsidRPr="00C34D6E">
        <w:rPr>
          <w:szCs w:val="24"/>
          <w:lang w:val="en-US"/>
        </w:rPr>
        <w:t>Å</w:t>
      </w:r>
      <w:r>
        <w:rPr>
          <w:szCs w:val="24"/>
          <w:lang w:val="en-US"/>
        </w:rPr>
        <w:t xml:space="preserve"> (211) and 1.54 </w:t>
      </w:r>
      <w:r w:rsidRPr="00C34D6E">
        <w:rPr>
          <w:szCs w:val="24"/>
          <w:lang w:val="en-US"/>
        </w:rPr>
        <w:t>Å</w:t>
      </w:r>
      <w:r>
        <w:rPr>
          <w:szCs w:val="24"/>
          <w:lang w:val="en-US"/>
        </w:rPr>
        <w:t xml:space="preserve"> (322)), when the carbon support started to overlap and clear fringes could not be observed anymore. The cumulated data suggests that, under different reductive atmospheres, the hybrid NP may be formed by multiple crystalline grains such as Bi, Bi</w:t>
      </w:r>
      <w:r w:rsidRPr="00F610C9">
        <w:rPr>
          <w:szCs w:val="24"/>
          <w:vertAlign w:val="subscript"/>
          <w:lang w:val="en-US"/>
        </w:rPr>
        <w:t>2</w:t>
      </w:r>
      <w:r>
        <w:rPr>
          <w:szCs w:val="24"/>
          <w:lang w:val="en-US"/>
        </w:rPr>
        <w:t>O</w:t>
      </w:r>
      <w:r w:rsidRPr="00F610C9">
        <w:rPr>
          <w:szCs w:val="24"/>
          <w:vertAlign w:val="subscript"/>
          <w:lang w:val="en-US"/>
        </w:rPr>
        <w:t>3</w:t>
      </w:r>
      <w:r>
        <w:rPr>
          <w:szCs w:val="24"/>
          <w:lang w:val="en-US"/>
        </w:rPr>
        <w:t xml:space="preserve"> and Fe</w:t>
      </w:r>
      <w:r w:rsidRPr="00F610C9">
        <w:rPr>
          <w:szCs w:val="24"/>
          <w:vertAlign w:val="subscript"/>
          <w:lang w:val="en-US"/>
        </w:rPr>
        <w:t>2</w:t>
      </w:r>
      <w:r>
        <w:rPr>
          <w:szCs w:val="24"/>
          <w:lang w:val="en-US"/>
        </w:rPr>
        <w:t>O</w:t>
      </w:r>
      <w:r w:rsidRPr="00F610C9">
        <w:rPr>
          <w:szCs w:val="24"/>
          <w:vertAlign w:val="subscript"/>
          <w:lang w:val="en-US"/>
        </w:rPr>
        <w:t>3</w:t>
      </w:r>
      <w:r>
        <w:rPr>
          <w:szCs w:val="24"/>
          <w:lang w:val="en-US"/>
        </w:rPr>
        <w:t xml:space="preserve"> interfaced by Bi</w:t>
      </w:r>
      <w:r w:rsidRPr="00F610C9">
        <w:rPr>
          <w:szCs w:val="24"/>
          <w:vertAlign w:val="subscript"/>
          <w:lang w:val="en-US"/>
        </w:rPr>
        <w:t>2</w:t>
      </w:r>
      <w:r>
        <w:rPr>
          <w:szCs w:val="24"/>
          <w:lang w:val="en-US"/>
        </w:rPr>
        <w:t>Fe</w:t>
      </w:r>
      <w:r w:rsidRPr="00F610C9">
        <w:rPr>
          <w:szCs w:val="24"/>
          <w:vertAlign w:val="subscript"/>
          <w:lang w:val="en-US"/>
        </w:rPr>
        <w:t>4</w:t>
      </w:r>
      <w:r>
        <w:rPr>
          <w:szCs w:val="24"/>
          <w:lang w:val="en-US"/>
        </w:rPr>
        <w:t>O</w:t>
      </w:r>
      <w:r w:rsidRPr="00F610C9">
        <w:rPr>
          <w:szCs w:val="24"/>
          <w:vertAlign w:val="subscript"/>
          <w:lang w:val="en-US"/>
        </w:rPr>
        <w:t>9</w:t>
      </w:r>
      <w:r>
        <w:rPr>
          <w:szCs w:val="24"/>
          <w:lang w:val="en-US"/>
        </w:rPr>
        <w:t xml:space="preserve"> and</w:t>
      </w:r>
      <w:r w:rsidRPr="00243BD2">
        <w:rPr>
          <w:szCs w:val="24"/>
          <w:lang w:val="en-US"/>
        </w:rPr>
        <w:t xml:space="preserve"> </w:t>
      </w:r>
      <w:r>
        <w:rPr>
          <w:szCs w:val="24"/>
          <w:lang w:val="en-US"/>
        </w:rPr>
        <w:t>amorphous oxides. A STEM-EDX line profile was performed on a similar hybrid NP (</w:t>
      </w:r>
      <w:r w:rsidRPr="00F610C9">
        <w:rPr>
          <w:b/>
          <w:bCs/>
          <w:szCs w:val="24"/>
          <w:lang w:val="en-US"/>
        </w:rPr>
        <w:t>Figure S3a</w:t>
      </w:r>
      <w:r w:rsidRPr="00F610C9">
        <w:rPr>
          <w:b/>
          <w:bCs/>
          <w:szCs w:val="24"/>
          <w:vertAlign w:val="subscript"/>
          <w:lang w:val="en-US"/>
        </w:rPr>
        <w:t>4</w:t>
      </w:r>
      <w:r>
        <w:rPr>
          <w:szCs w:val="24"/>
          <w:lang w:val="en-US"/>
        </w:rPr>
        <w:t>) that also support this claim.</w:t>
      </w:r>
    </w:p>
    <w:p w14:paraId="1C5C634C" w14:textId="77777777" w:rsidR="002E49A5" w:rsidRDefault="002E49A5" w:rsidP="00937245">
      <w:pPr>
        <w:pStyle w:val="ArticleText"/>
        <w:spacing w:line="480" w:lineRule="auto"/>
        <w:ind w:firstLine="360"/>
        <w:rPr>
          <w:szCs w:val="24"/>
          <w:lang w:val="en-US"/>
        </w:rPr>
      </w:pPr>
      <w:r>
        <w:rPr>
          <w:szCs w:val="24"/>
          <w:lang w:val="en-US"/>
        </w:rPr>
        <w:t>At higher pyrolysis temperatures of 1050 °C (</w:t>
      </w:r>
      <w:r w:rsidRPr="00C32591">
        <w:rPr>
          <w:b/>
          <w:bCs/>
          <w:szCs w:val="24"/>
          <w:lang w:val="en-US"/>
        </w:rPr>
        <w:t>Figure S3b</w:t>
      </w:r>
      <w:r w:rsidRPr="00C32591">
        <w:rPr>
          <w:b/>
          <w:bCs/>
          <w:szCs w:val="24"/>
          <w:vertAlign w:val="subscript"/>
          <w:lang w:val="en-US"/>
        </w:rPr>
        <w:t>1</w:t>
      </w:r>
      <w:r>
        <w:rPr>
          <w:szCs w:val="24"/>
          <w:lang w:val="en-US"/>
        </w:rPr>
        <w:t xml:space="preserve">), various </w:t>
      </w:r>
      <w:proofErr w:type="gramStart"/>
      <w:r>
        <w:rPr>
          <w:szCs w:val="24"/>
          <w:lang w:val="en-US"/>
        </w:rPr>
        <w:t>Fe:Bi</w:t>
      </w:r>
      <w:proofErr w:type="gramEnd"/>
      <w:r>
        <w:rPr>
          <w:szCs w:val="24"/>
          <w:lang w:val="en-US"/>
        </w:rPr>
        <w:t xml:space="preserve"> compositions between 2 and 14 are observed for the hybrid nanoparticles, with a necking effect also being observed in the shape of the BFO NP. Non-hybrid nanoparticles based on Bi (</w:t>
      </w:r>
      <w:proofErr w:type="gramStart"/>
      <w:r>
        <w:rPr>
          <w:szCs w:val="24"/>
          <w:lang w:val="en-US"/>
        </w:rPr>
        <w:t>Fe:Bi</w:t>
      </w:r>
      <w:proofErr w:type="gramEnd"/>
      <w:r>
        <w:rPr>
          <w:szCs w:val="24"/>
          <w:lang w:val="en-US"/>
        </w:rPr>
        <w:t xml:space="preserve"> ratios lower than 0.4) and separately on Fe (Fe:Bi ratio higher than 100) are evidenced. The STEM/EDX investigations performed at higher magnifications on an individual Fe NP (</w:t>
      </w:r>
      <w:r w:rsidRPr="009F52F5">
        <w:rPr>
          <w:b/>
          <w:bCs/>
          <w:szCs w:val="24"/>
          <w:lang w:val="en-US"/>
        </w:rPr>
        <w:t>Figure 6b</w:t>
      </w:r>
      <w:r w:rsidRPr="009F52F5">
        <w:rPr>
          <w:b/>
          <w:bCs/>
          <w:szCs w:val="24"/>
          <w:vertAlign w:val="subscript"/>
          <w:lang w:val="en-US"/>
        </w:rPr>
        <w:t>2</w:t>
      </w:r>
      <w:r>
        <w:rPr>
          <w:szCs w:val="24"/>
          <w:lang w:val="en-US"/>
        </w:rPr>
        <w:t>) reveal a composition with low oxygen and bismuth content. A thin ~ 3 nm thick shell is observed on top of the Fe nanoparticle which is attributed to interstitial diffusion of C atoms at the Fe surface.</w:t>
      </w:r>
    </w:p>
    <w:p w14:paraId="1F5A1D00" w14:textId="77777777" w:rsidR="002E49A5" w:rsidRPr="003E7CE0" w:rsidRDefault="002E49A5" w:rsidP="00937245">
      <w:pPr>
        <w:pStyle w:val="ArticleText"/>
        <w:spacing w:line="480" w:lineRule="auto"/>
        <w:ind w:firstLine="360"/>
        <w:rPr>
          <w:szCs w:val="24"/>
          <w:lang w:val="en-US"/>
        </w:rPr>
      </w:pPr>
      <w:r>
        <w:rPr>
          <w:szCs w:val="24"/>
          <w:lang w:val="en-US"/>
        </w:rPr>
        <w:lastRenderedPageBreak/>
        <w:t>When graphitizing conditions are reached, the TEM micrographs evidence the formation of networks of carbon nanostructures generated by the catalytic activity of Fe nanoparticles (</w:t>
      </w:r>
      <w:r w:rsidRPr="006271AE">
        <w:rPr>
          <w:b/>
          <w:bCs/>
          <w:szCs w:val="24"/>
          <w:lang w:val="en-US"/>
        </w:rPr>
        <w:t>Figure S3c</w:t>
      </w:r>
      <w:r w:rsidRPr="006271AE">
        <w:rPr>
          <w:b/>
          <w:bCs/>
          <w:szCs w:val="24"/>
          <w:vertAlign w:val="subscript"/>
          <w:lang w:val="en-US"/>
        </w:rPr>
        <w:t>1</w:t>
      </w:r>
      <w:r>
        <w:rPr>
          <w:szCs w:val="24"/>
          <w:lang w:val="en-US"/>
        </w:rPr>
        <w:t xml:space="preserve">). </w:t>
      </w:r>
      <w:r>
        <w:rPr>
          <w:lang w:val="en-US"/>
        </w:rPr>
        <w:t xml:space="preserve">The HR-TEM micrographs of the sample G reveal the presence of graphitic structures with 8-14 nm thick walls with an interplane distance of 3.4-3.6 Å specific to turbostratic carbons </w:t>
      </w:r>
      <w:r>
        <w:rPr>
          <w:szCs w:val="24"/>
          <w:lang w:val="en-US"/>
        </w:rPr>
        <w:t>(</w:t>
      </w:r>
      <w:r w:rsidRPr="006271AE">
        <w:rPr>
          <w:b/>
          <w:bCs/>
          <w:szCs w:val="24"/>
          <w:lang w:val="en-US"/>
        </w:rPr>
        <w:t>Figure S3c</w:t>
      </w:r>
      <w:r>
        <w:rPr>
          <w:b/>
          <w:bCs/>
          <w:szCs w:val="24"/>
          <w:vertAlign w:val="subscript"/>
          <w:lang w:val="en-US"/>
        </w:rPr>
        <w:t>2</w:t>
      </w:r>
      <w:r>
        <w:rPr>
          <w:szCs w:val="24"/>
          <w:lang w:val="en-US"/>
        </w:rPr>
        <w:t>)</w:t>
      </w:r>
      <w:r>
        <w:rPr>
          <w:lang w:val="en-US"/>
        </w:rPr>
        <w:t>. A catalytic Fe NP having a length of 27 nm is surrounded by a graphitized layer. The exposed facet of the nanoparticle exhibits a spacing of 2.09 Å matching the (111) plane of γ-Fe (AMCSD-0019406).</w:t>
      </w:r>
    </w:p>
    <w:p w14:paraId="5F1739ED" w14:textId="77777777" w:rsidR="002E49A5" w:rsidRDefault="002E49A5" w:rsidP="00511C46">
      <w:pPr>
        <w:pStyle w:val="ArticleText"/>
        <w:spacing w:line="480" w:lineRule="auto"/>
        <w:ind w:firstLine="360"/>
        <w:rPr>
          <w:lang w:val="en-US"/>
        </w:rPr>
      </w:pPr>
      <w:r>
        <w:rPr>
          <w:lang w:val="en-US"/>
        </w:rPr>
        <w:t xml:space="preserve">The particle size distributions are presented for several samples in </w:t>
      </w:r>
      <w:r w:rsidRPr="00EF0C3C">
        <w:rPr>
          <w:b/>
          <w:lang w:val="en-US"/>
        </w:rPr>
        <w:t>Figure S</w:t>
      </w:r>
      <w:r>
        <w:rPr>
          <w:b/>
          <w:lang w:val="en-US"/>
        </w:rPr>
        <w:t>4</w:t>
      </w:r>
      <w:r>
        <w:rPr>
          <w:lang w:val="en-US"/>
        </w:rPr>
        <w:t xml:space="preserve">. During pyrolysis at 600 </w:t>
      </w:r>
      <w:r w:rsidRPr="001E7547">
        <w:rPr>
          <w:lang w:val="en-US"/>
        </w:rPr>
        <w:t>°C</w:t>
      </w:r>
      <w:r>
        <w:rPr>
          <w:lang w:val="en-US"/>
        </w:rPr>
        <w:t xml:space="preserve">, grown nanoparticles are observed with narrow and asymmetric size distribution centered around 9 nm. After pyrolysis at 750 </w:t>
      </w:r>
      <w:r w:rsidRPr="001E7547">
        <w:rPr>
          <w:lang w:val="en-US"/>
        </w:rPr>
        <w:t>°C</w:t>
      </w:r>
      <w:r>
        <w:rPr>
          <w:lang w:val="en-US"/>
        </w:rPr>
        <w:t>, a size distribution with clear bi-modal features is evidenced, with the primary mode centered around 10 nm and a secondary mode observed at 30 nm. At higher temperature treatments, the secondary mode is seen to broaden and shifts towards larger diameters due to growth and coalescence</w:t>
      </w:r>
      <w:r w:rsidRPr="001E7547">
        <w:rPr>
          <w:lang w:val="en-US"/>
        </w:rPr>
        <w:t>.</w:t>
      </w:r>
      <w:r>
        <w:rPr>
          <w:lang w:val="en-US"/>
        </w:rPr>
        <w:t xml:space="preserve"> For the graphitized G sample, where higher metal leaks and nanoparticle-matrix interactions are expected, less spherical nanoparticles and lower contributions of the higher mode are signaled.</w:t>
      </w:r>
      <w:bookmarkEnd w:id="0"/>
    </w:p>
    <w:p w14:paraId="19162A64" w14:textId="77777777" w:rsidR="002E49A5" w:rsidRPr="00665001" w:rsidRDefault="002E49A5" w:rsidP="00511C46">
      <w:pPr>
        <w:pStyle w:val="ArticleText"/>
        <w:spacing w:line="480" w:lineRule="auto"/>
        <w:ind w:firstLine="360"/>
      </w:pPr>
      <w:r>
        <w:rPr>
          <w:noProof/>
          <w:lang w:val="en-US"/>
        </w:rPr>
        <w:lastRenderedPageBreak/>
        <w:drawing>
          <wp:inline distT="0" distB="0" distL="0" distR="0" wp14:anchorId="18AABA68" wp14:editId="68BDF4BB">
            <wp:extent cx="2636693" cy="4946073"/>
            <wp:effectExtent l="0" t="0" r="0" b="6985"/>
            <wp:docPr id="7" name="Picture 7" descr="Figure S3 - PSH of A1-A3-G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S3 - PSH of A1-A3-G sampl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9337" cy="4951033"/>
                    </a:xfrm>
                    <a:prstGeom prst="rect">
                      <a:avLst/>
                    </a:prstGeom>
                    <a:noFill/>
                    <a:ln>
                      <a:noFill/>
                    </a:ln>
                  </pic:spPr>
                </pic:pic>
              </a:graphicData>
            </a:graphic>
          </wp:inline>
        </w:drawing>
      </w:r>
    </w:p>
    <w:p w14:paraId="02650A62" w14:textId="77777777" w:rsidR="002E49A5" w:rsidRDefault="002E49A5" w:rsidP="00462934">
      <w:pPr>
        <w:spacing w:after="160"/>
        <w:rPr>
          <w:lang w:val="en-GB"/>
        </w:rPr>
      </w:pPr>
      <w:r w:rsidRPr="00665001">
        <w:rPr>
          <w:b/>
          <w:lang w:val="en-GB"/>
        </w:rPr>
        <w:t>Figure S</w:t>
      </w:r>
      <w:r>
        <w:rPr>
          <w:b/>
          <w:lang w:val="en-GB"/>
        </w:rPr>
        <w:t>4</w:t>
      </w:r>
      <w:r w:rsidRPr="00665001">
        <w:rPr>
          <w:b/>
          <w:lang w:val="en-GB"/>
        </w:rPr>
        <w:t xml:space="preserve">. </w:t>
      </w:r>
      <w:r>
        <w:rPr>
          <w:lang w:val="en-GB"/>
        </w:rPr>
        <w:t xml:space="preserve">TEM derived nanoparticle size distributions for samples treated at (a) 600 </w:t>
      </w:r>
      <w:r w:rsidRPr="00903521">
        <w:rPr>
          <w:lang w:val="en-GB"/>
        </w:rPr>
        <w:t>°</w:t>
      </w:r>
      <w:r>
        <w:rPr>
          <w:lang w:val="en-GB"/>
        </w:rPr>
        <w:t xml:space="preserve">C, (b) 750 </w:t>
      </w:r>
      <w:r w:rsidRPr="00903521">
        <w:rPr>
          <w:lang w:val="en-GB"/>
        </w:rPr>
        <w:t>°</w:t>
      </w:r>
      <w:r>
        <w:rPr>
          <w:lang w:val="en-GB"/>
        </w:rPr>
        <w:t xml:space="preserve">C, (c) 1050 </w:t>
      </w:r>
      <w:r w:rsidRPr="00903521">
        <w:rPr>
          <w:lang w:val="en-GB"/>
        </w:rPr>
        <w:t>°</w:t>
      </w:r>
      <w:r>
        <w:rPr>
          <w:lang w:val="en-GB"/>
        </w:rPr>
        <w:t>C and (d) for the graphitized sample</w:t>
      </w:r>
    </w:p>
    <w:p w14:paraId="794C1316" w14:textId="77777777" w:rsidR="002E49A5" w:rsidRDefault="002E49A5" w:rsidP="002C7BE9">
      <w:pPr>
        <w:spacing w:after="160" w:line="480" w:lineRule="auto"/>
        <w:rPr>
          <w:lang w:val="en-GB"/>
        </w:rPr>
      </w:pPr>
    </w:p>
    <w:p w14:paraId="768529C1" w14:textId="77777777" w:rsidR="002E49A5" w:rsidRDefault="002E49A5">
      <w:pPr>
        <w:rPr>
          <w:b/>
          <w:bCs/>
          <w:lang w:val="en-GB"/>
        </w:rPr>
      </w:pPr>
      <w:r>
        <w:rPr>
          <w:b/>
          <w:bCs/>
          <w:lang w:val="en-GB"/>
        </w:rPr>
        <w:br w:type="page"/>
      </w:r>
    </w:p>
    <w:p w14:paraId="6D9FBE22" w14:textId="77777777" w:rsidR="002E49A5" w:rsidRDefault="002E49A5" w:rsidP="002C7BE9">
      <w:pPr>
        <w:spacing w:after="160" w:line="480" w:lineRule="auto"/>
        <w:rPr>
          <w:b/>
          <w:bCs/>
          <w:lang w:val="en-GB"/>
        </w:rPr>
      </w:pPr>
      <w:r w:rsidRPr="00511C46">
        <w:rPr>
          <w:b/>
          <w:bCs/>
          <w:lang w:val="en-GB"/>
        </w:rPr>
        <w:lastRenderedPageBreak/>
        <w:t xml:space="preserve">3. </w:t>
      </w:r>
      <w:r w:rsidRPr="00511C46">
        <w:rPr>
          <w:b/>
          <w:bCs/>
          <w:i/>
          <w:iCs/>
          <w:lang w:val="en-GB"/>
        </w:rPr>
        <w:t xml:space="preserve">In situ </w:t>
      </w:r>
      <w:r w:rsidRPr="00511C46">
        <w:rPr>
          <w:b/>
          <w:bCs/>
          <w:lang w:val="en-GB"/>
        </w:rPr>
        <w:t>TEM investigations</w:t>
      </w:r>
    </w:p>
    <w:p w14:paraId="244E0348" w14:textId="77777777" w:rsidR="002E49A5" w:rsidRDefault="002E49A5" w:rsidP="00511C46">
      <w:pPr>
        <w:pStyle w:val="ArticleText"/>
        <w:spacing w:line="480" w:lineRule="auto"/>
        <w:ind w:firstLine="360"/>
      </w:pPr>
      <w:r>
        <w:rPr>
          <w:noProof/>
          <w:lang w:val="en-US"/>
        </w:rPr>
        <w:drawing>
          <wp:inline distT="0" distB="0" distL="0" distR="0" wp14:anchorId="5A6298AD" wp14:editId="13881086">
            <wp:extent cx="3253337" cy="3259667"/>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69149" cy="3275510"/>
                    </a:xfrm>
                    <a:prstGeom prst="rect">
                      <a:avLst/>
                    </a:prstGeom>
                  </pic:spPr>
                </pic:pic>
              </a:graphicData>
            </a:graphic>
          </wp:inline>
        </w:drawing>
      </w:r>
    </w:p>
    <w:p w14:paraId="5FE0AE68" w14:textId="77777777" w:rsidR="002E49A5" w:rsidRPr="00462934" w:rsidRDefault="002E49A5" w:rsidP="00462934">
      <w:pPr>
        <w:pStyle w:val="VAFigureCaption"/>
        <w:spacing w:line="240" w:lineRule="auto"/>
        <w:rPr>
          <w:rFonts w:ascii="Times New Roman" w:hAnsi="Times New Roman"/>
          <w:color w:val="000000" w:themeColor="text1"/>
          <w:lang w:val="en-GB"/>
        </w:rPr>
      </w:pPr>
      <w:r w:rsidRPr="00462934">
        <w:rPr>
          <w:rFonts w:ascii="Times New Roman" w:hAnsi="Times New Roman"/>
          <w:b/>
          <w:color w:val="000000" w:themeColor="text1"/>
          <w:lang w:val="en-GB"/>
        </w:rPr>
        <w:t xml:space="preserve">Figure S5. </w:t>
      </w:r>
      <w:r w:rsidRPr="00462934">
        <w:rPr>
          <w:rFonts w:ascii="Times New Roman" w:hAnsi="Times New Roman"/>
          <w:color w:val="000000" w:themeColor="text1"/>
        </w:rPr>
        <w:t>TEM image sequence illustrating the thermal conversion of the RF-Fe-Bi into C-Fe-Bi xerogel and NP formation observed at temperatures between 300 °C and 450 °C</w:t>
      </w:r>
    </w:p>
    <w:p w14:paraId="498FB009" w14:textId="77777777" w:rsidR="002E49A5" w:rsidRPr="00511C46" w:rsidRDefault="002E49A5" w:rsidP="002C7BE9">
      <w:pPr>
        <w:spacing w:after="160" w:line="480" w:lineRule="auto"/>
        <w:rPr>
          <w:b/>
          <w:bCs/>
          <w:lang w:val="en-GB"/>
        </w:rPr>
      </w:pPr>
    </w:p>
    <w:p w14:paraId="28612476" w14:textId="77777777" w:rsidR="002E49A5" w:rsidRDefault="002E49A5" w:rsidP="00511C46">
      <w:pPr>
        <w:spacing w:after="160" w:line="480" w:lineRule="auto"/>
        <w:jc w:val="center"/>
        <w:rPr>
          <w:lang w:val="en-GB"/>
        </w:rPr>
      </w:pPr>
      <w:bookmarkStart w:id="1" w:name="_GoBack"/>
      <w:r>
        <w:rPr>
          <w:noProof/>
          <w:lang w:val="en-US" w:eastAsia="en-US"/>
        </w:rPr>
        <w:lastRenderedPageBreak/>
        <w:drawing>
          <wp:inline distT="0" distB="0" distL="0" distR="0" wp14:anchorId="65EE98D4" wp14:editId="0D69E70B">
            <wp:extent cx="5433255" cy="7218218"/>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35205" cy="7220809"/>
                    </a:xfrm>
                    <a:prstGeom prst="rect">
                      <a:avLst/>
                    </a:prstGeom>
                  </pic:spPr>
                </pic:pic>
              </a:graphicData>
            </a:graphic>
          </wp:inline>
        </w:drawing>
      </w:r>
      <w:bookmarkEnd w:id="1"/>
    </w:p>
    <w:p w14:paraId="31C07884" w14:textId="77777777" w:rsidR="002E49A5" w:rsidRPr="00462934" w:rsidRDefault="002E49A5" w:rsidP="00511C46">
      <w:pPr>
        <w:spacing w:after="160"/>
        <w:jc w:val="center"/>
        <w:rPr>
          <w:color w:val="000000" w:themeColor="text1"/>
          <w:lang w:val="en-GB"/>
        </w:rPr>
      </w:pPr>
      <w:r w:rsidRPr="00462934">
        <w:rPr>
          <w:b/>
          <w:bCs/>
          <w:color w:val="000000" w:themeColor="text1"/>
          <w:lang w:val="en-GB"/>
        </w:rPr>
        <w:t>Figure S6.</w:t>
      </w:r>
      <w:r w:rsidRPr="00462934">
        <w:rPr>
          <w:color w:val="000000" w:themeColor="text1"/>
          <w:lang w:val="en-GB"/>
        </w:rPr>
        <w:t xml:space="preserve"> Expansion of graphitized regions (zone between red cross “+”) during the 800 to 900 temperature rise and NP trails (indicated with white “*”) observed in TEM micrograph with/without noise reduction and the NP tracks detected when video S3 was analyzed (a), HRTEM image evidencing that the observed textural changes are mainly due to the crystalline contrast of graphitic structures</w:t>
      </w:r>
    </w:p>
    <w:p w14:paraId="3FDC3BE4" w14:textId="77777777" w:rsidR="002E49A5" w:rsidRDefault="002E49A5" w:rsidP="002C7BE9">
      <w:pPr>
        <w:spacing w:after="160" w:line="480" w:lineRule="auto"/>
        <w:rPr>
          <w:lang w:val="en-GB"/>
        </w:rPr>
      </w:pPr>
    </w:p>
    <w:p w14:paraId="7EF26ECB" w14:textId="77777777" w:rsidR="002E49A5" w:rsidRDefault="002E49A5" w:rsidP="00097FC4">
      <w:pPr>
        <w:pStyle w:val="ArticleText"/>
        <w:spacing w:line="480" w:lineRule="auto"/>
        <w:ind w:firstLine="360"/>
        <w:rPr>
          <w:b/>
          <w:bCs/>
        </w:rPr>
      </w:pPr>
    </w:p>
    <w:p w14:paraId="35916133" w14:textId="77777777" w:rsidR="002E49A5" w:rsidRPr="00097851" w:rsidRDefault="002E49A5" w:rsidP="00097FC4">
      <w:pPr>
        <w:pStyle w:val="ArticleText"/>
        <w:spacing w:line="480" w:lineRule="auto"/>
        <w:ind w:firstLine="360"/>
        <w:rPr>
          <w:b/>
          <w:bCs/>
        </w:rPr>
      </w:pPr>
      <w:r w:rsidRPr="00097851">
        <w:rPr>
          <w:b/>
          <w:bCs/>
        </w:rPr>
        <w:lastRenderedPageBreak/>
        <w:t>4. Evidencing the incipient graphitization st</w:t>
      </w:r>
      <w:r>
        <w:rPr>
          <w:b/>
          <w:bCs/>
        </w:rPr>
        <w:t>a</w:t>
      </w:r>
      <w:r w:rsidRPr="00097851">
        <w:rPr>
          <w:b/>
          <w:bCs/>
        </w:rPr>
        <w:t>ge in C-Bi-Fe nanocomposites</w:t>
      </w:r>
    </w:p>
    <w:p w14:paraId="254ABA52" w14:textId="1A061AF3" w:rsidR="002E49A5" w:rsidRPr="00665001" w:rsidRDefault="002E49A5" w:rsidP="002C7BE9">
      <w:pPr>
        <w:pStyle w:val="ArticleText"/>
        <w:spacing w:line="480" w:lineRule="auto"/>
        <w:ind w:firstLine="360"/>
      </w:pPr>
      <w:r w:rsidRPr="00665001">
        <w:t>The reflections specific to graphitized systems were absent in all measured diffraction profile</w:t>
      </w:r>
      <w:r>
        <w:t xml:space="preserve">s, suggesting that the stage 4- enhanced graphitization </w:t>
      </w:r>
      <w:r w:rsidRPr="00665001">
        <w:t xml:space="preserve">was still not reached. However, for </w:t>
      </w:r>
      <w:r>
        <w:t xml:space="preserve">the C1 </w:t>
      </w:r>
      <w:r w:rsidRPr="00665001">
        <w:t>monolith</w:t>
      </w:r>
      <w:r>
        <w:t>ic</w:t>
      </w:r>
      <w:r w:rsidRPr="00665001">
        <w:t xml:space="preserve"> </w:t>
      </w:r>
      <w:r>
        <w:t>samples obtained through pyrolysis at 1050</w:t>
      </w:r>
      <w:r w:rsidRPr="00665001">
        <w:t xml:space="preserve"> °C </w:t>
      </w:r>
      <w:r>
        <w:t xml:space="preserve">in Ar flow with the additional 2h </w:t>
      </w:r>
      <w:r w:rsidRPr="00665001">
        <w:t xml:space="preserve">thermal </w:t>
      </w:r>
      <w:r>
        <w:t>hold</w:t>
      </w:r>
      <w:r w:rsidRPr="00665001">
        <w:t xml:space="preserve"> at 250 °C,</w:t>
      </w:r>
      <w:r w:rsidRPr="00EF210F">
        <w:t xml:space="preserve"> </w:t>
      </w:r>
      <w:r w:rsidRPr="00665001">
        <w:t>we were able to evidence the incipient graphitization stage as described below.</w:t>
      </w:r>
      <w:r w:rsidRPr="00665001">
        <w:rPr>
          <w:noProof/>
          <w:color w:val="FF0000"/>
          <w:w w:val="100"/>
          <w:szCs w:val="19"/>
          <w:lang w:eastAsia="en-GB"/>
        </w:rPr>
        <w:t xml:space="preserve"> </w:t>
      </w:r>
      <w:r w:rsidRPr="00665001">
        <w:t xml:space="preserve">Multiple Raman spectra were acquired from different regions of the monoliths in order to characterize the graphitization yields. The Raman investigations confirm that, on an overall scale, there is no significant difference in the graphitization yields for the samples treated at 1050 °C. However, </w:t>
      </w:r>
      <w:r>
        <w:t xml:space="preserve">at lower scales, in isolated regions, </w:t>
      </w:r>
      <w:r w:rsidRPr="00665001">
        <w:t xml:space="preserve">the pre-treated sample indicated regions with </w:t>
      </w:r>
      <w:r>
        <w:t>enhanced</w:t>
      </w:r>
      <w:r w:rsidRPr="00665001">
        <w:t xml:space="preserve"> graphitization as observed in the line profile analysis from </w:t>
      </w:r>
      <w:r w:rsidRPr="00462934">
        <w:rPr>
          <w:b/>
          <w:color w:val="000000" w:themeColor="text1"/>
        </w:rPr>
        <w:t>Figure S7ab</w:t>
      </w:r>
      <w:r>
        <w:rPr>
          <w:b/>
        </w:rPr>
        <w:t xml:space="preserve">. </w:t>
      </w:r>
      <w:r w:rsidRPr="00A65076">
        <w:t>The</w:t>
      </w:r>
      <w:r>
        <w:t xml:space="preserve"> graphitization activity is </w:t>
      </w:r>
      <w:r w:rsidRPr="00665001">
        <w:t xml:space="preserve">reflected by narrowing </w:t>
      </w:r>
      <w:r>
        <w:t xml:space="preserve">of the </w:t>
      </w:r>
      <w:r w:rsidRPr="00665001">
        <w:t xml:space="preserve">bands </w:t>
      </w:r>
      <w:r>
        <w:t xml:space="preserve">found </w:t>
      </w:r>
      <w:r w:rsidRPr="00665001">
        <w:t>at 1350 cm</w:t>
      </w:r>
      <w:r w:rsidRPr="00665001">
        <w:rPr>
          <w:vertAlign w:val="superscript"/>
        </w:rPr>
        <w:t>-1</w:t>
      </w:r>
      <w:r w:rsidRPr="00665001">
        <w:t xml:space="preserve"> (D band) and 1578 cm</w:t>
      </w:r>
      <w:r w:rsidRPr="00665001">
        <w:rPr>
          <w:vertAlign w:val="superscript"/>
        </w:rPr>
        <w:t>-1</w:t>
      </w:r>
      <w:r w:rsidRPr="00665001">
        <w:t xml:space="preserve"> (G band), smaller I</w:t>
      </w:r>
      <w:r w:rsidRPr="00665001">
        <w:rPr>
          <w:vertAlign w:val="subscript"/>
        </w:rPr>
        <w:t>D</w:t>
      </w:r>
      <w:r w:rsidRPr="00665001">
        <w:t>/I</w:t>
      </w:r>
      <w:r w:rsidRPr="00665001">
        <w:rPr>
          <w:vertAlign w:val="subscript"/>
        </w:rPr>
        <w:t>G</w:t>
      </w:r>
      <w:r w:rsidRPr="00665001">
        <w:t xml:space="preserve"> ratios</w:t>
      </w:r>
      <w:r>
        <w:t xml:space="preserve"> and </w:t>
      </w:r>
      <w:r w:rsidRPr="00665001">
        <w:t>the presence of the D</w:t>
      </w:r>
      <w:r w:rsidRPr="00665001">
        <w:rPr>
          <w:vertAlign w:val="subscript"/>
        </w:rPr>
        <w:t>2</w:t>
      </w:r>
      <w:r w:rsidRPr="00665001">
        <w:t xml:space="preserve"> shoulder at 1610 cm</w:t>
      </w:r>
      <w:r w:rsidRPr="00665001">
        <w:rPr>
          <w:vertAlign w:val="superscript"/>
        </w:rPr>
        <w:t>-1</w:t>
      </w:r>
      <w:r w:rsidRPr="00665001">
        <w:t xml:space="preserve"> associated with the edges of graphitic crystallites. Additionally, another clear sign of graphitization is the appearance of an intense signal at 2670 cm</w:t>
      </w:r>
      <w:r w:rsidRPr="00665001">
        <w:rPr>
          <w:vertAlign w:val="superscript"/>
        </w:rPr>
        <w:t>-1</w:t>
      </w:r>
      <w:r w:rsidRPr="00665001">
        <w:t xml:space="preserve"> in the second order region of the spectra that is attributed to the 2D</w:t>
      </w:r>
      <w:r w:rsidRPr="00665001">
        <w:rPr>
          <w:vertAlign w:val="subscript"/>
        </w:rPr>
        <w:t>1</w:t>
      </w:r>
      <w:r w:rsidRPr="00665001">
        <w:t xml:space="preserve"> in carbon structures possessing higher crystallinities. The signal indicates a single Lorentzian like profile with FWHM in the range of 40-60 cm</w:t>
      </w:r>
      <w:r w:rsidRPr="00665001">
        <w:rPr>
          <w:vertAlign w:val="superscript"/>
        </w:rPr>
        <w:t>-1</w:t>
      </w:r>
      <w:r w:rsidRPr="00665001">
        <w:t>. According to other studies, these spectral features correspond to turbostratic graphites</w:t>
      </w:r>
      <w:sdt>
        <w:sdtPr>
          <w:rPr>
            <w:color w:val="000000"/>
          </w:rPr>
          <w:tag w:val="MENDELEY_CITATION_v3_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"/>
          <w:id w:val="-1585987610"/>
          <w:placeholder>
            <w:docPart w:val="DefaultPlaceholder_-1854013440"/>
          </w:placeholder>
        </w:sdtPr>
        <w:sdtEndPr/>
        <w:sdtContent>
          <w:r w:rsidR="00A77823" w:rsidRPr="00A77823">
            <w:rPr>
              <w:color w:val="000000"/>
            </w:rPr>
            <w:t>(Malard et al., 2009; Jorio, 2012)</w:t>
          </w:r>
        </w:sdtContent>
      </w:sdt>
      <w:r w:rsidRPr="00665001">
        <w:t>. From the spatial extent of the 2D</w:t>
      </w:r>
      <w:r w:rsidRPr="00665001">
        <w:rPr>
          <w:vertAlign w:val="subscript"/>
        </w:rPr>
        <w:t>1</w:t>
      </w:r>
      <w:r w:rsidRPr="00665001">
        <w:t xml:space="preserve"> signal, we roughly estimate that the graphitized regions are associated with a spatial distribution in the range of 2.5-5 µm. Such features suggest </w:t>
      </w:r>
      <w:r>
        <w:t xml:space="preserve">that </w:t>
      </w:r>
      <w:r w:rsidRPr="00665001">
        <w:t xml:space="preserve">the catalytic graphitization process is active at 1050 °C, at least in an incipient stage in isolated regions. </w:t>
      </w:r>
    </w:p>
    <w:p w14:paraId="3EDA98A2" w14:textId="77777777" w:rsidR="002E49A5" w:rsidRDefault="002E49A5" w:rsidP="002C7BE9">
      <w:pPr>
        <w:pStyle w:val="ArticleText"/>
        <w:spacing w:line="480" w:lineRule="auto"/>
        <w:ind w:firstLine="360"/>
      </w:pPr>
    </w:p>
    <w:p w14:paraId="631E4535" w14:textId="77777777" w:rsidR="002E49A5" w:rsidRDefault="002E49A5" w:rsidP="002C7BE9">
      <w:pPr>
        <w:pStyle w:val="ArticleText"/>
        <w:spacing w:line="480" w:lineRule="auto"/>
        <w:ind w:firstLine="360"/>
      </w:pPr>
    </w:p>
    <w:p w14:paraId="23DFDA61" w14:textId="77777777" w:rsidR="00CF49A5" w:rsidRDefault="00CF49A5" w:rsidP="00462934">
      <w:pPr>
        <w:pStyle w:val="ArticleText"/>
        <w:spacing w:line="240" w:lineRule="auto"/>
        <w:rPr>
          <w:b/>
          <w:color w:val="000000" w:themeColor="text1"/>
        </w:rPr>
      </w:pPr>
    </w:p>
    <w:p w14:paraId="6ECB6D84" w14:textId="77777777" w:rsidR="00CF49A5" w:rsidRDefault="00CF49A5" w:rsidP="00462934">
      <w:pPr>
        <w:pStyle w:val="ArticleText"/>
        <w:spacing w:line="240" w:lineRule="auto"/>
        <w:rPr>
          <w:b/>
          <w:color w:val="000000" w:themeColor="text1"/>
        </w:rPr>
      </w:pPr>
    </w:p>
    <w:p w14:paraId="3BDFFDE5" w14:textId="78C81A65" w:rsidR="00CF49A5" w:rsidRDefault="00CF49A5" w:rsidP="00462934">
      <w:pPr>
        <w:pStyle w:val="ArticleText"/>
        <w:spacing w:line="240" w:lineRule="auto"/>
        <w:rPr>
          <w:b/>
          <w:color w:val="000000" w:themeColor="text1"/>
        </w:rPr>
      </w:pPr>
      <w:r w:rsidRPr="00462934">
        <w:rPr>
          <w:noProof/>
          <w:color w:val="000000" w:themeColor="text1"/>
          <w:w w:val="100"/>
          <w:lang w:val="en-US"/>
        </w:rPr>
        <w:lastRenderedPageBreak/>
        <w:drawing>
          <wp:anchor distT="0" distB="0" distL="114300" distR="114300" simplePos="0" relativeHeight="251659264" behindDoc="0" locked="0" layoutInCell="1" allowOverlap="1" wp14:anchorId="32D1454C" wp14:editId="0E6A434E">
            <wp:simplePos x="0" y="0"/>
            <wp:positionH relativeFrom="column">
              <wp:posOffset>204470</wp:posOffset>
            </wp:positionH>
            <wp:positionV relativeFrom="paragraph">
              <wp:posOffset>118110</wp:posOffset>
            </wp:positionV>
            <wp:extent cx="5385435" cy="4846320"/>
            <wp:effectExtent l="0" t="0" r="5715"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85435" cy="4846320"/>
                    </a:xfrm>
                    <a:prstGeom prst="rect">
                      <a:avLst/>
                    </a:prstGeom>
                  </pic:spPr>
                </pic:pic>
              </a:graphicData>
            </a:graphic>
            <wp14:sizeRelH relativeFrom="margin">
              <wp14:pctWidth>0</wp14:pctWidth>
            </wp14:sizeRelH>
            <wp14:sizeRelV relativeFrom="margin">
              <wp14:pctHeight>0</wp14:pctHeight>
            </wp14:sizeRelV>
          </wp:anchor>
        </w:drawing>
      </w:r>
    </w:p>
    <w:p w14:paraId="1B51F19A" w14:textId="283E4ACB" w:rsidR="002E49A5" w:rsidRPr="00665001" w:rsidRDefault="002E49A5" w:rsidP="00462934">
      <w:pPr>
        <w:pStyle w:val="ArticleText"/>
        <w:spacing w:line="240" w:lineRule="auto"/>
        <w:rPr>
          <w:sz w:val="18"/>
        </w:rPr>
      </w:pPr>
      <w:r w:rsidRPr="00462934">
        <w:rPr>
          <w:b/>
          <w:color w:val="000000" w:themeColor="text1"/>
        </w:rPr>
        <w:t xml:space="preserve">Figure S7. </w:t>
      </w:r>
      <w:r w:rsidRPr="00665001">
        <w:t xml:space="preserve">Evidence of incipient graphitization found for the C-Fe-Bi nanocomposite after pyrolysis at 1050 </w:t>
      </w:r>
      <w:r w:rsidRPr="00665001">
        <w:rPr>
          <w:kern w:val="21"/>
        </w:rPr>
        <w:t>°C</w:t>
      </w:r>
      <w:r w:rsidRPr="00665001">
        <w:t xml:space="preserve"> with intermediate plateau</w:t>
      </w:r>
      <w:r>
        <w:t xml:space="preserve"> (sample C1)</w:t>
      </w:r>
      <w:r w:rsidRPr="00665001">
        <w:t>. (a) Side view and (b) Top view of the Raman line profile across the monolith showing narrowing D and G bands and well-defined D</w:t>
      </w:r>
      <w:r w:rsidRPr="00665001">
        <w:rPr>
          <w:vertAlign w:val="subscript"/>
        </w:rPr>
        <w:t>2</w:t>
      </w:r>
      <w:r w:rsidRPr="00665001">
        <w:t xml:space="preserve"> and </w:t>
      </w:r>
      <w:r w:rsidRPr="00665001">
        <w:rPr>
          <w:kern w:val="21"/>
        </w:rPr>
        <w:t>2D</w:t>
      </w:r>
      <w:r w:rsidRPr="00665001">
        <w:rPr>
          <w:kern w:val="21"/>
          <w:vertAlign w:val="subscript"/>
        </w:rPr>
        <w:t xml:space="preserve">1 </w:t>
      </w:r>
      <w:r w:rsidRPr="00665001">
        <w:rPr>
          <w:kern w:val="21"/>
        </w:rPr>
        <w:t xml:space="preserve">when a graphitized region is transited (as presented in the inset) and TEM micrographs showing a graphitized region in </w:t>
      </w:r>
      <w:r w:rsidRPr="00665001">
        <w:t>(c) bright field and (d) conical dark field mode with the associated SAED pattern presented in the inset</w:t>
      </w:r>
    </w:p>
    <w:p w14:paraId="31AE5146" w14:textId="77777777" w:rsidR="002E49A5" w:rsidRDefault="002E49A5" w:rsidP="002C7BE9">
      <w:pPr>
        <w:pStyle w:val="ArticleText"/>
        <w:spacing w:line="480" w:lineRule="auto"/>
        <w:ind w:firstLine="360"/>
      </w:pPr>
    </w:p>
    <w:p w14:paraId="0770CA57" w14:textId="77777777" w:rsidR="002E49A5" w:rsidRDefault="002E49A5" w:rsidP="002C7BE9">
      <w:pPr>
        <w:pStyle w:val="ArticleText"/>
        <w:spacing w:line="480" w:lineRule="auto"/>
        <w:ind w:firstLine="360"/>
      </w:pPr>
      <w:r w:rsidRPr="00665001">
        <w:t>TEM investigations of the samples pyrolyzed at 1050 °C further support the Raman findings. The micrographs indicate that the bi-modal distribution and the dumbbell structure of the nanoparticles is also still present even at 1050 °C. Nevertheless, other irregular morphologies of the nanophases specific to stage 3</w:t>
      </w:r>
      <w:r>
        <w:t>-reduction are also evidenced</w:t>
      </w:r>
      <w:r w:rsidRPr="00665001">
        <w:t xml:space="preserve">. </w:t>
      </w:r>
      <w:r>
        <w:t>G</w:t>
      </w:r>
      <w:r w:rsidRPr="00665001">
        <w:t>raphitic regions were also evidenced in TEM investigations (</w:t>
      </w:r>
      <w:r w:rsidRPr="00462934">
        <w:rPr>
          <w:b/>
          <w:color w:val="000000" w:themeColor="text1"/>
        </w:rPr>
        <w:t>Figure S7cd</w:t>
      </w:r>
      <w:r w:rsidRPr="00665001">
        <w:t>)</w:t>
      </w:r>
      <w:r>
        <w:t>:</w:t>
      </w:r>
      <w:r w:rsidRPr="00665001">
        <w:t xml:space="preserve"> </w:t>
      </w:r>
      <w:r>
        <w:t>a</w:t>
      </w:r>
      <w:r w:rsidRPr="00665001">
        <w:t>n intense (002) ring is found in SAED patterns (inset in</w:t>
      </w:r>
      <w:r>
        <w:t xml:space="preserve"> </w:t>
      </w:r>
      <w:r w:rsidRPr="00462934">
        <w:rPr>
          <w:b/>
          <w:bCs/>
          <w:color w:val="000000" w:themeColor="text1"/>
        </w:rPr>
        <w:t>Figure S7</w:t>
      </w:r>
      <w:r w:rsidRPr="00462934">
        <w:rPr>
          <w:b/>
          <w:color w:val="000000" w:themeColor="text1"/>
        </w:rPr>
        <w:t>d</w:t>
      </w:r>
      <w:r w:rsidRPr="00665001">
        <w:t xml:space="preserve">) which enables the visualization of the graphitic structures through conical dark field images. The data confirms the formation of a complex network of carbon </w:t>
      </w:r>
      <w:r>
        <w:t xml:space="preserve">nano-onions and </w:t>
      </w:r>
      <w:r>
        <w:lastRenderedPageBreak/>
        <w:t xml:space="preserve">possibly short </w:t>
      </w:r>
      <w:r w:rsidRPr="00665001">
        <w:t>nanofiber-like bodies similar to the results foun</w:t>
      </w:r>
      <w:r>
        <w:t>d during the in situ TEM study.</w:t>
      </w:r>
    </w:p>
    <w:p w14:paraId="0D0F3244" w14:textId="77777777" w:rsidR="002E49A5" w:rsidRDefault="002E49A5" w:rsidP="00097851">
      <w:pPr>
        <w:pStyle w:val="ArticleText"/>
        <w:spacing w:line="480" w:lineRule="auto"/>
      </w:pPr>
    </w:p>
    <w:p w14:paraId="1B081932" w14:textId="2428255E" w:rsidR="002E49A5" w:rsidRPr="00097851" w:rsidRDefault="00CF49A5" w:rsidP="00097851">
      <w:pPr>
        <w:pStyle w:val="ArticleText"/>
        <w:spacing w:line="480" w:lineRule="auto"/>
        <w:rPr>
          <w:b/>
          <w:bCs/>
        </w:rPr>
      </w:pPr>
      <w:r>
        <w:rPr>
          <w:noProof/>
          <w:lang w:val="en-US"/>
        </w:rPr>
        <w:drawing>
          <wp:anchor distT="0" distB="0" distL="114300" distR="114300" simplePos="0" relativeHeight="251660288" behindDoc="1" locked="0" layoutInCell="1" allowOverlap="1" wp14:anchorId="5C4296D9" wp14:editId="6A6045BA">
            <wp:simplePos x="0" y="0"/>
            <wp:positionH relativeFrom="column">
              <wp:posOffset>99060</wp:posOffset>
            </wp:positionH>
            <wp:positionV relativeFrom="paragraph">
              <wp:posOffset>308610</wp:posOffset>
            </wp:positionV>
            <wp:extent cx="5404485" cy="2506980"/>
            <wp:effectExtent l="0" t="0" r="5715" b="7620"/>
            <wp:wrapTight wrapText="bothSides">
              <wp:wrapPolygon edited="0">
                <wp:start x="13248" y="164"/>
                <wp:lineTo x="9974" y="1313"/>
                <wp:lineTo x="9441" y="1641"/>
                <wp:lineTo x="9517" y="3119"/>
                <wp:lineTo x="2817" y="5088"/>
                <wp:lineTo x="2817" y="5745"/>
                <wp:lineTo x="1218" y="6237"/>
                <wp:lineTo x="228" y="7222"/>
                <wp:lineTo x="0" y="10012"/>
                <wp:lineTo x="0" y="15264"/>
                <wp:lineTo x="914" y="16249"/>
                <wp:lineTo x="305" y="16742"/>
                <wp:lineTo x="305" y="17070"/>
                <wp:lineTo x="914" y="18875"/>
                <wp:lineTo x="914" y="19860"/>
                <wp:lineTo x="2741" y="21502"/>
                <wp:lineTo x="3731" y="21502"/>
                <wp:lineTo x="17892" y="21502"/>
                <wp:lineTo x="21547" y="20845"/>
                <wp:lineTo x="21547" y="1805"/>
                <wp:lineTo x="19110" y="657"/>
                <wp:lineTo x="16217" y="164"/>
                <wp:lineTo x="13248" y="164"/>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4485" cy="2506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49A5" w:rsidRPr="00097851">
        <w:rPr>
          <w:b/>
          <w:bCs/>
        </w:rPr>
        <w:t>5. Fe-O and Fe-C phase diagrams</w:t>
      </w:r>
    </w:p>
    <w:p w14:paraId="20BB5960" w14:textId="18848364" w:rsidR="002E49A5" w:rsidRDefault="002E49A5" w:rsidP="002C7BE9">
      <w:pPr>
        <w:pStyle w:val="ArticleText"/>
        <w:tabs>
          <w:tab w:val="left" w:pos="0"/>
        </w:tabs>
        <w:spacing w:line="480" w:lineRule="auto"/>
      </w:pPr>
    </w:p>
    <w:p w14:paraId="2EB15E42" w14:textId="42890E8C" w:rsidR="00CF49A5" w:rsidRDefault="00CF49A5" w:rsidP="002C7BE9">
      <w:pPr>
        <w:pStyle w:val="ArticleText"/>
        <w:tabs>
          <w:tab w:val="left" w:pos="0"/>
        </w:tabs>
        <w:spacing w:line="480" w:lineRule="auto"/>
      </w:pPr>
    </w:p>
    <w:p w14:paraId="1EFFEE4C" w14:textId="7C72F834" w:rsidR="00CF49A5" w:rsidRDefault="00CF49A5" w:rsidP="002C7BE9">
      <w:pPr>
        <w:pStyle w:val="ArticleText"/>
        <w:tabs>
          <w:tab w:val="left" w:pos="0"/>
        </w:tabs>
        <w:spacing w:line="480" w:lineRule="auto"/>
      </w:pPr>
    </w:p>
    <w:p w14:paraId="4E6072EB" w14:textId="7269DE51" w:rsidR="002E49A5" w:rsidRDefault="002E49A5" w:rsidP="00E018B7">
      <w:pPr>
        <w:pStyle w:val="TFReferencesSection"/>
        <w:spacing w:after="240" w:line="240" w:lineRule="auto"/>
        <w:ind w:firstLine="0"/>
        <w:rPr>
          <w:rFonts w:ascii="Times New Roman" w:hAnsi="Times New Roman"/>
          <w:lang w:val="en-GB"/>
        </w:rPr>
      </w:pPr>
      <w:r w:rsidRPr="00665001">
        <w:rPr>
          <w:rFonts w:ascii="Times New Roman" w:hAnsi="Times New Roman"/>
          <w:b/>
          <w:lang w:val="en-GB"/>
        </w:rPr>
        <w:t>Figure S</w:t>
      </w:r>
      <w:r w:rsidRPr="00462934">
        <w:rPr>
          <w:rFonts w:ascii="Times New Roman" w:hAnsi="Times New Roman"/>
          <w:b/>
          <w:color w:val="000000" w:themeColor="text1"/>
          <w:lang w:val="en-GB"/>
        </w:rPr>
        <w:t>8</w:t>
      </w:r>
      <w:r w:rsidRPr="00665001">
        <w:rPr>
          <w:rFonts w:ascii="Times New Roman" w:hAnsi="Times New Roman"/>
          <w:b/>
          <w:lang w:val="en-GB"/>
        </w:rPr>
        <w:t>.</w:t>
      </w:r>
      <w:r>
        <w:rPr>
          <w:rFonts w:ascii="Times New Roman" w:hAnsi="Times New Roman"/>
          <w:b/>
          <w:lang w:val="en-GB"/>
        </w:rPr>
        <w:t xml:space="preserve"> </w:t>
      </w:r>
      <w:r w:rsidRPr="009A3898">
        <w:rPr>
          <w:rFonts w:ascii="Times New Roman" w:hAnsi="Times New Roman"/>
          <w:lang w:val="en-GB"/>
        </w:rPr>
        <w:t xml:space="preserve">Binary </w:t>
      </w:r>
      <w:r>
        <w:rPr>
          <w:rFonts w:ascii="Times New Roman" w:hAnsi="Times New Roman"/>
          <w:lang w:val="en-GB"/>
        </w:rPr>
        <w:t>p</w:t>
      </w:r>
      <w:r w:rsidRPr="009A3898">
        <w:rPr>
          <w:rFonts w:ascii="Times New Roman" w:hAnsi="Times New Roman"/>
          <w:lang w:val="en-GB"/>
        </w:rPr>
        <w:t xml:space="preserve">hase diagrams </w:t>
      </w:r>
      <w:r>
        <w:rPr>
          <w:rFonts w:ascii="Times New Roman" w:hAnsi="Times New Roman"/>
          <w:lang w:val="en-GB"/>
        </w:rPr>
        <w:t xml:space="preserve">illustrating the interactions between Fe and O or C species and possible positions for the investigated nanocomposites during pyrolysis, as reflected by the the XRD profile analysis. The </w:t>
      </w:r>
      <w:r w:rsidR="00E018B7" w:rsidRPr="002C7797">
        <w:rPr>
          <w:rFonts w:ascii="Times New Roman" w:hAnsi="Times New Roman"/>
          <w:lang w:val="en-GB"/>
        </w:rPr>
        <w:t xml:space="preserve">adapted </w:t>
      </w:r>
      <w:r>
        <w:rPr>
          <w:rFonts w:ascii="Times New Roman" w:hAnsi="Times New Roman"/>
          <w:lang w:val="en-GB"/>
        </w:rPr>
        <w:t xml:space="preserve">phase diagrams </w:t>
      </w:r>
      <w:r w:rsidRPr="002C7797">
        <w:rPr>
          <w:rFonts w:ascii="Times New Roman" w:hAnsi="Times New Roman"/>
          <w:lang w:val="en-GB"/>
        </w:rPr>
        <w:t xml:space="preserve">were </w:t>
      </w:r>
      <w:r w:rsidR="00E018B7">
        <w:rPr>
          <w:rFonts w:ascii="Times New Roman" w:hAnsi="Times New Roman"/>
          <w:lang w:val="en-GB"/>
        </w:rPr>
        <w:t>r</w:t>
      </w:r>
      <w:r w:rsidR="00567CF4" w:rsidRPr="00567CF4">
        <w:rPr>
          <w:rFonts w:ascii="Times New Roman" w:hAnsi="Times New Roman"/>
          <w:lang w:val="en-GB"/>
        </w:rPr>
        <w:t>eproduced with permission</w:t>
      </w:r>
      <w:r w:rsidR="00E018B7">
        <w:rPr>
          <w:rFonts w:ascii="Times New Roman" w:hAnsi="Times New Roman"/>
          <w:lang w:val="en-GB"/>
        </w:rPr>
        <w:t>s</w:t>
      </w:r>
      <w:r w:rsidR="00567CF4" w:rsidRPr="00567CF4">
        <w:rPr>
          <w:rFonts w:ascii="Times New Roman" w:hAnsi="Times New Roman"/>
          <w:lang w:val="en-GB"/>
        </w:rPr>
        <w:t xml:space="preserve"> </w:t>
      </w:r>
      <w:r w:rsidRPr="002C7797">
        <w:rPr>
          <w:rFonts w:ascii="Times New Roman" w:hAnsi="Times New Roman"/>
          <w:lang w:val="en-GB"/>
        </w:rPr>
        <w:t>from</w:t>
      </w:r>
      <w:r>
        <w:rPr>
          <w:rFonts w:ascii="Times New Roman" w:hAnsi="Times New Roman"/>
          <w:lang w:val="en-GB"/>
        </w:rPr>
        <w:t xml:space="preserve"> references </w:t>
      </w:r>
      <w:sdt>
        <w:sdtPr>
          <w:rPr>
            <w:rFonts w:ascii="Times New Roman" w:hAnsi="Times New Roman"/>
            <w:color w:val="000000"/>
            <w:lang w:val="en-GB"/>
          </w:rPr>
          <w:tag w:val="MENDELEY_CITATION_v3_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"/>
          <w:id w:val="-905385283"/>
          <w:placeholder>
            <w:docPart w:val="DefaultPlaceholder_-1854013440"/>
          </w:placeholder>
        </w:sdtPr>
        <w:sdtEndPr/>
        <w:sdtContent>
          <w:r w:rsidR="00A77823" w:rsidRPr="00A77823">
            <w:rPr>
              <w:rFonts w:ascii="Times New Roman" w:hAnsi="Times New Roman"/>
              <w:color w:val="000000"/>
              <w:lang w:val="en-GB"/>
            </w:rPr>
            <w:t>(Wriedt, 1991)</w:t>
          </w:r>
        </w:sdtContent>
      </w:sdt>
      <w:r>
        <w:rPr>
          <w:rFonts w:ascii="Times New Roman" w:hAnsi="Times New Roman"/>
          <w:lang w:val="en-GB"/>
        </w:rPr>
        <w:t xml:space="preserve"> and </w:t>
      </w:r>
      <w:sdt>
        <w:sdtPr>
          <w:rPr>
            <w:rFonts w:ascii="Times New Roman" w:hAnsi="Times New Roman"/>
            <w:color w:val="000000"/>
            <w:lang w:val="en-GB"/>
          </w:rPr>
          <w:tag w:val="MENDELEY_CITATION_v3_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"/>
          <w:id w:val="1421684321"/>
          <w:placeholder>
            <w:docPart w:val="DefaultPlaceholder_-1854013440"/>
          </w:placeholder>
        </w:sdtPr>
        <w:sdtEndPr>
          <w:rPr>
            <w:rFonts w:ascii="Times" w:hAnsi="Times"/>
            <w:lang w:val="en-US"/>
          </w:rPr>
        </w:sdtEndPr>
        <w:sdtContent>
          <w:r w:rsidR="00A77823" w:rsidRPr="00A77823">
            <w:rPr>
              <w:color w:val="000000"/>
            </w:rPr>
            <w:t>(Chipman, 1972)</w:t>
          </w:r>
        </w:sdtContent>
      </w:sdt>
      <w:r w:rsidR="00E018B7">
        <w:rPr>
          <w:color w:val="000000"/>
        </w:rPr>
        <w:t>,</w:t>
      </w:r>
      <w:r w:rsidR="00955215">
        <w:rPr>
          <w:rFonts w:ascii="Times New Roman" w:hAnsi="Times New Roman"/>
          <w:lang w:val="en-GB"/>
        </w:rPr>
        <w:t xml:space="preserve"> Springer Nature</w:t>
      </w:r>
      <w:r w:rsidR="00E018B7" w:rsidRPr="00E018B7">
        <w:rPr>
          <w:rFonts w:ascii="Times New Roman" w:hAnsi="Times New Roman"/>
          <w:lang w:val="en-GB"/>
        </w:rPr>
        <w:t>.</w:t>
      </w:r>
    </w:p>
    <w:p w14:paraId="6525804E" w14:textId="77777777" w:rsidR="002E49A5" w:rsidRDefault="002E49A5" w:rsidP="002C7BE9">
      <w:pPr>
        <w:pStyle w:val="TFReferencesSection"/>
        <w:spacing w:after="240"/>
        <w:ind w:firstLine="0"/>
        <w:rPr>
          <w:rFonts w:ascii="Times New Roman" w:hAnsi="Times New Roman"/>
          <w:lang w:val="en-GB"/>
        </w:rPr>
      </w:pPr>
      <w:r>
        <w:rPr>
          <w:rFonts w:ascii="Times New Roman" w:hAnsi="Times New Roman"/>
          <w:lang w:val="en-GB"/>
        </w:rPr>
        <w:t xml:space="preserve">The influence of the Fe assisted graphitization mechanism by temperature, oxygen impurity and mobile carbon species and the formation of the different phases as observed in the XRD patterns are explained using the simplified case of independent binary C-Fe and Fe-O phase diagrams. For the sake of simplicity, the interactions with Bi are treated separately into the main text. These rough approximations were based on the fact that Bi and Fe are insoluble and that before graphitization mechanism could be initiated, the Fe based catalyst must be reduced, hence disrupting any Fe-O-Fe and Fe-O-Bi oxygen bridges. </w:t>
      </w:r>
    </w:p>
    <w:p w14:paraId="6AB80F7E" w14:textId="77777777" w:rsidR="002E49A5" w:rsidRPr="008D6CD4" w:rsidRDefault="002E49A5" w:rsidP="002C7BE9">
      <w:pPr>
        <w:pStyle w:val="TFReferencesSection"/>
        <w:spacing w:after="240"/>
        <w:ind w:firstLine="0"/>
        <w:rPr>
          <w:rFonts w:ascii="Times New Roman" w:hAnsi="Times New Roman"/>
          <w:b/>
          <w:lang w:val="en-GB"/>
        </w:rPr>
      </w:pPr>
      <w:r w:rsidRPr="008D6CD4">
        <w:rPr>
          <w:rFonts w:ascii="Times New Roman" w:hAnsi="Times New Roman"/>
          <w:b/>
          <w:lang w:val="en-GB"/>
        </w:rPr>
        <w:t>Reference</w:t>
      </w:r>
    </w:p>
    <w:sdt>
      <w:sdtPr>
        <w:tag w:val="MENDELEY_BIBLIOGRAPHY"/>
        <w:id w:val="808601560"/>
        <w:placeholder>
          <w:docPart w:val="DefaultPlaceholder_-1854013440"/>
        </w:placeholder>
      </w:sdtPr>
      <w:sdtEndPr/>
      <w:sdtContent>
        <w:p w14:paraId="480C9A94" w14:textId="77777777" w:rsidR="00A77823" w:rsidRDefault="00A77823">
          <w:pPr>
            <w:autoSpaceDE w:val="0"/>
            <w:autoSpaceDN w:val="0"/>
            <w:ind w:hanging="480"/>
            <w:divId w:val="1671716844"/>
            <w:rPr>
              <w:rFonts w:eastAsia="Times New Roman"/>
            </w:rPr>
          </w:pPr>
          <w:r>
            <w:rPr>
              <w:rFonts w:eastAsia="Times New Roman"/>
              <w:smallCaps/>
            </w:rPr>
            <w:t>Chipman, J.</w:t>
          </w:r>
          <w:r>
            <w:rPr>
              <w:rFonts w:eastAsia="Times New Roman"/>
            </w:rPr>
            <w:t xml:space="preserve"> (1972). Thermodynamics and phase diagram of the Fe-C system. </w:t>
          </w:r>
          <w:r>
            <w:rPr>
              <w:rFonts w:eastAsia="Times New Roman"/>
              <w:i/>
              <w:iCs/>
            </w:rPr>
            <w:t>Metallurgical and Materials Transactions B</w:t>
          </w:r>
          <w:r>
            <w:rPr>
              <w:rFonts w:eastAsia="Times New Roman"/>
            </w:rPr>
            <w:t xml:space="preserve"> </w:t>
          </w:r>
          <w:r>
            <w:rPr>
              <w:rFonts w:eastAsia="Times New Roman"/>
              <w:b/>
              <w:bCs/>
            </w:rPr>
            <w:t>3</w:t>
          </w:r>
          <w:r>
            <w:rPr>
              <w:rFonts w:eastAsia="Times New Roman"/>
            </w:rPr>
            <w:t>, 55–64. http://link.springer.com/10.1007/BF02680585.</w:t>
          </w:r>
        </w:p>
        <w:p w14:paraId="269307D8" w14:textId="77777777" w:rsidR="00A77823" w:rsidRDefault="00A77823">
          <w:pPr>
            <w:autoSpaceDE w:val="0"/>
            <w:autoSpaceDN w:val="0"/>
            <w:ind w:hanging="480"/>
            <w:divId w:val="2114477747"/>
            <w:rPr>
              <w:rFonts w:eastAsia="Times New Roman"/>
            </w:rPr>
          </w:pPr>
          <w:r>
            <w:rPr>
              <w:rFonts w:eastAsia="Times New Roman"/>
              <w:smallCaps/>
            </w:rPr>
            <w:t>Jorio, A.</w:t>
          </w:r>
          <w:r>
            <w:rPr>
              <w:rFonts w:eastAsia="Times New Roman"/>
            </w:rPr>
            <w:t xml:space="preserve"> (2012). Raman Spectroscopy in Graphene-Based Systems: Prototypes for Nanoscience and Nanometrology. </w:t>
          </w:r>
          <w:r>
            <w:rPr>
              <w:rFonts w:eastAsia="Times New Roman"/>
              <w:i/>
              <w:iCs/>
            </w:rPr>
            <w:t>ISRN Nanotechnology</w:t>
          </w:r>
          <w:r>
            <w:rPr>
              <w:rFonts w:eastAsia="Times New Roman"/>
            </w:rPr>
            <w:t xml:space="preserve"> </w:t>
          </w:r>
          <w:r>
            <w:rPr>
              <w:rFonts w:eastAsia="Times New Roman"/>
              <w:b/>
              <w:bCs/>
            </w:rPr>
            <w:t>2012</w:t>
          </w:r>
          <w:r>
            <w:rPr>
              <w:rFonts w:eastAsia="Times New Roman"/>
            </w:rPr>
            <w:t>, 1–16.</w:t>
          </w:r>
        </w:p>
        <w:p w14:paraId="71A0A868" w14:textId="77777777" w:rsidR="00A77823" w:rsidRDefault="00A77823">
          <w:pPr>
            <w:autoSpaceDE w:val="0"/>
            <w:autoSpaceDN w:val="0"/>
            <w:ind w:hanging="480"/>
            <w:divId w:val="290405679"/>
            <w:rPr>
              <w:rFonts w:eastAsia="Times New Roman"/>
            </w:rPr>
          </w:pPr>
          <w:r>
            <w:rPr>
              <w:rFonts w:eastAsia="Times New Roman"/>
              <w:smallCaps/>
            </w:rPr>
            <w:t>Khannanov, A.</w:t>
          </w:r>
          <w:r>
            <w:rPr>
              <w:rFonts w:eastAsia="Times New Roman"/>
            </w:rPr>
            <w:t xml:space="preserve">, </w:t>
          </w:r>
          <w:r>
            <w:rPr>
              <w:rFonts w:eastAsia="Times New Roman"/>
              <w:smallCaps/>
            </w:rPr>
            <w:t>Kiiamov, A.</w:t>
          </w:r>
          <w:r>
            <w:rPr>
              <w:rFonts w:eastAsia="Times New Roman"/>
            </w:rPr>
            <w:t xml:space="preserve">, </w:t>
          </w:r>
          <w:r>
            <w:rPr>
              <w:rFonts w:eastAsia="Times New Roman"/>
              <w:smallCaps/>
            </w:rPr>
            <w:t>Valimukhametova, A.</w:t>
          </w:r>
          <w:r>
            <w:rPr>
              <w:rFonts w:eastAsia="Times New Roman"/>
            </w:rPr>
            <w:t xml:space="preserve">, </w:t>
          </w:r>
          <w:r>
            <w:rPr>
              <w:rFonts w:eastAsia="Times New Roman"/>
              <w:smallCaps/>
            </w:rPr>
            <w:t>Tayurskii, D. A.</w:t>
          </w:r>
          <w:r>
            <w:rPr>
              <w:rFonts w:eastAsia="Times New Roman"/>
            </w:rPr>
            <w:t xml:space="preserve">, </w:t>
          </w:r>
          <w:r>
            <w:rPr>
              <w:rFonts w:eastAsia="Times New Roman"/>
              <w:smallCaps/>
            </w:rPr>
            <w:t>Börrnert, F.</w:t>
          </w:r>
          <w:r>
            <w:rPr>
              <w:rFonts w:eastAsia="Times New Roman"/>
            </w:rPr>
            <w:t xml:space="preserve">, </w:t>
          </w:r>
          <w:r>
            <w:rPr>
              <w:rFonts w:eastAsia="Times New Roman"/>
              <w:smallCaps/>
            </w:rPr>
            <w:t>Kaiser, U.</w:t>
          </w:r>
          <w:r>
            <w:rPr>
              <w:rFonts w:eastAsia="Times New Roman"/>
            </w:rPr>
            <w:t xml:space="preserve">, </w:t>
          </w:r>
          <w:r>
            <w:rPr>
              <w:rFonts w:eastAsia="Times New Roman"/>
              <w:smallCaps/>
            </w:rPr>
            <w:t>Eigler, S.</w:t>
          </w:r>
          <w:r>
            <w:rPr>
              <w:rFonts w:eastAsia="Times New Roman"/>
            </w:rPr>
            <w:t xml:space="preserve">, </w:t>
          </w:r>
          <w:r>
            <w:rPr>
              <w:rFonts w:eastAsia="Times New Roman"/>
              <w:smallCaps/>
            </w:rPr>
            <w:t>Vagizov, F. G.</w:t>
          </w:r>
          <w:r>
            <w:rPr>
              <w:rFonts w:eastAsia="Times New Roman"/>
            </w:rPr>
            <w:t xml:space="preserve"> &amp; </w:t>
          </w:r>
          <w:r>
            <w:rPr>
              <w:rFonts w:eastAsia="Times New Roman"/>
              <w:smallCaps/>
            </w:rPr>
            <w:t>Dimiev, A. M.</w:t>
          </w:r>
          <w:r>
            <w:rPr>
              <w:rFonts w:eastAsia="Times New Roman"/>
            </w:rPr>
            <w:t xml:space="preserve"> (2018). γ-Iron Phase Stabilized at Room Temperature by Thermally Processed Graphene Oxide. </w:t>
          </w:r>
          <w:r>
            <w:rPr>
              <w:rFonts w:eastAsia="Times New Roman"/>
              <w:i/>
              <w:iCs/>
            </w:rPr>
            <w:t xml:space="preserve">Journal of </w:t>
          </w:r>
          <w:r>
            <w:rPr>
              <w:rFonts w:eastAsia="Times New Roman"/>
              <w:i/>
              <w:iCs/>
            </w:rPr>
            <w:lastRenderedPageBreak/>
            <w:t>the American Chemical Society</w:t>
          </w:r>
          <w:r>
            <w:rPr>
              <w:rFonts w:eastAsia="Times New Roman"/>
            </w:rPr>
            <w:t xml:space="preserve"> </w:t>
          </w:r>
          <w:r>
            <w:rPr>
              <w:rFonts w:eastAsia="Times New Roman"/>
              <w:b/>
              <w:bCs/>
            </w:rPr>
            <w:t>140</w:t>
          </w:r>
          <w:r>
            <w:rPr>
              <w:rFonts w:eastAsia="Times New Roman"/>
            </w:rPr>
            <w:t>, 9051–9055. https://pubs.acs.org/doi/10.1021/jacs.8b04829.</w:t>
          </w:r>
        </w:p>
        <w:p w14:paraId="3B698DCD" w14:textId="77777777" w:rsidR="00A77823" w:rsidRDefault="00A77823">
          <w:pPr>
            <w:autoSpaceDE w:val="0"/>
            <w:autoSpaceDN w:val="0"/>
            <w:ind w:hanging="480"/>
            <w:divId w:val="1150056769"/>
            <w:rPr>
              <w:rFonts w:eastAsia="Times New Roman"/>
            </w:rPr>
          </w:pPr>
          <w:r>
            <w:rPr>
              <w:rFonts w:eastAsia="Times New Roman"/>
              <w:smallCaps/>
            </w:rPr>
            <w:t>Malard, L. M.</w:t>
          </w:r>
          <w:r>
            <w:rPr>
              <w:rFonts w:eastAsia="Times New Roman"/>
            </w:rPr>
            <w:t xml:space="preserve">, </w:t>
          </w:r>
          <w:r>
            <w:rPr>
              <w:rFonts w:eastAsia="Times New Roman"/>
              <w:smallCaps/>
            </w:rPr>
            <w:t>Pimenta, M. A.</w:t>
          </w:r>
          <w:r>
            <w:rPr>
              <w:rFonts w:eastAsia="Times New Roman"/>
            </w:rPr>
            <w:t xml:space="preserve">, </w:t>
          </w:r>
          <w:r>
            <w:rPr>
              <w:rFonts w:eastAsia="Times New Roman"/>
              <w:smallCaps/>
            </w:rPr>
            <w:t>Dresselhaus, G.</w:t>
          </w:r>
          <w:r>
            <w:rPr>
              <w:rFonts w:eastAsia="Times New Roman"/>
            </w:rPr>
            <w:t xml:space="preserve"> &amp; </w:t>
          </w:r>
          <w:r>
            <w:rPr>
              <w:rFonts w:eastAsia="Times New Roman"/>
              <w:smallCaps/>
            </w:rPr>
            <w:t>Dresselhaus, M. S.</w:t>
          </w:r>
          <w:r>
            <w:rPr>
              <w:rFonts w:eastAsia="Times New Roman"/>
            </w:rPr>
            <w:t xml:space="preserve"> (2009). Raman spectroscopy in graphene. </w:t>
          </w:r>
          <w:r>
            <w:rPr>
              <w:rFonts w:eastAsia="Times New Roman"/>
              <w:i/>
              <w:iCs/>
            </w:rPr>
            <w:t>Physics Reports</w:t>
          </w:r>
          <w:r>
            <w:rPr>
              <w:rFonts w:eastAsia="Times New Roman"/>
            </w:rPr>
            <w:t xml:space="preserve"> </w:t>
          </w:r>
          <w:r>
            <w:rPr>
              <w:rFonts w:eastAsia="Times New Roman"/>
              <w:b/>
              <w:bCs/>
            </w:rPr>
            <w:t>473</w:t>
          </w:r>
          <w:r>
            <w:rPr>
              <w:rFonts w:eastAsia="Times New Roman"/>
            </w:rPr>
            <w:t>, 51–87.</w:t>
          </w:r>
        </w:p>
        <w:p w14:paraId="5B71BA3A" w14:textId="77777777" w:rsidR="00A77823" w:rsidRDefault="00A77823">
          <w:pPr>
            <w:autoSpaceDE w:val="0"/>
            <w:autoSpaceDN w:val="0"/>
            <w:ind w:hanging="480"/>
            <w:divId w:val="1288925447"/>
            <w:rPr>
              <w:rFonts w:eastAsia="Times New Roman"/>
            </w:rPr>
          </w:pPr>
          <w:r>
            <w:rPr>
              <w:rFonts w:eastAsia="Times New Roman"/>
              <w:smallCaps/>
            </w:rPr>
            <w:t>Wriedt, H. A.</w:t>
          </w:r>
          <w:r>
            <w:rPr>
              <w:rFonts w:eastAsia="Times New Roman"/>
            </w:rPr>
            <w:t xml:space="preserve"> (1991). The Fe-O (Iron-Oxygen) System. </w:t>
          </w:r>
          <w:r>
            <w:rPr>
              <w:rFonts w:eastAsia="Times New Roman"/>
              <w:i/>
              <w:iCs/>
            </w:rPr>
            <w:t>Journal of Phase Equilibria</w:t>
          </w:r>
          <w:r>
            <w:rPr>
              <w:rFonts w:eastAsia="Times New Roman"/>
            </w:rPr>
            <w:t xml:space="preserve"> </w:t>
          </w:r>
          <w:r>
            <w:rPr>
              <w:rFonts w:eastAsia="Times New Roman"/>
              <w:b/>
              <w:bCs/>
            </w:rPr>
            <w:t>12</w:t>
          </w:r>
          <w:r>
            <w:rPr>
              <w:rFonts w:eastAsia="Times New Roman"/>
            </w:rPr>
            <w:t>, 170–200.</w:t>
          </w:r>
        </w:p>
        <w:p w14:paraId="323748D7" w14:textId="35022B39" w:rsidR="002E49A5" w:rsidRDefault="00A77823">
          <w:r>
            <w:rPr>
              <w:rFonts w:eastAsia="Times New Roman"/>
            </w:rPr>
            <w:t> </w:t>
          </w:r>
        </w:p>
      </w:sdtContent>
    </w:sdt>
    <w:p w14:paraId="0DF22172" w14:textId="77777777" w:rsidR="002E49A5" w:rsidRPr="0059526F" w:rsidRDefault="002E49A5" w:rsidP="002C7BE9">
      <w:pPr>
        <w:spacing w:line="480" w:lineRule="auto"/>
        <w:rPr>
          <w:lang w:val="en-US"/>
        </w:rPr>
      </w:pPr>
    </w:p>
    <w:sectPr w:rsidR="002E49A5" w:rsidRPr="0059526F" w:rsidSect="00CF49A5">
      <w:headerReference w:type="default" r:id="rId20"/>
      <w:footerReference w:type="default" r:id="rId21"/>
      <w:type w:val="continuous"/>
      <w:pgSz w:w="11906" w:h="16838"/>
      <w:pgMar w:top="990" w:right="1466" w:bottom="99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89318E" w14:textId="77777777" w:rsidR="00094A33" w:rsidRDefault="00094A33">
      <w:r>
        <w:separator/>
      </w:r>
    </w:p>
  </w:endnote>
  <w:endnote w:type="continuationSeparator" w:id="0">
    <w:p w14:paraId="40DC7D67" w14:textId="77777777" w:rsidR="00094A33" w:rsidRDefault="00094A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7432791"/>
      <w:docPartObj>
        <w:docPartGallery w:val="Page Numbers (Bottom of Page)"/>
        <w:docPartUnique/>
      </w:docPartObj>
    </w:sdtPr>
    <w:sdtEndPr>
      <w:rPr>
        <w:noProof/>
      </w:rPr>
    </w:sdtEndPr>
    <w:sdtContent>
      <w:p w14:paraId="0F50A870" w14:textId="6F42263D" w:rsidR="002C7BE9" w:rsidRDefault="002C7BE9">
        <w:pPr>
          <w:pStyle w:val="Footer"/>
          <w:jc w:val="center"/>
        </w:pPr>
        <w:r>
          <w:fldChar w:fldCharType="begin"/>
        </w:r>
        <w:r>
          <w:instrText xml:space="preserve"> PAGE   \* MERGEFORMAT </w:instrText>
        </w:r>
        <w:r>
          <w:fldChar w:fldCharType="separate"/>
        </w:r>
        <w:r w:rsidR="003D59F8">
          <w:rPr>
            <w:noProof/>
          </w:rPr>
          <w:t>10</w:t>
        </w:r>
        <w:r>
          <w:rPr>
            <w:noProof/>
          </w:rPr>
          <w:fldChar w:fldCharType="end"/>
        </w:r>
      </w:p>
    </w:sdtContent>
  </w:sdt>
  <w:p w14:paraId="76AE581B" w14:textId="77777777" w:rsidR="00562E2B" w:rsidRDefault="00562E2B" w:rsidP="00881456">
    <w:pPr>
      <w:pStyle w:val="Footer"/>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E1FDDD" w14:textId="77777777" w:rsidR="00094A33" w:rsidRDefault="00094A33">
      <w:r>
        <w:separator/>
      </w:r>
    </w:p>
  </w:footnote>
  <w:footnote w:type="continuationSeparator" w:id="0">
    <w:p w14:paraId="6C797B84" w14:textId="77777777" w:rsidR="00094A33" w:rsidRDefault="00094A33">
      <w:r>
        <w:continuationSeparator/>
      </w:r>
    </w:p>
  </w:footnote>
  <w:footnote w:id="1">
    <w:p w14:paraId="3C43259E" w14:textId="77777777" w:rsidR="002E49A5" w:rsidRPr="00CF5372" w:rsidRDefault="002E49A5" w:rsidP="00D30CF7">
      <w:pPr>
        <w:pStyle w:val="FootnoteText"/>
        <w:rPr>
          <w:lang w:val="en-US"/>
        </w:rPr>
      </w:pPr>
      <w:r>
        <w:rPr>
          <w:lang w:val="en-US"/>
        </w:rPr>
        <w:t xml:space="preserve">* Corresponding authors: </w:t>
      </w:r>
      <w:r w:rsidRPr="00CF5372">
        <w:rPr>
          <w:lang w:val="en-US"/>
        </w:rPr>
        <w:t xml:space="preserve">E-mails: </w:t>
      </w:r>
      <w:hyperlink r:id="rId1" w:history="1">
        <w:r w:rsidRPr="004C4318">
          <w:rPr>
            <w:rStyle w:val="Hyperlink"/>
            <w:lang w:val="en-US"/>
          </w:rPr>
          <w:t>lucian.baia@phys.ubbcluj.ro</w:t>
        </w:r>
      </w:hyperlink>
      <w:r>
        <w:rPr>
          <w:lang w:val="en-US"/>
        </w:rPr>
        <w:t xml:space="preserve"> </w:t>
      </w:r>
      <w:r w:rsidRPr="00CF5372">
        <w:rPr>
          <w:lang w:val="en-US"/>
        </w:rPr>
        <w:t xml:space="preserve">(Lucian Baia), </w:t>
      </w:r>
      <w:hyperlink r:id="rId2" w:history="1">
        <w:r w:rsidRPr="009D3EDB">
          <w:rPr>
            <w:rStyle w:val="Hyperlink"/>
          </w:rPr>
          <w:t>lenuta-ileana.florea@polytechnique.edu</w:t>
        </w:r>
      </w:hyperlink>
      <w:r>
        <w:rPr>
          <w:rStyle w:val="Hyperlink"/>
        </w:rPr>
        <w:t xml:space="preserve"> (Ileana Florea)</w:t>
      </w:r>
    </w:p>
    <w:p w14:paraId="7706F4DD" w14:textId="77777777" w:rsidR="002E49A5" w:rsidRPr="00CA6ABD" w:rsidRDefault="002E49A5" w:rsidP="00D30CF7">
      <w:pPr>
        <w:pStyle w:val="FootnoteText"/>
      </w:pPr>
      <w:r w:rsidRPr="00CF5372">
        <w:rPr>
          <w:lang w:val="en-US"/>
        </w:rPr>
        <w:t xml:space="preserve">† M.M.R and </w:t>
      </w:r>
      <w:r>
        <w:rPr>
          <w:lang w:val="en-US"/>
        </w:rPr>
        <w:t>A.V</w:t>
      </w:r>
      <w:r w:rsidRPr="00CF5372">
        <w:rPr>
          <w:lang w:val="en-US"/>
        </w:rPr>
        <w:t>. contributed equally to this work.</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7A9236" w14:textId="46E2B9CE" w:rsidR="00562E2B" w:rsidRPr="009B44CC" w:rsidRDefault="00562E2B" w:rsidP="009B44CC">
    <w:pPr>
      <w:pStyle w:val="Header"/>
      <w:tabs>
        <w:tab w:val="left" w:pos="5003"/>
      </w:tabs>
      <w:jc w:val="right"/>
      <w:rPr>
        <w:lang w:val="en-US"/>
      </w:rPr>
    </w:pP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833DE"/>
    <w:multiLevelType w:val="hybridMultilevel"/>
    <w:tmpl w:val="90208218"/>
    <w:lvl w:ilvl="0" w:tplc="49BC2BB8">
      <w:start w:val="1"/>
      <w:numFmt w:val="decimal"/>
      <w:pStyle w:val="HeadingSub-Section"/>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F317747"/>
    <w:multiLevelType w:val="hybridMultilevel"/>
    <w:tmpl w:val="27D8E5D6"/>
    <w:lvl w:ilvl="0" w:tplc="ED487FFA">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6E36773"/>
    <w:multiLevelType w:val="hybridMultilevel"/>
    <w:tmpl w:val="17323942"/>
    <w:lvl w:ilvl="0" w:tplc="C0785764">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1801E20"/>
    <w:multiLevelType w:val="multilevel"/>
    <w:tmpl w:val="0809001F"/>
    <w:numStyleLink w:val="Style1"/>
  </w:abstractNum>
  <w:abstractNum w:abstractNumId="4" w15:restartNumberingAfterBreak="0">
    <w:nsid w:val="556079C5"/>
    <w:multiLevelType w:val="hybridMultilevel"/>
    <w:tmpl w:val="6B2864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88D6A91"/>
    <w:multiLevelType w:val="multilevel"/>
    <w:tmpl w:val="CE6ED07C"/>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68C811B8"/>
    <w:multiLevelType w:val="hybridMultilevel"/>
    <w:tmpl w:val="37D428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12617CD"/>
    <w:multiLevelType w:val="hybridMultilevel"/>
    <w:tmpl w:val="B10E1066"/>
    <w:lvl w:ilvl="0" w:tplc="EB18BE6C">
      <w:start w:val="1"/>
      <w:numFmt w:val="lowerLetter"/>
      <w:pStyle w:val="AuthorAdress"/>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27657E2"/>
    <w:multiLevelType w:val="multilevel"/>
    <w:tmpl w:val="0809001F"/>
    <w:styleLink w:val="Style1"/>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7"/>
  </w:num>
  <w:num w:numId="2">
    <w:abstractNumId w:val="2"/>
  </w:num>
  <w:num w:numId="3">
    <w:abstractNumId w:val="1"/>
  </w:num>
  <w:num w:numId="4">
    <w:abstractNumId w:val="3"/>
    <w:lvlOverride w:ilvl="0">
      <w:lvl w:ilvl="0">
        <w:start w:val="2"/>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
    <w:abstractNumId w:val="8"/>
  </w:num>
  <w:num w:numId="6">
    <w:abstractNumId w:val="0"/>
  </w:num>
  <w:num w:numId="7">
    <w:abstractNumId w:val="5"/>
  </w:num>
  <w:num w:numId="8">
    <w:abstractNumId w:val="4"/>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6A0"/>
    <w:rsid w:val="000003BB"/>
    <w:rsid w:val="0000374D"/>
    <w:rsid w:val="00004A23"/>
    <w:rsid w:val="00006A0A"/>
    <w:rsid w:val="0000703E"/>
    <w:rsid w:val="000112FC"/>
    <w:rsid w:val="000118B0"/>
    <w:rsid w:val="00011F40"/>
    <w:rsid w:val="0001454A"/>
    <w:rsid w:val="0001683C"/>
    <w:rsid w:val="000172E7"/>
    <w:rsid w:val="000214A8"/>
    <w:rsid w:val="00021A09"/>
    <w:rsid w:val="00023F64"/>
    <w:rsid w:val="00027FB5"/>
    <w:rsid w:val="000314D2"/>
    <w:rsid w:val="0003318F"/>
    <w:rsid w:val="00035EDB"/>
    <w:rsid w:val="00036360"/>
    <w:rsid w:val="0004094E"/>
    <w:rsid w:val="00040B7B"/>
    <w:rsid w:val="00041C1B"/>
    <w:rsid w:val="000437F7"/>
    <w:rsid w:val="00050985"/>
    <w:rsid w:val="00050E71"/>
    <w:rsid w:val="000546EB"/>
    <w:rsid w:val="0005501E"/>
    <w:rsid w:val="00055883"/>
    <w:rsid w:val="0006044D"/>
    <w:rsid w:val="00060D37"/>
    <w:rsid w:val="00062324"/>
    <w:rsid w:val="00063C0E"/>
    <w:rsid w:val="000643CC"/>
    <w:rsid w:val="00071932"/>
    <w:rsid w:val="00072EA7"/>
    <w:rsid w:val="00076EAD"/>
    <w:rsid w:val="0008287E"/>
    <w:rsid w:val="00083031"/>
    <w:rsid w:val="0008740B"/>
    <w:rsid w:val="000904D3"/>
    <w:rsid w:val="00091D77"/>
    <w:rsid w:val="0009309C"/>
    <w:rsid w:val="00093F1B"/>
    <w:rsid w:val="00094A33"/>
    <w:rsid w:val="00097851"/>
    <w:rsid w:val="00097FC4"/>
    <w:rsid w:val="000A1F4B"/>
    <w:rsid w:val="000A21A9"/>
    <w:rsid w:val="000A3E93"/>
    <w:rsid w:val="000A472C"/>
    <w:rsid w:val="000A5773"/>
    <w:rsid w:val="000A682F"/>
    <w:rsid w:val="000B05A0"/>
    <w:rsid w:val="000B33EE"/>
    <w:rsid w:val="000B4293"/>
    <w:rsid w:val="000C259E"/>
    <w:rsid w:val="000C3E0C"/>
    <w:rsid w:val="000C6252"/>
    <w:rsid w:val="000C6F8A"/>
    <w:rsid w:val="000D2D4B"/>
    <w:rsid w:val="000D45F4"/>
    <w:rsid w:val="000D5AB4"/>
    <w:rsid w:val="000D66DB"/>
    <w:rsid w:val="000D7EBA"/>
    <w:rsid w:val="000E788B"/>
    <w:rsid w:val="000E7A5B"/>
    <w:rsid w:val="000E7BBA"/>
    <w:rsid w:val="000F4DF8"/>
    <w:rsid w:val="000F512F"/>
    <w:rsid w:val="001013F4"/>
    <w:rsid w:val="001054D4"/>
    <w:rsid w:val="0010686C"/>
    <w:rsid w:val="00107C5F"/>
    <w:rsid w:val="00107CCC"/>
    <w:rsid w:val="00110011"/>
    <w:rsid w:val="001105BD"/>
    <w:rsid w:val="001148A9"/>
    <w:rsid w:val="00116C82"/>
    <w:rsid w:val="00120E85"/>
    <w:rsid w:val="00123ADA"/>
    <w:rsid w:val="00125573"/>
    <w:rsid w:val="0012642A"/>
    <w:rsid w:val="00126D17"/>
    <w:rsid w:val="001305BF"/>
    <w:rsid w:val="00131D58"/>
    <w:rsid w:val="001370B1"/>
    <w:rsid w:val="001377CA"/>
    <w:rsid w:val="00140B94"/>
    <w:rsid w:val="0014447B"/>
    <w:rsid w:val="001450FB"/>
    <w:rsid w:val="0014658A"/>
    <w:rsid w:val="00147DB8"/>
    <w:rsid w:val="00151683"/>
    <w:rsid w:val="0015392F"/>
    <w:rsid w:val="0015563E"/>
    <w:rsid w:val="00155F66"/>
    <w:rsid w:val="0016390D"/>
    <w:rsid w:val="00164057"/>
    <w:rsid w:val="00165B37"/>
    <w:rsid w:val="00170369"/>
    <w:rsid w:val="00173757"/>
    <w:rsid w:val="00174176"/>
    <w:rsid w:val="001806D7"/>
    <w:rsid w:val="00181D92"/>
    <w:rsid w:val="001823B6"/>
    <w:rsid w:val="001848EB"/>
    <w:rsid w:val="00187DB9"/>
    <w:rsid w:val="0019012C"/>
    <w:rsid w:val="0019077D"/>
    <w:rsid w:val="0019194D"/>
    <w:rsid w:val="0019723B"/>
    <w:rsid w:val="001A0C2A"/>
    <w:rsid w:val="001A4240"/>
    <w:rsid w:val="001A6821"/>
    <w:rsid w:val="001A734D"/>
    <w:rsid w:val="001B4224"/>
    <w:rsid w:val="001B425C"/>
    <w:rsid w:val="001B7472"/>
    <w:rsid w:val="001C10AC"/>
    <w:rsid w:val="001C4CA4"/>
    <w:rsid w:val="001C55FB"/>
    <w:rsid w:val="001D12BC"/>
    <w:rsid w:val="001D561D"/>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62B2"/>
    <w:rsid w:val="00216F54"/>
    <w:rsid w:val="002206E5"/>
    <w:rsid w:val="00220933"/>
    <w:rsid w:val="00220C72"/>
    <w:rsid w:val="0022540C"/>
    <w:rsid w:val="00226AA4"/>
    <w:rsid w:val="00233C8A"/>
    <w:rsid w:val="00235AF4"/>
    <w:rsid w:val="00236036"/>
    <w:rsid w:val="00240D90"/>
    <w:rsid w:val="00243BD2"/>
    <w:rsid w:val="00246718"/>
    <w:rsid w:val="00253CB1"/>
    <w:rsid w:val="002543F9"/>
    <w:rsid w:val="00257ADD"/>
    <w:rsid w:val="002629C3"/>
    <w:rsid w:val="002631E7"/>
    <w:rsid w:val="00263723"/>
    <w:rsid w:val="00263CF8"/>
    <w:rsid w:val="00265635"/>
    <w:rsid w:val="00266389"/>
    <w:rsid w:val="002675F7"/>
    <w:rsid w:val="002725A5"/>
    <w:rsid w:val="0027314F"/>
    <w:rsid w:val="00281C0F"/>
    <w:rsid w:val="0028289F"/>
    <w:rsid w:val="00284157"/>
    <w:rsid w:val="00285631"/>
    <w:rsid w:val="00290D94"/>
    <w:rsid w:val="0029203C"/>
    <w:rsid w:val="00294873"/>
    <w:rsid w:val="002973EA"/>
    <w:rsid w:val="002A3207"/>
    <w:rsid w:val="002A4A81"/>
    <w:rsid w:val="002A73A2"/>
    <w:rsid w:val="002A7CE8"/>
    <w:rsid w:val="002B0671"/>
    <w:rsid w:val="002B262F"/>
    <w:rsid w:val="002B3553"/>
    <w:rsid w:val="002B5E06"/>
    <w:rsid w:val="002B7FB1"/>
    <w:rsid w:val="002C0CFF"/>
    <w:rsid w:val="002C3A7B"/>
    <w:rsid w:val="002C7BE9"/>
    <w:rsid w:val="002D09B9"/>
    <w:rsid w:val="002D16A0"/>
    <w:rsid w:val="002D2930"/>
    <w:rsid w:val="002D2DFF"/>
    <w:rsid w:val="002D3D6D"/>
    <w:rsid w:val="002D5BF8"/>
    <w:rsid w:val="002D7ECC"/>
    <w:rsid w:val="002E1B8F"/>
    <w:rsid w:val="002E2DEF"/>
    <w:rsid w:val="002E49A5"/>
    <w:rsid w:val="002E4E3E"/>
    <w:rsid w:val="002E76B2"/>
    <w:rsid w:val="002E79A2"/>
    <w:rsid w:val="002F4F4B"/>
    <w:rsid w:val="002F55FD"/>
    <w:rsid w:val="002F594C"/>
    <w:rsid w:val="00300CA8"/>
    <w:rsid w:val="00301984"/>
    <w:rsid w:val="00301B0B"/>
    <w:rsid w:val="00301E84"/>
    <w:rsid w:val="00302E7A"/>
    <w:rsid w:val="00303D1B"/>
    <w:rsid w:val="003046B7"/>
    <w:rsid w:val="00312138"/>
    <w:rsid w:val="00317A57"/>
    <w:rsid w:val="00320A99"/>
    <w:rsid w:val="0032144B"/>
    <w:rsid w:val="00322D5B"/>
    <w:rsid w:val="00325AC2"/>
    <w:rsid w:val="00326A1C"/>
    <w:rsid w:val="00326E81"/>
    <w:rsid w:val="00327FDC"/>
    <w:rsid w:val="00335675"/>
    <w:rsid w:val="003360E3"/>
    <w:rsid w:val="003371D5"/>
    <w:rsid w:val="003376CD"/>
    <w:rsid w:val="003452C3"/>
    <w:rsid w:val="003501A7"/>
    <w:rsid w:val="0035048A"/>
    <w:rsid w:val="0036263B"/>
    <w:rsid w:val="00363B62"/>
    <w:rsid w:val="003645B0"/>
    <w:rsid w:val="00364B2C"/>
    <w:rsid w:val="003664F1"/>
    <w:rsid w:val="00367E3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517D"/>
    <w:rsid w:val="003B60EC"/>
    <w:rsid w:val="003B765F"/>
    <w:rsid w:val="003C00ED"/>
    <w:rsid w:val="003C1C0A"/>
    <w:rsid w:val="003C35DF"/>
    <w:rsid w:val="003C4A68"/>
    <w:rsid w:val="003C554F"/>
    <w:rsid w:val="003C61DD"/>
    <w:rsid w:val="003D2C14"/>
    <w:rsid w:val="003D59F8"/>
    <w:rsid w:val="003D63E7"/>
    <w:rsid w:val="003E05F1"/>
    <w:rsid w:val="003E113B"/>
    <w:rsid w:val="003E5092"/>
    <w:rsid w:val="003E715D"/>
    <w:rsid w:val="003E7CE0"/>
    <w:rsid w:val="003F103E"/>
    <w:rsid w:val="003F20C9"/>
    <w:rsid w:val="003F2811"/>
    <w:rsid w:val="003F2E48"/>
    <w:rsid w:val="003F440C"/>
    <w:rsid w:val="003F525A"/>
    <w:rsid w:val="003F7BE6"/>
    <w:rsid w:val="004006A9"/>
    <w:rsid w:val="00404548"/>
    <w:rsid w:val="004052AE"/>
    <w:rsid w:val="00405C85"/>
    <w:rsid w:val="004118A5"/>
    <w:rsid w:val="00413672"/>
    <w:rsid w:val="00414041"/>
    <w:rsid w:val="00414465"/>
    <w:rsid w:val="00414729"/>
    <w:rsid w:val="00414C80"/>
    <w:rsid w:val="00414F4B"/>
    <w:rsid w:val="00415EF9"/>
    <w:rsid w:val="00416629"/>
    <w:rsid w:val="00417DA1"/>
    <w:rsid w:val="00423478"/>
    <w:rsid w:val="00425B76"/>
    <w:rsid w:val="004260A2"/>
    <w:rsid w:val="00426FC6"/>
    <w:rsid w:val="004273BC"/>
    <w:rsid w:val="00427C5F"/>
    <w:rsid w:val="004456A1"/>
    <w:rsid w:val="004507E5"/>
    <w:rsid w:val="004519AD"/>
    <w:rsid w:val="0045459A"/>
    <w:rsid w:val="004545DB"/>
    <w:rsid w:val="0045786A"/>
    <w:rsid w:val="00460A6F"/>
    <w:rsid w:val="00460F76"/>
    <w:rsid w:val="00462934"/>
    <w:rsid w:val="00462F12"/>
    <w:rsid w:val="00463050"/>
    <w:rsid w:val="0046340F"/>
    <w:rsid w:val="00465AB5"/>
    <w:rsid w:val="00465D65"/>
    <w:rsid w:val="00466168"/>
    <w:rsid w:val="0046778B"/>
    <w:rsid w:val="004714D4"/>
    <w:rsid w:val="00475712"/>
    <w:rsid w:val="00480CCE"/>
    <w:rsid w:val="00482FAA"/>
    <w:rsid w:val="00484C98"/>
    <w:rsid w:val="0049075F"/>
    <w:rsid w:val="00492DA8"/>
    <w:rsid w:val="004A0888"/>
    <w:rsid w:val="004A1EA8"/>
    <w:rsid w:val="004A43B6"/>
    <w:rsid w:val="004A70EE"/>
    <w:rsid w:val="004A774E"/>
    <w:rsid w:val="004A7D3E"/>
    <w:rsid w:val="004A7FF9"/>
    <w:rsid w:val="004B379D"/>
    <w:rsid w:val="004B5F0C"/>
    <w:rsid w:val="004B6031"/>
    <w:rsid w:val="004C046E"/>
    <w:rsid w:val="004C1609"/>
    <w:rsid w:val="004C216B"/>
    <w:rsid w:val="004C5DD3"/>
    <w:rsid w:val="004D172C"/>
    <w:rsid w:val="004D30F9"/>
    <w:rsid w:val="004D4A32"/>
    <w:rsid w:val="004D64AB"/>
    <w:rsid w:val="004E0D8B"/>
    <w:rsid w:val="004E4BE0"/>
    <w:rsid w:val="004E7CE8"/>
    <w:rsid w:val="004F271D"/>
    <w:rsid w:val="004F5114"/>
    <w:rsid w:val="004F756C"/>
    <w:rsid w:val="005001FA"/>
    <w:rsid w:val="005019AF"/>
    <w:rsid w:val="00502433"/>
    <w:rsid w:val="0050488D"/>
    <w:rsid w:val="00504D12"/>
    <w:rsid w:val="0050527A"/>
    <w:rsid w:val="0050535A"/>
    <w:rsid w:val="005106F5"/>
    <w:rsid w:val="00511192"/>
    <w:rsid w:val="005118AD"/>
    <w:rsid w:val="00511C46"/>
    <w:rsid w:val="00512353"/>
    <w:rsid w:val="005220C2"/>
    <w:rsid w:val="00522E88"/>
    <w:rsid w:val="00523369"/>
    <w:rsid w:val="0052398F"/>
    <w:rsid w:val="00532960"/>
    <w:rsid w:val="00544402"/>
    <w:rsid w:val="00545A73"/>
    <w:rsid w:val="00546DEB"/>
    <w:rsid w:val="00546F0F"/>
    <w:rsid w:val="005477E7"/>
    <w:rsid w:val="00550159"/>
    <w:rsid w:val="00551897"/>
    <w:rsid w:val="00551FFD"/>
    <w:rsid w:val="00552A0F"/>
    <w:rsid w:val="005551ED"/>
    <w:rsid w:val="00556419"/>
    <w:rsid w:val="005572B4"/>
    <w:rsid w:val="005572DD"/>
    <w:rsid w:val="00560564"/>
    <w:rsid w:val="00562E2B"/>
    <w:rsid w:val="00564668"/>
    <w:rsid w:val="00567CF4"/>
    <w:rsid w:val="00570353"/>
    <w:rsid w:val="005715F5"/>
    <w:rsid w:val="0057171E"/>
    <w:rsid w:val="00571EEC"/>
    <w:rsid w:val="00572666"/>
    <w:rsid w:val="0057267E"/>
    <w:rsid w:val="005726BD"/>
    <w:rsid w:val="00574A5A"/>
    <w:rsid w:val="005753B8"/>
    <w:rsid w:val="00583ED5"/>
    <w:rsid w:val="00587437"/>
    <w:rsid w:val="00591D1C"/>
    <w:rsid w:val="00592678"/>
    <w:rsid w:val="00594644"/>
    <w:rsid w:val="00595019"/>
    <w:rsid w:val="0059526F"/>
    <w:rsid w:val="00596F36"/>
    <w:rsid w:val="005A1741"/>
    <w:rsid w:val="005A235F"/>
    <w:rsid w:val="005A4E82"/>
    <w:rsid w:val="005A751F"/>
    <w:rsid w:val="005A7719"/>
    <w:rsid w:val="005A77C2"/>
    <w:rsid w:val="005B291B"/>
    <w:rsid w:val="005B76C5"/>
    <w:rsid w:val="005B7AF0"/>
    <w:rsid w:val="005B7B8A"/>
    <w:rsid w:val="005C09C6"/>
    <w:rsid w:val="005C458D"/>
    <w:rsid w:val="005C491E"/>
    <w:rsid w:val="005C5E0A"/>
    <w:rsid w:val="005C6C0C"/>
    <w:rsid w:val="005D2276"/>
    <w:rsid w:val="005D25FD"/>
    <w:rsid w:val="005D2808"/>
    <w:rsid w:val="005E0858"/>
    <w:rsid w:val="005E2794"/>
    <w:rsid w:val="005E3CBF"/>
    <w:rsid w:val="005E4E00"/>
    <w:rsid w:val="005E6F9D"/>
    <w:rsid w:val="005E7B5A"/>
    <w:rsid w:val="005F01FC"/>
    <w:rsid w:val="005F0C89"/>
    <w:rsid w:val="005F3701"/>
    <w:rsid w:val="005F41DF"/>
    <w:rsid w:val="005F4521"/>
    <w:rsid w:val="005F5478"/>
    <w:rsid w:val="006006FC"/>
    <w:rsid w:val="00602A71"/>
    <w:rsid w:val="006045BA"/>
    <w:rsid w:val="0060583A"/>
    <w:rsid w:val="00606DBA"/>
    <w:rsid w:val="00611649"/>
    <w:rsid w:val="00611A0E"/>
    <w:rsid w:val="00614154"/>
    <w:rsid w:val="00614BD3"/>
    <w:rsid w:val="00623A77"/>
    <w:rsid w:val="006256F5"/>
    <w:rsid w:val="006271AE"/>
    <w:rsid w:val="0063097B"/>
    <w:rsid w:val="006318D6"/>
    <w:rsid w:val="006364B8"/>
    <w:rsid w:val="00636A64"/>
    <w:rsid w:val="00636B93"/>
    <w:rsid w:val="00640550"/>
    <w:rsid w:val="0064326A"/>
    <w:rsid w:val="00643779"/>
    <w:rsid w:val="00644D5D"/>
    <w:rsid w:val="00645A02"/>
    <w:rsid w:val="00646DC7"/>
    <w:rsid w:val="00650003"/>
    <w:rsid w:val="006511FB"/>
    <w:rsid w:val="00651A9D"/>
    <w:rsid w:val="00654C93"/>
    <w:rsid w:val="00656092"/>
    <w:rsid w:val="0065741C"/>
    <w:rsid w:val="00660B85"/>
    <w:rsid w:val="00662DCE"/>
    <w:rsid w:val="00664F6D"/>
    <w:rsid w:val="006650B8"/>
    <w:rsid w:val="00666329"/>
    <w:rsid w:val="006672EE"/>
    <w:rsid w:val="0067011F"/>
    <w:rsid w:val="0067015E"/>
    <w:rsid w:val="00680453"/>
    <w:rsid w:val="00680636"/>
    <w:rsid w:val="00682526"/>
    <w:rsid w:val="00683555"/>
    <w:rsid w:val="00686F1D"/>
    <w:rsid w:val="00692F7A"/>
    <w:rsid w:val="00695E06"/>
    <w:rsid w:val="00696315"/>
    <w:rsid w:val="006A0D51"/>
    <w:rsid w:val="006A1C05"/>
    <w:rsid w:val="006A225B"/>
    <w:rsid w:val="006A30D2"/>
    <w:rsid w:val="006A5A6A"/>
    <w:rsid w:val="006A5FE3"/>
    <w:rsid w:val="006B23B2"/>
    <w:rsid w:val="006B4845"/>
    <w:rsid w:val="006B635C"/>
    <w:rsid w:val="006C1708"/>
    <w:rsid w:val="006C1C29"/>
    <w:rsid w:val="006C3782"/>
    <w:rsid w:val="006C3CDE"/>
    <w:rsid w:val="006C4745"/>
    <w:rsid w:val="006C5737"/>
    <w:rsid w:val="006D0EE8"/>
    <w:rsid w:val="006D3162"/>
    <w:rsid w:val="006D37E7"/>
    <w:rsid w:val="006D5146"/>
    <w:rsid w:val="006D59D6"/>
    <w:rsid w:val="006D5C04"/>
    <w:rsid w:val="006D7508"/>
    <w:rsid w:val="006E0F2F"/>
    <w:rsid w:val="006E19D7"/>
    <w:rsid w:val="006E3E15"/>
    <w:rsid w:val="006E71B9"/>
    <w:rsid w:val="006F39B2"/>
    <w:rsid w:val="006F5384"/>
    <w:rsid w:val="006F6604"/>
    <w:rsid w:val="006F71D8"/>
    <w:rsid w:val="006F7D1A"/>
    <w:rsid w:val="00702F6F"/>
    <w:rsid w:val="0070346C"/>
    <w:rsid w:val="007051A0"/>
    <w:rsid w:val="00706496"/>
    <w:rsid w:val="00711A12"/>
    <w:rsid w:val="00711F11"/>
    <w:rsid w:val="007154C4"/>
    <w:rsid w:val="00715DB9"/>
    <w:rsid w:val="007174BE"/>
    <w:rsid w:val="007218A0"/>
    <w:rsid w:val="007232C2"/>
    <w:rsid w:val="007238AF"/>
    <w:rsid w:val="00726093"/>
    <w:rsid w:val="00726908"/>
    <w:rsid w:val="007270C7"/>
    <w:rsid w:val="00730F3A"/>
    <w:rsid w:val="00735F34"/>
    <w:rsid w:val="00736944"/>
    <w:rsid w:val="00741200"/>
    <w:rsid w:val="00741333"/>
    <w:rsid w:val="00742FF2"/>
    <w:rsid w:val="00744D6A"/>
    <w:rsid w:val="00746138"/>
    <w:rsid w:val="0074620A"/>
    <w:rsid w:val="00751D50"/>
    <w:rsid w:val="007527D5"/>
    <w:rsid w:val="00752F3C"/>
    <w:rsid w:val="007561FC"/>
    <w:rsid w:val="00761D34"/>
    <w:rsid w:val="00762D2D"/>
    <w:rsid w:val="00764622"/>
    <w:rsid w:val="00764CAD"/>
    <w:rsid w:val="00770FA1"/>
    <w:rsid w:val="00773884"/>
    <w:rsid w:val="0077396B"/>
    <w:rsid w:val="00774813"/>
    <w:rsid w:val="0078052A"/>
    <w:rsid w:val="007812FB"/>
    <w:rsid w:val="00783743"/>
    <w:rsid w:val="00784032"/>
    <w:rsid w:val="00786E79"/>
    <w:rsid w:val="00787925"/>
    <w:rsid w:val="00790E31"/>
    <w:rsid w:val="00793B87"/>
    <w:rsid w:val="0079566E"/>
    <w:rsid w:val="00796509"/>
    <w:rsid w:val="0079691E"/>
    <w:rsid w:val="00797723"/>
    <w:rsid w:val="007B1EEE"/>
    <w:rsid w:val="007B249B"/>
    <w:rsid w:val="007B6D4D"/>
    <w:rsid w:val="007B6FAF"/>
    <w:rsid w:val="007B7A09"/>
    <w:rsid w:val="007C0F7A"/>
    <w:rsid w:val="007C32C7"/>
    <w:rsid w:val="007D24A9"/>
    <w:rsid w:val="007D27FA"/>
    <w:rsid w:val="007D2EF6"/>
    <w:rsid w:val="007D30B5"/>
    <w:rsid w:val="007D6218"/>
    <w:rsid w:val="007D6699"/>
    <w:rsid w:val="007D7E30"/>
    <w:rsid w:val="007E068F"/>
    <w:rsid w:val="007E6419"/>
    <w:rsid w:val="007F2F81"/>
    <w:rsid w:val="007F6815"/>
    <w:rsid w:val="007F6BA8"/>
    <w:rsid w:val="0080681B"/>
    <w:rsid w:val="0080738C"/>
    <w:rsid w:val="00807851"/>
    <w:rsid w:val="00810B77"/>
    <w:rsid w:val="00811236"/>
    <w:rsid w:val="00817436"/>
    <w:rsid w:val="00822217"/>
    <w:rsid w:val="0082542D"/>
    <w:rsid w:val="00827834"/>
    <w:rsid w:val="00832835"/>
    <w:rsid w:val="00835110"/>
    <w:rsid w:val="008351FC"/>
    <w:rsid w:val="00841F50"/>
    <w:rsid w:val="00843A0E"/>
    <w:rsid w:val="00845DFE"/>
    <w:rsid w:val="00846E17"/>
    <w:rsid w:val="008471BE"/>
    <w:rsid w:val="0085200A"/>
    <w:rsid w:val="00854283"/>
    <w:rsid w:val="008573E3"/>
    <w:rsid w:val="008607EA"/>
    <w:rsid w:val="00861E81"/>
    <w:rsid w:val="008645FF"/>
    <w:rsid w:val="00866414"/>
    <w:rsid w:val="00866D42"/>
    <w:rsid w:val="0087030E"/>
    <w:rsid w:val="00870AAC"/>
    <w:rsid w:val="008734F7"/>
    <w:rsid w:val="00874E9F"/>
    <w:rsid w:val="00877842"/>
    <w:rsid w:val="008806F8"/>
    <w:rsid w:val="008808E2"/>
    <w:rsid w:val="00880F37"/>
    <w:rsid w:val="00881456"/>
    <w:rsid w:val="00881ACB"/>
    <w:rsid w:val="00885FC9"/>
    <w:rsid w:val="00891328"/>
    <w:rsid w:val="00891A47"/>
    <w:rsid w:val="00892809"/>
    <w:rsid w:val="00893709"/>
    <w:rsid w:val="0089370F"/>
    <w:rsid w:val="008939AF"/>
    <w:rsid w:val="00893FED"/>
    <w:rsid w:val="0089449A"/>
    <w:rsid w:val="00895E48"/>
    <w:rsid w:val="00896687"/>
    <w:rsid w:val="008971F4"/>
    <w:rsid w:val="008A0E7D"/>
    <w:rsid w:val="008A3023"/>
    <w:rsid w:val="008A35F8"/>
    <w:rsid w:val="008A403F"/>
    <w:rsid w:val="008A6815"/>
    <w:rsid w:val="008B1031"/>
    <w:rsid w:val="008B2303"/>
    <w:rsid w:val="008B34A0"/>
    <w:rsid w:val="008B5740"/>
    <w:rsid w:val="008C0B84"/>
    <w:rsid w:val="008C41DA"/>
    <w:rsid w:val="008C553A"/>
    <w:rsid w:val="008C588E"/>
    <w:rsid w:val="008C7226"/>
    <w:rsid w:val="008D7B80"/>
    <w:rsid w:val="008E4184"/>
    <w:rsid w:val="008E549F"/>
    <w:rsid w:val="008E6301"/>
    <w:rsid w:val="008F10BC"/>
    <w:rsid w:val="008F2052"/>
    <w:rsid w:val="008F26ED"/>
    <w:rsid w:val="008F2A38"/>
    <w:rsid w:val="008F3012"/>
    <w:rsid w:val="008F592B"/>
    <w:rsid w:val="009017DD"/>
    <w:rsid w:val="00901D14"/>
    <w:rsid w:val="00903775"/>
    <w:rsid w:val="009109F7"/>
    <w:rsid w:val="00912137"/>
    <w:rsid w:val="009121F3"/>
    <w:rsid w:val="00915BED"/>
    <w:rsid w:val="00915DBC"/>
    <w:rsid w:val="00916B64"/>
    <w:rsid w:val="0092145D"/>
    <w:rsid w:val="00923446"/>
    <w:rsid w:val="009245DE"/>
    <w:rsid w:val="00930762"/>
    <w:rsid w:val="00930C0C"/>
    <w:rsid w:val="009326D0"/>
    <w:rsid w:val="009369BC"/>
    <w:rsid w:val="00936B81"/>
    <w:rsid w:val="00937245"/>
    <w:rsid w:val="009375B8"/>
    <w:rsid w:val="00940FAD"/>
    <w:rsid w:val="00944701"/>
    <w:rsid w:val="00950ED1"/>
    <w:rsid w:val="00952A7A"/>
    <w:rsid w:val="00953A02"/>
    <w:rsid w:val="0095444E"/>
    <w:rsid w:val="00955215"/>
    <w:rsid w:val="00955C67"/>
    <w:rsid w:val="00957B65"/>
    <w:rsid w:val="00960AFF"/>
    <w:rsid w:val="00963F62"/>
    <w:rsid w:val="00965EFC"/>
    <w:rsid w:val="0097161B"/>
    <w:rsid w:val="009762D2"/>
    <w:rsid w:val="009762F1"/>
    <w:rsid w:val="0097692D"/>
    <w:rsid w:val="009776D2"/>
    <w:rsid w:val="00977EA8"/>
    <w:rsid w:val="0098140D"/>
    <w:rsid w:val="00981CED"/>
    <w:rsid w:val="00987225"/>
    <w:rsid w:val="00990870"/>
    <w:rsid w:val="00990DCF"/>
    <w:rsid w:val="009920F5"/>
    <w:rsid w:val="00992B56"/>
    <w:rsid w:val="00992CDA"/>
    <w:rsid w:val="00993342"/>
    <w:rsid w:val="00996873"/>
    <w:rsid w:val="00996CE4"/>
    <w:rsid w:val="009A0FB3"/>
    <w:rsid w:val="009A213E"/>
    <w:rsid w:val="009A3F36"/>
    <w:rsid w:val="009A48D8"/>
    <w:rsid w:val="009A6C59"/>
    <w:rsid w:val="009A7878"/>
    <w:rsid w:val="009B0888"/>
    <w:rsid w:val="009B33DF"/>
    <w:rsid w:val="009B4270"/>
    <w:rsid w:val="009B44CC"/>
    <w:rsid w:val="009B5651"/>
    <w:rsid w:val="009B62E4"/>
    <w:rsid w:val="009B72C8"/>
    <w:rsid w:val="009C4319"/>
    <w:rsid w:val="009C747C"/>
    <w:rsid w:val="009D109E"/>
    <w:rsid w:val="009D19ED"/>
    <w:rsid w:val="009D1CD9"/>
    <w:rsid w:val="009D1F28"/>
    <w:rsid w:val="009D3293"/>
    <w:rsid w:val="009D4830"/>
    <w:rsid w:val="009D797A"/>
    <w:rsid w:val="009E026A"/>
    <w:rsid w:val="009E3B56"/>
    <w:rsid w:val="009E49B5"/>
    <w:rsid w:val="009E50BA"/>
    <w:rsid w:val="009E551E"/>
    <w:rsid w:val="009E7066"/>
    <w:rsid w:val="009F1DD4"/>
    <w:rsid w:val="009F1EF8"/>
    <w:rsid w:val="009F4604"/>
    <w:rsid w:val="009F4B78"/>
    <w:rsid w:val="009F52F5"/>
    <w:rsid w:val="009F606B"/>
    <w:rsid w:val="009F6E66"/>
    <w:rsid w:val="00A02AC3"/>
    <w:rsid w:val="00A06095"/>
    <w:rsid w:val="00A06840"/>
    <w:rsid w:val="00A06EAD"/>
    <w:rsid w:val="00A10348"/>
    <w:rsid w:val="00A1293C"/>
    <w:rsid w:val="00A14F9B"/>
    <w:rsid w:val="00A167F1"/>
    <w:rsid w:val="00A2085F"/>
    <w:rsid w:val="00A20EC0"/>
    <w:rsid w:val="00A2150B"/>
    <w:rsid w:val="00A215D9"/>
    <w:rsid w:val="00A2292C"/>
    <w:rsid w:val="00A23292"/>
    <w:rsid w:val="00A23FC3"/>
    <w:rsid w:val="00A25F1B"/>
    <w:rsid w:val="00A3288D"/>
    <w:rsid w:val="00A329DC"/>
    <w:rsid w:val="00A41135"/>
    <w:rsid w:val="00A41FEB"/>
    <w:rsid w:val="00A42FBA"/>
    <w:rsid w:val="00A44DA6"/>
    <w:rsid w:val="00A50921"/>
    <w:rsid w:val="00A5160D"/>
    <w:rsid w:val="00A56CA4"/>
    <w:rsid w:val="00A571BB"/>
    <w:rsid w:val="00A65F04"/>
    <w:rsid w:val="00A65F2E"/>
    <w:rsid w:val="00A71AD5"/>
    <w:rsid w:val="00A7572E"/>
    <w:rsid w:val="00A77823"/>
    <w:rsid w:val="00A8073E"/>
    <w:rsid w:val="00A80883"/>
    <w:rsid w:val="00A81BED"/>
    <w:rsid w:val="00A82FC6"/>
    <w:rsid w:val="00A85A0D"/>
    <w:rsid w:val="00A92270"/>
    <w:rsid w:val="00A94F87"/>
    <w:rsid w:val="00AA10AE"/>
    <w:rsid w:val="00AA329F"/>
    <w:rsid w:val="00AA7B6A"/>
    <w:rsid w:val="00AB593E"/>
    <w:rsid w:val="00AB5D37"/>
    <w:rsid w:val="00AB683F"/>
    <w:rsid w:val="00AC4A2E"/>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1072F"/>
    <w:rsid w:val="00B15820"/>
    <w:rsid w:val="00B215D8"/>
    <w:rsid w:val="00B2218A"/>
    <w:rsid w:val="00B22BE6"/>
    <w:rsid w:val="00B246ED"/>
    <w:rsid w:val="00B26DD0"/>
    <w:rsid w:val="00B338C8"/>
    <w:rsid w:val="00B341CC"/>
    <w:rsid w:val="00B35321"/>
    <w:rsid w:val="00B35505"/>
    <w:rsid w:val="00B35CB3"/>
    <w:rsid w:val="00B35E0A"/>
    <w:rsid w:val="00B40124"/>
    <w:rsid w:val="00B40B86"/>
    <w:rsid w:val="00B42E03"/>
    <w:rsid w:val="00B42FBB"/>
    <w:rsid w:val="00B443E2"/>
    <w:rsid w:val="00B46222"/>
    <w:rsid w:val="00B54092"/>
    <w:rsid w:val="00B5444C"/>
    <w:rsid w:val="00B5568B"/>
    <w:rsid w:val="00B557BF"/>
    <w:rsid w:val="00B55BD6"/>
    <w:rsid w:val="00B56147"/>
    <w:rsid w:val="00B5720A"/>
    <w:rsid w:val="00B604A0"/>
    <w:rsid w:val="00B60761"/>
    <w:rsid w:val="00B620A5"/>
    <w:rsid w:val="00B62BB1"/>
    <w:rsid w:val="00B63559"/>
    <w:rsid w:val="00B73979"/>
    <w:rsid w:val="00B751B0"/>
    <w:rsid w:val="00B762E0"/>
    <w:rsid w:val="00B81DD1"/>
    <w:rsid w:val="00B86C54"/>
    <w:rsid w:val="00B874C4"/>
    <w:rsid w:val="00B97AA2"/>
    <w:rsid w:val="00B97B8E"/>
    <w:rsid w:val="00BA00A8"/>
    <w:rsid w:val="00BA0378"/>
    <w:rsid w:val="00BA37A4"/>
    <w:rsid w:val="00BA4FB0"/>
    <w:rsid w:val="00BA6138"/>
    <w:rsid w:val="00BB1930"/>
    <w:rsid w:val="00BB3478"/>
    <w:rsid w:val="00BC2247"/>
    <w:rsid w:val="00BC370D"/>
    <w:rsid w:val="00BC5572"/>
    <w:rsid w:val="00BD497C"/>
    <w:rsid w:val="00BD57EE"/>
    <w:rsid w:val="00BE4927"/>
    <w:rsid w:val="00BE4E8A"/>
    <w:rsid w:val="00BE7518"/>
    <w:rsid w:val="00BF2A79"/>
    <w:rsid w:val="00BF375F"/>
    <w:rsid w:val="00C00EBF"/>
    <w:rsid w:val="00C02372"/>
    <w:rsid w:val="00C044C3"/>
    <w:rsid w:val="00C10453"/>
    <w:rsid w:val="00C13BCA"/>
    <w:rsid w:val="00C141B9"/>
    <w:rsid w:val="00C158CF"/>
    <w:rsid w:val="00C16518"/>
    <w:rsid w:val="00C1787D"/>
    <w:rsid w:val="00C20F14"/>
    <w:rsid w:val="00C22B7C"/>
    <w:rsid w:val="00C23B8E"/>
    <w:rsid w:val="00C3184D"/>
    <w:rsid w:val="00C32591"/>
    <w:rsid w:val="00C331FD"/>
    <w:rsid w:val="00C34DCB"/>
    <w:rsid w:val="00C36D0C"/>
    <w:rsid w:val="00C3708D"/>
    <w:rsid w:val="00C4138A"/>
    <w:rsid w:val="00C440B4"/>
    <w:rsid w:val="00C446F9"/>
    <w:rsid w:val="00C462CB"/>
    <w:rsid w:val="00C46F39"/>
    <w:rsid w:val="00C47AFE"/>
    <w:rsid w:val="00C5067F"/>
    <w:rsid w:val="00C515C3"/>
    <w:rsid w:val="00C51AA2"/>
    <w:rsid w:val="00C52E43"/>
    <w:rsid w:val="00C56CD4"/>
    <w:rsid w:val="00C609C3"/>
    <w:rsid w:val="00C60E16"/>
    <w:rsid w:val="00C65E4E"/>
    <w:rsid w:val="00C66610"/>
    <w:rsid w:val="00C66648"/>
    <w:rsid w:val="00C66FEF"/>
    <w:rsid w:val="00C70CB4"/>
    <w:rsid w:val="00C727A7"/>
    <w:rsid w:val="00C728D5"/>
    <w:rsid w:val="00C72CF7"/>
    <w:rsid w:val="00C75119"/>
    <w:rsid w:val="00C76DD6"/>
    <w:rsid w:val="00C90B62"/>
    <w:rsid w:val="00C91C08"/>
    <w:rsid w:val="00C97F0E"/>
    <w:rsid w:val="00CA06AC"/>
    <w:rsid w:val="00CA0A4C"/>
    <w:rsid w:val="00CA1D9E"/>
    <w:rsid w:val="00CA242A"/>
    <w:rsid w:val="00CA27BD"/>
    <w:rsid w:val="00CA2AB6"/>
    <w:rsid w:val="00CA2BAA"/>
    <w:rsid w:val="00CA4BCC"/>
    <w:rsid w:val="00CA6ABD"/>
    <w:rsid w:val="00CB01D6"/>
    <w:rsid w:val="00CB311E"/>
    <w:rsid w:val="00CB71E1"/>
    <w:rsid w:val="00CC0ED3"/>
    <w:rsid w:val="00CC1894"/>
    <w:rsid w:val="00CC19F4"/>
    <w:rsid w:val="00CC2EE2"/>
    <w:rsid w:val="00CC3D03"/>
    <w:rsid w:val="00CC45DB"/>
    <w:rsid w:val="00CC5651"/>
    <w:rsid w:val="00CC73FF"/>
    <w:rsid w:val="00CD141E"/>
    <w:rsid w:val="00CD45DA"/>
    <w:rsid w:val="00CD523F"/>
    <w:rsid w:val="00CD6E96"/>
    <w:rsid w:val="00CE2EA4"/>
    <w:rsid w:val="00CE5714"/>
    <w:rsid w:val="00CE6138"/>
    <w:rsid w:val="00CE6F59"/>
    <w:rsid w:val="00CE7AAB"/>
    <w:rsid w:val="00CF0A76"/>
    <w:rsid w:val="00CF2673"/>
    <w:rsid w:val="00CF2DA1"/>
    <w:rsid w:val="00CF378D"/>
    <w:rsid w:val="00CF43B1"/>
    <w:rsid w:val="00CF49A5"/>
    <w:rsid w:val="00D034A7"/>
    <w:rsid w:val="00D0614B"/>
    <w:rsid w:val="00D06AD1"/>
    <w:rsid w:val="00D17549"/>
    <w:rsid w:val="00D2066F"/>
    <w:rsid w:val="00D24D97"/>
    <w:rsid w:val="00D275F5"/>
    <w:rsid w:val="00D30CF7"/>
    <w:rsid w:val="00D33BAF"/>
    <w:rsid w:val="00D376F1"/>
    <w:rsid w:val="00D43CA8"/>
    <w:rsid w:val="00D4523D"/>
    <w:rsid w:val="00D4593F"/>
    <w:rsid w:val="00D45BD4"/>
    <w:rsid w:val="00D4775B"/>
    <w:rsid w:val="00D47AB8"/>
    <w:rsid w:val="00D55D94"/>
    <w:rsid w:val="00D56566"/>
    <w:rsid w:val="00D57D08"/>
    <w:rsid w:val="00D60AB1"/>
    <w:rsid w:val="00D647A4"/>
    <w:rsid w:val="00D6487A"/>
    <w:rsid w:val="00D648BB"/>
    <w:rsid w:val="00D64E04"/>
    <w:rsid w:val="00D65A5E"/>
    <w:rsid w:val="00D669D1"/>
    <w:rsid w:val="00D7049A"/>
    <w:rsid w:val="00D704F6"/>
    <w:rsid w:val="00D722B1"/>
    <w:rsid w:val="00D74A82"/>
    <w:rsid w:val="00D753F6"/>
    <w:rsid w:val="00D75AB4"/>
    <w:rsid w:val="00D7737D"/>
    <w:rsid w:val="00D80897"/>
    <w:rsid w:val="00D81375"/>
    <w:rsid w:val="00D8540E"/>
    <w:rsid w:val="00D85C4D"/>
    <w:rsid w:val="00D8730B"/>
    <w:rsid w:val="00D9072A"/>
    <w:rsid w:val="00D94852"/>
    <w:rsid w:val="00DA039C"/>
    <w:rsid w:val="00DA10B4"/>
    <w:rsid w:val="00DA16B8"/>
    <w:rsid w:val="00DA6EBE"/>
    <w:rsid w:val="00DB1266"/>
    <w:rsid w:val="00DB1CC0"/>
    <w:rsid w:val="00DB27CC"/>
    <w:rsid w:val="00DB2A54"/>
    <w:rsid w:val="00DB4E22"/>
    <w:rsid w:val="00DB4EF9"/>
    <w:rsid w:val="00DC29FE"/>
    <w:rsid w:val="00DC430C"/>
    <w:rsid w:val="00DC60FB"/>
    <w:rsid w:val="00DC7319"/>
    <w:rsid w:val="00DC742E"/>
    <w:rsid w:val="00DD38DC"/>
    <w:rsid w:val="00DD63FF"/>
    <w:rsid w:val="00DF1BBF"/>
    <w:rsid w:val="00DF3145"/>
    <w:rsid w:val="00DF4B0E"/>
    <w:rsid w:val="00DF4F8B"/>
    <w:rsid w:val="00DF7469"/>
    <w:rsid w:val="00E018B7"/>
    <w:rsid w:val="00E01E4B"/>
    <w:rsid w:val="00E02AF4"/>
    <w:rsid w:val="00E05BEE"/>
    <w:rsid w:val="00E062B0"/>
    <w:rsid w:val="00E0711E"/>
    <w:rsid w:val="00E0770C"/>
    <w:rsid w:val="00E07948"/>
    <w:rsid w:val="00E14DFA"/>
    <w:rsid w:val="00E17EA5"/>
    <w:rsid w:val="00E229DB"/>
    <w:rsid w:val="00E2571A"/>
    <w:rsid w:val="00E26EDC"/>
    <w:rsid w:val="00E2713C"/>
    <w:rsid w:val="00E30B42"/>
    <w:rsid w:val="00E342D7"/>
    <w:rsid w:val="00E34D1F"/>
    <w:rsid w:val="00E35C26"/>
    <w:rsid w:val="00E36F2C"/>
    <w:rsid w:val="00E40931"/>
    <w:rsid w:val="00E410EA"/>
    <w:rsid w:val="00E41D5C"/>
    <w:rsid w:val="00E437F7"/>
    <w:rsid w:val="00E529F9"/>
    <w:rsid w:val="00E55017"/>
    <w:rsid w:val="00E55416"/>
    <w:rsid w:val="00E557D1"/>
    <w:rsid w:val="00E56282"/>
    <w:rsid w:val="00E61357"/>
    <w:rsid w:val="00E616BF"/>
    <w:rsid w:val="00E625F4"/>
    <w:rsid w:val="00E658AA"/>
    <w:rsid w:val="00E6656A"/>
    <w:rsid w:val="00E66D17"/>
    <w:rsid w:val="00E70D30"/>
    <w:rsid w:val="00E716BA"/>
    <w:rsid w:val="00E7230B"/>
    <w:rsid w:val="00E75977"/>
    <w:rsid w:val="00E76431"/>
    <w:rsid w:val="00E7686D"/>
    <w:rsid w:val="00E813BA"/>
    <w:rsid w:val="00E8590C"/>
    <w:rsid w:val="00E85F76"/>
    <w:rsid w:val="00E934B8"/>
    <w:rsid w:val="00E93590"/>
    <w:rsid w:val="00E94506"/>
    <w:rsid w:val="00E95A7B"/>
    <w:rsid w:val="00E969E9"/>
    <w:rsid w:val="00EA01A0"/>
    <w:rsid w:val="00EA1247"/>
    <w:rsid w:val="00EA155A"/>
    <w:rsid w:val="00EA24D4"/>
    <w:rsid w:val="00EA2851"/>
    <w:rsid w:val="00EA3515"/>
    <w:rsid w:val="00EA55FE"/>
    <w:rsid w:val="00EA6F5F"/>
    <w:rsid w:val="00EB0B4F"/>
    <w:rsid w:val="00EB1B59"/>
    <w:rsid w:val="00EB4384"/>
    <w:rsid w:val="00EB6065"/>
    <w:rsid w:val="00EC0826"/>
    <w:rsid w:val="00EC292C"/>
    <w:rsid w:val="00EC2C45"/>
    <w:rsid w:val="00EC4E99"/>
    <w:rsid w:val="00ED3A21"/>
    <w:rsid w:val="00ED54F9"/>
    <w:rsid w:val="00ED6982"/>
    <w:rsid w:val="00EE0218"/>
    <w:rsid w:val="00EE0E54"/>
    <w:rsid w:val="00EE1033"/>
    <w:rsid w:val="00EF24BB"/>
    <w:rsid w:val="00EF2B90"/>
    <w:rsid w:val="00EF32F6"/>
    <w:rsid w:val="00EF4114"/>
    <w:rsid w:val="00EF448F"/>
    <w:rsid w:val="00EF4634"/>
    <w:rsid w:val="00EF472E"/>
    <w:rsid w:val="00EF4A5A"/>
    <w:rsid w:val="00EF4EC4"/>
    <w:rsid w:val="00EF66A9"/>
    <w:rsid w:val="00EF74D8"/>
    <w:rsid w:val="00F01898"/>
    <w:rsid w:val="00F05EE0"/>
    <w:rsid w:val="00F06985"/>
    <w:rsid w:val="00F07DE8"/>
    <w:rsid w:val="00F14E7A"/>
    <w:rsid w:val="00F156B3"/>
    <w:rsid w:val="00F15FD8"/>
    <w:rsid w:val="00F21A1A"/>
    <w:rsid w:val="00F22813"/>
    <w:rsid w:val="00F22FC8"/>
    <w:rsid w:val="00F27F36"/>
    <w:rsid w:val="00F32B8C"/>
    <w:rsid w:val="00F33383"/>
    <w:rsid w:val="00F33D5B"/>
    <w:rsid w:val="00F4030B"/>
    <w:rsid w:val="00F42F65"/>
    <w:rsid w:val="00F444F5"/>
    <w:rsid w:val="00F4602E"/>
    <w:rsid w:val="00F46BCF"/>
    <w:rsid w:val="00F515AF"/>
    <w:rsid w:val="00F53E05"/>
    <w:rsid w:val="00F5550A"/>
    <w:rsid w:val="00F55A56"/>
    <w:rsid w:val="00F56088"/>
    <w:rsid w:val="00F6031D"/>
    <w:rsid w:val="00F610C9"/>
    <w:rsid w:val="00F61303"/>
    <w:rsid w:val="00F65606"/>
    <w:rsid w:val="00F66614"/>
    <w:rsid w:val="00F67764"/>
    <w:rsid w:val="00F71232"/>
    <w:rsid w:val="00F74722"/>
    <w:rsid w:val="00F75F45"/>
    <w:rsid w:val="00F82957"/>
    <w:rsid w:val="00F83BD2"/>
    <w:rsid w:val="00F857CA"/>
    <w:rsid w:val="00F92C2B"/>
    <w:rsid w:val="00F9374C"/>
    <w:rsid w:val="00F94241"/>
    <w:rsid w:val="00F945CD"/>
    <w:rsid w:val="00F950DE"/>
    <w:rsid w:val="00F95DC3"/>
    <w:rsid w:val="00F95ECF"/>
    <w:rsid w:val="00F9792C"/>
    <w:rsid w:val="00F97AAA"/>
    <w:rsid w:val="00FA15C4"/>
    <w:rsid w:val="00FA4AD8"/>
    <w:rsid w:val="00FB3597"/>
    <w:rsid w:val="00FB53CA"/>
    <w:rsid w:val="00FC3750"/>
    <w:rsid w:val="00FC487C"/>
    <w:rsid w:val="00FC51A5"/>
    <w:rsid w:val="00FD0B36"/>
    <w:rsid w:val="00FD168A"/>
    <w:rsid w:val="00FD3643"/>
    <w:rsid w:val="00FD553C"/>
    <w:rsid w:val="00FD6F5E"/>
    <w:rsid w:val="00FE087D"/>
    <w:rsid w:val="00FE0AD5"/>
    <w:rsid w:val="00FE1032"/>
    <w:rsid w:val="00FE133D"/>
    <w:rsid w:val="00FE2090"/>
    <w:rsid w:val="00FE323C"/>
    <w:rsid w:val="00FE359D"/>
    <w:rsid w:val="00FE47EA"/>
    <w:rsid w:val="00FE4D5F"/>
    <w:rsid w:val="00FE7BC4"/>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B6A460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4A23"/>
    <w:rPr>
      <w:sz w:val="24"/>
      <w:szCs w:val="24"/>
      <w:lang w:val="de-DE" w:eastAsia="ja-JP"/>
    </w:rPr>
  </w:style>
  <w:style w:type="paragraph" w:styleId="Heading1">
    <w:name w:val="heading 1"/>
    <w:basedOn w:val="Normal"/>
    <w:link w:val="Heading1Char"/>
    <w:uiPriority w:val="9"/>
    <w:qFormat/>
    <w:rsid w:val="00CA6ABD"/>
    <w:pPr>
      <w:spacing w:before="100" w:beforeAutospacing="1" w:after="100" w:afterAutospacing="1"/>
      <w:outlineLvl w:val="0"/>
    </w:pPr>
    <w:rPr>
      <w:rFonts w:eastAsia="Times New Roman"/>
      <w:b/>
      <w:bCs/>
      <w:kern w:val="36"/>
      <w:sz w:val="48"/>
      <w:szCs w:val="48"/>
      <w:lang w:val="en-GB" w:eastAsia="en-GB"/>
    </w:rPr>
  </w:style>
  <w:style w:type="paragraph" w:styleId="Heading2">
    <w:name w:val="heading 2"/>
    <w:basedOn w:val="Normal"/>
    <w:next w:val="Normal"/>
    <w:link w:val="Heading2Char"/>
    <w:uiPriority w:val="9"/>
    <w:semiHidden/>
    <w:unhideWhenUsed/>
    <w:qFormat/>
    <w:rsid w:val="00F14E7A"/>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FootnoteText">
    <w:name w:val="footnote text"/>
    <w:basedOn w:val="Normal"/>
    <w:link w:val="FootnoteTextChar"/>
    <w:uiPriority w:val="99"/>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semiHidden/>
    <w:rsid w:val="00D81375"/>
    <w:rPr>
      <w:rFonts w:ascii="Tahoma" w:hAnsi="Tahoma" w:cs="Tahoma"/>
      <w:sz w:val="16"/>
      <w:szCs w:val="16"/>
    </w:rPr>
  </w:style>
  <w:style w:type="paragraph" w:styleId="Header">
    <w:name w:val="header"/>
    <w:basedOn w:val="Normal"/>
    <w:link w:val="HeaderChar"/>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004A23"/>
    <w:pPr>
      <w:spacing w:line="480" w:lineRule="auto"/>
    </w:pPr>
    <w:rPr>
      <w:lang w:val="en-US"/>
    </w:rPr>
  </w:style>
  <w:style w:type="paragraph" w:customStyle="1" w:styleId="Head1">
    <w:name w:val="Head 1"/>
    <w:basedOn w:val="Normal"/>
    <w:autoRedefine/>
    <w:rsid w:val="00004A23"/>
    <w:pPr>
      <w:spacing w:line="360" w:lineRule="auto"/>
    </w:pPr>
    <w:rPr>
      <w:b/>
      <w:lang w:val="en-US"/>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autoRedefine/>
    <w:rsid w:val="00004A23"/>
    <w:rPr>
      <w:lang w:val="en-US"/>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322D5B"/>
    <w:rPr>
      <w:lang w:val="en-US"/>
    </w:rPr>
  </w:style>
  <w:style w:type="paragraph" w:customStyle="1" w:styleId="Maintext0">
    <w:name w:val="Main text"/>
    <w:basedOn w:val="Normal"/>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Normal"/>
    <w:autoRedefine/>
    <w:rsid w:val="00562E2B"/>
    <w:rPr>
      <w:i/>
      <w:lang w:val="en-US"/>
    </w:rPr>
  </w:style>
  <w:style w:type="character" w:customStyle="1" w:styleId="HeaderChar">
    <w:name w:val="Header Char"/>
    <w:link w:val="Header"/>
    <w:rsid w:val="00414465"/>
    <w:rPr>
      <w:sz w:val="24"/>
      <w:szCs w:val="24"/>
      <w:lang w:eastAsia="ja-JP"/>
    </w:rPr>
  </w:style>
  <w:style w:type="character" w:styleId="CommentReference">
    <w:name w:val="annotation reference"/>
    <w:uiPriority w:val="99"/>
    <w:semiHidden/>
    <w:unhideWhenUsed/>
    <w:qFormat/>
    <w:rsid w:val="00664F6D"/>
    <w:rPr>
      <w:sz w:val="16"/>
      <w:szCs w:val="16"/>
    </w:rPr>
  </w:style>
  <w:style w:type="paragraph" w:styleId="CommentText">
    <w:name w:val="annotation text"/>
    <w:basedOn w:val="Normal"/>
    <w:link w:val="CommentTextChar"/>
    <w:uiPriority w:val="99"/>
    <w:unhideWhenUsed/>
    <w:rsid w:val="00664F6D"/>
    <w:rPr>
      <w:sz w:val="20"/>
      <w:szCs w:val="20"/>
      <w:lang w:val="x-none"/>
    </w:rPr>
  </w:style>
  <w:style w:type="character" w:customStyle="1" w:styleId="CommentTextChar">
    <w:name w:val="Comment Text Char"/>
    <w:link w:val="CommentText"/>
    <w:uiPriority w:val="99"/>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7B7A09"/>
    <w:rPr>
      <w:sz w:val="24"/>
      <w:szCs w:val="24"/>
      <w:lang w:eastAsia="ja-JP"/>
    </w:rPr>
  </w:style>
  <w:style w:type="paragraph" w:customStyle="1" w:styleId="Authors">
    <w:name w:val="Authors"/>
    <w:basedOn w:val="Normal"/>
    <w:link w:val="AuthorsChar"/>
    <w:qFormat/>
    <w:rsid w:val="003B765F"/>
    <w:pPr>
      <w:spacing w:after="200" w:line="240" w:lineRule="exact"/>
      <w:jc w:val="both"/>
    </w:pPr>
    <w:rPr>
      <w:rFonts w:eastAsiaTheme="minorHAnsi" w:cstheme="minorBidi"/>
      <w:noProof/>
      <w:sz w:val="16"/>
      <w:szCs w:val="22"/>
      <w:lang w:val="en-GB" w:eastAsia="en-GB"/>
    </w:rPr>
  </w:style>
  <w:style w:type="character" w:customStyle="1" w:styleId="AuthorsChar">
    <w:name w:val="Authors Char"/>
    <w:basedOn w:val="DefaultParagraphFont"/>
    <w:link w:val="Authors"/>
    <w:rsid w:val="003B765F"/>
    <w:rPr>
      <w:rFonts w:eastAsiaTheme="minorHAnsi" w:cstheme="minorBidi"/>
      <w:noProof/>
      <w:sz w:val="16"/>
      <w:szCs w:val="22"/>
    </w:rPr>
  </w:style>
  <w:style w:type="character" w:styleId="Hyperlink">
    <w:name w:val="Hyperlink"/>
    <w:basedOn w:val="DefaultParagraphFont"/>
    <w:uiPriority w:val="99"/>
    <w:unhideWhenUsed/>
    <w:rsid w:val="003B765F"/>
    <w:rPr>
      <w:color w:val="0563C1" w:themeColor="hyperlink"/>
      <w:u w:val="single"/>
    </w:rPr>
  </w:style>
  <w:style w:type="character" w:customStyle="1" w:styleId="FootnoteTextChar">
    <w:name w:val="Footnote Text Char"/>
    <w:basedOn w:val="DefaultParagraphFont"/>
    <w:link w:val="FootnoteText"/>
    <w:uiPriority w:val="99"/>
    <w:semiHidden/>
    <w:rsid w:val="003B765F"/>
    <w:rPr>
      <w:rFonts w:eastAsia="Times New Roman"/>
      <w:lang w:eastAsia="ro-RO"/>
    </w:rPr>
  </w:style>
  <w:style w:type="character" w:styleId="FootnoteReference">
    <w:name w:val="footnote reference"/>
    <w:basedOn w:val="DefaultParagraphFont"/>
    <w:uiPriority w:val="99"/>
    <w:semiHidden/>
    <w:unhideWhenUsed/>
    <w:rsid w:val="003B765F"/>
    <w:rPr>
      <w:vertAlign w:val="superscript"/>
    </w:rPr>
  </w:style>
  <w:style w:type="paragraph" w:customStyle="1" w:styleId="AuthorAdress">
    <w:name w:val="Author Adress"/>
    <w:basedOn w:val="Normal"/>
    <w:link w:val="AuthorAdressChar"/>
    <w:qFormat/>
    <w:rsid w:val="001B425C"/>
    <w:pPr>
      <w:numPr>
        <w:numId w:val="1"/>
      </w:numPr>
      <w:spacing w:after="160" w:line="259" w:lineRule="auto"/>
    </w:pPr>
    <w:rPr>
      <w:rFonts w:eastAsiaTheme="minorHAnsi"/>
      <w:sz w:val="20"/>
      <w:szCs w:val="20"/>
      <w:lang w:val="en-GB" w:eastAsia="en-US"/>
    </w:rPr>
  </w:style>
  <w:style w:type="character" w:customStyle="1" w:styleId="AuthorAdressChar">
    <w:name w:val="Author Adress Char"/>
    <w:basedOn w:val="DefaultParagraphFont"/>
    <w:link w:val="AuthorAdress"/>
    <w:rsid w:val="001B425C"/>
    <w:rPr>
      <w:rFonts w:eastAsiaTheme="minorHAnsi"/>
      <w:lang w:eastAsia="en-US"/>
    </w:rPr>
  </w:style>
  <w:style w:type="character" w:customStyle="1" w:styleId="z4p7tc">
    <w:name w:val="z4p7tc"/>
    <w:basedOn w:val="DefaultParagraphFont"/>
    <w:rsid w:val="009375B8"/>
  </w:style>
  <w:style w:type="character" w:customStyle="1" w:styleId="Heading1Char">
    <w:name w:val="Heading 1 Char"/>
    <w:basedOn w:val="DefaultParagraphFont"/>
    <w:link w:val="Heading1"/>
    <w:uiPriority w:val="9"/>
    <w:rsid w:val="00CA6ABD"/>
    <w:rPr>
      <w:rFonts w:eastAsia="Times New Roman"/>
      <w:b/>
      <w:bCs/>
      <w:kern w:val="36"/>
      <w:sz w:val="48"/>
      <w:szCs w:val="48"/>
    </w:rPr>
  </w:style>
  <w:style w:type="paragraph" w:customStyle="1" w:styleId="ArticleText">
    <w:name w:val="Article Text"/>
    <w:basedOn w:val="Normal"/>
    <w:link w:val="ArticleTextChar"/>
    <w:qFormat/>
    <w:rsid w:val="00CA6ABD"/>
    <w:pPr>
      <w:spacing w:line="360" w:lineRule="auto"/>
      <w:jc w:val="both"/>
    </w:pPr>
    <w:rPr>
      <w:rFonts w:eastAsiaTheme="minorHAnsi"/>
      <w:w w:val="108"/>
      <w:szCs w:val="18"/>
      <w:lang w:val="en-GB" w:eastAsia="en-US"/>
    </w:rPr>
  </w:style>
  <w:style w:type="character" w:customStyle="1" w:styleId="ArticleTextChar">
    <w:name w:val="Article Text Char"/>
    <w:basedOn w:val="DefaultParagraphFont"/>
    <w:link w:val="ArticleText"/>
    <w:rsid w:val="00CA6ABD"/>
    <w:rPr>
      <w:rFonts w:eastAsiaTheme="minorHAnsi"/>
      <w:w w:val="108"/>
      <w:sz w:val="24"/>
      <w:szCs w:val="18"/>
      <w:lang w:eastAsia="en-US"/>
    </w:rPr>
  </w:style>
  <w:style w:type="paragraph" w:customStyle="1" w:styleId="HeadingSub-Section">
    <w:name w:val="Heading (Sub-Section)"/>
    <w:link w:val="HeadingSub-SectionChar"/>
    <w:qFormat/>
    <w:rsid w:val="00036360"/>
    <w:pPr>
      <w:numPr>
        <w:numId w:val="6"/>
      </w:numPr>
      <w:spacing w:after="80" w:line="240" w:lineRule="exact"/>
    </w:pPr>
    <w:rPr>
      <w:rFonts w:asciiTheme="minorHAnsi" w:eastAsiaTheme="minorHAnsi" w:hAnsiTheme="minorHAnsi" w:cstheme="minorBidi"/>
      <w:b/>
      <w:i/>
      <w:sz w:val="24"/>
      <w:szCs w:val="22"/>
      <w:lang w:eastAsia="en-US"/>
    </w:rPr>
  </w:style>
  <w:style w:type="character" w:customStyle="1" w:styleId="HeadingSub-SectionChar">
    <w:name w:val="Heading (Sub-Section) Char"/>
    <w:basedOn w:val="DefaultParagraphFont"/>
    <w:link w:val="HeadingSub-Section"/>
    <w:rsid w:val="00036360"/>
    <w:rPr>
      <w:rFonts w:asciiTheme="minorHAnsi" w:eastAsiaTheme="minorHAnsi" w:hAnsiTheme="minorHAnsi" w:cstheme="minorBidi"/>
      <w:b/>
      <w:i/>
      <w:sz w:val="24"/>
      <w:szCs w:val="22"/>
      <w:lang w:eastAsia="en-US"/>
    </w:rPr>
  </w:style>
  <w:style w:type="numbering" w:customStyle="1" w:styleId="Style1">
    <w:name w:val="Style1"/>
    <w:uiPriority w:val="99"/>
    <w:rsid w:val="00036360"/>
    <w:pPr>
      <w:numPr>
        <w:numId w:val="5"/>
      </w:numPr>
    </w:pPr>
  </w:style>
  <w:style w:type="table" w:styleId="TableGrid">
    <w:name w:val="Table Grid"/>
    <w:basedOn w:val="TableNormal"/>
    <w:uiPriority w:val="39"/>
    <w:rsid w:val="00036360"/>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31text">
    <w:name w:val="MDPI_3.1_text"/>
    <w:rsid w:val="00036360"/>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paragraph" w:styleId="Caption">
    <w:name w:val="caption"/>
    <w:basedOn w:val="Normal"/>
    <w:next w:val="Normal"/>
    <w:uiPriority w:val="35"/>
    <w:unhideWhenUsed/>
    <w:qFormat/>
    <w:rsid w:val="00FE1032"/>
    <w:pPr>
      <w:spacing w:after="200"/>
    </w:pPr>
    <w:rPr>
      <w:rFonts w:eastAsiaTheme="minorHAnsi"/>
      <w:b/>
      <w:iCs/>
      <w:sz w:val="20"/>
      <w:szCs w:val="18"/>
      <w:lang w:val="en-GB" w:eastAsia="en-US"/>
    </w:rPr>
  </w:style>
  <w:style w:type="paragraph" w:customStyle="1" w:styleId="HeadingCIn-line">
    <w:name w:val="Heading C (In-line)"/>
    <w:link w:val="HeadingCIn-lineChar"/>
    <w:rsid w:val="00940FAD"/>
    <w:pPr>
      <w:spacing w:line="276" w:lineRule="auto"/>
    </w:pPr>
    <w:rPr>
      <w:rFonts w:eastAsiaTheme="minorHAnsi" w:cstheme="minorBidi"/>
      <w:i/>
      <w:sz w:val="24"/>
      <w:szCs w:val="22"/>
      <w:lang w:eastAsia="en-US"/>
    </w:rPr>
  </w:style>
  <w:style w:type="character" w:customStyle="1" w:styleId="HeadingCIn-lineChar">
    <w:name w:val="Heading C (In-line) Char"/>
    <w:basedOn w:val="DefaultParagraphFont"/>
    <w:link w:val="HeadingCIn-line"/>
    <w:rsid w:val="00940FAD"/>
    <w:rPr>
      <w:rFonts w:eastAsiaTheme="minorHAnsi" w:cstheme="minorBidi"/>
      <w:i/>
      <w:sz w:val="24"/>
      <w:szCs w:val="22"/>
      <w:lang w:eastAsia="en-US"/>
    </w:rPr>
  </w:style>
  <w:style w:type="paragraph" w:customStyle="1" w:styleId="FigureCaption">
    <w:name w:val="Figure_Caption"/>
    <w:basedOn w:val="Normal"/>
    <w:next w:val="Normal"/>
    <w:qFormat/>
    <w:rsid w:val="00A10348"/>
    <w:pPr>
      <w:spacing w:after="200"/>
      <w:jc w:val="both"/>
    </w:pPr>
    <w:rPr>
      <w:rFonts w:ascii="Times" w:eastAsia="Times New Roman" w:hAnsi="Times"/>
      <w:sz w:val="20"/>
      <w:szCs w:val="20"/>
      <w:lang w:val="en-US" w:eastAsia="en-US"/>
    </w:rPr>
  </w:style>
  <w:style w:type="paragraph" w:customStyle="1" w:styleId="MathematicsGreeketc">
    <w:name w:val="Mathematics/Greek etc"/>
    <w:basedOn w:val="Normal"/>
    <w:link w:val="MathematicsGreeketcChar"/>
    <w:qFormat/>
    <w:rsid w:val="00A10348"/>
    <w:pPr>
      <w:tabs>
        <w:tab w:val="center" w:pos="2268"/>
        <w:tab w:val="right" w:pos="4536"/>
      </w:tabs>
      <w:spacing w:before="160" w:after="160"/>
    </w:pPr>
    <w:rPr>
      <w:rFonts w:eastAsiaTheme="minorHAnsi" w:cstheme="minorBidi"/>
      <w:szCs w:val="22"/>
      <w:lang w:val="en-GB" w:eastAsia="en-US"/>
    </w:rPr>
  </w:style>
  <w:style w:type="character" w:customStyle="1" w:styleId="MathematicsGreeketcChar">
    <w:name w:val="Mathematics/Greek etc Char"/>
    <w:basedOn w:val="DefaultParagraphFont"/>
    <w:link w:val="MathematicsGreeketc"/>
    <w:rsid w:val="00A10348"/>
    <w:rPr>
      <w:rFonts w:eastAsiaTheme="minorHAnsi" w:cstheme="minorBidi"/>
      <w:sz w:val="24"/>
      <w:szCs w:val="22"/>
      <w:lang w:eastAsia="en-US"/>
    </w:rPr>
  </w:style>
  <w:style w:type="character" w:styleId="PlaceholderText">
    <w:name w:val="Placeholder Text"/>
    <w:basedOn w:val="DefaultParagraphFont"/>
    <w:uiPriority w:val="99"/>
    <w:semiHidden/>
    <w:qFormat/>
    <w:rsid w:val="00A10348"/>
    <w:rPr>
      <w:color w:val="808080"/>
    </w:rPr>
  </w:style>
  <w:style w:type="paragraph" w:customStyle="1" w:styleId="TFReferencesSection">
    <w:name w:val="TF_References_Section"/>
    <w:basedOn w:val="Normal"/>
    <w:qFormat/>
    <w:rsid w:val="005A4E82"/>
    <w:pPr>
      <w:spacing w:after="200" w:line="480" w:lineRule="auto"/>
      <w:ind w:firstLine="187"/>
      <w:jc w:val="both"/>
    </w:pPr>
    <w:rPr>
      <w:rFonts w:ascii="Times" w:eastAsia="Times New Roman" w:hAnsi="Times"/>
      <w:szCs w:val="20"/>
      <w:lang w:val="en-US" w:eastAsia="en-US"/>
    </w:rPr>
  </w:style>
  <w:style w:type="paragraph" w:customStyle="1" w:styleId="TESupportingInformation">
    <w:name w:val="TE_Supporting_Information"/>
    <w:basedOn w:val="Normal"/>
    <w:next w:val="Normal"/>
    <w:qFormat/>
    <w:rsid w:val="005A4E82"/>
    <w:pPr>
      <w:spacing w:after="200" w:line="480" w:lineRule="auto"/>
      <w:ind w:firstLine="187"/>
      <w:jc w:val="both"/>
    </w:pPr>
    <w:rPr>
      <w:rFonts w:ascii="Times" w:eastAsia="Times New Roman" w:hAnsi="Times"/>
      <w:szCs w:val="20"/>
      <w:lang w:val="en-US" w:eastAsia="en-US"/>
    </w:rPr>
  </w:style>
  <w:style w:type="paragraph" w:customStyle="1" w:styleId="VAFigureCaption">
    <w:name w:val="VA_Figure_Caption"/>
    <w:basedOn w:val="Normal"/>
    <w:next w:val="Normal"/>
    <w:qFormat/>
    <w:rsid w:val="005A4E82"/>
    <w:pPr>
      <w:spacing w:after="200" w:line="480" w:lineRule="auto"/>
      <w:jc w:val="both"/>
    </w:pPr>
    <w:rPr>
      <w:rFonts w:ascii="Times" w:eastAsia="Times New Roman" w:hAnsi="Times"/>
      <w:szCs w:val="20"/>
      <w:lang w:val="en-US" w:eastAsia="en-US"/>
    </w:rPr>
  </w:style>
  <w:style w:type="paragraph" w:styleId="ListParagraph">
    <w:name w:val="List Paragraph"/>
    <w:basedOn w:val="Normal"/>
    <w:uiPriority w:val="34"/>
    <w:qFormat/>
    <w:rsid w:val="00726093"/>
    <w:pPr>
      <w:ind w:left="720"/>
      <w:contextualSpacing/>
    </w:pPr>
  </w:style>
  <w:style w:type="paragraph" w:styleId="Revision">
    <w:name w:val="Revision"/>
    <w:hidden/>
    <w:uiPriority w:val="99"/>
    <w:semiHidden/>
    <w:rsid w:val="00A23292"/>
    <w:rPr>
      <w:sz w:val="24"/>
      <w:szCs w:val="24"/>
      <w:lang w:val="de-DE" w:eastAsia="ja-JP"/>
    </w:rPr>
  </w:style>
  <w:style w:type="character" w:customStyle="1" w:styleId="Heading2Char">
    <w:name w:val="Heading 2 Char"/>
    <w:basedOn w:val="DefaultParagraphFont"/>
    <w:link w:val="Heading2"/>
    <w:uiPriority w:val="9"/>
    <w:semiHidden/>
    <w:rsid w:val="00F14E7A"/>
    <w:rPr>
      <w:rFonts w:asciiTheme="majorHAnsi" w:eastAsiaTheme="majorEastAsia" w:hAnsiTheme="majorHAnsi" w:cstheme="majorBidi"/>
      <w:color w:val="2F5496" w:themeColor="accent1" w:themeShade="BF"/>
      <w:sz w:val="26"/>
      <w:szCs w:val="26"/>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1432233">
      <w:bodyDiv w:val="1"/>
      <w:marLeft w:val="0"/>
      <w:marRight w:val="0"/>
      <w:marTop w:val="0"/>
      <w:marBottom w:val="0"/>
      <w:divBdr>
        <w:top w:val="none" w:sz="0" w:space="0" w:color="auto"/>
        <w:left w:val="none" w:sz="0" w:space="0" w:color="auto"/>
        <w:bottom w:val="none" w:sz="0" w:space="0" w:color="auto"/>
        <w:right w:val="none" w:sz="0" w:space="0" w:color="auto"/>
      </w:divBdr>
    </w:div>
    <w:div w:id="377900422">
      <w:bodyDiv w:val="1"/>
      <w:marLeft w:val="0"/>
      <w:marRight w:val="0"/>
      <w:marTop w:val="0"/>
      <w:marBottom w:val="0"/>
      <w:divBdr>
        <w:top w:val="none" w:sz="0" w:space="0" w:color="auto"/>
        <w:left w:val="none" w:sz="0" w:space="0" w:color="auto"/>
        <w:bottom w:val="none" w:sz="0" w:space="0" w:color="auto"/>
        <w:right w:val="none" w:sz="0" w:space="0" w:color="auto"/>
      </w:divBdr>
      <w:divsChild>
        <w:div w:id="1903446850">
          <w:marLeft w:val="480"/>
          <w:marRight w:val="0"/>
          <w:marTop w:val="0"/>
          <w:marBottom w:val="0"/>
          <w:divBdr>
            <w:top w:val="none" w:sz="0" w:space="0" w:color="auto"/>
            <w:left w:val="none" w:sz="0" w:space="0" w:color="auto"/>
            <w:bottom w:val="none" w:sz="0" w:space="0" w:color="auto"/>
            <w:right w:val="none" w:sz="0" w:space="0" w:color="auto"/>
          </w:divBdr>
        </w:div>
        <w:div w:id="919408540">
          <w:marLeft w:val="480"/>
          <w:marRight w:val="0"/>
          <w:marTop w:val="0"/>
          <w:marBottom w:val="0"/>
          <w:divBdr>
            <w:top w:val="none" w:sz="0" w:space="0" w:color="auto"/>
            <w:left w:val="none" w:sz="0" w:space="0" w:color="auto"/>
            <w:bottom w:val="none" w:sz="0" w:space="0" w:color="auto"/>
            <w:right w:val="none" w:sz="0" w:space="0" w:color="auto"/>
          </w:divBdr>
        </w:div>
        <w:div w:id="1600529151">
          <w:marLeft w:val="480"/>
          <w:marRight w:val="0"/>
          <w:marTop w:val="0"/>
          <w:marBottom w:val="0"/>
          <w:divBdr>
            <w:top w:val="none" w:sz="0" w:space="0" w:color="auto"/>
            <w:left w:val="none" w:sz="0" w:space="0" w:color="auto"/>
            <w:bottom w:val="none" w:sz="0" w:space="0" w:color="auto"/>
            <w:right w:val="none" w:sz="0" w:space="0" w:color="auto"/>
          </w:divBdr>
        </w:div>
        <w:div w:id="731587971">
          <w:marLeft w:val="480"/>
          <w:marRight w:val="0"/>
          <w:marTop w:val="0"/>
          <w:marBottom w:val="0"/>
          <w:divBdr>
            <w:top w:val="none" w:sz="0" w:space="0" w:color="auto"/>
            <w:left w:val="none" w:sz="0" w:space="0" w:color="auto"/>
            <w:bottom w:val="none" w:sz="0" w:space="0" w:color="auto"/>
            <w:right w:val="none" w:sz="0" w:space="0" w:color="auto"/>
          </w:divBdr>
        </w:div>
      </w:divsChild>
    </w:div>
    <w:div w:id="1246719803">
      <w:bodyDiv w:val="1"/>
      <w:marLeft w:val="0"/>
      <w:marRight w:val="0"/>
      <w:marTop w:val="0"/>
      <w:marBottom w:val="0"/>
      <w:divBdr>
        <w:top w:val="none" w:sz="0" w:space="0" w:color="auto"/>
        <w:left w:val="none" w:sz="0" w:space="0" w:color="auto"/>
        <w:bottom w:val="none" w:sz="0" w:space="0" w:color="auto"/>
        <w:right w:val="none" w:sz="0" w:space="0" w:color="auto"/>
      </w:divBdr>
      <w:divsChild>
        <w:div w:id="1884054196">
          <w:marLeft w:val="480"/>
          <w:marRight w:val="0"/>
          <w:marTop w:val="0"/>
          <w:marBottom w:val="0"/>
          <w:divBdr>
            <w:top w:val="none" w:sz="0" w:space="0" w:color="auto"/>
            <w:left w:val="none" w:sz="0" w:space="0" w:color="auto"/>
            <w:bottom w:val="none" w:sz="0" w:space="0" w:color="auto"/>
            <w:right w:val="none" w:sz="0" w:space="0" w:color="auto"/>
          </w:divBdr>
        </w:div>
        <w:div w:id="1021783132">
          <w:marLeft w:val="480"/>
          <w:marRight w:val="0"/>
          <w:marTop w:val="0"/>
          <w:marBottom w:val="0"/>
          <w:divBdr>
            <w:top w:val="none" w:sz="0" w:space="0" w:color="auto"/>
            <w:left w:val="none" w:sz="0" w:space="0" w:color="auto"/>
            <w:bottom w:val="none" w:sz="0" w:space="0" w:color="auto"/>
            <w:right w:val="none" w:sz="0" w:space="0" w:color="auto"/>
          </w:divBdr>
        </w:div>
        <w:div w:id="1751073751">
          <w:marLeft w:val="480"/>
          <w:marRight w:val="0"/>
          <w:marTop w:val="0"/>
          <w:marBottom w:val="0"/>
          <w:divBdr>
            <w:top w:val="none" w:sz="0" w:space="0" w:color="auto"/>
            <w:left w:val="none" w:sz="0" w:space="0" w:color="auto"/>
            <w:bottom w:val="none" w:sz="0" w:space="0" w:color="auto"/>
            <w:right w:val="none" w:sz="0" w:space="0" w:color="auto"/>
          </w:divBdr>
        </w:div>
        <w:div w:id="558058346">
          <w:marLeft w:val="480"/>
          <w:marRight w:val="0"/>
          <w:marTop w:val="0"/>
          <w:marBottom w:val="0"/>
          <w:divBdr>
            <w:top w:val="none" w:sz="0" w:space="0" w:color="auto"/>
            <w:left w:val="none" w:sz="0" w:space="0" w:color="auto"/>
            <w:bottom w:val="none" w:sz="0" w:space="0" w:color="auto"/>
            <w:right w:val="none" w:sz="0" w:space="0" w:color="auto"/>
          </w:divBdr>
        </w:div>
      </w:divsChild>
    </w:div>
    <w:div w:id="1303460707">
      <w:bodyDiv w:val="1"/>
      <w:marLeft w:val="0"/>
      <w:marRight w:val="0"/>
      <w:marTop w:val="0"/>
      <w:marBottom w:val="0"/>
      <w:divBdr>
        <w:top w:val="none" w:sz="0" w:space="0" w:color="auto"/>
        <w:left w:val="none" w:sz="0" w:space="0" w:color="auto"/>
        <w:bottom w:val="none" w:sz="0" w:space="0" w:color="auto"/>
        <w:right w:val="none" w:sz="0" w:space="0" w:color="auto"/>
      </w:divBdr>
    </w:div>
    <w:div w:id="1347513429">
      <w:bodyDiv w:val="1"/>
      <w:marLeft w:val="0"/>
      <w:marRight w:val="0"/>
      <w:marTop w:val="0"/>
      <w:marBottom w:val="0"/>
      <w:divBdr>
        <w:top w:val="none" w:sz="0" w:space="0" w:color="auto"/>
        <w:left w:val="none" w:sz="0" w:space="0" w:color="auto"/>
        <w:bottom w:val="none" w:sz="0" w:space="0" w:color="auto"/>
        <w:right w:val="none" w:sz="0" w:space="0" w:color="auto"/>
      </w:divBdr>
      <w:divsChild>
        <w:div w:id="1671716844">
          <w:marLeft w:val="480"/>
          <w:marRight w:val="0"/>
          <w:marTop w:val="0"/>
          <w:marBottom w:val="0"/>
          <w:divBdr>
            <w:top w:val="none" w:sz="0" w:space="0" w:color="auto"/>
            <w:left w:val="none" w:sz="0" w:space="0" w:color="auto"/>
            <w:bottom w:val="none" w:sz="0" w:space="0" w:color="auto"/>
            <w:right w:val="none" w:sz="0" w:space="0" w:color="auto"/>
          </w:divBdr>
        </w:div>
        <w:div w:id="2114477747">
          <w:marLeft w:val="480"/>
          <w:marRight w:val="0"/>
          <w:marTop w:val="0"/>
          <w:marBottom w:val="0"/>
          <w:divBdr>
            <w:top w:val="none" w:sz="0" w:space="0" w:color="auto"/>
            <w:left w:val="none" w:sz="0" w:space="0" w:color="auto"/>
            <w:bottom w:val="none" w:sz="0" w:space="0" w:color="auto"/>
            <w:right w:val="none" w:sz="0" w:space="0" w:color="auto"/>
          </w:divBdr>
        </w:div>
        <w:div w:id="290405679">
          <w:marLeft w:val="480"/>
          <w:marRight w:val="0"/>
          <w:marTop w:val="0"/>
          <w:marBottom w:val="0"/>
          <w:divBdr>
            <w:top w:val="none" w:sz="0" w:space="0" w:color="auto"/>
            <w:left w:val="none" w:sz="0" w:space="0" w:color="auto"/>
            <w:bottom w:val="none" w:sz="0" w:space="0" w:color="auto"/>
            <w:right w:val="none" w:sz="0" w:space="0" w:color="auto"/>
          </w:divBdr>
        </w:div>
        <w:div w:id="1150056769">
          <w:marLeft w:val="480"/>
          <w:marRight w:val="0"/>
          <w:marTop w:val="0"/>
          <w:marBottom w:val="0"/>
          <w:divBdr>
            <w:top w:val="none" w:sz="0" w:space="0" w:color="auto"/>
            <w:left w:val="none" w:sz="0" w:space="0" w:color="auto"/>
            <w:bottom w:val="none" w:sz="0" w:space="0" w:color="auto"/>
            <w:right w:val="none" w:sz="0" w:space="0" w:color="auto"/>
          </w:divBdr>
        </w:div>
        <w:div w:id="1288925447">
          <w:marLeft w:val="480"/>
          <w:marRight w:val="0"/>
          <w:marTop w:val="0"/>
          <w:marBottom w:val="0"/>
          <w:divBdr>
            <w:top w:val="none" w:sz="0" w:space="0" w:color="auto"/>
            <w:left w:val="none" w:sz="0" w:space="0" w:color="auto"/>
            <w:bottom w:val="none" w:sz="0" w:space="0" w:color="auto"/>
            <w:right w:val="none" w:sz="0" w:space="0" w:color="auto"/>
          </w:divBdr>
        </w:div>
      </w:divsChild>
    </w:div>
    <w:div w:id="2045324893">
      <w:bodyDiv w:val="1"/>
      <w:marLeft w:val="0"/>
      <w:marRight w:val="0"/>
      <w:marTop w:val="0"/>
      <w:marBottom w:val="0"/>
      <w:divBdr>
        <w:top w:val="none" w:sz="0" w:space="0" w:color="auto"/>
        <w:left w:val="none" w:sz="0" w:space="0" w:color="auto"/>
        <w:bottom w:val="none" w:sz="0" w:space="0" w:color="auto"/>
        <w:right w:val="none" w:sz="0" w:space="0" w:color="auto"/>
      </w:divBdr>
      <w:divsChild>
        <w:div w:id="764812021">
          <w:marLeft w:val="480"/>
          <w:marRight w:val="0"/>
          <w:marTop w:val="0"/>
          <w:marBottom w:val="0"/>
          <w:divBdr>
            <w:top w:val="none" w:sz="0" w:space="0" w:color="auto"/>
            <w:left w:val="none" w:sz="0" w:space="0" w:color="auto"/>
            <w:bottom w:val="none" w:sz="0" w:space="0" w:color="auto"/>
            <w:right w:val="none" w:sz="0" w:space="0" w:color="auto"/>
          </w:divBdr>
        </w:div>
        <w:div w:id="649793583">
          <w:marLeft w:val="480"/>
          <w:marRight w:val="0"/>
          <w:marTop w:val="0"/>
          <w:marBottom w:val="0"/>
          <w:divBdr>
            <w:top w:val="none" w:sz="0" w:space="0" w:color="auto"/>
            <w:left w:val="none" w:sz="0" w:space="0" w:color="auto"/>
            <w:bottom w:val="none" w:sz="0" w:space="0" w:color="auto"/>
            <w:right w:val="none" w:sz="0" w:space="0" w:color="auto"/>
          </w:divBdr>
        </w:div>
        <w:div w:id="1525553204">
          <w:marLeft w:val="480"/>
          <w:marRight w:val="0"/>
          <w:marTop w:val="0"/>
          <w:marBottom w:val="0"/>
          <w:divBdr>
            <w:top w:val="none" w:sz="0" w:space="0" w:color="auto"/>
            <w:left w:val="none" w:sz="0" w:space="0" w:color="auto"/>
            <w:bottom w:val="none" w:sz="0" w:space="0" w:color="auto"/>
            <w:right w:val="none" w:sz="0" w:space="0" w:color="auto"/>
          </w:divBdr>
        </w:div>
        <w:div w:id="113913116">
          <w:marLeft w:val="480"/>
          <w:marRight w:val="0"/>
          <w:marTop w:val="0"/>
          <w:marBottom w:val="0"/>
          <w:divBdr>
            <w:top w:val="none" w:sz="0" w:space="0" w:color="auto"/>
            <w:left w:val="none" w:sz="0" w:space="0" w:color="auto"/>
            <w:bottom w:val="none" w:sz="0" w:space="0" w:color="auto"/>
            <w:right w:val="none" w:sz="0" w:space="0" w:color="auto"/>
          </w:divBdr>
        </w:div>
        <w:div w:id="533151778">
          <w:marLeft w:val="480"/>
          <w:marRight w:val="0"/>
          <w:marTop w:val="0"/>
          <w:marBottom w:val="0"/>
          <w:divBdr>
            <w:top w:val="none" w:sz="0" w:space="0" w:color="auto"/>
            <w:left w:val="none" w:sz="0" w:space="0" w:color="auto"/>
            <w:bottom w:val="none" w:sz="0" w:space="0" w:color="auto"/>
            <w:right w:val="none" w:sz="0" w:space="0" w:color="auto"/>
          </w:divBdr>
        </w:div>
      </w:divsChild>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7.emf"/><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6.emf"/><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emf"/><Relationship Id="rId23"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tiff"/><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mailto:lenuta-ileana.florea@polytechnique.edu" TargetMode="External"/><Relationship Id="rId1" Type="http://schemas.openxmlformats.org/officeDocument/2006/relationships/hyperlink" Target="mailto:lucian.baia@phys.ubbcluj.ro"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40"/>
        <w:category>
          <w:name w:val="General"/>
          <w:gallery w:val="placeholder"/>
        </w:category>
        <w:types>
          <w:type w:val="bbPlcHdr"/>
        </w:types>
        <w:behaviors>
          <w:behavior w:val="content"/>
        </w:behaviors>
        <w:guid w:val="{CA6D7D4E-46D6-4641-A64B-CEEA48990A23}"/>
      </w:docPartPr>
      <w:docPartBody>
        <w:p w:rsidR="00B67756" w:rsidRDefault="00782E83">
          <w:r w:rsidRPr="000314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2E83"/>
    <w:rsid w:val="000463BE"/>
    <w:rsid w:val="00187557"/>
    <w:rsid w:val="00782E83"/>
    <w:rsid w:val="007A303D"/>
    <w:rsid w:val="009965D3"/>
    <w:rsid w:val="009F335B"/>
    <w:rsid w:val="00B677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qFormat/>
    <w:rsid w:val="00782E83"/>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AE01B7D-4299-4930-95B7-CFFBAB9F4974}">
  <we:reference id="wa104382081" version="1.35.0.0" store="en-US" storeType="OMEX"/>
  <we:alternateReferences>
    <we:reference id="WA104382081" version="1.35.0.0" store="" storeType="OMEX"/>
  </we:alternateReferences>
  <we:properties>
    <we:property name="MENDELEY_CITATIONS" value="[{&quot;citationID&quot;:&quot;MENDELEY_CITATION_d8542139-dc97-45ed-adb2-6a8659843837&quot;,&quot;citationItems&quot;:[{&quot;id&quot;:&quot;8e6b2542-63eb-3115-b512-70beca20ee4a&quot;,&quot;itemData&quot;:{&quot;DOI&quot;:&quot;10.1021/jacs.8b04829&quot;,&quot;ISSN&quot;:&quot;0002-7863&quot;,&quot;PMID&quot;:&quot;29985001&quot;,&quot;abstract&quot;:&quot;Stabilizing nanoparticles on surfaces, such as graphene, is a growing field of research. Thereby, iron particle stabilization on carbon materials is attractive and finds applications in charge-storage devices, catalysis, and others. In this work, we describe the discovery of iron nanoparticles with the face-centered cubic structure that was postulated not to exist at ambient conditions. In bulk, the γ-iron phase is formed only above 917 °C, and transforms back to the thermodynamically favored α-phase upon cooling. Here, with X-ray diffraction and Mössbauer spectroscopy we unambiguously demonstrate the unexpected room-temperature stability of the γ-phase of iron in the form of the austenitic nanoparticles with low carbon content from 0.60% through 0.93%. The nanoparticles have controllable diameter range from 30 nm through 200 nm. They are stabilized by a layer of Fe/C solid solution on the surface, serving as the buffer controlling carbon content in the core, and by a few-layer graphene as an outermost shell.&quot;,&quot;author&quot;:[{&quot;dropping-particle&quot;:&quot;&quot;,&quot;family&quot;:&quot;Khannanov&quot;,&quot;given&quot;:&quot;Artur&quot;,&quot;non-dropping-particle&quot;:&quot;&quot;,&quot;parse-names&quot;:false,&quot;suffix&quot;:&quot;&quot;},{&quot;dropping-particle&quot;:&quot;&quot;,&quot;family&quot;:&quot;Kiiamov&quot;,&quot;given&quot;:&quot;Airat&quot;,&quot;non-dropping-particle&quot;:&quot;&quot;,&quot;parse-names&quot;:false,&quot;suffix&quot;:&quot;&quot;},{&quot;dropping-particle&quot;:&quot;&quot;,&quot;family&quot;:&quot;Valimukhametova&quot;,&quot;given&quot;:&quot;Alina&quot;,&quot;non-dropping-particle&quot;:&quot;&quot;,&quot;parse-names&quot;:false,&quot;suffix&quot;:&quot;&quot;},{&quot;dropping-particle&quot;:&quot;&quot;,&quot;family&quot;:&quot;Tayurskii&quot;,&quot;given&quot;:&quot;Dmitrii A.&quot;,&quot;non-dropping-particle&quot;:&quot;&quot;,&quot;parse-names&quot;:false,&quot;suffix&quot;:&quot;&quot;},{&quot;dropping-particle&quot;:&quot;&quot;,&quot;family&quot;:&quot;Börrnert&quot;,&quot;given&quot;:&quot;Felix&quot;,&quot;non-dropping-particle&quot;:&quot;&quot;,&quot;parse-names&quot;:false,&quot;suffix&quot;:&quot;&quot;},{&quot;dropping-particle&quot;:&quot;&quot;,&quot;family&quot;:&quot;Kaiser&quot;,&quot;given&quot;:&quot;Ute&quot;,&quot;non-dropping-particle&quot;:&quot;&quot;,&quot;parse-names&quot;:false,&quot;suffix&quot;:&quot;&quot;},{&quot;dropping-particle&quot;:&quot;&quot;,&quot;family&quot;:&quot;Eigler&quot;,&quot;given&quot;:&quot;Siegfried&quot;,&quot;non-dropping-particle&quot;:&quot;&quot;,&quot;parse-names&quot;:false,&quot;suffix&quot;:&quot;&quot;},{&quot;dropping-particle&quot;:&quot;&quot;,&quot;family&quot;:&quot;Vagizov&quot;,&quot;given&quot;:&quot;Farit G.&quot;,&quot;non-dropping-particle&quot;:&quot;&quot;,&quot;parse-names&quot;:false,&quot;suffix&quot;:&quot;&quot;},{&quot;dropping-particle&quot;:&quot;&quot;,&quot;family&quot;:&quot;Dimiev&quot;,&quot;given&quot;:&quot;Ayrat M.&quot;,&quot;non-dropping-particle&quot;:&quot;&quot;,&quot;parse-names&quot;:false,&quot;suffix&quot;:&quot;&quot;}],&quot;container-title&quot;:&quot;Journal of the American Chemical Society&quot;,&quot;id&quot;:&quot;8e6b2542-63eb-3115-b512-70beca20ee4a&quot;,&quot;issue&quot;:&quot;29&quot;,&quot;issued&quot;:{&quot;date-parts&quot;:[[&quot;2018&quot;,&quot;7&quot;,&quot;25&quot;]]},&quot;page&quot;:&quot;9051-9055&quot;,&quot;title&quot;:&quot;γ-Iron Phase Stabilized at Room Temperature by Thermally Processed Graphene Oxide&quot;,&quot;type&quot;:&quot;article-journal&quot;,&quot;volume&quot;:&quot;140&quot;},&quot;uris&quot;:[&quot;http://www.mendeley.com/documents/?uuid=8850ac94-4470-41fc-8a63-fd3f2fd2d128&quot;],&quot;isTemporary&quot;:false,&quot;legacyDesktopId&quot;:&quot;8850ac94-4470-41fc-8a63-fd3f2fd2d128&quot;}],&quot;properties&quot;:{&quot;noteIndex&quot;:0},&quot;isEdited&quot;:false,&quot;manualOverride&quot;:{&quot;citeprocText&quot;:&quot;(Khannanov et al., 2018)&quot;,&quot;isManuallyOverridden&quot;:false,&quot;manualOverrideText&quot;:&quot;&quot;},&quot;citationTag&quot;:&quot;MENDELEY_CITATION_v3_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&quot;},{&quot;citationID&quot;:&quot;MENDELEY_CITATION_2a6e0d48-6d06-4fe8-a89b-d4a4bbdc96fe&quot;,&quot;citationItems&quot;:[{&quot;id&quot;:&quot;03be169a-60aa-3ff0-a9ba-2327d2e9879d&quot;,&quot;itemData&quot;:{&quot;DOI&quot;:&quot;10.1016/j.physrep.2009.02.003&quot;,&quot;ISSN&quot;:&quot;03701573&quot;,&quot;abstract&quot;:&quot;Recent Raman scattering studies in different types of graphene samples are reviewed here. We first discuss the first-order and the double resonance Raman scattering mechanisms in graphene, which give rise to the most prominent Raman features. The determination of the number of layers in few-layer graphene is discussed, giving special emphasis to the possibility of using Raman spectroscopy to distinguish a monolayer from few-layer graphene stacked in the Bernal (AB) configuration. Different types of graphene samples produced both by exfoliation and using epitaxial methods are described and their Raman spectra are compared with those of 3D crystalline graphite and turbostratic graphite, in which the layers are stacked with rotational disorder. We show that Resonance Raman studies, where the energy of the excitation laser line can be tuned continuously, can be used to probe electrons and phonons near the Dirac point of graphene and, in particular allowing a determination to be made of the tight-binding parameters for bilayer graphene. The special process of electron-phonon interaction that renormalizes the phonon energy giving rise to the Kohn anomaly is discussed, and is illustrated by gated experiments where the position of the Fermi level can be changed experimentally. Finally, we discuss the ability of distinguishing armchair and zig-zag edges by Raman spectroscopy and studies in graphene nanoribbons in which the Raman signal is enhanced due to resonance with singularities in the density of electronic states. © 2009 Elsevier B.V. All rights reserved.&quot;,&quot;author&quot;:[{&quot;dropping-particle&quot;:&quot;&quot;,&quot;family&quot;:&quot;Malard&quot;,&quot;given&quot;:&quot;L. M.&quot;,&quot;non-dropping-particle&quot;:&quot;&quot;,&quot;parse-names&quot;:false,&quot;suffix&quot;:&quot;&quot;},{&quot;dropping-particle&quot;:&quot;&quot;,&quot;family&quot;:&quot;Pimenta&quot;,&quot;given&quot;:&quot;M. A.&quot;,&quot;non-dropping-particle&quot;:&quot;&quot;,&quot;parse-names&quot;:false,&quot;suffix&quot;:&quot;&quot;},{&quot;dropping-particle&quot;:&quot;&quot;,&quot;family&quot;:&quot;Dresselhaus&quot;,&quot;given&quot;:&quot;G.&quot;,&quot;non-dropping-particle&quot;:&quot;&quot;,&quot;parse-names&quot;:false,&quot;suffix&quot;:&quot;&quot;},{&quot;dropping-particle&quot;:&quot;&quot;,&quot;family&quot;:&quot;Dresselhaus&quot;,&quot;given&quot;:&quot;M. S.&quot;,&quot;non-dropping-particle&quot;:&quot;&quot;,&quot;parse-names&quot;:false,&quot;suffix&quot;:&quot;&quot;}],&quot;container-title&quot;:&quot;Physics Reports&quot;,&quot;id&quot;:&quot;03be169a-60aa-3ff0-a9ba-2327d2e9879d&quot;,&quot;issue&quot;:&quot;5-6&quot;,&quot;issued&quot;:{&quot;date-parts&quot;:[[&quot;2009&quot;]]},&quot;page&quot;:&quot;51-87&quot;,&quot;publisher&quot;:&quot;Elsevier B.V.&quot;,&quot;title&quot;:&quot;Raman spectroscopy in graphene&quot;,&quot;type&quot;:&quot;article-journal&quot;,&quot;volume&quot;:&quot;473&quot;},&quot;uris&quot;:[&quot;http://www.mendeley.com/documents/?uuid=a2ddb5ed-2652-41a0-80bf-4059bbdcccc6&quot;],&quot;isTemporary&quot;:false,&quot;legacyDesktopId&quot;:&quot;a2ddb5ed-2652-41a0-80bf-4059bbdcccc6&quot;},{&quot;id&quot;:&quot;94e08ef3-631b-35b2-9d81-328aed08db21&quot;,&quot;itemData&quot;:{&quot;DOI&quot;:&quot;10.5402/2012/234216&quot;,&quot;ISSN&quot;:&quot;2090-6072&quot;,&quot;abstract&quot;:&quot;Raman spectroscopy is a powerful tool to characterize the different types of sp 2 carbon nanostructures, including two-dimensional graphene, one-dimensional nanotubes, and the effect of disorder in their structures. This work discusses why sp 2 nanocarbons can be considered as prototype materials for the development of nanoscience and nanometrology. The sp 2 nanocarbon structures are quickly introduced, followed by a discussion on how this field evolved in the past decades. In sequence, their rather rich Raman spectra composed of many peaks induced by single- and multiple-resonance effects are introduced. The properties of the main Raman peaks are then described, including their dependence on both materials structure and external factors, like temperature, pressure, doping, and environmental effects. Recent applications that are pushing the technique limits, such as multitechnique approach and in situ nanomanipulation, are highlighted, ending with some challenges for new developments in this field.&quot;,&quot;author&quot;:[{&quot;dropping-particle&quot;:&quot;&quot;,&quot;family&quot;:&quot;Jorio&quot;,&quot;given&quot;:&quot;Ado&quot;,&quot;non-dropping-particle&quot;:&quot;&quot;,&quot;parse-names&quot;:false,&quot;suffix&quot;:&quot;&quot;}],&quot;container-title&quot;:&quot;ISRN Nanotechnology&quot;,&quot;id&quot;:&quot;94e08ef3-631b-35b2-9d81-328aed08db21&quot;,&quot;issued&quot;:{&quot;date-parts&quot;:[[&quot;2012&quot;,&quot;12&quot;,&quot;6&quot;]]},&quot;page&quot;:&quot;1-16&quot;,&quot;publisher&quot;:&quot;Hindawi Publishing Corporation&quot;,&quot;title&quot;:&quot;Raman Spectroscopy in Graphene-Based Systems: Prototypes for Nanoscience and Nanometrology&quot;,&quot;type&quot;:&quot;article-journal&quot;,&quot;volume&quot;:&quot;2012&quot;},&quot;uris&quot;:[&quot;http://www.mendeley.com/documents/?uuid=7b28ca6c-3870-4ca9-be8a-fee5a83a1e51&quot;],&quot;isTemporary&quot;:false,&quot;legacyDesktopId&quot;:&quot;7b28ca6c-3870-4ca9-be8a-fee5a83a1e51&quot;}],&quot;properties&quot;:{&quot;noteIndex&quot;:0},&quot;isEdited&quot;:false,&quot;manualOverride&quot;:{&quot;citeprocText&quot;:&quot;(Malard et al., 2009; Jorio, 2012)&quot;,&quot;isManuallyOverridden&quot;:false,&quot;manualOverrideText&quot;:&quot;&quot;},&quot;citationTag&quot;:&quot;MENDELEY_CITATION_v3_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&quot;},{&quot;citationID&quot;:&quot;MENDELEY_CITATION_900626b9-ba9e-4800-8357-e716bb528968&quot;,&quot;properties&quot;:{&quot;noteIndex&quot;:0},&quot;isEdited&quot;:false,&quot;manualOverride&quot;:{&quot;isManuallyOverridden&quot;:false,&quot;citeprocText&quot;:&quot;(Wriedt, 1991)&quot;,&quot;manualOverrideText&quot;:&quot;&quot;},&quot;citationTag&quot;:&quot;MENDELEY_CITATION_v3_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&quot;,&quot;citationItems&quot;:[{&quot;id&quot;:&quot;fdc3b1b3-1f2e-34d5-9bd2-7a4ef4f3afae&quot;,&quot;itemData&quot;:{&quot;type&quot;:&quot;article-journal&quot;,&quot;id&quot;:&quot;fdc3b1b3-1f2e-34d5-9bd2-7a4ef4f3afae&quot;,&quot;title&quot;:&quot;The Fe-O (Iron-Oxygen) System&quot;,&quot;author&quot;:[{&quot;family&quot;:&quot;Wriedt&quot;,&quot;given&quot;:&quot;H.A.&quot;,&quot;parse-names&quot;:false,&quot;dropping-particle&quot;:&quot;&quot;,&quot;non-dropping-particle&quot;:&quot;&quot;}],&quot;container-title&quot;:&quot;Journal of Phase Equilibria&quot;,&quot;issued&quot;:{&quot;date-parts&quot;:[[1991]]},&quot;page&quot;:&quot;170-200&quot;,&quot;issue&quot;:&quot;2&quot;,&quot;volume&quot;:&quot;12&quot;,&quot;expandedJournalTitle&quot;:&quot;Journal of Phase Equilibria&quot;},&quot;isTemporary&quot;:false}]},{&quot;citationID&quot;:&quot;MENDELEY_CITATION_e838c359-c4f1-4725-85bb-2687826e8543&quot;,&quot;citationItems&quot;:[{&quot;id&quot;:&quot;a08ee118-9b93-3aae-9392-8ca12491b99b&quot;,&quot;itemData&quot;:{&quot;DOI&quot;:&quot;10.1007/BF02680585&quot;,&quot;ISSN&quot;:&quot;1073-5615&quot;,&quot;author&quot;:[{&quot;dropping-particle&quot;:&quot;&quot;,&quot;family&quot;:&quot;Chipman&quot;,&quot;given&quot;:&quot;John&quot;,&quot;non-dropping-particle&quot;:&quot;&quot;,&quot;parse-names&quot;:false,&quot;suffix&quot;:&quot;&quot;}],&quot;container-title&quot;:&quot;Metallurgical and Materials Transactions B&quot;,&quot;id&quot;:&quot;a08ee118-9b93-3aae-9392-8ca12491b99b&quot;,&quot;issue&quot;:&quot;1&quot;,&quot;issued&quot;:{&quot;date-parts&quot;:[[&quot;1972&quot;,&quot;1&quot;,&quot;1&quot;]]},&quot;page&quot;:&quot;55-64&quot;,&quot;title&quot;:&quot;Thermodynamics and phase diagram of the Fe-C system&quot;,&quot;type&quot;:&quot;article-journal&quot;,&quot;volume&quot;:&quot;3&quot;},&quot;uris&quot;:[&quot;http://www.mendeley.com/documents/?uuid=1724b93c-1ce4-4076-8bb0-330d1748233f&quot;],&quot;isTemporary&quot;:false,&quot;legacyDesktopId&quot;:&quot;1724b93c-1ce4-4076-8bb0-330d1748233f&quot;}],&quot;properties&quot;:{&quot;noteIndex&quot;:0},&quot;isEdited&quot;:false,&quot;manualOverride&quot;:{&quot;citeprocText&quot;:&quot;(Chipman, 1972)&quot;,&quot;isManuallyOverridden&quot;:false,&quot;manualOverrideText&quot;:&quot;&quot;},&quot;citationTag&quot;:&quot;MENDELEY_CITATION_v3_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&quot;}]"/>
    <we:property name="MENDELEY_CITATIONS_STYLE" value="&quot;https://www.zotero.org/styles/microscopy-and-microanalysis&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BEAF299BAD5C443B7B94D359352909D" ma:contentTypeVersion="13" ma:contentTypeDescription="Create a new document." ma:contentTypeScope="" ma:versionID="4842a0b491ceedf1f2e6e3ca3ac6584c">
  <xsd:schema xmlns:xsd="http://www.w3.org/2001/XMLSchema" xmlns:xs="http://www.w3.org/2001/XMLSchema" xmlns:p="http://schemas.microsoft.com/office/2006/metadata/properties" xmlns:ns3="0c4992ee-a5fe-4357-9f94-bbd1fb75d23e" xmlns:ns4="0557a493-af67-429d-80c7-3ec9377d9df9" targetNamespace="http://schemas.microsoft.com/office/2006/metadata/properties" ma:root="true" ma:fieldsID="dbf8565a9e5a1fa3854d2b8dcd16ed82" ns3:_="" ns4:_="">
    <xsd:import namespace="0c4992ee-a5fe-4357-9f94-bbd1fb75d23e"/>
    <xsd:import namespace="0557a493-af67-429d-80c7-3ec9377d9df9"/>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4992ee-a5fe-4357-9f94-bbd1fb75d2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57a493-af67-429d-80c7-3ec9377d9df9"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BFE695C-2F88-4CE8-8E6E-7A56633331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4992ee-a5fe-4357-9f94-bbd1fb75d23e"/>
    <ds:schemaRef ds:uri="0557a493-af67-429d-80c7-3ec9377d9d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4.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5.xml><?xml version="1.0" encoding="utf-8"?>
<ds:datastoreItem xmlns:ds="http://schemas.openxmlformats.org/officeDocument/2006/customXml" ds:itemID="{A7DED930-A218-443B-9D07-7B1F2A14D8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2245</Words>
  <Characters>12798</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2022-01-22T12:44:00Z</dcterms:created>
  <dcterms:modified xsi:type="dcterms:W3CDTF">2022-01-22T16:38:00Z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0x0101008BEAF299BAD5C443B7B94D359352909D</vt:lpwstr>
  </property>
  <property fmtid="{D5CDD505-2E9C-101B-9397-08002B2CF9AE}" pid="3" name="Mendeley Recent Style Id 0_1">
    <vt:lpwstr>http://www.zotero.org/styles/american-chemical-society</vt:lpwstr>
  </property>
  <property fmtid="{D5CDD505-2E9C-101B-9397-08002B2CF9AE}" pid="4" name="Mendeley Recent Style Name 0_1">
    <vt:lpwstr>American Chemical Society</vt:lpwstr>
  </property>
  <property fmtid="{D5CDD505-2E9C-101B-9397-08002B2CF9AE}" pid="5" name="Mendeley Recent Style Id 1_1">
    <vt:lpwstr>http://www.zotero.org/styles/american-sociological-association</vt:lpwstr>
  </property>
  <property fmtid="{D5CDD505-2E9C-101B-9397-08002B2CF9AE}" pid="6" name="Mendeley Recent Style Name 1_1">
    <vt:lpwstr>American Sociological Association</vt:lpwstr>
  </property>
  <property fmtid="{D5CDD505-2E9C-101B-9397-08002B2CF9AE}" pid="7" name="Mendeley Recent Style Id 2_1">
    <vt:lpwstr>http://www.zotero.org/styles/carbon</vt:lpwstr>
  </property>
  <property fmtid="{D5CDD505-2E9C-101B-9397-08002B2CF9AE}" pid="8" name="Mendeley Recent Style Name 2_1">
    <vt:lpwstr>Carbon</vt:lpwstr>
  </property>
  <property fmtid="{D5CDD505-2E9C-101B-9397-08002B2CF9AE}" pid="9" name="Mendeley Recent Style Id 3_1">
    <vt:lpwstr>http://www.zotero.org/styles/journal-of-materials-chemistry-a</vt:lpwstr>
  </property>
  <property fmtid="{D5CDD505-2E9C-101B-9397-08002B2CF9AE}" pid="10" name="Mendeley Recent Style Name 3_1">
    <vt:lpwstr>Journal of Materials Chemistry A</vt:lpwstr>
  </property>
  <property fmtid="{D5CDD505-2E9C-101B-9397-08002B2CF9AE}" pid="11" name="Mendeley Recent Style Id 4_1">
    <vt:lpwstr>http://www.zotero.org/styles/journal-of-nanoscience-and-nanotechnology</vt:lpwstr>
  </property>
  <property fmtid="{D5CDD505-2E9C-101B-9397-08002B2CF9AE}" pid="12" name="Mendeley Recent Style Name 4_1">
    <vt:lpwstr>Journal of Nanoscience and Nanotechnology</vt:lpwstr>
  </property>
  <property fmtid="{D5CDD505-2E9C-101B-9397-08002B2CF9AE}" pid="13" name="Mendeley Recent Style Id 5_1">
    <vt:lpwstr>http://csl.mendeley.com/styles/529626531/journal-of-nanoscience-and-nanotechnology</vt:lpwstr>
  </property>
  <property fmtid="{D5CDD505-2E9C-101B-9397-08002B2CF9AE}" pid="14" name="Mendeley Recent Style Name 5_1">
    <vt:lpwstr>Journal of Nanoscience and Nanotechnology - m r</vt:lpwstr>
  </property>
  <property fmtid="{D5CDD505-2E9C-101B-9397-08002B2CF9AE}" pid="15" name="Mendeley Recent Style Id 6_1">
    <vt:lpwstr>http://csl.mendeley.com/styles/529626531/JNN-final</vt:lpwstr>
  </property>
  <property fmtid="{D5CDD505-2E9C-101B-9397-08002B2CF9AE}" pid="16" name="Mendeley Recent Style Name 6_1">
    <vt:lpwstr>Journal of Nanoscience and Nanotechnology - m r</vt:lpwstr>
  </property>
  <property fmtid="{D5CDD505-2E9C-101B-9397-08002B2CF9AE}" pid="17" name="Mendeley Recent Style Id 7_1">
    <vt:lpwstr>http://www.zotero.org/styles/microscopy-and-microanalysis</vt:lpwstr>
  </property>
  <property fmtid="{D5CDD505-2E9C-101B-9397-08002B2CF9AE}" pid="18" name="Mendeley Recent Style Name 7_1">
    <vt:lpwstr>Microscopy and Microanalysis</vt:lpwstr>
  </property>
  <property fmtid="{D5CDD505-2E9C-101B-9397-08002B2CF9AE}" pid="19" name="Mendeley Recent Style Id 8_1">
    <vt:lpwstr>http://www.zotero.org/styles/rsc-advances</vt:lpwstr>
  </property>
  <property fmtid="{D5CDD505-2E9C-101B-9397-08002B2CF9AE}" pid="20" name="Mendeley Recent Style Name 8_1">
    <vt:lpwstr>RSC Advances</vt:lpwstr>
  </property>
  <property fmtid="{D5CDD505-2E9C-101B-9397-08002B2CF9AE}" pid="21" name="Mendeley Recent Style Id 9_1">
    <vt:lpwstr>http://www.zotero.org/styles/small</vt:lpwstr>
  </property>
  <property fmtid="{D5CDD505-2E9C-101B-9397-08002B2CF9AE}" pid="22" name="Mendeley Recent Style Name 9_1">
    <vt:lpwstr>Small</vt:lpwstr>
  </property>
  <property fmtid="{D5CDD505-2E9C-101B-9397-08002B2CF9AE}" pid="23" name="Mendeley Document_1">
    <vt:lpwstr>True</vt:lpwstr>
  </property>
  <property fmtid="{D5CDD505-2E9C-101B-9397-08002B2CF9AE}" pid="24" name="Mendeley Unique User Id_1">
    <vt:lpwstr>4f19f6e6-a6aa-3838-98d2-4ba175f3ebf6</vt:lpwstr>
  </property>
  <property fmtid="{D5CDD505-2E9C-101B-9397-08002B2CF9AE}" pid="25" name="Mendeley Citation Style_1">
    <vt:lpwstr>http://www.zotero.org/styles/microscopy-and-microanalysis</vt:lpwstr>
  </property>
</Properties>
</file>