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F37" w:rsidRPr="006375E5" w:rsidRDefault="005A2F37" w:rsidP="005A2F37">
      <w:pPr>
        <w:jc w:val="center"/>
        <w:rPr>
          <w:rFonts w:cs="Times New Roman"/>
          <w:b/>
          <w:bCs/>
          <w:szCs w:val="24"/>
        </w:rPr>
      </w:pPr>
      <w:r w:rsidRPr="006375E5">
        <w:rPr>
          <w:rFonts w:cs="Times New Roman"/>
          <w:b/>
          <w:bCs/>
          <w:szCs w:val="24"/>
        </w:rPr>
        <w:t xml:space="preserve">Figures </w:t>
      </w:r>
      <w:r>
        <w:rPr>
          <w:rFonts w:cs="Times New Roman"/>
          <w:b/>
          <w:bCs/>
          <w:szCs w:val="24"/>
        </w:rPr>
        <w:t xml:space="preserve">and Supplementary Materials </w:t>
      </w:r>
      <w:r w:rsidRPr="006375E5">
        <w:rPr>
          <w:rFonts w:cs="Times New Roman"/>
          <w:b/>
          <w:bCs/>
          <w:szCs w:val="24"/>
        </w:rPr>
        <w:t>for</w:t>
      </w:r>
    </w:p>
    <w:p w:rsidR="005A2F37" w:rsidRPr="006375E5" w:rsidRDefault="005A2F37" w:rsidP="005A2F37">
      <w:pPr>
        <w:pStyle w:val="Title"/>
        <w:rPr>
          <w:rFonts w:cs="Times New Roman"/>
          <w:sz w:val="24"/>
          <w:szCs w:val="24"/>
        </w:rPr>
      </w:pPr>
      <w:r w:rsidRPr="006375E5">
        <w:rPr>
          <w:rFonts w:cs="Times New Roman"/>
          <w:sz w:val="24"/>
          <w:szCs w:val="24"/>
        </w:rPr>
        <w:t xml:space="preserve">Atom probe tomography for isotopic analysis: development of the </w:t>
      </w:r>
      <w:r w:rsidRPr="006375E5">
        <w:rPr>
          <w:rFonts w:cs="Times New Roman"/>
          <w:sz w:val="24"/>
          <w:szCs w:val="24"/>
          <w:vertAlign w:val="superscript"/>
        </w:rPr>
        <w:t>34</w:t>
      </w:r>
      <w:r w:rsidRPr="006375E5">
        <w:rPr>
          <w:rFonts w:cs="Times New Roman"/>
          <w:sz w:val="24"/>
          <w:szCs w:val="24"/>
        </w:rPr>
        <w:t>S/</w:t>
      </w:r>
      <w:r w:rsidRPr="006375E5">
        <w:rPr>
          <w:rFonts w:cs="Times New Roman"/>
          <w:sz w:val="24"/>
          <w:szCs w:val="24"/>
          <w:vertAlign w:val="superscript"/>
        </w:rPr>
        <w:t>32</w:t>
      </w:r>
      <w:r w:rsidRPr="006375E5">
        <w:rPr>
          <w:rFonts w:cs="Times New Roman"/>
          <w:sz w:val="24"/>
          <w:szCs w:val="24"/>
        </w:rPr>
        <w:t>S system in sulfides</w:t>
      </w:r>
    </w:p>
    <w:p w:rsidR="005A2F37" w:rsidRPr="006375E5" w:rsidRDefault="005A2F37" w:rsidP="005A2F37">
      <w:pPr>
        <w:jc w:val="center"/>
        <w:rPr>
          <w:rFonts w:cs="Times New Roman"/>
          <w:szCs w:val="24"/>
        </w:rPr>
      </w:pPr>
    </w:p>
    <w:p w:rsidR="005A2F37" w:rsidRPr="006375E5" w:rsidRDefault="005A2F37" w:rsidP="005A2F37">
      <w:pPr>
        <w:shd w:val="clear" w:color="auto" w:fill="FFFFFF"/>
        <w:jc w:val="center"/>
        <w:rPr>
          <w:rFonts w:cs="Times New Roman"/>
          <w:sz w:val="20"/>
          <w:szCs w:val="20"/>
          <w:vertAlign w:val="superscript"/>
        </w:rPr>
      </w:pPr>
      <w:r w:rsidRPr="006375E5">
        <w:rPr>
          <w:rFonts w:cs="Times New Roman"/>
          <w:sz w:val="20"/>
          <w:szCs w:val="20"/>
        </w:rPr>
        <w:t>Phillip Gopon, James O. Douglas, Frederick Meisenkothen, Jaspreet Singh, Andrew London, Michael P. Moody</w:t>
      </w:r>
    </w:p>
    <w:p w:rsidR="005A2F37" w:rsidRDefault="005A2F37" w:rsidP="005A2F37"/>
    <w:p w:rsidR="005A2F37" w:rsidRDefault="005A2F37" w:rsidP="005A2F37">
      <w:r>
        <w:rPr>
          <w:noProof/>
        </w:rPr>
        <w:drawing>
          <wp:inline distT="0" distB="0" distL="0" distR="0" wp14:anchorId="4D3D4139" wp14:editId="41FBFB2D">
            <wp:extent cx="5943600" cy="2725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37" w:rsidRPr="00744830" w:rsidRDefault="005A2F37" w:rsidP="005A2F37">
      <w:pPr>
        <w:ind w:left="288"/>
        <w:rPr>
          <w:sz w:val="20"/>
          <w:szCs w:val="20"/>
        </w:rPr>
      </w:pPr>
      <w:r w:rsidRPr="00744830">
        <w:rPr>
          <w:sz w:val="20"/>
          <w:szCs w:val="20"/>
        </w:rPr>
        <w:t>Figure 1</w:t>
      </w:r>
      <w:r>
        <w:rPr>
          <w:sz w:val="20"/>
          <w:szCs w:val="20"/>
        </w:rPr>
        <w:t>:</w:t>
      </w:r>
      <w:r w:rsidRPr="00744830">
        <w:rPr>
          <w:sz w:val="20"/>
          <w:szCs w:val="20"/>
        </w:rPr>
        <w:t xml:space="preserve"> Mass spectrum of dataset R5083_08493, showing the complexity of the mass spectrum as well as the overlaps present on the main S peak family (34 Da, 33 Da, 34 Da, </w:t>
      </w:r>
      <w:r>
        <w:rPr>
          <w:sz w:val="20"/>
          <w:szCs w:val="20"/>
        </w:rPr>
        <w:t xml:space="preserve">and </w:t>
      </w:r>
      <w:r w:rsidRPr="00744830">
        <w:rPr>
          <w:sz w:val="20"/>
          <w:szCs w:val="20"/>
        </w:rPr>
        <w:t xml:space="preserve">36 Da). </w:t>
      </w:r>
      <w:r>
        <w:rPr>
          <w:sz w:val="20"/>
          <w:szCs w:val="20"/>
        </w:rPr>
        <w:t>Note only the main peaks are labeled for sake of clarity.</w:t>
      </w:r>
    </w:p>
    <w:p w:rsidR="005A2F37" w:rsidRDefault="005A2F37" w:rsidP="005A2F37"/>
    <w:p w:rsidR="005A2F37" w:rsidRDefault="005A2F37" w:rsidP="005A2F37">
      <w:r>
        <w:br w:type="page"/>
      </w:r>
    </w:p>
    <w:p w:rsidR="005A2F37" w:rsidRPr="00744830" w:rsidRDefault="005A2F37" w:rsidP="005A2F37">
      <w:pPr>
        <w:ind w:left="288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DFD485" wp14:editId="77E8F716">
            <wp:extent cx="5943600" cy="62801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830">
        <w:rPr>
          <w:sz w:val="20"/>
          <w:szCs w:val="20"/>
        </w:rPr>
        <w:t xml:space="preserve">Figure 2: Plot of the deviation of the various methods of peak count determination from the ‘actual.’ Note values shown are absolute values of percent differences calculated from the values in Table </w:t>
      </w:r>
      <w:r>
        <w:rPr>
          <w:sz w:val="20"/>
          <w:szCs w:val="20"/>
        </w:rPr>
        <w:t>1</w:t>
      </w:r>
      <w:r w:rsidRPr="00744830">
        <w:rPr>
          <w:sz w:val="20"/>
          <w:szCs w:val="20"/>
        </w:rPr>
        <w:t>.</w:t>
      </w:r>
    </w:p>
    <w:p w:rsidR="005A2F37" w:rsidRDefault="005A2F37" w:rsidP="005A2F37">
      <w:pPr>
        <w:ind w:left="288"/>
      </w:pPr>
      <w:r>
        <w:rPr>
          <w:noProof/>
        </w:rPr>
        <w:lastRenderedPageBreak/>
        <w:drawing>
          <wp:inline distT="0" distB="0" distL="0" distR="0" wp14:anchorId="3F5C021A" wp14:editId="47C963B4">
            <wp:extent cx="5943600" cy="6407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7" w:rsidRPr="00744830" w:rsidRDefault="005A2F37" w:rsidP="005A2F37">
      <w:pPr>
        <w:ind w:left="288"/>
        <w:rPr>
          <w:sz w:val="20"/>
          <w:szCs w:val="20"/>
        </w:rPr>
      </w:pPr>
      <w:r w:rsidRPr="00744830">
        <w:rPr>
          <w:sz w:val="20"/>
          <w:szCs w:val="20"/>
        </w:rPr>
        <w:t xml:space="preserve">Figure 3: Comparison of three different methods to determine the </w:t>
      </w:r>
      <w:r w:rsidRPr="00744830">
        <w:rPr>
          <w:sz w:val="20"/>
          <w:szCs w:val="20"/>
          <w:vertAlign w:val="superscript"/>
        </w:rPr>
        <w:t>34</w:t>
      </w:r>
      <w:r w:rsidRPr="00744830">
        <w:rPr>
          <w:sz w:val="20"/>
          <w:szCs w:val="20"/>
        </w:rPr>
        <w:t>S/</w:t>
      </w:r>
      <w:r w:rsidRPr="00744830">
        <w:rPr>
          <w:sz w:val="20"/>
          <w:szCs w:val="20"/>
          <w:vertAlign w:val="superscript"/>
        </w:rPr>
        <w:t>32</w:t>
      </w:r>
      <w:r w:rsidRPr="00744830">
        <w:rPr>
          <w:sz w:val="20"/>
          <w:szCs w:val="20"/>
        </w:rPr>
        <w:t xml:space="preserve">S ratios (from </w:t>
      </w:r>
      <w:r>
        <w:rPr>
          <w:sz w:val="20"/>
          <w:szCs w:val="20"/>
        </w:rPr>
        <w:t>T</w:t>
      </w:r>
      <w:r w:rsidRPr="00744830">
        <w:rPr>
          <w:sz w:val="20"/>
          <w:szCs w:val="20"/>
        </w:rPr>
        <w:t xml:space="preserve">able </w:t>
      </w:r>
      <w:r>
        <w:rPr>
          <w:sz w:val="20"/>
          <w:szCs w:val="20"/>
        </w:rPr>
        <w:t>1</w:t>
      </w:r>
      <w:r w:rsidRPr="00744830">
        <w:rPr>
          <w:sz w:val="20"/>
          <w:szCs w:val="20"/>
        </w:rPr>
        <w:t xml:space="preserve">). Plotted as both </w:t>
      </w:r>
      <w:r w:rsidRPr="00744830">
        <w:rPr>
          <w:rFonts w:cs="Times New Roman"/>
          <w:sz w:val="20"/>
          <w:szCs w:val="20"/>
        </w:rPr>
        <w:t>δ</w:t>
      </w:r>
      <w:r w:rsidRPr="001F418F">
        <w:rPr>
          <w:sz w:val="20"/>
          <w:szCs w:val="20"/>
          <w:vertAlign w:val="superscript"/>
        </w:rPr>
        <w:t>34</w:t>
      </w:r>
      <w:r w:rsidRPr="00744830">
        <w:rPr>
          <w:sz w:val="20"/>
          <w:szCs w:val="20"/>
        </w:rPr>
        <w:t xml:space="preserve">S (left axis) and absolute </w:t>
      </w:r>
      <w:r w:rsidRPr="00744830">
        <w:rPr>
          <w:sz w:val="20"/>
          <w:szCs w:val="20"/>
          <w:vertAlign w:val="superscript"/>
        </w:rPr>
        <w:t>34</w:t>
      </w:r>
      <w:r w:rsidRPr="00744830">
        <w:rPr>
          <w:sz w:val="20"/>
          <w:szCs w:val="20"/>
        </w:rPr>
        <w:t>S/</w:t>
      </w:r>
      <w:r w:rsidRPr="00744830">
        <w:rPr>
          <w:sz w:val="20"/>
          <w:szCs w:val="20"/>
          <w:vertAlign w:val="superscript"/>
        </w:rPr>
        <w:t>32</w:t>
      </w:r>
      <w:r w:rsidRPr="00744830">
        <w:rPr>
          <w:sz w:val="20"/>
          <w:szCs w:val="20"/>
        </w:rPr>
        <w:t>S ratio (right axis)</w:t>
      </w:r>
      <w:r>
        <w:rPr>
          <w:sz w:val="20"/>
          <w:szCs w:val="20"/>
        </w:rPr>
        <w:t xml:space="preserve">. </w:t>
      </w:r>
      <w:r w:rsidRPr="00744830">
        <w:rPr>
          <w:sz w:val="20"/>
          <w:szCs w:val="20"/>
        </w:rPr>
        <w:t xml:space="preserve">Note that only </w:t>
      </w:r>
      <w:r w:rsidRPr="00744830">
        <w:rPr>
          <w:rFonts w:cs="Times New Roman"/>
          <w:sz w:val="20"/>
          <w:szCs w:val="20"/>
        </w:rPr>
        <w:t>±</w:t>
      </w:r>
      <w:r>
        <w:rPr>
          <w:rFonts w:cs="Times New Roman"/>
          <w:sz w:val="20"/>
          <w:szCs w:val="20"/>
        </w:rPr>
        <w:t xml:space="preserve"> </w:t>
      </w:r>
      <w:r w:rsidRPr="00744830">
        <w:rPr>
          <w:sz w:val="20"/>
          <w:szCs w:val="20"/>
        </w:rPr>
        <w:t xml:space="preserve">20 </w:t>
      </w:r>
      <w:r>
        <w:rPr>
          <w:sz w:val="20"/>
          <w:szCs w:val="20"/>
        </w:rPr>
        <w:t>‰</w:t>
      </w:r>
      <w:r w:rsidRPr="00744830">
        <w:rPr>
          <w:sz w:val="20"/>
          <w:szCs w:val="20"/>
        </w:rPr>
        <w:t xml:space="preserve"> </w:t>
      </w:r>
      <w:r w:rsidRPr="00744830">
        <w:rPr>
          <w:rFonts w:cs="Times New Roman"/>
          <w:sz w:val="20"/>
          <w:szCs w:val="20"/>
        </w:rPr>
        <w:t>δ</w:t>
      </w:r>
      <w:r w:rsidRPr="002E081D">
        <w:rPr>
          <w:sz w:val="20"/>
          <w:szCs w:val="20"/>
          <w:vertAlign w:val="superscript"/>
        </w:rPr>
        <w:t>34</w:t>
      </w:r>
      <w:r w:rsidRPr="00744830">
        <w:rPr>
          <w:sz w:val="20"/>
          <w:szCs w:val="20"/>
        </w:rPr>
        <w:t xml:space="preserve">S is shown. Values outside of this range can be found in Table </w:t>
      </w:r>
      <w:r>
        <w:rPr>
          <w:sz w:val="20"/>
          <w:szCs w:val="20"/>
        </w:rPr>
        <w:t>1</w:t>
      </w:r>
      <w:r w:rsidRPr="00744830">
        <w:rPr>
          <w:sz w:val="20"/>
          <w:szCs w:val="20"/>
        </w:rPr>
        <w:t xml:space="preserve">. With the exception of Simulation 1, all calculations using the Monte Carlo Approach are outside of this range. </w:t>
      </w:r>
    </w:p>
    <w:p w:rsidR="005A2F37" w:rsidRDefault="005A2F37" w:rsidP="005A2F37"/>
    <w:p w:rsidR="005A2F37" w:rsidRDefault="005A2F37" w:rsidP="005A2F37">
      <w:r>
        <w:rPr>
          <w:noProof/>
        </w:rPr>
        <w:lastRenderedPageBreak/>
        <w:drawing>
          <wp:inline distT="0" distB="0" distL="0" distR="0" wp14:anchorId="1402DC71" wp14:editId="4CCF8BAE">
            <wp:extent cx="3819525" cy="2695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7" w:rsidRPr="00744830" w:rsidRDefault="005A2F37" w:rsidP="005A2F37">
      <w:pPr>
        <w:pStyle w:val="ListParagraph"/>
        <w:ind w:left="648" w:firstLine="0"/>
        <w:rPr>
          <w:sz w:val="20"/>
          <w:szCs w:val="20"/>
        </w:rPr>
      </w:pPr>
      <w:r w:rsidRPr="00744830">
        <w:rPr>
          <w:sz w:val="20"/>
          <w:szCs w:val="20"/>
        </w:rPr>
        <w:t>Figure 4</w:t>
      </w:r>
      <w:r>
        <w:rPr>
          <w:sz w:val="20"/>
          <w:szCs w:val="20"/>
        </w:rPr>
        <w:t>:</w:t>
      </w:r>
      <w:r w:rsidRPr="00744830">
        <w:rPr>
          <w:sz w:val="20"/>
          <w:szCs w:val="20"/>
        </w:rPr>
        <w:t xml:space="preserve"> The ion hit sequence plotted versus multi-hits (averaged over 1e</w:t>
      </w:r>
      <w:r w:rsidRPr="00744830">
        <w:rPr>
          <w:sz w:val="20"/>
          <w:szCs w:val="20"/>
          <w:vertAlign w:val="superscript"/>
        </w:rPr>
        <w:t xml:space="preserve">4 </w:t>
      </w:r>
      <w:r w:rsidRPr="00744830">
        <w:rPr>
          <w:sz w:val="20"/>
          <w:szCs w:val="20"/>
        </w:rPr>
        <w:t xml:space="preserve">ion hits) for dataset R5083_08493. Note the increase in multi-hits as the run progresses. </w:t>
      </w:r>
    </w:p>
    <w:p w:rsidR="005A2F37" w:rsidRDefault="005A2F37" w:rsidP="005A2F37">
      <w:pPr>
        <w:pStyle w:val="ListParagraph"/>
        <w:ind w:left="648" w:firstLine="0"/>
      </w:pPr>
    </w:p>
    <w:p w:rsidR="005A2F37" w:rsidRDefault="005A2F37" w:rsidP="005A2F37">
      <w:pPr>
        <w:pStyle w:val="ListParagraph"/>
        <w:ind w:left="648" w:firstLine="0"/>
      </w:pPr>
    </w:p>
    <w:p w:rsidR="005A2F37" w:rsidRDefault="005A2F37" w:rsidP="005A2F37">
      <w:r>
        <w:br w:type="page"/>
      </w:r>
    </w:p>
    <w:p w:rsidR="005A2F37" w:rsidRDefault="005A2F37" w:rsidP="005A2F37"/>
    <w:p w:rsidR="005A2F37" w:rsidRDefault="005A2F37" w:rsidP="005A2F37">
      <w:r>
        <w:rPr>
          <w:noProof/>
        </w:rPr>
        <w:drawing>
          <wp:inline distT="0" distB="0" distL="0" distR="0" wp14:anchorId="512E67A1" wp14:editId="7C4A6805">
            <wp:extent cx="4952381" cy="3695238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3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7" w:rsidRPr="00744830" w:rsidRDefault="005A2F37" w:rsidP="005A2F37">
      <w:pPr>
        <w:tabs>
          <w:tab w:val="left" w:pos="1769"/>
        </w:tabs>
        <w:rPr>
          <w:sz w:val="20"/>
          <w:szCs w:val="20"/>
        </w:rPr>
        <w:sectPr w:rsidR="005A2F37" w:rsidRPr="00744830" w:rsidSect="005A5CA0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744830">
        <w:rPr>
          <w:sz w:val="20"/>
          <w:szCs w:val="20"/>
        </w:rPr>
        <w:t>Figure 5:  Plot of % multi-hits versus the charge state ratio of Fe</w:t>
      </w:r>
      <w:r w:rsidRPr="00744830">
        <w:rPr>
          <w:sz w:val="20"/>
          <w:szCs w:val="20"/>
          <w:vertAlign w:val="superscript"/>
        </w:rPr>
        <w:t>++</w:t>
      </w:r>
      <w:r w:rsidRPr="00744830">
        <w:rPr>
          <w:sz w:val="20"/>
          <w:szCs w:val="20"/>
        </w:rPr>
        <w:t>/Fe</w:t>
      </w:r>
      <w:r w:rsidRPr="00744830">
        <w:rPr>
          <w:sz w:val="20"/>
          <w:szCs w:val="20"/>
          <w:vertAlign w:val="superscript"/>
        </w:rPr>
        <w:t>+</w:t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(from Table 2)</w:t>
      </w:r>
      <w:r w:rsidRPr="00744830">
        <w:rPr>
          <w:sz w:val="20"/>
          <w:szCs w:val="20"/>
        </w:rPr>
        <w:t>. The CSR is used here as a direct proxy for the local electric field</w:t>
      </w:r>
      <w:r>
        <w:rPr>
          <w:sz w:val="20"/>
          <w:szCs w:val="20"/>
        </w:rPr>
        <w:t>.</w:t>
      </w:r>
    </w:p>
    <w:p w:rsidR="005A2F37" w:rsidRDefault="005A2F37" w:rsidP="005A2F37">
      <w:pPr>
        <w:ind w:left="288"/>
      </w:pPr>
      <w:r>
        <w:rPr>
          <w:noProof/>
        </w:rPr>
        <w:lastRenderedPageBreak/>
        <w:drawing>
          <wp:inline distT="0" distB="0" distL="0" distR="0" wp14:anchorId="4D859488" wp14:editId="18A0040B">
            <wp:extent cx="5943600" cy="36023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7" w:rsidRPr="00744830" w:rsidRDefault="005A2F37" w:rsidP="005A2F37">
      <w:pPr>
        <w:ind w:left="288"/>
        <w:rPr>
          <w:sz w:val="20"/>
          <w:szCs w:val="20"/>
        </w:rPr>
      </w:pPr>
      <w:r w:rsidRPr="00744830">
        <w:rPr>
          <w:sz w:val="20"/>
          <w:szCs w:val="20"/>
        </w:rPr>
        <w:t xml:space="preserve">Figure 6: Comparison of calculated </w:t>
      </w:r>
      <w:r w:rsidRPr="00744830">
        <w:rPr>
          <w:rFonts w:cs="Times New Roman"/>
          <w:sz w:val="20"/>
          <w:szCs w:val="20"/>
        </w:rPr>
        <w:t>δ</w:t>
      </w:r>
      <w:r w:rsidRPr="00A44092">
        <w:rPr>
          <w:rFonts w:cs="Times New Roman"/>
          <w:sz w:val="20"/>
          <w:szCs w:val="20"/>
          <w:vertAlign w:val="superscript"/>
        </w:rPr>
        <w:t>34</w:t>
      </w:r>
      <w:r w:rsidRPr="00744830">
        <w:rPr>
          <w:rFonts w:cs="Times New Roman"/>
          <w:sz w:val="20"/>
          <w:szCs w:val="20"/>
        </w:rPr>
        <w:t>S of datasets of pyrite standards run at 80</w:t>
      </w:r>
      <w:r>
        <w:rPr>
          <w:rFonts w:cs="Times New Roman"/>
          <w:sz w:val="20"/>
          <w:szCs w:val="20"/>
        </w:rPr>
        <w:t xml:space="preserve"> </w:t>
      </w:r>
      <w:r w:rsidRPr="00744830">
        <w:rPr>
          <w:rFonts w:cs="Times New Roman"/>
          <w:sz w:val="20"/>
          <w:szCs w:val="20"/>
        </w:rPr>
        <w:t>pJ. Data is subdivided by specific voltage ranges, as well as if only single hits or all hits are used. S1 means dataset pair 08492/08493 and S2 dataset pair 11434/11435. Data is shown both calculated against the nominal CDT value (</w:t>
      </w:r>
      <w:r>
        <w:rPr>
          <w:rFonts w:cs="Times New Roman"/>
          <w:sz w:val="20"/>
          <w:szCs w:val="20"/>
        </w:rPr>
        <w:t>E</w:t>
      </w:r>
      <w:r w:rsidRPr="00744830">
        <w:rPr>
          <w:rFonts w:cs="Times New Roman"/>
          <w:sz w:val="20"/>
          <w:szCs w:val="20"/>
        </w:rPr>
        <w:t>quation 8) and against a known standard (</w:t>
      </w:r>
      <w:r>
        <w:rPr>
          <w:rFonts w:cs="Times New Roman"/>
          <w:sz w:val="20"/>
          <w:szCs w:val="20"/>
        </w:rPr>
        <w:t>E</w:t>
      </w:r>
      <w:r w:rsidRPr="00744830">
        <w:rPr>
          <w:rFonts w:cs="Times New Roman"/>
          <w:sz w:val="20"/>
          <w:szCs w:val="20"/>
        </w:rPr>
        <w:t xml:space="preserve">quation 9). </w:t>
      </w:r>
    </w:p>
    <w:p w:rsidR="005A2F37" w:rsidRDefault="005A2F37" w:rsidP="005A2F37">
      <w:r>
        <w:br w:type="page"/>
      </w:r>
    </w:p>
    <w:p w:rsidR="005A2F37" w:rsidRDefault="005A2F37" w:rsidP="005A2F37">
      <w:pPr>
        <w:rPr>
          <w:lang w:val="en-GB"/>
        </w:rPr>
      </w:pPr>
    </w:p>
    <w:p w:rsidR="005A2F37" w:rsidRDefault="005A2F37" w:rsidP="005A2F37">
      <w:pPr>
        <w:pStyle w:val="ListParagraph"/>
        <w:ind w:left="0" w:firstLine="0"/>
        <w:rPr>
          <w:lang w:val="en-GB"/>
        </w:rPr>
      </w:pPr>
      <w:r>
        <w:rPr>
          <w:noProof/>
        </w:rPr>
        <w:drawing>
          <wp:inline distT="0" distB="0" distL="0" distR="0" wp14:anchorId="4DC7DD48" wp14:editId="0780F158">
            <wp:extent cx="5943600" cy="47574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7" w:rsidRDefault="005A2F37" w:rsidP="005A2F37">
      <w:pPr>
        <w:pStyle w:val="ListParagraph"/>
        <w:ind w:left="648" w:firstLine="0"/>
        <w:rPr>
          <w:lang w:val="en-GB"/>
        </w:rPr>
      </w:pPr>
    </w:p>
    <w:p w:rsidR="005A2F37" w:rsidRPr="00744830" w:rsidRDefault="005A2F37" w:rsidP="005A2F37">
      <w:pPr>
        <w:pStyle w:val="ListParagraph"/>
        <w:ind w:left="0" w:firstLine="0"/>
        <w:rPr>
          <w:sz w:val="20"/>
          <w:szCs w:val="20"/>
        </w:rPr>
      </w:pPr>
      <w:r w:rsidRPr="00744830">
        <w:rPr>
          <w:sz w:val="20"/>
          <w:szCs w:val="20"/>
        </w:rPr>
        <w:t xml:space="preserve">Table 1: Collation of various methods used to measure peak counts and to calculate the </w:t>
      </w:r>
      <w:r w:rsidRPr="00744830">
        <w:rPr>
          <w:sz w:val="20"/>
          <w:szCs w:val="20"/>
          <w:vertAlign w:val="superscript"/>
        </w:rPr>
        <w:t>34</w:t>
      </w:r>
      <w:r w:rsidRPr="00744830">
        <w:rPr>
          <w:sz w:val="20"/>
          <w:szCs w:val="20"/>
        </w:rPr>
        <w:t>S/</w:t>
      </w:r>
      <w:r w:rsidRPr="00744830">
        <w:rPr>
          <w:sz w:val="20"/>
          <w:szCs w:val="20"/>
          <w:vertAlign w:val="superscript"/>
        </w:rPr>
        <w:t>32</w:t>
      </w:r>
      <w:r w:rsidRPr="00744830">
        <w:rPr>
          <w:sz w:val="20"/>
          <w:szCs w:val="20"/>
        </w:rPr>
        <w:t>S ratio. To save space, only Simulations 1,5,7,8 are shown. Results for all simulations are reported in Appendix C.</w:t>
      </w:r>
    </w:p>
    <w:p w:rsidR="005A2F37" w:rsidRDefault="005A2F37" w:rsidP="005A2F37">
      <w:pPr>
        <w:pStyle w:val="ListParagraph"/>
        <w:ind w:left="648" w:firstLine="0"/>
        <w:rPr>
          <w:lang w:val="en-GB"/>
        </w:rPr>
      </w:pPr>
    </w:p>
    <w:p w:rsidR="005A2F37" w:rsidRDefault="005A2F37" w:rsidP="005A2F37">
      <w:pPr>
        <w:pStyle w:val="ListParagraph"/>
        <w:ind w:left="648" w:firstLine="0"/>
        <w:rPr>
          <w:lang w:val="en-GB"/>
        </w:rPr>
      </w:pPr>
    </w:p>
    <w:p w:rsidR="005A2F37" w:rsidRDefault="005A2F37" w:rsidP="005A2F37">
      <w:pPr>
        <w:rPr>
          <w:lang w:val="en-GB"/>
        </w:rPr>
      </w:pPr>
      <w:r>
        <w:rPr>
          <w:lang w:val="en-GB"/>
        </w:rPr>
        <w:br w:type="page"/>
      </w:r>
      <w:r w:rsidRPr="00A353E9">
        <w:rPr>
          <w:b/>
          <w:bCs/>
          <w:noProof/>
        </w:rPr>
        <w:lastRenderedPageBreak/>
        <w:drawing>
          <wp:inline distT="0" distB="0" distL="0" distR="0" wp14:anchorId="78B77CCE" wp14:editId="323BE1C0">
            <wp:extent cx="5943600" cy="3086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37" w:rsidRPr="00744830" w:rsidRDefault="005A2F37" w:rsidP="005A2F37">
      <w:pPr>
        <w:pStyle w:val="ListParagraph"/>
        <w:ind w:left="0" w:firstLine="0"/>
        <w:rPr>
          <w:sz w:val="20"/>
          <w:szCs w:val="20"/>
        </w:rPr>
      </w:pPr>
      <w:r w:rsidRPr="00744830">
        <w:rPr>
          <w:sz w:val="20"/>
          <w:szCs w:val="20"/>
        </w:rPr>
        <w:t xml:space="preserve">Table 2: Run conditions, calculated </w:t>
      </w:r>
      <w:r w:rsidRPr="00744830">
        <w:rPr>
          <w:sz w:val="20"/>
          <w:szCs w:val="20"/>
          <w:vertAlign w:val="superscript"/>
        </w:rPr>
        <w:t>34</w:t>
      </w:r>
      <w:r w:rsidRPr="00744830">
        <w:rPr>
          <w:sz w:val="20"/>
          <w:szCs w:val="20"/>
        </w:rPr>
        <w:t>S/</w:t>
      </w:r>
      <w:r w:rsidRPr="00744830">
        <w:rPr>
          <w:sz w:val="20"/>
          <w:szCs w:val="20"/>
          <w:vertAlign w:val="superscript"/>
        </w:rPr>
        <w:t>32</w:t>
      </w:r>
      <w:r w:rsidRPr="00744830">
        <w:rPr>
          <w:sz w:val="20"/>
          <w:szCs w:val="20"/>
        </w:rPr>
        <w:t xml:space="preserve">S, and </w:t>
      </w:r>
      <w:r w:rsidRPr="00744830">
        <w:rPr>
          <w:rFonts w:cs="Times New Roman"/>
          <w:sz w:val="20"/>
          <w:szCs w:val="20"/>
        </w:rPr>
        <w:t>δ</w:t>
      </w:r>
      <w:r w:rsidRPr="005F5F35">
        <w:rPr>
          <w:sz w:val="20"/>
          <w:szCs w:val="20"/>
          <w:vertAlign w:val="superscript"/>
        </w:rPr>
        <w:t>34</w:t>
      </w:r>
      <w:r w:rsidRPr="00744830">
        <w:rPr>
          <w:sz w:val="20"/>
          <w:szCs w:val="20"/>
        </w:rPr>
        <w:t>S for each dataset and subdivision of each dataset. Multi-hit fractions as well as the corresponding Fe</w:t>
      </w:r>
      <w:r w:rsidRPr="00744830">
        <w:rPr>
          <w:sz w:val="20"/>
          <w:szCs w:val="20"/>
          <w:vertAlign w:val="superscript"/>
        </w:rPr>
        <w:t>++</w:t>
      </w:r>
      <w:r w:rsidRPr="00744830">
        <w:rPr>
          <w:sz w:val="20"/>
          <w:szCs w:val="20"/>
        </w:rPr>
        <w:t>/Fe</w:t>
      </w:r>
      <w:r w:rsidRPr="00744830">
        <w:rPr>
          <w:sz w:val="20"/>
          <w:szCs w:val="20"/>
          <w:vertAlign w:val="superscript"/>
        </w:rPr>
        <w:t>+</w:t>
      </w:r>
      <w:r w:rsidRPr="00744830">
        <w:rPr>
          <w:sz w:val="20"/>
          <w:szCs w:val="20"/>
        </w:rPr>
        <w:t xml:space="preserve"> ratio (as a proxy for the local field), were calculated for the data containing all hits. </w:t>
      </w:r>
      <w:r w:rsidRPr="00744830">
        <w:rPr>
          <w:rFonts w:cs="Times New Roman"/>
          <w:sz w:val="20"/>
          <w:szCs w:val="20"/>
        </w:rPr>
        <w:t>δ</w:t>
      </w:r>
      <w:r w:rsidRPr="005F5F35">
        <w:rPr>
          <w:sz w:val="20"/>
          <w:szCs w:val="20"/>
          <w:vertAlign w:val="superscript"/>
        </w:rPr>
        <w:t>34</w:t>
      </w:r>
      <w:r w:rsidRPr="00744830">
        <w:rPr>
          <w:sz w:val="20"/>
          <w:szCs w:val="20"/>
        </w:rPr>
        <w:t>S is calculated both against the nominal CDT value (equation (8)) and calculated against the corresponding standard that was acquired closest in time (equation (9)). Note - other than applied voltage, all other acquisition conditions kept constant (see section 2).</w:t>
      </w:r>
    </w:p>
    <w:p w:rsidR="005A2F37" w:rsidRDefault="005A2F37" w:rsidP="005A2F37">
      <w:pPr>
        <w:rPr>
          <w:lang w:val="en-GB"/>
        </w:rPr>
      </w:pPr>
      <w:r>
        <w:rPr>
          <w:lang w:val="en-GB"/>
        </w:rPr>
        <w:br w:type="page"/>
      </w:r>
    </w:p>
    <w:p w:rsidR="005A2F37" w:rsidRDefault="005A2F37" w:rsidP="005A2F37">
      <w:pPr>
        <w:rPr>
          <w:lang w:val="en-GB"/>
        </w:rPr>
      </w:pPr>
    </w:p>
    <w:p w:rsidR="005A2F37" w:rsidRPr="00570936" w:rsidRDefault="005A2F37" w:rsidP="005A2F37">
      <w:pPr>
        <w:rPr>
          <w:b/>
          <w:bCs/>
          <w:lang w:val="en-GB"/>
        </w:rPr>
      </w:pPr>
      <w:r w:rsidRPr="00570936">
        <w:rPr>
          <w:b/>
          <w:bCs/>
        </w:rPr>
        <w:t>Appendix A</w:t>
      </w:r>
      <w:r w:rsidRPr="00570936">
        <w:rPr>
          <w:b/>
          <w:bCs/>
          <w:lang w:val="en-GB"/>
        </w:rPr>
        <w:t>: Detailed table of all ranges used for the ranging exercise.</w:t>
      </w:r>
    </w:p>
    <w:p w:rsidR="005A2F37" w:rsidRDefault="005A2F37" w:rsidP="005A2F37">
      <w:pPr>
        <w:pStyle w:val="ListParagraph"/>
        <w:ind w:left="648" w:firstLine="0"/>
        <w:rPr>
          <w:lang w:val="en-GB"/>
        </w:rPr>
      </w:pPr>
    </w:p>
    <w:p w:rsidR="005A2F37" w:rsidRDefault="005A2F37" w:rsidP="005A2F37">
      <w:pPr>
        <w:pStyle w:val="ListParagraph"/>
        <w:ind w:left="0" w:firstLine="0"/>
        <w:rPr>
          <w:lang w:val="en-GB"/>
        </w:rPr>
      </w:pPr>
      <w:r>
        <w:rPr>
          <w:noProof/>
        </w:rPr>
        <w:drawing>
          <wp:inline distT="0" distB="0" distL="0" distR="0" wp14:anchorId="3E50406B" wp14:editId="27C40F28">
            <wp:extent cx="5943600" cy="45269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7" w:rsidRDefault="005A2F37" w:rsidP="005A2F37">
      <w:pPr>
        <w:pStyle w:val="ListParagraph"/>
        <w:ind w:left="0" w:firstLine="0"/>
        <w:rPr>
          <w:lang w:val="en-GB"/>
        </w:rPr>
      </w:pPr>
    </w:p>
    <w:p w:rsidR="005A2F37" w:rsidRDefault="005A2F37" w:rsidP="005A2F37">
      <w:pPr>
        <w:pStyle w:val="ListParagraph"/>
        <w:ind w:left="0" w:firstLine="0"/>
        <w:rPr>
          <w:lang w:val="en-GB"/>
        </w:rPr>
      </w:pPr>
    </w:p>
    <w:p w:rsidR="005A2F37" w:rsidRDefault="005A2F37" w:rsidP="005A2F37">
      <w:pPr>
        <w:pStyle w:val="ListParagraph"/>
        <w:ind w:left="0" w:firstLine="0"/>
        <w:rPr>
          <w:lang w:val="en-GB"/>
        </w:rPr>
      </w:pPr>
    </w:p>
    <w:p w:rsidR="005A2F37" w:rsidRDefault="005A2F37" w:rsidP="005A2F37">
      <w:pPr>
        <w:rPr>
          <w:lang w:val="en-GB"/>
        </w:rPr>
      </w:pPr>
      <w:r>
        <w:rPr>
          <w:lang w:val="en-GB"/>
        </w:rPr>
        <w:br w:type="page"/>
      </w:r>
    </w:p>
    <w:p w:rsidR="005A2F37" w:rsidRPr="004826E3" w:rsidRDefault="005A2F37" w:rsidP="005A2F37">
      <w:pPr>
        <w:rPr>
          <w:b/>
          <w:bCs/>
          <w:lang w:val="en-GB"/>
        </w:rPr>
      </w:pPr>
      <w:r w:rsidRPr="004826E3">
        <w:rPr>
          <w:b/>
          <w:bCs/>
          <w:lang w:val="en-GB"/>
        </w:rPr>
        <w:lastRenderedPageBreak/>
        <w:t>Appendix B: Simulated spectra (Simulations 1-8)</w:t>
      </w:r>
    </w:p>
    <w:p w:rsidR="005A2F37" w:rsidRDefault="005A2F37" w:rsidP="005A2F37">
      <w:pPr>
        <w:rPr>
          <w:lang w:val="en-GB"/>
        </w:rPr>
      </w:pPr>
    </w:p>
    <w:p w:rsidR="005A2F37" w:rsidRDefault="005A2F37" w:rsidP="005A2F37">
      <w:pPr>
        <w:pStyle w:val="ListParagraph"/>
        <w:ind w:left="0" w:firstLine="0"/>
        <w:rPr>
          <w:lang w:val="en-GB"/>
        </w:rPr>
      </w:pPr>
      <w:r>
        <w:rPr>
          <w:noProof/>
        </w:rPr>
        <w:drawing>
          <wp:inline distT="0" distB="0" distL="0" distR="0" wp14:anchorId="2786338B" wp14:editId="6274364F">
            <wp:extent cx="5008033" cy="7235687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366" cy="72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7" w:rsidRPr="004826E3" w:rsidRDefault="005A2F37" w:rsidP="005A2F37">
      <w:pPr>
        <w:rPr>
          <w:b/>
          <w:bCs/>
          <w:lang w:val="en-GB"/>
        </w:rPr>
      </w:pPr>
      <w:r w:rsidRPr="004826E3">
        <w:rPr>
          <w:b/>
          <w:bCs/>
          <w:lang w:val="en-GB"/>
        </w:rPr>
        <w:lastRenderedPageBreak/>
        <w:t>Appendix C: Full simulated data results (Simulations 1-8)</w:t>
      </w:r>
    </w:p>
    <w:p w:rsidR="005A2F37" w:rsidRDefault="005A2F37" w:rsidP="005A2F37">
      <w:pPr>
        <w:pStyle w:val="ListParagraph"/>
        <w:ind w:left="0" w:firstLine="0"/>
        <w:rPr>
          <w:lang w:val="en-GB"/>
        </w:rPr>
      </w:pPr>
      <w:r>
        <w:rPr>
          <w:noProof/>
        </w:rPr>
        <w:drawing>
          <wp:inline distT="0" distB="0" distL="0" distR="0" wp14:anchorId="1F54543C" wp14:editId="01304BFB">
            <wp:extent cx="4955739" cy="7382341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413" cy="741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F37" w:rsidRPr="00A353E9" w:rsidRDefault="005A2F37" w:rsidP="005A2F37">
      <w:pPr>
        <w:rPr>
          <w:b/>
          <w:bCs/>
          <w:lang w:val="en-GB"/>
        </w:rPr>
      </w:pPr>
      <w:r>
        <w:rPr>
          <w:lang w:val="en-GB"/>
        </w:rPr>
        <w:br w:type="page"/>
      </w:r>
      <w:r w:rsidRPr="00A353E9">
        <w:rPr>
          <w:b/>
          <w:bCs/>
          <w:lang w:val="en-GB"/>
        </w:rPr>
        <w:lastRenderedPageBreak/>
        <w:t xml:space="preserve">Appendix </w:t>
      </w:r>
      <w:r>
        <w:rPr>
          <w:b/>
          <w:bCs/>
          <w:lang w:val="en-GB"/>
        </w:rPr>
        <w:t>D</w:t>
      </w:r>
      <w:r w:rsidRPr="00A353E9">
        <w:rPr>
          <w:b/>
          <w:bCs/>
          <w:lang w:val="en-GB"/>
        </w:rPr>
        <w:t>: Full empirical data results (Adaptive fit, IVAS, and Gaussian)</w:t>
      </w:r>
    </w:p>
    <w:p w:rsidR="005A2F37" w:rsidRDefault="005A2F37" w:rsidP="005A2F37">
      <w:pPr>
        <w:pStyle w:val="ListParagraph"/>
        <w:ind w:left="0" w:firstLine="0"/>
        <w:rPr>
          <w:lang w:val="en-GB"/>
        </w:rPr>
      </w:pPr>
    </w:p>
    <w:p w:rsidR="005A2F37" w:rsidRDefault="005A2F37" w:rsidP="005A2F37">
      <w:pPr>
        <w:pStyle w:val="ListParagraph"/>
        <w:ind w:left="0" w:firstLine="0"/>
        <w:jc w:val="center"/>
        <w:rPr>
          <w:b/>
          <w:bCs/>
          <w:lang w:val="en-GB"/>
        </w:rPr>
      </w:pPr>
      <w:r w:rsidRPr="00A353E9">
        <w:rPr>
          <w:b/>
          <w:bCs/>
          <w:lang w:val="en-GB"/>
        </w:rPr>
        <w:t>Adaptive Peak Fitting</w:t>
      </w:r>
    </w:p>
    <w:p w:rsidR="005A2F37" w:rsidRDefault="005A2F37" w:rsidP="005A2F37">
      <w:pPr>
        <w:pStyle w:val="ListParagraph"/>
        <w:ind w:left="0" w:firstLine="0"/>
        <w:jc w:val="center"/>
        <w:rPr>
          <w:b/>
          <w:bCs/>
          <w:lang w:val="en-GB"/>
        </w:rPr>
      </w:pPr>
    </w:p>
    <w:p w:rsidR="005A2F37" w:rsidRDefault="005A2F37" w:rsidP="005A2F37">
      <w:pPr>
        <w:pStyle w:val="ListParagraph"/>
        <w:ind w:left="0" w:firstLine="0"/>
        <w:jc w:val="center"/>
        <w:rPr>
          <w:b/>
          <w:bCs/>
          <w:lang w:val="en-GB"/>
        </w:rPr>
      </w:pPr>
      <w:r w:rsidRPr="00A353E9">
        <w:rPr>
          <w:b/>
          <w:bCs/>
          <w:noProof/>
        </w:rPr>
        <w:drawing>
          <wp:inline distT="0" distB="0" distL="0" distR="0" wp14:anchorId="34DF88EB" wp14:editId="7E9463B4">
            <wp:extent cx="5943600" cy="308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37" w:rsidRDefault="005A2F37" w:rsidP="005A2F37">
      <w:pPr>
        <w:pStyle w:val="ListParagraph"/>
        <w:ind w:left="0" w:firstLine="0"/>
        <w:jc w:val="center"/>
        <w:rPr>
          <w:b/>
          <w:bCs/>
          <w:lang w:val="en-GB"/>
        </w:rPr>
      </w:pPr>
    </w:p>
    <w:p w:rsidR="005A2F37" w:rsidRDefault="005A2F37" w:rsidP="005A2F37">
      <w:pPr>
        <w:pStyle w:val="ListParagraph"/>
        <w:ind w:left="0" w:firstLine="0"/>
        <w:jc w:val="center"/>
        <w:rPr>
          <w:b/>
          <w:bCs/>
          <w:lang w:val="en-GB"/>
        </w:rPr>
      </w:pPr>
      <w:r>
        <w:rPr>
          <w:b/>
          <w:bCs/>
          <w:lang w:val="en-GB"/>
        </w:rPr>
        <w:t xml:space="preserve">IVAS </w:t>
      </w:r>
    </w:p>
    <w:p w:rsidR="005A2F37" w:rsidRDefault="005A2F37" w:rsidP="005A2F37">
      <w:pPr>
        <w:pStyle w:val="ListParagraph"/>
        <w:ind w:left="0" w:firstLine="0"/>
        <w:jc w:val="center"/>
        <w:rPr>
          <w:b/>
          <w:bCs/>
          <w:lang w:val="en-GB"/>
        </w:rPr>
      </w:pPr>
    </w:p>
    <w:p w:rsidR="005A2F37" w:rsidRDefault="005A2F37" w:rsidP="005A2F37">
      <w:pPr>
        <w:pStyle w:val="ListParagraph"/>
        <w:ind w:left="0" w:firstLine="0"/>
        <w:jc w:val="center"/>
        <w:rPr>
          <w:b/>
          <w:bCs/>
          <w:lang w:val="en-GB"/>
        </w:rPr>
      </w:pPr>
      <w:r w:rsidRPr="00A353E9">
        <w:rPr>
          <w:b/>
          <w:bCs/>
          <w:noProof/>
        </w:rPr>
        <w:drawing>
          <wp:inline distT="0" distB="0" distL="0" distR="0" wp14:anchorId="1DC1EEE9" wp14:editId="33F71BEA">
            <wp:extent cx="5943600" cy="19958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37" w:rsidRDefault="005A2F37" w:rsidP="005A2F37">
      <w:pPr>
        <w:pStyle w:val="ListParagraph"/>
        <w:ind w:left="0" w:firstLine="0"/>
        <w:jc w:val="center"/>
        <w:rPr>
          <w:b/>
          <w:bCs/>
          <w:lang w:val="en-GB"/>
        </w:rPr>
      </w:pPr>
    </w:p>
    <w:p w:rsidR="005A2F37" w:rsidRDefault="005A2F37" w:rsidP="005A2F37">
      <w:pPr>
        <w:pStyle w:val="ListParagraph"/>
        <w:ind w:left="0" w:firstLine="0"/>
        <w:jc w:val="center"/>
        <w:rPr>
          <w:b/>
          <w:bCs/>
          <w:lang w:val="en-GB"/>
        </w:rPr>
      </w:pPr>
      <w:r>
        <w:rPr>
          <w:b/>
          <w:bCs/>
          <w:lang w:val="en-GB"/>
        </w:rPr>
        <w:lastRenderedPageBreak/>
        <w:t>Gaussian Fitting</w:t>
      </w:r>
    </w:p>
    <w:p w:rsidR="005A2F37" w:rsidRDefault="005A2F37" w:rsidP="005A2F37">
      <w:pPr>
        <w:pStyle w:val="ListParagraph"/>
        <w:ind w:left="0" w:firstLine="0"/>
        <w:jc w:val="center"/>
        <w:rPr>
          <w:b/>
          <w:bCs/>
          <w:lang w:val="en-GB"/>
        </w:rPr>
      </w:pPr>
    </w:p>
    <w:p w:rsidR="005A2F37" w:rsidRPr="00A353E9" w:rsidRDefault="005A2F37" w:rsidP="005A2F37">
      <w:pPr>
        <w:pStyle w:val="ListParagraph"/>
        <w:ind w:left="0" w:firstLine="0"/>
        <w:jc w:val="center"/>
        <w:rPr>
          <w:b/>
          <w:bCs/>
          <w:lang w:val="en-GB"/>
        </w:rPr>
      </w:pPr>
      <w:r w:rsidRPr="00A353E9">
        <w:rPr>
          <w:b/>
          <w:bCs/>
          <w:noProof/>
        </w:rPr>
        <w:drawing>
          <wp:inline distT="0" distB="0" distL="0" distR="0" wp14:anchorId="29F6AD7C" wp14:editId="776A40D7">
            <wp:extent cx="5943600" cy="25488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37" w:rsidRDefault="005A2F37" w:rsidP="005A2F37"/>
    <w:p w:rsidR="0051251C" w:rsidRDefault="0051251C">
      <w:bookmarkStart w:id="0" w:name="_GoBack"/>
      <w:bookmarkEnd w:id="0"/>
    </w:p>
    <w:sectPr w:rsidR="0051251C" w:rsidSect="007448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F37"/>
    <w:rsid w:val="00060CDA"/>
    <w:rsid w:val="00482BEF"/>
    <w:rsid w:val="0051251C"/>
    <w:rsid w:val="005A2F37"/>
    <w:rsid w:val="006571C3"/>
    <w:rsid w:val="009D5EEC"/>
    <w:rsid w:val="00CE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B560EE-24D0-4B4D-9F5C-EF90173BD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qFormat/>
    <w:rsid w:val="005A2F37"/>
    <w:pPr>
      <w:widowControl w:val="0"/>
      <w:suppressAutoHyphens/>
      <w:spacing w:after="0" w:line="240" w:lineRule="auto"/>
      <w:ind w:firstLine="288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5A2F37"/>
    <w:rPr>
      <w:rFonts w:ascii="Times New Roman" w:eastAsiaTheme="majorEastAsia" w:hAnsi="Times New Roman" w:cstheme="majorBidi"/>
      <w:b/>
      <w:spacing w:val="-10"/>
      <w:kern w:val="28"/>
      <w:sz w:val="48"/>
      <w:szCs w:val="48"/>
    </w:rPr>
  </w:style>
  <w:style w:type="paragraph" w:styleId="ListParagraph">
    <w:name w:val="List Paragraph"/>
    <w:basedOn w:val="Normal"/>
    <w:uiPriority w:val="34"/>
    <w:qFormat/>
    <w:rsid w:val="005A2F37"/>
    <w:pPr>
      <w:spacing w:line="480" w:lineRule="auto"/>
      <w:ind w:left="720" w:firstLine="288"/>
      <w:contextualSpacing/>
    </w:pPr>
    <w:rPr>
      <w:rFonts w:ascii="Times New Roman" w:hAnsi="Times New Roman"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5A2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Mazeski</dc:creator>
  <cp:keywords/>
  <dc:description/>
  <cp:lastModifiedBy>Brian Mazeski</cp:lastModifiedBy>
  <cp:revision>1</cp:revision>
  <dcterms:created xsi:type="dcterms:W3CDTF">2021-10-27T17:08:00Z</dcterms:created>
  <dcterms:modified xsi:type="dcterms:W3CDTF">2021-10-27T17:08:00Z</dcterms:modified>
</cp:coreProperties>
</file>