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D9" w:rsidRDefault="00CD75D9" w:rsidP="00CD75D9">
      <w:pPr>
        <w:jc w:val="center"/>
        <w:rPr>
          <w:color w:val="000000" w:themeColor="text1"/>
          <w:sz w:val="24"/>
          <w:szCs w:val="24"/>
          <w:shd w:val="clear" w:color="auto" w:fill="FFFFFF"/>
          <w:lang w:val="en-US"/>
        </w:rPr>
      </w:pPr>
      <w:r>
        <w:rPr>
          <w:color w:val="000000" w:themeColor="text1"/>
          <w:sz w:val="24"/>
          <w:szCs w:val="24"/>
          <w:shd w:val="clear" w:color="auto" w:fill="FFFFFF"/>
          <w:lang w:val="en-US"/>
        </w:rPr>
        <w:t>SUPPLEMENTARY MATERIAL for</w:t>
      </w:r>
    </w:p>
    <w:p w:rsidR="00CD75D9" w:rsidRPr="0011273A" w:rsidRDefault="00CD75D9" w:rsidP="00CD75D9">
      <w:pPr>
        <w:spacing w:after="183" w:line="240" w:lineRule="auto"/>
        <w:ind w:firstLine="284"/>
        <w:jc w:val="center"/>
        <w:rPr>
          <w:b/>
          <w:bCs/>
          <w:i/>
          <w:sz w:val="24"/>
          <w:szCs w:val="24"/>
          <w:lang w:val="en-US"/>
        </w:rPr>
      </w:pPr>
      <w:r w:rsidRPr="0011273A">
        <w:rPr>
          <w:b/>
          <w:bCs/>
          <w:i/>
          <w:sz w:val="24"/>
          <w:szCs w:val="24"/>
          <w:lang w:val="en-US"/>
        </w:rPr>
        <w:t>In situ atomic force microscopy depth-corrected 3-dimensional focused ion beam based time-of-flight secondary ion mass spectroscopy: spatial resolution, surface roughness, oxidation</w:t>
      </w:r>
    </w:p>
    <w:p w:rsidR="00CD75D9" w:rsidRPr="0011273A" w:rsidRDefault="00CD75D9" w:rsidP="00CD75D9">
      <w:pPr>
        <w:spacing w:after="183" w:line="240" w:lineRule="auto"/>
        <w:ind w:firstLine="284"/>
        <w:jc w:val="center"/>
        <w:rPr>
          <w:sz w:val="24"/>
          <w:szCs w:val="24"/>
          <w:lang w:val="en-US"/>
        </w:rPr>
      </w:pPr>
      <w:r w:rsidRPr="0011273A">
        <w:rPr>
          <w:sz w:val="24"/>
          <w:szCs w:val="24"/>
          <w:lang w:val="en-US"/>
        </w:rPr>
        <w:t>Lex Pillatsch</w:t>
      </w:r>
      <w:r w:rsidRPr="0011273A">
        <w:rPr>
          <w:sz w:val="24"/>
          <w:szCs w:val="24"/>
          <w:vertAlign w:val="superscript"/>
          <w:lang w:val="en-US"/>
        </w:rPr>
        <w:t>a,b</w:t>
      </w:r>
      <w:r w:rsidRPr="0011273A">
        <w:rPr>
          <w:sz w:val="24"/>
          <w:szCs w:val="24"/>
          <w:lang w:val="en-US"/>
        </w:rPr>
        <w:t>, Szilvia Kalácska</w:t>
      </w:r>
      <w:r w:rsidRPr="0011273A">
        <w:rPr>
          <w:sz w:val="24"/>
          <w:szCs w:val="24"/>
          <w:vertAlign w:val="superscript"/>
          <w:lang w:val="en-US"/>
        </w:rPr>
        <w:t>a*</w:t>
      </w:r>
      <w:r w:rsidRPr="0011273A">
        <w:rPr>
          <w:sz w:val="24"/>
          <w:szCs w:val="24"/>
          <w:lang w:val="en-US"/>
        </w:rPr>
        <w:t xml:space="preserve"> , Xavier Maeder</w:t>
      </w:r>
      <w:r w:rsidRPr="0011273A">
        <w:rPr>
          <w:sz w:val="24"/>
          <w:szCs w:val="24"/>
          <w:vertAlign w:val="superscript"/>
          <w:lang w:val="en-US"/>
        </w:rPr>
        <w:t>a</w:t>
      </w:r>
      <w:r w:rsidRPr="0011273A">
        <w:rPr>
          <w:sz w:val="24"/>
          <w:szCs w:val="24"/>
          <w:lang w:val="en-US"/>
        </w:rPr>
        <w:t>, Johann Michler</w:t>
      </w:r>
      <w:r w:rsidRPr="0011273A">
        <w:rPr>
          <w:sz w:val="24"/>
          <w:szCs w:val="24"/>
          <w:vertAlign w:val="superscript"/>
          <w:lang w:val="en-US"/>
        </w:rPr>
        <w:t>a</w:t>
      </w:r>
    </w:p>
    <w:p w:rsidR="00CD75D9" w:rsidRPr="00CD75D9" w:rsidRDefault="00CD75D9" w:rsidP="00CD75D9">
      <w:pPr>
        <w:spacing w:after="11" w:line="240" w:lineRule="auto"/>
        <w:ind w:left="567" w:right="0" w:hanging="284"/>
        <w:jc w:val="left"/>
        <w:rPr>
          <w:sz w:val="24"/>
          <w:szCs w:val="24"/>
          <w:lang w:val="en-US"/>
        </w:rPr>
      </w:pPr>
      <w:r w:rsidRPr="0011273A">
        <w:rPr>
          <w:i/>
          <w:sz w:val="24"/>
          <w:szCs w:val="24"/>
          <w:vertAlign w:val="superscript"/>
          <w:lang w:val="en-US"/>
        </w:rPr>
        <w:t>a</w:t>
      </w:r>
      <w:r w:rsidRPr="0011273A">
        <w:rPr>
          <w:i/>
          <w:sz w:val="24"/>
          <w:szCs w:val="24"/>
          <w:lang w:val="en-US"/>
        </w:rPr>
        <w:t>Empa, Swiss Federal Laboratories for Materials Science and Technology, Laboratory of Mechanics of Materials and Nanostructures,</w:t>
      </w:r>
      <w:r>
        <w:rPr>
          <w:sz w:val="24"/>
          <w:szCs w:val="24"/>
          <w:lang w:val="en-US"/>
        </w:rPr>
        <w:t xml:space="preserve"> </w:t>
      </w:r>
      <w:r w:rsidRPr="0011273A">
        <w:rPr>
          <w:i/>
          <w:sz w:val="24"/>
          <w:szCs w:val="24"/>
          <w:lang w:val="en-US"/>
        </w:rPr>
        <w:t>CH-3602 Thun, Feuerwerkerstrasse 39. Switzerland</w:t>
      </w:r>
    </w:p>
    <w:p w:rsidR="00CD75D9" w:rsidRPr="0011273A" w:rsidRDefault="00CD75D9" w:rsidP="00CD75D9">
      <w:pPr>
        <w:spacing w:after="514" w:line="240" w:lineRule="auto"/>
        <w:ind w:left="567" w:right="0" w:hanging="284"/>
        <w:jc w:val="left"/>
        <w:rPr>
          <w:sz w:val="24"/>
          <w:szCs w:val="24"/>
          <w:lang w:val="en-US"/>
        </w:rPr>
      </w:pPr>
      <w:r w:rsidRPr="0011273A">
        <w:rPr>
          <w:i/>
          <w:sz w:val="24"/>
          <w:szCs w:val="24"/>
          <w:vertAlign w:val="superscript"/>
          <w:lang w:val="en-US"/>
        </w:rPr>
        <w:t>b</w:t>
      </w:r>
      <w:r w:rsidRPr="0011273A">
        <w:rPr>
          <w:i/>
          <w:sz w:val="24"/>
          <w:szCs w:val="24"/>
          <w:lang w:val="en-US"/>
        </w:rPr>
        <w:t>TOFWERK AG., CH-3600 Thun, Uttigenstrasse 22 Switzerland</w:t>
      </w:r>
    </w:p>
    <w:p w:rsidR="00CD75D9" w:rsidRDefault="00CD75D9" w:rsidP="00CD75D9">
      <w:pPr>
        <w:spacing w:line="240" w:lineRule="auto"/>
        <w:rPr>
          <w:i/>
          <w:sz w:val="24"/>
          <w:szCs w:val="24"/>
          <w:lang w:val="en-US"/>
        </w:rPr>
      </w:pPr>
      <w:r w:rsidRPr="0011273A">
        <w:rPr>
          <w:sz w:val="24"/>
          <w:szCs w:val="24"/>
          <w:lang w:val="en-US"/>
        </w:rPr>
        <w:t>*</w:t>
      </w:r>
      <w:r w:rsidRPr="0011273A">
        <w:rPr>
          <w:color w:val="auto"/>
          <w:sz w:val="24"/>
          <w:szCs w:val="24"/>
          <w:lang w:val="en-US"/>
        </w:rPr>
        <w:t xml:space="preserve">Corresponding Author's </w:t>
      </w:r>
      <w:r w:rsidRPr="0011273A">
        <w:rPr>
          <w:i/>
          <w:color w:val="auto"/>
          <w:sz w:val="24"/>
          <w:szCs w:val="24"/>
          <w:lang w:val="en-US"/>
        </w:rPr>
        <w:t xml:space="preserve">Email address: </w:t>
      </w:r>
      <w:hyperlink r:id="rId4" w:history="1">
        <w:r w:rsidRPr="0011273A">
          <w:rPr>
            <w:rStyle w:val="Hiperhivatkozs"/>
            <w:i/>
            <w:sz w:val="24"/>
            <w:szCs w:val="24"/>
            <w:lang w:val="en-US"/>
          </w:rPr>
          <w:t>szilvia.kalacska@empa.ch</w:t>
        </w:r>
      </w:hyperlink>
      <w:r w:rsidRPr="0011273A">
        <w:rPr>
          <w:i/>
          <w:sz w:val="24"/>
          <w:szCs w:val="24"/>
          <w:lang w:val="en-US"/>
        </w:rPr>
        <w:t>, Tel.: +41 58 765 626, Fax: +41 58 765 6990</w:t>
      </w:r>
    </w:p>
    <w:p w:rsidR="00CD75D9" w:rsidRDefault="00CD75D9" w:rsidP="00CD75D9">
      <w:pPr>
        <w:spacing w:line="240" w:lineRule="auto"/>
        <w:rPr>
          <w:i/>
          <w:sz w:val="24"/>
          <w:szCs w:val="24"/>
          <w:lang w:val="en-US"/>
        </w:rPr>
      </w:pPr>
    </w:p>
    <w:p w:rsidR="00CD75D9" w:rsidRDefault="00CD75D9" w:rsidP="00CD75D9">
      <w:pPr>
        <w:spacing w:line="240" w:lineRule="auto"/>
        <w:rPr>
          <w:color w:val="000000" w:themeColor="text1"/>
          <w:sz w:val="24"/>
          <w:szCs w:val="24"/>
          <w:shd w:val="clear" w:color="auto" w:fill="FFFFFF"/>
          <w:lang w:val="en-US"/>
        </w:rPr>
      </w:pPr>
    </w:p>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Supplementary Table 1: Data of the sputtering progress.</w:t>
      </w:r>
    </w:p>
    <w:p w:rsidR="00CD75D9" w:rsidRPr="00CD75D9" w:rsidRDefault="00CD75D9" w:rsidP="00CD75D9">
      <w:pPr>
        <w:jc w:val="center"/>
        <w:rPr>
          <w:sz w:val="24"/>
          <w:szCs w:val="24"/>
          <w:lang w:val="en-US"/>
        </w:rPr>
      </w:pPr>
    </w:p>
    <w:p w:rsidR="00CD75D9" w:rsidRPr="00CD75D9" w:rsidRDefault="00CD75D9" w:rsidP="00CD75D9">
      <w:pPr>
        <w:jc w:val="center"/>
        <w:rPr>
          <w:sz w:val="24"/>
          <w:szCs w:val="24"/>
          <w:lang w:val="en-US"/>
        </w:rPr>
      </w:pPr>
    </w:p>
    <w:tbl>
      <w:tblPr>
        <w:tblStyle w:val="Rcsostblzat"/>
        <w:tblW w:w="0" w:type="auto"/>
        <w:tblInd w:w="562" w:type="dxa"/>
        <w:tblLook w:val="04A0" w:firstRow="1" w:lastRow="0" w:firstColumn="1" w:lastColumn="0" w:noHBand="0" w:noVBand="1"/>
      </w:tblPr>
      <w:tblGrid>
        <w:gridCol w:w="1177"/>
        <w:gridCol w:w="2084"/>
        <w:gridCol w:w="2551"/>
        <w:gridCol w:w="3114"/>
      </w:tblGrid>
      <w:tr w:rsidR="00CD75D9" w:rsidRPr="00CD75D9" w:rsidTr="00CD75D9">
        <w:tc>
          <w:tcPr>
            <w:tcW w:w="1177" w:type="dxa"/>
            <w:shd w:val="clear" w:color="auto" w:fill="auto"/>
          </w:tcPr>
          <w:p w:rsidR="00CD75D9" w:rsidRPr="00CD75D9" w:rsidRDefault="00CD75D9" w:rsidP="00CD75D9">
            <w:pPr>
              <w:ind w:firstLine="0"/>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Frame number</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Roughness</w:t>
            </w:r>
          </w:p>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[nm]</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Crater depth</w:t>
            </w:r>
          </w:p>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[nm]</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Sputter depth/20 frames</w:t>
            </w:r>
          </w:p>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[nm]</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1</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104.4</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0</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0</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2</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71.9</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40.2</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40.2</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3</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47.5</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87.5</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47.3</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4</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29.2</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154.2</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66.7</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5</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34.6</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198.7</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44.5</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6</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20.7</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265.0</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66.3</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7</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17.6</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321.7</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56.7</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8</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17.2</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368.3</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46.6</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9</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9.9</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435.4</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67.1</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10</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15.5</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485</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49.6</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11</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8.0</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535</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50</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12</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7.1</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590</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55</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13</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6.2</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630</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40</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14</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6.6</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683</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53</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15</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5.6</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737</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54</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16</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4.9</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787</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50</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17</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5.2</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837</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50</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18</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4.8</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883</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46</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19</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5.0</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929</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46</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20</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6.9</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954</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25</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21</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9.0</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987</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33</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22</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7.2</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1006</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19</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23</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6.4</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1019</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13</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24</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5.5</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1037</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18</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25</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7.3</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1075</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38</w:t>
            </w:r>
          </w:p>
        </w:tc>
      </w:tr>
      <w:tr w:rsidR="00CD75D9" w:rsidRPr="00CD75D9" w:rsidTr="00CD75D9">
        <w:tc>
          <w:tcPr>
            <w:tcW w:w="1177" w:type="dxa"/>
            <w:shd w:val="clear" w:color="auto" w:fill="auto"/>
          </w:tcPr>
          <w:p w:rsidR="00CD75D9" w:rsidRPr="00CD75D9" w:rsidRDefault="00CD75D9" w:rsidP="00CD75D9">
            <w:pPr>
              <w:jc w:val="left"/>
              <w:rPr>
                <w:color w:val="000000" w:themeColor="text1"/>
                <w:sz w:val="24"/>
                <w:szCs w:val="24"/>
                <w:shd w:val="clear" w:color="auto" w:fill="FFFFFF"/>
                <w:lang w:val="en-US"/>
              </w:rPr>
            </w:pPr>
            <w:r w:rsidRPr="00CD75D9">
              <w:rPr>
                <w:color w:val="000000" w:themeColor="text1"/>
                <w:sz w:val="24"/>
                <w:szCs w:val="24"/>
                <w:shd w:val="clear" w:color="auto" w:fill="FFFFFF"/>
                <w:lang w:val="en-US"/>
              </w:rPr>
              <w:t>26</w:t>
            </w:r>
          </w:p>
        </w:tc>
        <w:tc>
          <w:tcPr>
            <w:tcW w:w="208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9.5</w:t>
            </w:r>
          </w:p>
        </w:tc>
        <w:tc>
          <w:tcPr>
            <w:tcW w:w="2551"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1106</w:t>
            </w:r>
          </w:p>
        </w:tc>
        <w:tc>
          <w:tcPr>
            <w:tcW w:w="3114" w:type="dxa"/>
            <w:shd w:val="clear" w:color="auto" w:fill="auto"/>
          </w:tcPr>
          <w:p w:rsidR="00CD75D9" w:rsidRPr="00CD75D9" w:rsidRDefault="00CD75D9" w:rsidP="00CD75D9">
            <w:pPr>
              <w:jc w:val="center"/>
              <w:rPr>
                <w:color w:val="000000" w:themeColor="text1"/>
                <w:sz w:val="24"/>
                <w:szCs w:val="24"/>
                <w:shd w:val="clear" w:color="auto" w:fill="FFFFFF"/>
                <w:lang w:val="en-US"/>
              </w:rPr>
            </w:pPr>
            <w:r w:rsidRPr="00CD75D9">
              <w:rPr>
                <w:color w:val="000000" w:themeColor="text1"/>
                <w:sz w:val="24"/>
                <w:szCs w:val="24"/>
                <w:shd w:val="clear" w:color="auto" w:fill="FFFFFF"/>
                <w:lang w:val="en-US"/>
              </w:rPr>
              <w:t>31</w:t>
            </w:r>
          </w:p>
        </w:tc>
      </w:tr>
    </w:tbl>
    <w:p w:rsidR="00CD75D9" w:rsidRPr="00CD75D9" w:rsidRDefault="00CD75D9" w:rsidP="00CD75D9">
      <w:pPr>
        <w:jc w:val="center"/>
        <w:rPr>
          <w:rFonts w:asciiTheme="majorHAnsi" w:hAnsiTheme="majorHAnsi"/>
          <w:color w:val="000000" w:themeColor="text1"/>
          <w:sz w:val="24"/>
          <w:szCs w:val="24"/>
          <w:shd w:val="clear" w:color="auto" w:fill="FFFFFF"/>
          <w:lang w:val="en-US"/>
        </w:rPr>
      </w:pPr>
    </w:p>
    <w:p w:rsidR="00CD75D9" w:rsidRPr="00CD75D9" w:rsidRDefault="00CD75D9" w:rsidP="00CD75D9">
      <w:pPr>
        <w:rPr>
          <w:sz w:val="24"/>
          <w:szCs w:val="24"/>
          <w:lang w:val="en-US"/>
        </w:rPr>
      </w:pPr>
    </w:p>
    <w:p w:rsidR="00CD75D9" w:rsidRPr="00CD75D9" w:rsidRDefault="00CD75D9" w:rsidP="00CD75D9">
      <w:pPr>
        <w:rPr>
          <w:sz w:val="24"/>
          <w:szCs w:val="24"/>
          <w:lang w:val="en-US"/>
        </w:rPr>
      </w:pPr>
      <w:r w:rsidRPr="00CD75D9">
        <w:rPr>
          <w:sz w:val="24"/>
          <w:szCs w:val="24"/>
          <w:lang w:val="en-US"/>
        </w:rPr>
        <w:t>Supplementary example: the creation of 20 nm slices for the 3D reconstruction:</w:t>
      </w:r>
    </w:p>
    <w:p w:rsidR="00CD75D9" w:rsidRPr="00CD75D9" w:rsidRDefault="00CD75D9" w:rsidP="00CD75D9">
      <w:pPr>
        <w:rPr>
          <w:sz w:val="24"/>
          <w:szCs w:val="24"/>
          <w:lang w:val="en-US"/>
        </w:rPr>
      </w:pPr>
    </w:p>
    <w:p w:rsidR="00CD75D9" w:rsidRPr="0011273A" w:rsidRDefault="00CD75D9" w:rsidP="00CD75D9">
      <w:pPr>
        <w:rPr>
          <w:sz w:val="24"/>
          <w:szCs w:val="24"/>
          <w:lang w:val="en-US"/>
        </w:rPr>
      </w:pPr>
      <w:r w:rsidRPr="00CD75D9">
        <w:rPr>
          <w:sz w:val="24"/>
          <w:szCs w:val="24"/>
          <w:lang w:val="en-US"/>
        </w:rPr>
        <w:t>Assuming that the first two sets of (containing 20 subsequent) ToF-SIMS frames correspond to 40.2 nm depth measured by AFM (Frame No. 2 in Suppl. Table 1), then in order to create segments that contain ToF-SIMS data from 20 nm (±1.5 nm) thick slices, (as 40.2 nm/ 20 frames = 2.01 nm for one frame in this set) the first slice contained the integrated values of the first 10 frames (corresponding to 20.1 nm thickness), while the second slice contained the integrated values of the frames 11-20 (with the same 20.1 nm thickness). Calculating the average depth for each sets of frames based on the AFM measurements the same way, the sufficient number of frames were integrated to have the same 20 nm thickness.</w:t>
      </w:r>
    </w:p>
    <w:p w:rsidR="00654CC2" w:rsidRPr="00CD75D9" w:rsidRDefault="00654CC2">
      <w:pPr>
        <w:rPr>
          <w:lang w:val="en-US"/>
        </w:rPr>
      </w:pPr>
      <w:bookmarkStart w:id="0" w:name="_GoBack"/>
      <w:bookmarkEnd w:id="0"/>
    </w:p>
    <w:sectPr w:rsidR="00654CC2" w:rsidRPr="00CD75D9" w:rsidSect="00CD75D9">
      <w:pgSz w:w="11906" w:h="16838"/>
      <w:pgMar w:top="851" w:right="752" w:bottom="1440"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D9"/>
    <w:rsid w:val="00654CC2"/>
    <w:rsid w:val="00B07405"/>
    <w:rsid w:val="00CD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8957"/>
  <w15:chartTrackingRefBased/>
  <w15:docId w15:val="{270A410A-AEE3-482A-AF7A-A8D42F15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75D9"/>
    <w:pPr>
      <w:spacing w:after="4" w:line="255" w:lineRule="auto"/>
      <w:ind w:right="10" w:firstLine="289"/>
      <w:jc w:val="both"/>
    </w:pPr>
    <w:rPr>
      <w:rFonts w:ascii="Cambria" w:eastAsia="Cambria" w:hAnsi="Cambria" w:cs="Cambria"/>
      <w:color w:val="000000"/>
      <w:sz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D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CD7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zilvia.kalacska@empa.ch"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302</Words>
  <Characters>1724</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Kalácska</dc:creator>
  <cp:keywords/>
  <dc:description/>
  <cp:lastModifiedBy>Szilvia Kalácska</cp:lastModifiedBy>
  <cp:revision>1</cp:revision>
  <dcterms:created xsi:type="dcterms:W3CDTF">2020-06-09T15:30:00Z</dcterms:created>
  <dcterms:modified xsi:type="dcterms:W3CDTF">2020-06-09T15:34:00Z</dcterms:modified>
</cp:coreProperties>
</file>