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442A6" w14:textId="132E9A86" w:rsidR="004C6757" w:rsidRPr="00C4610F" w:rsidRDefault="004C6757" w:rsidP="00B26BAA">
      <w:pPr>
        <w:pStyle w:val="Heading1"/>
        <w:numPr>
          <w:ilvl w:val="0"/>
          <w:numId w:val="0"/>
        </w:numPr>
        <w:spacing w:before="0" w:after="240" w:line="360" w:lineRule="auto"/>
        <w:ind w:left="432" w:hanging="432"/>
      </w:pPr>
      <w:r>
        <w:t xml:space="preserve">S1.  </w:t>
      </w:r>
      <w:r w:rsidR="00B26BAA">
        <w:t xml:space="preserve">Typical Interface </w:t>
      </w:r>
      <w:r>
        <w:t xml:space="preserve">Specimen </w:t>
      </w:r>
      <w:r w:rsidR="00B26BAA">
        <w:t>Microstructure</w:t>
      </w:r>
    </w:p>
    <w:p w14:paraId="62C091EE" w14:textId="05EE15EF" w:rsidR="004C6757" w:rsidRDefault="004C6757" w:rsidP="004C6757">
      <w:r>
        <w:rPr>
          <w:noProof/>
          <w:lang w:eastAsia="en-CA"/>
        </w:rPr>
        <w:drawing>
          <wp:inline distT="0" distB="0" distL="0" distR="0" wp14:anchorId="174A4606" wp14:editId="11F90005">
            <wp:extent cx="5478544" cy="369933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jpg"/>
                    <pic:cNvPicPr/>
                  </pic:nvPicPr>
                  <pic:blipFill>
                    <a:blip r:embed="rId7">
                      <a:extLst>
                        <a:ext uri="{28A0092B-C50C-407E-A947-70E740481C1C}">
                          <a14:useLocalDpi xmlns:a14="http://schemas.microsoft.com/office/drawing/2010/main" val="0"/>
                        </a:ext>
                      </a:extLst>
                    </a:blip>
                    <a:stretch>
                      <a:fillRect/>
                    </a:stretch>
                  </pic:blipFill>
                  <pic:spPr>
                    <a:xfrm>
                      <a:off x="0" y="0"/>
                      <a:ext cx="5478544" cy="3699338"/>
                    </a:xfrm>
                    <a:prstGeom prst="rect">
                      <a:avLst/>
                    </a:prstGeom>
                  </pic:spPr>
                </pic:pic>
              </a:graphicData>
            </a:graphic>
          </wp:inline>
        </w:drawing>
      </w:r>
    </w:p>
    <w:p w14:paraId="19CC1A37" w14:textId="0AE9A4E2" w:rsidR="004C6757" w:rsidRDefault="00B26BAA" w:rsidP="00B26BAA">
      <w:pPr>
        <w:spacing w:line="360" w:lineRule="auto"/>
      </w:pPr>
      <w:r>
        <w:t>The light microscopy image above shows a cross-section of a sample, following quenching.  A border of ferrite surrounds the outsi</w:t>
      </w:r>
      <w:r w:rsidR="00697CE9">
        <w:t>de of the sample, due to the decarburizing/de</w:t>
      </w:r>
      <w:r>
        <w:t xml:space="preserve">nitriding treatment.  The ferrite grains are relatively columnar, with grain sizes of &gt;100 </w:t>
      </w:r>
      <w:r>
        <w:rPr>
          <w:rFonts w:cs="Times New Roman"/>
        </w:rPr>
        <w:t>µ</w:t>
      </w:r>
      <w:r>
        <w:t xml:space="preserve">m.  The core of the sample remained as austenite, which transformed to martensite when quenched.  The planar, well-defined transformation interface is clearly observed between the two phases. </w:t>
      </w:r>
    </w:p>
    <w:p w14:paraId="0DA2071B" w14:textId="77777777" w:rsidR="004C6757" w:rsidRDefault="004C6757">
      <w:pPr>
        <w:spacing w:line="259" w:lineRule="auto"/>
        <w:rPr>
          <w:rFonts w:eastAsiaTheme="majorEastAsia" w:cs="Times New Roman"/>
          <w:b/>
          <w:color w:val="000000" w:themeColor="text1"/>
          <w:szCs w:val="32"/>
        </w:rPr>
      </w:pPr>
      <w:r>
        <w:br w:type="page"/>
      </w:r>
    </w:p>
    <w:p w14:paraId="5BD94D98" w14:textId="0BDE1B9A" w:rsidR="00C4610F" w:rsidRPr="00C4610F" w:rsidRDefault="00A12226" w:rsidP="0036689C">
      <w:pPr>
        <w:pStyle w:val="Heading1"/>
        <w:numPr>
          <w:ilvl w:val="0"/>
          <w:numId w:val="0"/>
        </w:numPr>
        <w:spacing w:line="360" w:lineRule="auto"/>
        <w:ind w:left="432" w:hanging="432"/>
      </w:pPr>
      <w:r>
        <w:lastRenderedPageBreak/>
        <w:t>S</w:t>
      </w:r>
      <w:r w:rsidR="004C6757">
        <w:t>2</w:t>
      </w:r>
      <w:r>
        <w:t xml:space="preserve">.  </w:t>
      </w:r>
      <w:r w:rsidR="0036689C">
        <w:t>FIB Specimen Preparation and Interface Tracking</w:t>
      </w:r>
    </w:p>
    <w:p w14:paraId="3A82A9DE" w14:textId="39C31420" w:rsidR="00C4610F" w:rsidRDefault="00C4610F" w:rsidP="0036689C">
      <w:pPr>
        <w:spacing w:line="360" w:lineRule="auto"/>
      </w:pPr>
      <w:r>
        <w:t>The following images and descriptions show how the transformation interface</w:t>
      </w:r>
      <w:r w:rsidR="00B06562">
        <w:t xml:space="preserve"> (indicated by arrows)</w:t>
      </w:r>
      <w:r>
        <w:t xml:space="preserve"> is tracked through SEM-FIB sample preparation, imaged by TEM, and examined in the APT reconstructed volume.  All images come from the preparation and analysis of the same single</w:t>
      </w:r>
      <w:r w:rsidR="00B26BAA">
        <w:t xml:space="preserve"> Fe-Mn-N</w:t>
      </w:r>
      <w:r>
        <w:t xml:space="preserve"> specimen.</w:t>
      </w:r>
    </w:p>
    <w:p w14:paraId="611F7E7E" w14:textId="77777777" w:rsidR="007B69A6" w:rsidRDefault="007B69A6" w:rsidP="0036689C">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B58E9" w14:paraId="4272D025" w14:textId="77777777" w:rsidTr="00B06562">
        <w:trPr>
          <w:trHeight w:val="3094"/>
        </w:trPr>
        <w:tc>
          <w:tcPr>
            <w:tcW w:w="4675" w:type="dxa"/>
          </w:tcPr>
          <w:p w14:paraId="01E2719B" w14:textId="77777777" w:rsidR="0036689C" w:rsidRDefault="0036689C" w:rsidP="00FD31CD">
            <w:pPr>
              <w:spacing w:line="240" w:lineRule="auto"/>
              <w:jc w:val="both"/>
            </w:pPr>
            <w:r>
              <w:rPr>
                <w:noProof/>
                <w:lang w:eastAsia="en-CA"/>
              </w:rPr>
              <w:drawing>
                <wp:inline distT="0" distB="0" distL="0" distR="0" wp14:anchorId="33338F19" wp14:editId="5C0574C4">
                  <wp:extent cx="2880000" cy="1954666"/>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face Tracking_1-0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1954666"/>
                          </a:xfrm>
                          <a:prstGeom prst="rect">
                            <a:avLst/>
                          </a:prstGeom>
                        </pic:spPr>
                      </pic:pic>
                    </a:graphicData>
                  </a:graphic>
                </wp:inline>
              </w:drawing>
            </w:r>
          </w:p>
        </w:tc>
        <w:tc>
          <w:tcPr>
            <w:tcW w:w="4675" w:type="dxa"/>
          </w:tcPr>
          <w:p w14:paraId="672CF2FD" w14:textId="77777777" w:rsidR="0036689C" w:rsidRDefault="0036689C" w:rsidP="00FD31CD">
            <w:pPr>
              <w:spacing w:line="240" w:lineRule="auto"/>
              <w:jc w:val="both"/>
            </w:pPr>
            <w:r>
              <w:rPr>
                <w:noProof/>
                <w:lang w:eastAsia="en-CA"/>
              </w:rPr>
              <w:drawing>
                <wp:inline distT="0" distB="0" distL="0" distR="0" wp14:anchorId="585D765E" wp14:editId="1BB82CA2">
                  <wp:extent cx="2880000" cy="1954647"/>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face Tracking_1-0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1954647"/>
                          </a:xfrm>
                          <a:prstGeom prst="rect">
                            <a:avLst/>
                          </a:prstGeom>
                        </pic:spPr>
                      </pic:pic>
                    </a:graphicData>
                  </a:graphic>
                </wp:inline>
              </w:drawing>
            </w:r>
          </w:p>
        </w:tc>
      </w:tr>
      <w:tr w:rsidR="00BB58E9" w14:paraId="17AD69DB" w14:textId="77777777" w:rsidTr="00B06562">
        <w:trPr>
          <w:trHeight w:val="1117"/>
        </w:trPr>
        <w:tc>
          <w:tcPr>
            <w:tcW w:w="4675" w:type="dxa"/>
          </w:tcPr>
          <w:p w14:paraId="49A7EC10" w14:textId="77777777" w:rsidR="0036689C" w:rsidRDefault="0036689C" w:rsidP="00FD31CD">
            <w:pPr>
              <w:pStyle w:val="ListParagraph"/>
              <w:tabs>
                <w:tab w:val="left" w:pos="306"/>
              </w:tabs>
              <w:spacing w:after="240" w:line="276" w:lineRule="auto"/>
              <w:ind w:left="23"/>
              <w:jc w:val="both"/>
            </w:pPr>
            <w:r>
              <w:t>The martensite (former austenite) / ferrite interface is located on the sample in the FIB-SEM, and extracted.</w:t>
            </w:r>
          </w:p>
        </w:tc>
        <w:tc>
          <w:tcPr>
            <w:tcW w:w="4675" w:type="dxa"/>
          </w:tcPr>
          <w:p w14:paraId="4A180CBC" w14:textId="4F9F4D3F" w:rsidR="0036689C" w:rsidRDefault="00942E2B" w:rsidP="00FD31CD">
            <w:pPr>
              <w:pStyle w:val="ListParagraph"/>
              <w:tabs>
                <w:tab w:val="left" w:pos="306"/>
              </w:tabs>
              <w:spacing w:after="240" w:line="276" w:lineRule="auto"/>
              <w:ind w:left="23"/>
              <w:jc w:val="both"/>
            </w:pPr>
            <w:r>
              <w:t>The lift</w:t>
            </w:r>
            <w:r w:rsidR="00892C21">
              <w:t>out is prepared by milling away material to either side of the interface.</w:t>
            </w:r>
          </w:p>
        </w:tc>
      </w:tr>
      <w:tr w:rsidR="007B69A6" w14:paraId="10F7A74F" w14:textId="77777777" w:rsidTr="00B06562">
        <w:trPr>
          <w:trHeight w:val="1117"/>
        </w:trPr>
        <w:tc>
          <w:tcPr>
            <w:tcW w:w="4675" w:type="dxa"/>
          </w:tcPr>
          <w:p w14:paraId="2675F255" w14:textId="6038DBA0" w:rsidR="007B69A6" w:rsidRDefault="003E3306" w:rsidP="00161FED">
            <w:pPr>
              <w:pStyle w:val="ListParagraph"/>
              <w:tabs>
                <w:tab w:val="left" w:pos="306"/>
              </w:tabs>
              <w:spacing w:line="276" w:lineRule="auto"/>
              <w:ind w:left="23"/>
              <w:jc w:val="both"/>
            </w:pPr>
            <w:r>
              <w:rPr>
                <w:noProof/>
                <w:lang w:eastAsia="en-CA"/>
              </w:rPr>
              <w:drawing>
                <wp:inline distT="0" distB="0" distL="0" distR="0" wp14:anchorId="004E82AA" wp14:editId="04115354">
                  <wp:extent cx="2880000" cy="1954462"/>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nterface Tracking_1-1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954462"/>
                          </a:xfrm>
                          <a:prstGeom prst="rect">
                            <a:avLst/>
                          </a:prstGeom>
                        </pic:spPr>
                      </pic:pic>
                    </a:graphicData>
                  </a:graphic>
                </wp:inline>
              </w:drawing>
            </w:r>
          </w:p>
        </w:tc>
        <w:tc>
          <w:tcPr>
            <w:tcW w:w="4675" w:type="dxa"/>
          </w:tcPr>
          <w:p w14:paraId="15DE6C91" w14:textId="636EDF3A" w:rsidR="007B69A6" w:rsidRDefault="003E3306" w:rsidP="00161FED">
            <w:pPr>
              <w:pStyle w:val="ListParagraph"/>
              <w:tabs>
                <w:tab w:val="left" w:pos="306"/>
              </w:tabs>
              <w:spacing w:line="276" w:lineRule="auto"/>
              <w:ind w:left="23"/>
              <w:jc w:val="both"/>
            </w:pPr>
            <w:r>
              <w:rPr>
                <w:noProof/>
                <w:lang w:eastAsia="en-CA"/>
              </w:rPr>
              <w:drawing>
                <wp:inline distT="0" distB="0" distL="0" distR="0" wp14:anchorId="2F769A80" wp14:editId="6BF3BBD6">
                  <wp:extent cx="2880000" cy="1954462"/>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terface Tracking_1-1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954462"/>
                          </a:xfrm>
                          <a:prstGeom prst="rect">
                            <a:avLst/>
                          </a:prstGeom>
                        </pic:spPr>
                      </pic:pic>
                    </a:graphicData>
                  </a:graphic>
                </wp:inline>
              </w:drawing>
            </w:r>
          </w:p>
        </w:tc>
      </w:tr>
      <w:tr w:rsidR="007B69A6" w14:paraId="3CC31EA8" w14:textId="77777777" w:rsidTr="00B06562">
        <w:trPr>
          <w:trHeight w:val="1117"/>
        </w:trPr>
        <w:tc>
          <w:tcPr>
            <w:tcW w:w="4675" w:type="dxa"/>
          </w:tcPr>
          <w:p w14:paraId="07DA30C2" w14:textId="2341E278" w:rsidR="007B69A6" w:rsidRDefault="00892C21" w:rsidP="00FD31CD">
            <w:pPr>
              <w:pStyle w:val="ListParagraph"/>
              <w:tabs>
                <w:tab w:val="left" w:pos="306"/>
              </w:tabs>
              <w:spacing w:after="240" w:line="276" w:lineRule="auto"/>
              <w:ind w:left="23"/>
              <w:jc w:val="both"/>
            </w:pPr>
            <w:r>
              <w:t xml:space="preserve">The </w:t>
            </w:r>
            <w:bookmarkStart w:id="0" w:name="_GoBack"/>
            <w:bookmarkEnd w:id="0"/>
            <w:r w:rsidR="00942E2B">
              <w:t>liftout</w:t>
            </w:r>
            <w:r>
              <w:t>, which contains material on either side of the interface, is extracted using the FIB manipulator.</w:t>
            </w:r>
          </w:p>
        </w:tc>
        <w:tc>
          <w:tcPr>
            <w:tcW w:w="4675" w:type="dxa"/>
          </w:tcPr>
          <w:p w14:paraId="588D38A6" w14:textId="6F441FDF" w:rsidR="007B69A6" w:rsidRDefault="00892C21" w:rsidP="00FD31CD">
            <w:pPr>
              <w:pStyle w:val="ListParagraph"/>
              <w:tabs>
                <w:tab w:val="left" w:pos="306"/>
              </w:tabs>
              <w:spacing w:after="240" w:line="276" w:lineRule="auto"/>
              <w:ind w:left="23"/>
              <w:jc w:val="both"/>
            </w:pPr>
            <w:r>
              <w:t xml:space="preserve">The </w:t>
            </w:r>
            <w:r w:rsidR="00942E2B">
              <w:t>liftout</w:t>
            </w:r>
            <w:r>
              <w:t xml:space="preserve"> is attached to another, horizontally-mounted needle, and cut off from the manipulator.  This is done for the purposes of rotating the interface.</w:t>
            </w:r>
          </w:p>
        </w:tc>
      </w:tr>
      <w:tr w:rsidR="007B69A6" w14:paraId="542292A2" w14:textId="77777777" w:rsidTr="00B06562">
        <w:trPr>
          <w:trHeight w:val="1117"/>
        </w:trPr>
        <w:tc>
          <w:tcPr>
            <w:tcW w:w="4675" w:type="dxa"/>
          </w:tcPr>
          <w:p w14:paraId="4370D02F" w14:textId="2D3C31D8" w:rsidR="007B69A6" w:rsidRDefault="00D91910" w:rsidP="00161FED">
            <w:pPr>
              <w:pStyle w:val="ListParagraph"/>
              <w:tabs>
                <w:tab w:val="left" w:pos="306"/>
              </w:tabs>
              <w:spacing w:line="276" w:lineRule="auto"/>
              <w:ind w:left="23"/>
              <w:jc w:val="both"/>
            </w:pPr>
            <w:r>
              <w:rPr>
                <w:noProof/>
                <w:lang w:eastAsia="en-CA"/>
              </w:rPr>
              <w:lastRenderedPageBreak/>
              <w:drawing>
                <wp:inline distT="0" distB="0" distL="0" distR="0" wp14:anchorId="795108C0" wp14:editId="0C1573CA">
                  <wp:extent cx="2880000" cy="195464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face Tracking_1-0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954647"/>
                          </a:xfrm>
                          <a:prstGeom prst="rect">
                            <a:avLst/>
                          </a:prstGeom>
                        </pic:spPr>
                      </pic:pic>
                    </a:graphicData>
                  </a:graphic>
                </wp:inline>
              </w:drawing>
            </w:r>
          </w:p>
        </w:tc>
        <w:tc>
          <w:tcPr>
            <w:tcW w:w="4675" w:type="dxa"/>
          </w:tcPr>
          <w:p w14:paraId="59EF8087" w14:textId="51369AFE" w:rsidR="007B69A6" w:rsidRDefault="007B69A6" w:rsidP="00161FED">
            <w:pPr>
              <w:pStyle w:val="ListParagraph"/>
              <w:tabs>
                <w:tab w:val="left" w:pos="306"/>
              </w:tabs>
              <w:spacing w:line="276" w:lineRule="auto"/>
              <w:ind w:left="23"/>
              <w:jc w:val="both"/>
            </w:pPr>
            <w:r>
              <w:rPr>
                <w:noProof/>
                <w:lang w:eastAsia="en-CA"/>
              </w:rPr>
              <w:drawing>
                <wp:inline distT="0" distB="0" distL="0" distR="0" wp14:anchorId="36E4E99A" wp14:editId="2738524F">
                  <wp:extent cx="2880000" cy="1954647"/>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face Tracking_1-0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954647"/>
                          </a:xfrm>
                          <a:prstGeom prst="rect">
                            <a:avLst/>
                          </a:prstGeom>
                        </pic:spPr>
                      </pic:pic>
                    </a:graphicData>
                  </a:graphic>
                </wp:inline>
              </w:drawing>
            </w:r>
          </w:p>
        </w:tc>
      </w:tr>
      <w:tr w:rsidR="00892C21" w14:paraId="6A7F4DEE" w14:textId="77777777" w:rsidTr="00B06562">
        <w:trPr>
          <w:trHeight w:val="1117"/>
        </w:trPr>
        <w:tc>
          <w:tcPr>
            <w:tcW w:w="4675" w:type="dxa"/>
          </w:tcPr>
          <w:p w14:paraId="4D6037A7" w14:textId="252AFD36" w:rsidR="00892C21" w:rsidRDefault="00892C21" w:rsidP="00892C21">
            <w:pPr>
              <w:pStyle w:val="ListParagraph"/>
              <w:tabs>
                <w:tab w:val="left" w:pos="306"/>
              </w:tabs>
              <w:spacing w:after="240" w:line="276" w:lineRule="auto"/>
              <w:ind w:left="23"/>
              <w:jc w:val="both"/>
            </w:pPr>
            <w:r>
              <w:t>The needle is rotated ~90</w:t>
            </w:r>
            <w:r>
              <w:rPr>
                <w:rFonts w:cs="Times New Roman"/>
              </w:rPr>
              <w:t>°</w:t>
            </w:r>
            <w:r>
              <w:t xml:space="preserve">, orienting the </w:t>
            </w:r>
            <w:r w:rsidR="00942E2B">
              <w:t>liftout</w:t>
            </w:r>
            <w:r>
              <w:t xml:space="preserve"> so that the interface will be normal to the tip axis of the final APT specimen.</w:t>
            </w:r>
          </w:p>
        </w:tc>
        <w:tc>
          <w:tcPr>
            <w:tcW w:w="4675" w:type="dxa"/>
          </w:tcPr>
          <w:p w14:paraId="7F43E399" w14:textId="3ADBB9C1" w:rsidR="00892C21" w:rsidRDefault="00892C21" w:rsidP="00892C21">
            <w:pPr>
              <w:pStyle w:val="ListParagraph"/>
              <w:tabs>
                <w:tab w:val="left" w:pos="306"/>
              </w:tabs>
              <w:spacing w:after="240" w:line="276" w:lineRule="auto"/>
              <w:ind w:left="23"/>
              <w:jc w:val="both"/>
            </w:pPr>
            <w:r>
              <w:t xml:space="preserve">The </w:t>
            </w:r>
            <w:r w:rsidR="00942E2B">
              <w:t>liftout</w:t>
            </w:r>
            <w:r>
              <w:t xml:space="preserve"> is trimmed into a wedge, and mounted back onto the manipulator.</w:t>
            </w:r>
          </w:p>
        </w:tc>
      </w:tr>
      <w:tr w:rsidR="00892C21" w14:paraId="1BC8C32C" w14:textId="77777777" w:rsidTr="00B06562">
        <w:trPr>
          <w:trHeight w:val="3094"/>
        </w:trPr>
        <w:tc>
          <w:tcPr>
            <w:tcW w:w="4675" w:type="dxa"/>
          </w:tcPr>
          <w:p w14:paraId="72C2BD10" w14:textId="77777777" w:rsidR="00892C21" w:rsidRDefault="00892C21" w:rsidP="00892C21">
            <w:pPr>
              <w:spacing w:line="240" w:lineRule="auto"/>
              <w:jc w:val="both"/>
            </w:pPr>
            <w:r>
              <w:rPr>
                <w:noProof/>
                <w:lang w:eastAsia="en-CA"/>
              </w:rPr>
              <w:drawing>
                <wp:inline distT="0" distB="0" distL="0" distR="0" wp14:anchorId="6000888E" wp14:editId="0F83895A">
                  <wp:extent cx="2880000" cy="1954666"/>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face Tracking_1-0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954647"/>
                          </a:xfrm>
                          <a:prstGeom prst="rect">
                            <a:avLst/>
                          </a:prstGeom>
                        </pic:spPr>
                      </pic:pic>
                    </a:graphicData>
                  </a:graphic>
                </wp:inline>
              </w:drawing>
            </w:r>
          </w:p>
        </w:tc>
        <w:tc>
          <w:tcPr>
            <w:tcW w:w="4675" w:type="dxa"/>
          </w:tcPr>
          <w:p w14:paraId="33DC0C18" w14:textId="77777777" w:rsidR="00892C21" w:rsidRDefault="00892C21" w:rsidP="00892C21">
            <w:pPr>
              <w:spacing w:line="240" w:lineRule="auto"/>
              <w:jc w:val="both"/>
            </w:pPr>
            <w:r>
              <w:rPr>
                <w:noProof/>
                <w:lang w:eastAsia="en-CA"/>
              </w:rPr>
              <w:drawing>
                <wp:inline distT="0" distB="0" distL="0" distR="0" wp14:anchorId="44390C66" wp14:editId="5B9D8290">
                  <wp:extent cx="2880000" cy="1957538"/>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terface Tracking_1-0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957347"/>
                          </a:xfrm>
                          <a:prstGeom prst="rect">
                            <a:avLst/>
                          </a:prstGeom>
                        </pic:spPr>
                      </pic:pic>
                    </a:graphicData>
                  </a:graphic>
                </wp:inline>
              </w:drawing>
            </w:r>
          </w:p>
        </w:tc>
      </w:tr>
      <w:tr w:rsidR="00892C21" w14:paraId="41065DA6" w14:textId="77777777" w:rsidTr="00B06562">
        <w:trPr>
          <w:trHeight w:val="1117"/>
        </w:trPr>
        <w:tc>
          <w:tcPr>
            <w:tcW w:w="4675" w:type="dxa"/>
          </w:tcPr>
          <w:p w14:paraId="7FF42946" w14:textId="77777777" w:rsidR="00892C21" w:rsidRDefault="00892C21" w:rsidP="00892C21">
            <w:pPr>
              <w:pStyle w:val="ListParagraph"/>
              <w:tabs>
                <w:tab w:val="left" w:pos="306"/>
              </w:tabs>
              <w:spacing w:after="240" w:line="276" w:lineRule="auto"/>
              <w:ind w:left="23"/>
              <w:jc w:val="both"/>
            </w:pPr>
            <w:r>
              <w:t>Sections of the sample are mounted onto a Si post or W wire (as shown here), and bonded with W deposition.</w:t>
            </w:r>
          </w:p>
        </w:tc>
        <w:tc>
          <w:tcPr>
            <w:tcW w:w="4675" w:type="dxa"/>
          </w:tcPr>
          <w:p w14:paraId="54E06EC5" w14:textId="77777777" w:rsidR="00892C21" w:rsidRDefault="00892C21" w:rsidP="00892C21">
            <w:pPr>
              <w:pStyle w:val="ListParagraph"/>
              <w:tabs>
                <w:tab w:val="left" w:pos="306"/>
              </w:tabs>
              <w:spacing w:after="240" w:line="276" w:lineRule="auto"/>
              <w:ind w:left="23"/>
              <w:jc w:val="both"/>
            </w:pPr>
            <w:r>
              <w:t>The sample is sharpened by annular milling with the FIB, while tracking the location of the interface.</w:t>
            </w:r>
          </w:p>
        </w:tc>
      </w:tr>
      <w:tr w:rsidR="00892C21" w14:paraId="3D889CF0" w14:textId="77777777" w:rsidTr="00B06562">
        <w:trPr>
          <w:trHeight w:val="3094"/>
        </w:trPr>
        <w:tc>
          <w:tcPr>
            <w:tcW w:w="4675" w:type="dxa"/>
          </w:tcPr>
          <w:p w14:paraId="2C437A3B" w14:textId="0BD80500" w:rsidR="00892C21" w:rsidRDefault="00892C21" w:rsidP="00892C21">
            <w:pPr>
              <w:spacing w:line="240" w:lineRule="auto"/>
              <w:jc w:val="both"/>
            </w:pPr>
            <w:r>
              <w:rPr>
                <w:noProof/>
                <w:lang w:eastAsia="en-CA"/>
              </w:rPr>
              <w:drawing>
                <wp:inline distT="0" distB="0" distL="0" distR="0" wp14:anchorId="794479C2" wp14:editId="5300007C">
                  <wp:extent cx="2880000" cy="195734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terface Tracking_1-0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999" cy="1957347"/>
                          </a:xfrm>
                          <a:prstGeom prst="rect">
                            <a:avLst/>
                          </a:prstGeom>
                        </pic:spPr>
                      </pic:pic>
                    </a:graphicData>
                  </a:graphic>
                </wp:inline>
              </w:drawing>
            </w:r>
          </w:p>
        </w:tc>
        <w:tc>
          <w:tcPr>
            <w:tcW w:w="4675" w:type="dxa"/>
          </w:tcPr>
          <w:p w14:paraId="33B4E381" w14:textId="77777777" w:rsidR="00892C21" w:rsidRDefault="00892C21" w:rsidP="00892C21">
            <w:pPr>
              <w:spacing w:line="240" w:lineRule="auto"/>
              <w:jc w:val="both"/>
            </w:pPr>
            <w:r>
              <w:rPr>
                <w:noProof/>
                <w:lang w:eastAsia="en-CA"/>
              </w:rPr>
              <w:drawing>
                <wp:inline distT="0" distB="0" distL="0" distR="0" wp14:anchorId="1FBDF803" wp14:editId="050FD90B">
                  <wp:extent cx="2880000" cy="1957347"/>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terface Tracking_1-06.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957347"/>
                          </a:xfrm>
                          <a:prstGeom prst="rect">
                            <a:avLst/>
                          </a:prstGeom>
                        </pic:spPr>
                      </pic:pic>
                    </a:graphicData>
                  </a:graphic>
                </wp:inline>
              </w:drawing>
            </w:r>
          </w:p>
        </w:tc>
      </w:tr>
      <w:tr w:rsidR="00892C21" w14:paraId="4CC87064" w14:textId="77777777" w:rsidTr="00B06562">
        <w:trPr>
          <w:trHeight w:val="1247"/>
        </w:trPr>
        <w:tc>
          <w:tcPr>
            <w:tcW w:w="4675" w:type="dxa"/>
          </w:tcPr>
          <w:p w14:paraId="49AD9B43" w14:textId="77777777" w:rsidR="00680519" w:rsidRDefault="00892C21" w:rsidP="00892C21">
            <w:pPr>
              <w:pStyle w:val="ListParagraph"/>
              <w:tabs>
                <w:tab w:val="left" w:pos="306"/>
              </w:tabs>
              <w:spacing w:line="276" w:lineRule="auto"/>
              <w:ind w:left="23"/>
              <w:jc w:val="both"/>
            </w:pPr>
            <w:r>
              <w:t xml:space="preserve">Final sharpening of the tip is conducted in the FIB with a defocused, low-kV beam, while </w:t>
            </w:r>
          </w:p>
          <w:p w14:paraId="3CF96B32" w14:textId="21DBC79D" w:rsidR="00892C21" w:rsidRDefault="00892C21" w:rsidP="00892C21">
            <w:pPr>
              <w:pStyle w:val="ListParagraph"/>
              <w:tabs>
                <w:tab w:val="left" w:pos="306"/>
              </w:tabs>
              <w:spacing w:line="276" w:lineRule="auto"/>
              <w:ind w:left="23"/>
              <w:jc w:val="both"/>
            </w:pPr>
            <w:r>
              <w:t>tracking the position of the interface.</w:t>
            </w:r>
          </w:p>
        </w:tc>
        <w:tc>
          <w:tcPr>
            <w:tcW w:w="4675" w:type="dxa"/>
          </w:tcPr>
          <w:p w14:paraId="479225FF" w14:textId="77777777" w:rsidR="00892C21" w:rsidRDefault="00892C21" w:rsidP="00892C21">
            <w:pPr>
              <w:pStyle w:val="ListParagraph"/>
              <w:tabs>
                <w:tab w:val="left" w:pos="306"/>
              </w:tabs>
              <w:spacing w:line="276" w:lineRule="auto"/>
              <w:ind w:left="23"/>
              <w:jc w:val="both"/>
            </w:pPr>
            <w:r>
              <w:t>The sample is sharpened until the tip apex is close to the interface.</w:t>
            </w:r>
          </w:p>
        </w:tc>
      </w:tr>
      <w:tr w:rsidR="00892C21" w14:paraId="7AD5A4C0" w14:textId="77777777" w:rsidTr="00B06562">
        <w:tc>
          <w:tcPr>
            <w:tcW w:w="4675" w:type="dxa"/>
          </w:tcPr>
          <w:p w14:paraId="408C947B" w14:textId="77777777" w:rsidR="00892C21" w:rsidRDefault="00892C21" w:rsidP="00892C21">
            <w:pPr>
              <w:spacing w:line="240" w:lineRule="auto"/>
              <w:jc w:val="both"/>
            </w:pPr>
            <w:r>
              <w:rPr>
                <w:noProof/>
                <w:lang w:eastAsia="en-CA"/>
              </w:rPr>
              <w:lastRenderedPageBreak/>
              <w:drawing>
                <wp:inline distT="0" distB="0" distL="0" distR="0" wp14:anchorId="1793696D" wp14:editId="6B1ECAA5">
                  <wp:extent cx="2879998" cy="195734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terface Tracking_1-07.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998" cy="1957346"/>
                          </a:xfrm>
                          <a:prstGeom prst="rect">
                            <a:avLst/>
                          </a:prstGeom>
                        </pic:spPr>
                      </pic:pic>
                    </a:graphicData>
                  </a:graphic>
                </wp:inline>
              </w:drawing>
            </w:r>
          </w:p>
        </w:tc>
        <w:tc>
          <w:tcPr>
            <w:tcW w:w="4675" w:type="dxa"/>
          </w:tcPr>
          <w:p w14:paraId="6C28F897" w14:textId="77777777" w:rsidR="00892C21" w:rsidRDefault="00892C21" w:rsidP="00892C21">
            <w:pPr>
              <w:spacing w:line="240" w:lineRule="auto"/>
              <w:jc w:val="both"/>
            </w:pPr>
            <w:r>
              <w:rPr>
                <w:noProof/>
                <w:lang w:eastAsia="en-CA"/>
              </w:rPr>
              <w:drawing>
                <wp:inline distT="0" distB="0" distL="0" distR="0" wp14:anchorId="75845A6C" wp14:editId="6D9CBE6E">
                  <wp:extent cx="2880000" cy="1957347"/>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face Tracking_1-08.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957347"/>
                          </a:xfrm>
                          <a:prstGeom prst="rect">
                            <a:avLst/>
                          </a:prstGeom>
                        </pic:spPr>
                      </pic:pic>
                    </a:graphicData>
                  </a:graphic>
                </wp:inline>
              </w:drawing>
            </w:r>
          </w:p>
        </w:tc>
      </w:tr>
      <w:tr w:rsidR="00892C21" w14:paraId="728489E3" w14:textId="77777777" w:rsidTr="00B06562">
        <w:tc>
          <w:tcPr>
            <w:tcW w:w="4675" w:type="dxa"/>
          </w:tcPr>
          <w:p w14:paraId="711E492A" w14:textId="77777777" w:rsidR="00892C21" w:rsidRDefault="00892C21" w:rsidP="00892C21">
            <w:pPr>
              <w:pStyle w:val="ListParagraph"/>
              <w:tabs>
                <w:tab w:val="left" w:pos="306"/>
              </w:tabs>
              <w:spacing w:after="240" w:line="276" w:lineRule="auto"/>
              <w:ind w:left="23"/>
              <w:contextualSpacing w:val="0"/>
              <w:jc w:val="both"/>
            </w:pPr>
            <w:r>
              <w:t>Bright-field TEM imaging of the tip confirms the location of the interface.  Note that the ferrite beneath the interface contains no grain boundaries.</w:t>
            </w:r>
          </w:p>
        </w:tc>
        <w:tc>
          <w:tcPr>
            <w:tcW w:w="4675" w:type="dxa"/>
          </w:tcPr>
          <w:p w14:paraId="31E9D45C" w14:textId="77777777" w:rsidR="00892C21" w:rsidRDefault="00892C21" w:rsidP="00892C21">
            <w:pPr>
              <w:pStyle w:val="ListParagraph"/>
              <w:tabs>
                <w:tab w:val="left" w:pos="306"/>
              </w:tabs>
              <w:spacing w:after="240" w:line="276" w:lineRule="auto"/>
              <w:ind w:left="23"/>
              <w:contextualSpacing w:val="0"/>
              <w:jc w:val="both"/>
            </w:pPr>
            <w:r>
              <w:t>With diffraction contrast, the two phases are clearly observed.  The location of the interface can be measured.</w:t>
            </w:r>
          </w:p>
        </w:tc>
      </w:tr>
      <w:tr w:rsidR="00892C21" w14:paraId="28D4C82B" w14:textId="77777777" w:rsidTr="00B06562">
        <w:tc>
          <w:tcPr>
            <w:tcW w:w="4675" w:type="dxa"/>
          </w:tcPr>
          <w:p w14:paraId="61AAB9B5" w14:textId="77777777" w:rsidR="00892C21" w:rsidRDefault="00892C21" w:rsidP="00892C21">
            <w:pPr>
              <w:spacing w:line="240" w:lineRule="auto"/>
              <w:jc w:val="both"/>
            </w:pPr>
            <w:r>
              <w:rPr>
                <w:noProof/>
                <w:lang w:eastAsia="en-CA"/>
              </w:rPr>
              <w:drawing>
                <wp:inline distT="0" distB="0" distL="0" distR="0" wp14:anchorId="670665C9" wp14:editId="3861DFAD">
                  <wp:extent cx="2880000" cy="1957347"/>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rface Tracking_1-09.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957347"/>
                          </a:xfrm>
                          <a:prstGeom prst="rect">
                            <a:avLst/>
                          </a:prstGeom>
                        </pic:spPr>
                      </pic:pic>
                    </a:graphicData>
                  </a:graphic>
                </wp:inline>
              </w:drawing>
            </w:r>
          </w:p>
        </w:tc>
        <w:tc>
          <w:tcPr>
            <w:tcW w:w="4675" w:type="dxa"/>
          </w:tcPr>
          <w:p w14:paraId="6DA3327D" w14:textId="77777777" w:rsidR="00892C21" w:rsidRDefault="00892C21" w:rsidP="00892C21">
            <w:pPr>
              <w:spacing w:line="240" w:lineRule="auto"/>
              <w:jc w:val="both"/>
            </w:pPr>
            <w:r>
              <w:rPr>
                <w:noProof/>
                <w:lang w:eastAsia="en-CA"/>
              </w:rPr>
              <w:drawing>
                <wp:inline distT="0" distB="0" distL="0" distR="0" wp14:anchorId="556089DD" wp14:editId="1A608E16">
                  <wp:extent cx="2880000" cy="1957347"/>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terface Tracking_1-10.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957347"/>
                          </a:xfrm>
                          <a:prstGeom prst="rect">
                            <a:avLst/>
                          </a:prstGeom>
                        </pic:spPr>
                      </pic:pic>
                    </a:graphicData>
                  </a:graphic>
                </wp:inline>
              </w:drawing>
            </w:r>
          </w:p>
        </w:tc>
      </w:tr>
      <w:tr w:rsidR="00892C21" w14:paraId="5E8513C2" w14:textId="77777777" w:rsidTr="00B06562">
        <w:trPr>
          <w:trHeight w:val="1756"/>
        </w:trPr>
        <w:tc>
          <w:tcPr>
            <w:tcW w:w="4675" w:type="dxa"/>
          </w:tcPr>
          <w:p w14:paraId="060FDCB0" w14:textId="77777777" w:rsidR="00892C21" w:rsidRDefault="00892C21" w:rsidP="00892C21">
            <w:pPr>
              <w:pStyle w:val="ListParagraph"/>
              <w:tabs>
                <w:tab w:val="left" w:pos="306"/>
              </w:tabs>
              <w:spacing w:after="240" w:line="276" w:lineRule="auto"/>
              <w:ind w:left="23"/>
              <w:contextualSpacing w:val="0"/>
              <w:jc w:val="both"/>
            </w:pPr>
            <w:r>
              <w:t xml:space="preserve">The location of the interface and the two phases, visible by examining Fe atom density in APT, match with the TEM images. </w:t>
            </w:r>
          </w:p>
        </w:tc>
        <w:tc>
          <w:tcPr>
            <w:tcW w:w="4675" w:type="dxa"/>
          </w:tcPr>
          <w:p w14:paraId="2991EEDB" w14:textId="491C18D9" w:rsidR="00892C21" w:rsidRDefault="00892C21" w:rsidP="00892C21">
            <w:pPr>
              <w:pStyle w:val="ListParagraph"/>
              <w:tabs>
                <w:tab w:val="left" w:pos="457"/>
              </w:tabs>
              <w:spacing w:after="240" w:line="276" w:lineRule="auto"/>
              <w:ind w:left="23"/>
              <w:contextualSpacing w:val="0"/>
              <w:jc w:val="both"/>
            </w:pPr>
            <w:r>
              <w:t>N segregation to the interface is visible in 3D atom maps of the reconstructed volume.  A profile (1</w:t>
            </w:r>
            <w:r w:rsidR="00B06562">
              <w:t>5</w:t>
            </w:r>
            <w:r>
              <w:t>) can be taken normal to the interface.</w:t>
            </w:r>
          </w:p>
        </w:tc>
      </w:tr>
      <w:tr w:rsidR="00892C21" w14:paraId="43C33776" w14:textId="77777777" w:rsidTr="00B06562">
        <w:tc>
          <w:tcPr>
            <w:tcW w:w="4675" w:type="dxa"/>
          </w:tcPr>
          <w:p w14:paraId="3253EF44" w14:textId="77777777" w:rsidR="00892C21" w:rsidRDefault="00892C21" w:rsidP="00892C21">
            <w:pPr>
              <w:spacing w:line="240" w:lineRule="auto"/>
              <w:jc w:val="both"/>
            </w:pPr>
          </w:p>
          <w:p w14:paraId="590ECBDC" w14:textId="77777777" w:rsidR="00892C21" w:rsidRDefault="00892C21" w:rsidP="00892C21">
            <w:pPr>
              <w:spacing w:line="240" w:lineRule="auto"/>
              <w:jc w:val="both"/>
            </w:pPr>
            <w:r>
              <w:rPr>
                <w:noProof/>
                <w:lang w:eastAsia="en-CA"/>
              </w:rPr>
              <w:drawing>
                <wp:inline distT="0" distB="0" distL="0" distR="0" wp14:anchorId="554E2639" wp14:editId="72C0E02C">
                  <wp:extent cx="2879999" cy="1957347"/>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erface Tracking_1-11.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999" cy="1957347"/>
                          </a:xfrm>
                          <a:prstGeom prst="rect">
                            <a:avLst/>
                          </a:prstGeom>
                        </pic:spPr>
                      </pic:pic>
                    </a:graphicData>
                  </a:graphic>
                </wp:inline>
              </w:drawing>
            </w:r>
          </w:p>
        </w:tc>
        <w:tc>
          <w:tcPr>
            <w:tcW w:w="4675" w:type="dxa"/>
          </w:tcPr>
          <w:p w14:paraId="27AF8DB1" w14:textId="77777777" w:rsidR="00892C21" w:rsidRDefault="00892C21" w:rsidP="00892C21">
            <w:pPr>
              <w:pStyle w:val="ListParagraph"/>
              <w:tabs>
                <w:tab w:val="left" w:pos="457"/>
              </w:tabs>
              <w:spacing w:after="160" w:line="276" w:lineRule="auto"/>
              <w:ind w:left="22"/>
              <w:jc w:val="both"/>
            </w:pPr>
          </w:p>
          <w:p w14:paraId="14DB7FD1" w14:textId="77777777" w:rsidR="00892C21" w:rsidRDefault="00892C21" w:rsidP="00892C21">
            <w:pPr>
              <w:tabs>
                <w:tab w:val="left" w:pos="457"/>
              </w:tabs>
              <w:spacing w:line="276" w:lineRule="auto"/>
              <w:jc w:val="both"/>
            </w:pPr>
            <w:r>
              <w:t>A 1D concentration profile, normal to the interface plane, shows the relative segregation levels of N and Mn.  N exhibits clear segregation to the interface, while there is no segregation of Mn.  These results were consistent among all Fe-Mn-N interfaces examined.</w:t>
            </w:r>
          </w:p>
        </w:tc>
      </w:tr>
    </w:tbl>
    <w:p w14:paraId="41BB87D5" w14:textId="24AB00C4" w:rsidR="00C4610F" w:rsidRDefault="00C4610F">
      <w:pPr>
        <w:spacing w:line="259" w:lineRule="auto"/>
      </w:pPr>
      <w:r>
        <w:br w:type="page"/>
      </w:r>
    </w:p>
    <w:p w14:paraId="5DD80C0B" w14:textId="3DD022BE" w:rsidR="00680519" w:rsidRDefault="00680519" w:rsidP="00680519">
      <w:pPr>
        <w:pStyle w:val="Heading1"/>
        <w:numPr>
          <w:ilvl w:val="0"/>
          <w:numId w:val="0"/>
        </w:numPr>
      </w:pPr>
      <w:r w:rsidRPr="00680519">
        <w:rPr>
          <w:rStyle w:val="Heading1Char"/>
          <w:b/>
        </w:rPr>
        <w:lastRenderedPageBreak/>
        <w:t>S</w:t>
      </w:r>
      <w:r w:rsidR="00B26BAA">
        <w:rPr>
          <w:rStyle w:val="Heading1Char"/>
          <w:b/>
        </w:rPr>
        <w:t>3</w:t>
      </w:r>
      <w:r w:rsidRPr="00680519">
        <w:rPr>
          <w:b w:val="0"/>
        </w:rPr>
        <w:t>.</w:t>
      </w:r>
      <w:r>
        <w:t xml:space="preserve"> Visualizing the Interface and Martensite/Ferrite Grains</w:t>
      </w:r>
    </w:p>
    <w:p w14:paraId="2838D96C" w14:textId="2C3CD811" w:rsidR="003E5ED7" w:rsidRDefault="00680519" w:rsidP="00680519">
      <w:pPr>
        <w:spacing w:line="360" w:lineRule="auto"/>
      </w:pPr>
      <w:r>
        <w:t xml:space="preserve">The image below shows how </w:t>
      </w:r>
      <w:r w:rsidR="00B26BAA">
        <w:t>an</w:t>
      </w:r>
      <w:r>
        <w:t xml:space="preserve"> interface</w:t>
      </w:r>
      <w:r w:rsidR="00B26BAA">
        <w:t xml:space="preserve"> in Fe-Mn-N</w:t>
      </w:r>
      <w:r>
        <w:t>, visible in bright-field TEM, appears when mapping Fe atomic density.  Poles are also apparent from cross sections of the Fe density volume map.  These poles change when crossing the interface, confirming that it is a crystallographic boundary.  The poles in the ferrite grain are indexed.  Numerous defects are also visible, which are mostly in the martensite grain, but can extend slightly into the ferrite.  N is observed</w:t>
      </w:r>
      <w:r w:rsidR="00BD7216">
        <w:t xml:space="preserve"> to segregate to these features, as well as the interface, but there is no apparent Mn segregation.</w:t>
      </w:r>
    </w:p>
    <w:p w14:paraId="51643C28" w14:textId="3580FCB6" w:rsidR="00680519" w:rsidRDefault="00680519" w:rsidP="00680519">
      <w:pPr>
        <w:jc w:val="center"/>
      </w:pPr>
      <w:r>
        <w:rPr>
          <w:noProof/>
          <w:lang w:eastAsia="en-CA"/>
        </w:rPr>
        <w:drawing>
          <wp:inline distT="0" distB="0" distL="0" distR="0" wp14:anchorId="1E513F59" wp14:editId="2DF7F547">
            <wp:extent cx="4956048" cy="5669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 density and N,Mn maps-0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56048" cy="5669280"/>
                    </a:xfrm>
                    <a:prstGeom prst="rect">
                      <a:avLst/>
                    </a:prstGeom>
                  </pic:spPr>
                </pic:pic>
              </a:graphicData>
            </a:graphic>
          </wp:inline>
        </w:drawing>
      </w:r>
    </w:p>
    <w:p w14:paraId="27F9BD1B" w14:textId="77777777" w:rsidR="00515AAD" w:rsidRDefault="00515AAD" w:rsidP="00981C1E">
      <w:pPr>
        <w:jc w:val="both"/>
      </w:pPr>
      <w:r>
        <w:t xml:space="preserve">  </w:t>
      </w:r>
    </w:p>
    <w:p w14:paraId="381EF0E7" w14:textId="6DB91EA4" w:rsidR="00515AAD" w:rsidRPr="00B26BAA" w:rsidRDefault="00212ED8" w:rsidP="00AA75CD">
      <w:pPr>
        <w:pStyle w:val="Heading1"/>
        <w:numPr>
          <w:ilvl w:val="0"/>
          <w:numId w:val="0"/>
        </w:numPr>
      </w:pPr>
      <w:r>
        <w:lastRenderedPageBreak/>
        <w:t>S</w:t>
      </w:r>
      <w:r w:rsidR="00B26BAA">
        <w:t>4</w:t>
      </w:r>
      <w:r>
        <w:t>.  Correcting for Fe</w:t>
      </w:r>
      <w:r w:rsidRPr="00212ED8">
        <w:rPr>
          <w:vertAlign w:val="superscript"/>
        </w:rPr>
        <w:t>2+</w:t>
      </w:r>
      <w:r>
        <w:t xml:space="preserve"> Ion Loss in the Presence of </w:t>
      </w:r>
      <w:r w:rsidR="00AA75CD">
        <w:t>Overlapping</w:t>
      </w:r>
      <w:r>
        <w:t xml:space="preserve"> N</w:t>
      </w:r>
      <w:r w:rsidRPr="00212ED8">
        <w:rPr>
          <w:vertAlign w:val="subscript"/>
        </w:rPr>
        <w:t>2</w:t>
      </w:r>
      <w:r w:rsidRPr="00212ED8">
        <w:rPr>
          <w:vertAlign w:val="superscript"/>
        </w:rPr>
        <w:t>+</w:t>
      </w:r>
    </w:p>
    <w:p w14:paraId="5DB7F2A4" w14:textId="72C7770F" w:rsidR="00C86ABC" w:rsidRDefault="003F0EAA" w:rsidP="00C86ABC">
      <w:pPr>
        <w:spacing w:line="360" w:lineRule="auto"/>
      </w:pPr>
      <w:r>
        <w:t xml:space="preserve">The preferential loss of solvent Fe ions due to detector pile-up effects can artificially increase the </w:t>
      </w:r>
      <w:r w:rsidR="00C86ABC">
        <w:t>concentrations of solute elements measured by APT.  A procedure to compensate for this effect has been developed by</w:t>
      </w:r>
      <w:r>
        <w:t xml:space="preserve"> Miyamoto et al. (2012)</w:t>
      </w:r>
      <w:r w:rsidR="00C86ABC">
        <w:t xml:space="preserve">, which utilizes discrepancies in the observed isotopic ratios for Fe, compared to their natural abundances, to estimate detection loss.  Specifically, this procedure examines reductions in the main </w:t>
      </w:r>
      <w:r w:rsidR="00C86ABC" w:rsidRPr="00C86ABC">
        <w:rPr>
          <w:vertAlign w:val="superscript"/>
        </w:rPr>
        <w:t>56</w:t>
      </w:r>
      <w:r w:rsidR="00C86ABC">
        <w:t>Fe</w:t>
      </w:r>
      <w:r w:rsidR="00C86ABC" w:rsidRPr="00C86ABC">
        <w:rPr>
          <w:vertAlign w:val="superscript"/>
        </w:rPr>
        <w:t>2+</w:t>
      </w:r>
      <w:r w:rsidR="00C86ABC">
        <w:t xml:space="preserve"> peak.  The application of this correction procedure to Fe alloys containing N is therefore complicated by overlap of </w:t>
      </w:r>
      <w:r w:rsidR="00C86ABC" w:rsidRPr="00C86ABC">
        <w:rPr>
          <w:vertAlign w:val="superscript"/>
        </w:rPr>
        <w:t>56</w:t>
      </w:r>
      <w:r w:rsidR="00C86ABC">
        <w:t>Fe</w:t>
      </w:r>
      <w:r w:rsidR="00C86ABC" w:rsidRPr="00C86ABC">
        <w:rPr>
          <w:vertAlign w:val="superscript"/>
        </w:rPr>
        <w:t>2+</w:t>
      </w:r>
      <w:r w:rsidR="00C86ABC">
        <w:t xml:space="preserve"> with </w:t>
      </w:r>
      <w:r w:rsidR="00C86ABC" w:rsidRPr="00C86ABC">
        <w:rPr>
          <w:vertAlign w:val="superscript"/>
        </w:rPr>
        <w:t>14</w:t>
      </w:r>
      <w:r w:rsidR="00C86ABC">
        <w:t>N</w:t>
      </w:r>
      <w:r w:rsidR="00C86ABC" w:rsidRPr="00C86ABC">
        <w:rPr>
          <w:vertAlign w:val="subscript"/>
        </w:rPr>
        <w:t>2</w:t>
      </w:r>
      <w:r w:rsidR="00C86ABC" w:rsidRPr="00C86ABC">
        <w:rPr>
          <w:vertAlign w:val="superscript"/>
        </w:rPr>
        <w:t>+</w:t>
      </w:r>
      <w:r w:rsidR="00C86ABC">
        <w:t xml:space="preserve"> at 28 Da.</w:t>
      </w:r>
    </w:p>
    <w:p w14:paraId="050D09C0" w14:textId="31FD60E9" w:rsidR="00212ED8" w:rsidRDefault="00C86ABC" w:rsidP="00C86ABC">
      <w:pPr>
        <w:spacing w:line="360" w:lineRule="auto"/>
      </w:pPr>
      <w:r>
        <w:t xml:space="preserve">To evaluate the potential effect of this overlap, data for the current Fe-Mn-N alloys can be examined, assuming the experimentally-measured peak at 28 Da, </w:t>
      </w:r>
      <m:oMath>
        <m:sSup>
          <m:sSupPr>
            <m:ctrlPr>
              <w:rPr>
                <w:rFonts w:ascii="Cambria Math" w:hAnsi="Cambria Math"/>
                <w:i/>
              </w:rPr>
            </m:ctrlPr>
          </m:sSupPr>
          <m:e>
            <m:r>
              <w:rPr>
                <w:rFonts w:ascii="Cambria Math" w:hAnsi="Cambria Math"/>
              </w:rPr>
              <m:t>n</m:t>
            </m:r>
          </m:e>
          <m:sup>
            <m:r>
              <w:rPr>
                <w:rFonts w:ascii="Cambria Math" w:hAnsi="Cambria Math"/>
              </w:rPr>
              <m:t>28</m:t>
            </m:r>
          </m:sup>
        </m:sSup>
      </m:oMath>
      <w:r>
        <w:t xml:space="preserve">, to be some combination of Fe and N (i.e. </w:t>
      </w:r>
      <m:oMath>
        <m:sSup>
          <m:sSupPr>
            <m:ctrlPr>
              <w:rPr>
                <w:rFonts w:ascii="Cambria Math" w:hAnsi="Cambria Math"/>
                <w:i/>
              </w:rPr>
            </m:ctrlPr>
          </m:sSupPr>
          <m:e>
            <m:r>
              <w:rPr>
                <w:rFonts w:ascii="Cambria Math" w:hAnsi="Cambria Math"/>
              </w:rPr>
              <m:t>n</m:t>
            </m:r>
          </m:e>
          <m:sup>
            <m:r>
              <w:rPr>
                <w:rFonts w:ascii="Cambria Math" w:hAnsi="Cambria Math"/>
              </w:rPr>
              <m:t>28</m:t>
            </m:r>
          </m:sup>
        </m:sSup>
        <m:r>
          <w:rPr>
            <w:rFonts w:ascii="Cambria Math" w:hAnsi="Cambria Math"/>
          </w:rPr>
          <m:t>=</m:t>
        </m:r>
      </m:oMath>
      <w:r w:rsidR="00212ED8">
        <w:t xml:space="preserve"> </w:t>
      </w:r>
      <w:r w:rsidR="00212ED8" w:rsidRPr="00212ED8">
        <w:rPr>
          <w:vertAlign w:val="superscript"/>
        </w:rPr>
        <w:t>56</w:t>
      </w:r>
      <w:r w:rsidR="00212ED8">
        <w:t>Fe</w:t>
      </w:r>
      <w:r w:rsidR="00212ED8" w:rsidRPr="00212ED8">
        <w:rPr>
          <w:vertAlign w:val="superscript"/>
        </w:rPr>
        <w:t>2+</w:t>
      </w:r>
      <w:r w:rsidR="00212ED8">
        <w:t xml:space="preserve"> + </w:t>
      </w:r>
      <w:r w:rsidR="00212ED8" w:rsidRPr="00212ED8">
        <w:rPr>
          <w:vertAlign w:val="superscript"/>
        </w:rPr>
        <w:t>14</w:t>
      </w:r>
      <w:r w:rsidR="00212ED8">
        <w:t>N</w:t>
      </w:r>
      <w:r w:rsidR="00212ED8" w:rsidRPr="00212ED8">
        <w:rPr>
          <w:vertAlign w:val="subscript"/>
        </w:rPr>
        <w:t>2</w:t>
      </w:r>
      <w:r w:rsidR="00212ED8" w:rsidRPr="00212ED8">
        <w:rPr>
          <w:vertAlign w:val="superscript"/>
        </w:rPr>
        <w:t>+</w:t>
      </w:r>
      <w:r w:rsidRPr="00C86ABC">
        <w:t>)</w:t>
      </w:r>
      <w:r>
        <w:t xml:space="preserve">.  The correction procedure of Miyamoto et al. can then be applied, with detection loss calculated as a function of the number of </w:t>
      </w:r>
      <w:r w:rsidRPr="00C86ABC">
        <w:rPr>
          <w:vertAlign w:val="superscript"/>
        </w:rPr>
        <w:t>14</w:t>
      </w:r>
      <w:r>
        <w:t>N</w:t>
      </w:r>
      <w:r w:rsidRPr="00C86ABC">
        <w:rPr>
          <w:vertAlign w:val="subscript"/>
        </w:rPr>
        <w:t>2</w:t>
      </w:r>
      <w:r w:rsidRPr="00C86ABC">
        <w:rPr>
          <w:vertAlign w:val="superscript"/>
        </w:rPr>
        <w:t>+</w:t>
      </w:r>
      <w:r>
        <w:t xml:space="preserve"> ions in the 28 Da peak.  Results for two datasets – one acquired in voltage pulse (VP) mode, where detection loss is expected to be high, and one acquired in laser pulse (LP) mode, where detection loss is expected to be much lower – are shown in the following figure.</w:t>
      </w:r>
    </w:p>
    <w:p w14:paraId="5DD57FE3" w14:textId="2165B78F" w:rsidR="003F0EAA" w:rsidRPr="00212ED8" w:rsidRDefault="003F0EAA" w:rsidP="00212ED8">
      <w:r>
        <w:rPr>
          <w:noProof/>
          <w:lang w:eastAsia="en-CA"/>
        </w:rPr>
        <w:drawing>
          <wp:inline distT="0" distB="0" distL="0" distR="0" wp14:anchorId="563FABA2" wp14:editId="5FDDA697">
            <wp:extent cx="5943600" cy="29127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2 effect on Fe Loss-01.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912745"/>
                    </a:xfrm>
                    <a:prstGeom prst="rect">
                      <a:avLst/>
                    </a:prstGeom>
                  </pic:spPr>
                </pic:pic>
              </a:graphicData>
            </a:graphic>
          </wp:inline>
        </w:drawing>
      </w:r>
    </w:p>
    <w:p w14:paraId="68AF7FFD" w14:textId="2909B23A" w:rsidR="00FA04E4" w:rsidRDefault="003C3723" w:rsidP="008A1621">
      <w:pPr>
        <w:spacing w:line="360" w:lineRule="auto"/>
        <w:jc w:val="both"/>
      </w:pPr>
      <w:r>
        <w:t xml:space="preserve">The results show that for both cases, there is very little change in the corrected N concentrations with increasing amount of </w:t>
      </w:r>
      <w:r w:rsidRPr="00C86ABC">
        <w:rPr>
          <w:vertAlign w:val="superscript"/>
        </w:rPr>
        <w:t>14</w:t>
      </w:r>
      <w:r>
        <w:t>N</w:t>
      </w:r>
      <w:r w:rsidRPr="00C86ABC">
        <w:rPr>
          <w:vertAlign w:val="subscript"/>
        </w:rPr>
        <w:t>2</w:t>
      </w:r>
      <w:r w:rsidRPr="00C86ABC">
        <w:rPr>
          <w:vertAlign w:val="superscript"/>
        </w:rPr>
        <w:t>+</w:t>
      </w:r>
      <w:r>
        <w:t xml:space="preserve"> ions.  For large amounts of </w:t>
      </w:r>
      <w:r w:rsidRPr="00C86ABC">
        <w:rPr>
          <w:vertAlign w:val="superscript"/>
        </w:rPr>
        <w:t>14</w:t>
      </w:r>
      <w:r>
        <w:t>N</w:t>
      </w:r>
      <w:r w:rsidRPr="00C86ABC">
        <w:rPr>
          <w:vertAlign w:val="subscript"/>
        </w:rPr>
        <w:t>2</w:t>
      </w:r>
      <w:r w:rsidRPr="00C86ABC">
        <w:rPr>
          <w:vertAlign w:val="superscript"/>
        </w:rPr>
        <w:t>+</w:t>
      </w:r>
      <w:r>
        <w:t xml:space="preserve"> ions, the Fe ion detection loss does eventually go up (at a point dependent on the original ion content of the dataset).  However, it must be considered that having large amounts of </w:t>
      </w:r>
      <w:r w:rsidRPr="00C86ABC">
        <w:rPr>
          <w:vertAlign w:val="superscript"/>
        </w:rPr>
        <w:t>14</w:t>
      </w:r>
      <w:r>
        <w:t>N</w:t>
      </w:r>
      <w:r w:rsidRPr="00C86ABC">
        <w:rPr>
          <w:vertAlign w:val="subscript"/>
        </w:rPr>
        <w:t>2</w:t>
      </w:r>
      <w:r w:rsidRPr="00C86ABC">
        <w:rPr>
          <w:vertAlign w:val="superscript"/>
        </w:rPr>
        <w:t>+</w:t>
      </w:r>
      <w:r>
        <w:t xml:space="preserve"> would only occur if the bulk N content </w:t>
      </w:r>
      <w:r>
        <w:lastRenderedPageBreak/>
        <w:t xml:space="preserve">of the sample was also increased.  The bulk N concentration for each dataset is therefore also plotted in the figure, represented in a simplified form by only considering N and Fe.  It shows that by the time the presence of </w:t>
      </w:r>
      <w:r w:rsidRPr="00C86ABC">
        <w:rPr>
          <w:vertAlign w:val="superscript"/>
        </w:rPr>
        <w:t>14</w:t>
      </w:r>
      <w:r>
        <w:t>N</w:t>
      </w:r>
      <w:r w:rsidRPr="00C86ABC">
        <w:rPr>
          <w:vertAlign w:val="subscript"/>
        </w:rPr>
        <w:t>2</w:t>
      </w:r>
      <w:r w:rsidRPr="00C86ABC">
        <w:rPr>
          <w:vertAlign w:val="superscript"/>
        </w:rPr>
        <w:t>+</w:t>
      </w:r>
      <w:r>
        <w:t xml:space="preserve"> begins to significantly effect the Fe detection loss, bulk N concentrations become unreasonable (&gt;8 at. % and &gt;5 at. </w:t>
      </w:r>
      <w:r w:rsidR="00FA04E4">
        <w:t>% for VP and LP, respectively).</w:t>
      </w:r>
      <w:r w:rsidR="00B543F4">
        <w:t xml:space="preserve">  That the bulk N concentration can increase while the matrix and segregation component concentrations can stay constant, or even decrease, is due to the fact that increasing fractions of </w:t>
      </w:r>
      <w:r w:rsidR="00B543F4" w:rsidRPr="00C86ABC">
        <w:rPr>
          <w:vertAlign w:val="superscript"/>
        </w:rPr>
        <w:t>14</w:t>
      </w:r>
      <w:r w:rsidR="00B543F4">
        <w:t>N</w:t>
      </w:r>
      <w:r w:rsidR="00B543F4" w:rsidRPr="00C86ABC">
        <w:rPr>
          <w:vertAlign w:val="subscript"/>
        </w:rPr>
        <w:t>2</w:t>
      </w:r>
      <w:r w:rsidR="00B543F4" w:rsidRPr="00C86ABC">
        <w:rPr>
          <w:vertAlign w:val="superscript"/>
        </w:rPr>
        <w:t>+</w:t>
      </w:r>
      <w:r w:rsidR="00B543F4" w:rsidRPr="00B543F4">
        <w:t xml:space="preserve"> </w:t>
      </w:r>
      <w:r w:rsidR="00B543F4">
        <w:t xml:space="preserve">, hidden in the </w:t>
      </w:r>
      <w:r w:rsidR="00B543F4" w:rsidRPr="00C86ABC">
        <w:rPr>
          <w:vertAlign w:val="superscript"/>
        </w:rPr>
        <w:t>56</w:t>
      </w:r>
      <w:r w:rsidR="00B543F4">
        <w:t>Fe</w:t>
      </w:r>
      <w:r w:rsidR="00B543F4" w:rsidRPr="00C86ABC">
        <w:rPr>
          <w:vertAlign w:val="superscript"/>
        </w:rPr>
        <w:t>2+</w:t>
      </w:r>
      <w:r w:rsidR="00B543F4">
        <w:t xml:space="preserve"> peak, </w:t>
      </w:r>
      <w:r w:rsidR="00B543F4" w:rsidRPr="00B543F4">
        <w:t>would</w:t>
      </w:r>
      <w:r w:rsidR="00B543F4">
        <w:t xml:space="preserve"> lead to larger differences between the real and measured N concentrations.</w:t>
      </w:r>
    </w:p>
    <w:p w14:paraId="160C90C2" w14:textId="6F7E3F74" w:rsidR="00515AAD" w:rsidRDefault="00FA04E4" w:rsidP="008A1621">
      <w:pPr>
        <w:spacing w:line="360" w:lineRule="auto"/>
        <w:jc w:val="both"/>
      </w:pPr>
      <w:r>
        <w:t xml:space="preserve">For reasonable ranges of bulk N concentration, there are only insignificant changes in Fe detection loss, and the corrected concentration values.  </w:t>
      </w:r>
      <w:r w:rsidR="00B543F4">
        <w:t>Considering</w:t>
      </w:r>
      <w:r>
        <w:t xml:space="preserve"> the original values (i.e. </w:t>
      </w:r>
      <w:r w:rsidR="00B543F4">
        <w:t xml:space="preserve">those which are artificially inflated by Fe detection loss), they will either also be close to the corrected values, assuming no </w:t>
      </w:r>
      <w:r w:rsidR="00B543F4" w:rsidRPr="00C86ABC">
        <w:rPr>
          <w:vertAlign w:val="superscript"/>
        </w:rPr>
        <w:t>14</w:t>
      </w:r>
      <w:r w:rsidR="00B543F4">
        <w:t>N</w:t>
      </w:r>
      <w:r w:rsidR="00B543F4" w:rsidRPr="00C86ABC">
        <w:rPr>
          <w:vertAlign w:val="subscript"/>
        </w:rPr>
        <w:t>2</w:t>
      </w:r>
      <w:r w:rsidR="00B543F4" w:rsidRPr="00C86ABC">
        <w:rPr>
          <w:vertAlign w:val="superscript"/>
        </w:rPr>
        <w:t>+</w:t>
      </w:r>
      <w:r w:rsidR="00B543F4">
        <w:t xml:space="preserve"> ions (e.g. in LP mode) or be off but a much larger difference than the magnitude of change in the corrected values (e.g. in VP mode).  It can thus be seen that the effect of </w:t>
      </w:r>
      <w:r w:rsidR="00B543F4" w:rsidRPr="00C86ABC">
        <w:rPr>
          <w:vertAlign w:val="superscript"/>
        </w:rPr>
        <w:t>14</w:t>
      </w:r>
      <w:r w:rsidR="00B543F4">
        <w:t>N</w:t>
      </w:r>
      <w:r w:rsidR="00B543F4" w:rsidRPr="00C86ABC">
        <w:rPr>
          <w:vertAlign w:val="subscript"/>
        </w:rPr>
        <w:t>2</w:t>
      </w:r>
      <w:r w:rsidR="00B543F4" w:rsidRPr="00C86ABC">
        <w:rPr>
          <w:vertAlign w:val="superscript"/>
        </w:rPr>
        <w:t>+</w:t>
      </w:r>
      <w:r w:rsidR="00B543F4">
        <w:t xml:space="preserve"> ions on the correction procedure for th</w:t>
      </w:r>
      <w:r w:rsidR="00AA75CD">
        <w:t>ese</w:t>
      </w:r>
      <w:r w:rsidR="00B543F4">
        <w:t xml:space="preserve"> alloys is </w:t>
      </w:r>
      <w:r w:rsidR="00AA75CD">
        <w:t>negligible</w:t>
      </w:r>
      <w:r w:rsidR="00B543F4">
        <w:t xml:space="preserve">, and the effect of Fe ion loss, for any reasonable quantity of overlapping </w:t>
      </w:r>
      <w:r w:rsidR="00B543F4" w:rsidRPr="00C86ABC">
        <w:rPr>
          <w:vertAlign w:val="superscript"/>
        </w:rPr>
        <w:t>14</w:t>
      </w:r>
      <w:r w:rsidR="00B543F4">
        <w:t>N</w:t>
      </w:r>
      <w:r w:rsidR="00B543F4" w:rsidRPr="00C86ABC">
        <w:rPr>
          <w:vertAlign w:val="subscript"/>
        </w:rPr>
        <w:t>2</w:t>
      </w:r>
      <w:r w:rsidR="00B543F4" w:rsidRPr="00C86ABC">
        <w:rPr>
          <w:vertAlign w:val="superscript"/>
        </w:rPr>
        <w:t>+</w:t>
      </w:r>
      <w:r w:rsidR="00B543F4">
        <w:t xml:space="preserve"> ions, is dominant.  Therefore, </w:t>
      </w:r>
      <w:r w:rsidR="003E1182">
        <w:t>applying the procedure of Miyamoto et al. to the current Fe-Mn-N APT data</w:t>
      </w:r>
      <w:r w:rsidR="00AA75CD">
        <w:t>sets</w:t>
      </w:r>
      <w:r w:rsidR="003E1182">
        <w:t xml:space="preserve"> will yield more accurate concentration values by correcting for Fe ion loss, and assum</w:t>
      </w:r>
      <w:r w:rsidR="00AA75CD">
        <w:t>ing</w:t>
      </w:r>
      <w:r w:rsidR="003E1182">
        <w:t xml:space="preserve"> </w:t>
      </w:r>
      <w:r w:rsidR="003E1182" w:rsidRPr="00C86ABC">
        <w:rPr>
          <w:vertAlign w:val="superscript"/>
        </w:rPr>
        <w:t>14</w:t>
      </w:r>
      <w:r w:rsidR="003E1182">
        <w:t>N</w:t>
      </w:r>
      <w:r w:rsidR="003E1182" w:rsidRPr="00C86ABC">
        <w:rPr>
          <w:vertAlign w:val="subscript"/>
        </w:rPr>
        <w:t>2</w:t>
      </w:r>
      <w:r w:rsidR="003E1182" w:rsidRPr="00C86ABC">
        <w:rPr>
          <w:vertAlign w:val="superscript"/>
        </w:rPr>
        <w:t>+</w:t>
      </w:r>
      <w:r w:rsidR="003E1182">
        <w:t xml:space="preserve"> ions</w:t>
      </w:r>
      <w:r w:rsidR="00AA75CD">
        <w:t xml:space="preserve"> overlapping at 28 Da</w:t>
      </w:r>
      <w:r w:rsidR="003E1182">
        <w:t xml:space="preserve"> </w:t>
      </w:r>
      <w:r w:rsidR="008B077A">
        <w:t>to</w:t>
      </w:r>
      <w:r w:rsidR="003E1182">
        <w:t xml:space="preserve"> have a negligible effect on this procedure is valid.</w:t>
      </w:r>
      <w:r w:rsidR="00B543F4">
        <w:t xml:space="preserve"> </w:t>
      </w:r>
    </w:p>
    <w:p w14:paraId="7B1A16D9" w14:textId="77777777" w:rsidR="00515AAD" w:rsidRDefault="00515AAD" w:rsidP="00981C1E">
      <w:pPr>
        <w:jc w:val="both"/>
      </w:pPr>
    </w:p>
    <w:p w14:paraId="47DD3B2E" w14:textId="77777777" w:rsidR="00515AAD" w:rsidRDefault="00515AAD" w:rsidP="00981C1E">
      <w:pPr>
        <w:jc w:val="both"/>
      </w:pPr>
    </w:p>
    <w:sectPr w:rsidR="00515AAD" w:rsidSect="00892C21">
      <w:pgSz w:w="12240" w:h="15840"/>
      <w:pgMar w:top="1135"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0E796" w14:textId="77777777" w:rsidR="00892C21" w:rsidRDefault="00892C21" w:rsidP="00892C21">
      <w:pPr>
        <w:spacing w:after="0" w:line="240" w:lineRule="auto"/>
      </w:pPr>
      <w:r>
        <w:separator/>
      </w:r>
    </w:p>
  </w:endnote>
  <w:endnote w:type="continuationSeparator" w:id="0">
    <w:p w14:paraId="60D785F9" w14:textId="77777777" w:rsidR="00892C21" w:rsidRDefault="00892C21" w:rsidP="00892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382BA" w14:textId="77777777" w:rsidR="00892C21" w:rsidRDefault="00892C21" w:rsidP="00892C21">
      <w:pPr>
        <w:spacing w:after="0" w:line="240" w:lineRule="auto"/>
      </w:pPr>
      <w:r>
        <w:separator/>
      </w:r>
    </w:p>
  </w:footnote>
  <w:footnote w:type="continuationSeparator" w:id="0">
    <w:p w14:paraId="7A5A5818" w14:textId="77777777" w:rsidR="00892C21" w:rsidRDefault="00892C21" w:rsidP="00892C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04F97"/>
    <w:multiLevelType w:val="multilevel"/>
    <w:tmpl w:val="B560A3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F774B8C"/>
    <w:multiLevelType w:val="hybridMultilevel"/>
    <w:tmpl w:val="FA7615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ED7"/>
    <w:rsid w:val="000571E9"/>
    <w:rsid w:val="0010162B"/>
    <w:rsid w:val="00161FED"/>
    <w:rsid w:val="00212ED8"/>
    <w:rsid w:val="00243AAF"/>
    <w:rsid w:val="00253705"/>
    <w:rsid w:val="0036689C"/>
    <w:rsid w:val="003C3723"/>
    <w:rsid w:val="003E1182"/>
    <w:rsid w:val="003E3306"/>
    <w:rsid w:val="003E5ED7"/>
    <w:rsid w:val="003F0EAA"/>
    <w:rsid w:val="004B3E35"/>
    <w:rsid w:val="004C6757"/>
    <w:rsid w:val="00515AAD"/>
    <w:rsid w:val="005B177E"/>
    <w:rsid w:val="00680519"/>
    <w:rsid w:val="00697CE9"/>
    <w:rsid w:val="00733A77"/>
    <w:rsid w:val="007B69A6"/>
    <w:rsid w:val="00892C21"/>
    <w:rsid w:val="008A1621"/>
    <w:rsid w:val="008B077A"/>
    <w:rsid w:val="00935D41"/>
    <w:rsid w:val="00942E2B"/>
    <w:rsid w:val="00981C1E"/>
    <w:rsid w:val="009D2B04"/>
    <w:rsid w:val="00A12226"/>
    <w:rsid w:val="00AA75CD"/>
    <w:rsid w:val="00B06562"/>
    <w:rsid w:val="00B26BAA"/>
    <w:rsid w:val="00B543F4"/>
    <w:rsid w:val="00B66B6A"/>
    <w:rsid w:val="00BB58E9"/>
    <w:rsid w:val="00BD7216"/>
    <w:rsid w:val="00C4610F"/>
    <w:rsid w:val="00C86ABC"/>
    <w:rsid w:val="00CC21C0"/>
    <w:rsid w:val="00D76763"/>
    <w:rsid w:val="00D91910"/>
    <w:rsid w:val="00EB26B3"/>
    <w:rsid w:val="00F00F1F"/>
    <w:rsid w:val="00F309C9"/>
    <w:rsid w:val="00FA04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6F9AF"/>
  <w15:chartTrackingRefBased/>
  <w15:docId w15:val="{26CCEDC1-901C-4116-92C1-777776483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15AAD"/>
    <w:pPr>
      <w:spacing w:line="480" w:lineRule="auto"/>
    </w:pPr>
    <w:rPr>
      <w:rFonts w:ascii="Times New Roman" w:eastAsia="Calibri" w:hAnsi="Times New Roman" w:cs="Arial"/>
      <w:sz w:val="24"/>
      <w:szCs w:val="24"/>
    </w:rPr>
  </w:style>
  <w:style w:type="paragraph" w:styleId="Heading1">
    <w:name w:val="heading 1"/>
    <w:basedOn w:val="Normal"/>
    <w:next w:val="Normal"/>
    <w:link w:val="Heading1Char"/>
    <w:uiPriority w:val="9"/>
    <w:qFormat/>
    <w:rsid w:val="00C4610F"/>
    <w:pPr>
      <w:keepNext/>
      <w:keepLines/>
      <w:numPr>
        <w:numId w:val="2"/>
      </w:numPr>
      <w:spacing w:before="240" w:after="0"/>
      <w:outlineLvl w:val="0"/>
    </w:pPr>
    <w:rPr>
      <w:rFonts w:eastAsiaTheme="majorEastAsia" w:cs="Times New Roman"/>
      <w:b/>
      <w:color w:val="000000" w:themeColor="text1"/>
      <w:szCs w:val="32"/>
    </w:rPr>
  </w:style>
  <w:style w:type="paragraph" w:styleId="Heading2">
    <w:name w:val="heading 2"/>
    <w:basedOn w:val="Normal"/>
    <w:next w:val="Normal"/>
    <w:link w:val="Heading2Char"/>
    <w:uiPriority w:val="9"/>
    <w:semiHidden/>
    <w:unhideWhenUsed/>
    <w:qFormat/>
    <w:rsid w:val="00C4610F"/>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610F"/>
    <w:pPr>
      <w:keepNext/>
      <w:keepLines/>
      <w:numPr>
        <w:ilvl w:val="2"/>
        <w:numId w:val="2"/>
      </w:numPr>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C4610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4610F"/>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4610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4610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4610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610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5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5AAD"/>
    <w:pPr>
      <w:ind w:left="720"/>
      <w:contextualSpacing/>
    </w:pPr>
  </w:style>
  <w:style w:type="character" w:customStyle="1" w:styleId="Heading1Char">
    <w:name w:val="Heading 1 Char"/>
    <w:basedOn w:val="DefaultParagraphFont"/>
    <w:link w:val="Heading1"/>
    <w:uiPriority w:val="9"/>
    <w:rsid w:val="00C4610F"/>
    <w:rPr>
      <w:rFonts w:ascii="Times New Roman" w:eastAsiaTheme="majorEastAsia" w:hAnsi="Times New Roman" w:cs="Times New Roman"/>
      <w:b/>
      <w:color w:val="000000" w:themeColor="text1"/>
      <w:sz w:val="24"/>
      <w:szCs w:val="32"/>
    </w:rPr>
  </w:style>
  <w:style w:type="character" w:customStyle="1" w:styleId="Heading2Char">
    <w:name w:val="Heading 2 Char"/>
    <w:basedOn w:val="DefaultParagraphFont"/>
    <w:link w:val="Heading2"/>
    <w:uiPriority w:val="9"/>
    <w:semiHidden/>
    <w:rsid w:val="00C4610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4610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4610F"/>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C4610F"/>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C4610F"/>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C4610F"/>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C461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610F"/>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892C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C21"/>
    <w:rPr>
      <w:rFonts w:ascii="Times New Roman" w:eastAsia="Calibri" w:hAnsi="Times New Roman" w:cs="Arial"/>
      <w:sz w:val="24"/>
      <w:szCs w:val="24"/>
    </w:rPr>
  </w:style>
  <w:style w:type="paragraph" w:styleId="Footer">
    <w:name w:val="footer"/>
    <w:basedOn w:val="Normal"/>
    <w:link w:val="FooterChar"/>
    <w:uiPriority w:val="99"/>
    <w:unhideWhenUsed/>
    <w:rsid w:val="00892C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C21"/>
    <w:rPr>
      <w:rFonts w:ascii="Times New Roman" w:eastAsia="Calibri" w:hAnsi="Times New Roman" w:cs="Arial"/>
      <w:sz w:val="24"/>
      <w:szCs w:val="24"/>
    </w:rPr>
  </w:style>
  <w:style w:type="character" w:styleId="PlaceholderText">
    <w:name w:val="Placeholder Text"/>
    <w:basedOn w:val="DefaultParagraphFont"/>
    <w:uiPriority w:val="99"/>
    <w:semiHidden/>
    <w:rsid w:val="00212E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tiff"/><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10" Type="http://schemas.openxmlformats.org/officeDocument/2006/relationships/image" Target="media/image4.jpe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803</TotalTime>
  <Pages>7</Pages>
  <Words>1002</Words>
  <Characters>5717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Langelier</dc:creator>
  <cp:keywords/>
  <dc:description/>
  <cp:lastModifiedBy>Brian Langelier</cp:lastModifiedBy>
  <cp:revision>26</cp:revision>
  <dcterms:created xsi:type="dcterms:W3CDTF">2016-10-21T15:01:00Z</dcterms:created>
  <dcterms:modified xsi:type="dcterms:W3CDTF">2016-11-04T18:41:00Z</dcterms:modified>
</cp:coreProperties>
</file>