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EA035" w14:textId="77777777" w:rsidR="003C78D8" w:rsidRDefault="003C78D8" w:rsidP="003C78D8">
      <w:pPr>
        <w:pStyle w:val="Default"/>
        <w:jc w:val="center"/>
      </w:pPr>
      <w:r>
        <w:rPr>
          <w:noProof/>
        </w:rPr>
        <w:drawing>
          <wp:inline distT="0" distB="0" distL="0" distR="0" wp14:anchorId="0ECB019B" wp14:editId="1D094252">
            <wp:extent cx="5506255" cy="2354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1136" cy="2356667"/>
                    </a:xfrm>
                    <a:prstGeom prst="rect">
                      <a:avLst/>
                    </a:prstGeom>
                    <a:noFill/>
                  </pic:spPr>
                </pic:pic>
              </a:graphicData>
            </a:graphic>
          </wp:inline>
        </w:drawing>
      </w:r>
    </w:p>
    <w:p w14:paraId="42B4ED91" w14:textId="77777777" w:rsidR="003C78D8" w:rsidRDefault="003C78D8" w:rsidP="003C78D8">
      <w:pPr>
        <w:pStyle w:val="Default"/>
        <w:jc w:val="both"/>
        <w:rPr>
          <w:b/>
        </w:rPr>
      </w:pPr>
    </w:p>
    <w:p w14:paraId="320AA520" w14:textId="77777777" w:rsidR="00B06D5A" w:rsidRDefault="003C78D8" w:rsidP="003C78D8">
      <w:pPr>
        <w:pStyle w:val="Default"/>
        <w:jc w:val="both"/>
      </w:pPr>
      <w:r w:rsidRPr="00A425D2">
        <w:rPr>
          <w:b/>
        </w:rPr>
        <w:t xml:space="preserve">Figure </w:t>
      </w:r>
      <w:r>
        <w:rPr>
          <w:b/>
        </w:rPr>
        <w:t>S1</w:t>
      </w:r>
      <w:r>
        <w:t xml:space="preserve">. Summed spectra from selected area over vacuum (hole count) of 12 EDS maps selected from various tilts throughout the series showing the increased Cu and Zn signal in the background relative to the other metals due to the </w:t>
      </w:r>
      <w:r w:rsidR="002D720A">
        <w:t xml:space="preserve">bronze </w:t>
      </w:r>
      <w:r>
        <w:t xml:space="preserve">holder. </w:t>
      </w:r>
    </w:p>
    <w:p w14:paraId="5D6D811C" w14:textId="77777777" w:rsidR="003C78D8" w:rsidRDefault="003C78D8" w:rsidP="003C78D8">
      <w:pPr>
        <w:rPr>
          <w:noProof/>
        </w:rPr>
      </w:pPr>
    </w:p>
    <w:p w14:paraId="4CFEE9C2" w14:textId="77777777" w:rsidR="00562A2C" w:rsidRDefault="00562A2C" w:rsidP="00562A2C">
      <w:pPr>
        <w:tabs>
          <w:tab w:val="left" w:pos="2234"/>
        </w:tabs>
        <w:jc w:val="center"/>
        <w:rPr>
          <w:noProof/>
        </w:rPr>
      </w:pPr>
      <w:r w:rsidRPr="00562A2C">
        <w:rPr>
          <w:noProof/>
        </w:rPr>
        <w:drawing>
          <wp:inline distT="0" distB="0" distL="0" distR="0" wp14:anchorId="0742014F" wp14:editId="0A38EC0D">
            <wp:extent cx="5131724" cy="2555584"/>
            <wp:effectExtent l="0" t="0" r="0" b="0"/>
            <wp:docPr id="1" name="Picture 1" descr="C:\Users\wg2\Desktop\supporting 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g2\Desktop\supporting figure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5745" cy="2557586"/>
                    </a:xfrm>
                    <a:prstGeom prst="rect">
                      <a:avLst/>
                    </a:prstGeom>
                    <a:noFill/>
                    <a:ln>
                      <a:noFill/>
                    </a:ln>
                  </pic:spPr>
                </pic:pic>
              </a:graphicData>
            </a:graphic>
          </wp:inline>
        </w:drawing>
      </w:r>
    </w:p>
    <w:p w14:paraId="6A5AA877" w14:textId="77777777" w:rsidR="00562A2C" w:rsidRPr="00562A2C" w:rsidRDefault="00562A2C" w:rsidP="00562A2C">
      <w:pPr>
        <w:pStyle w:val="Default"/>
        <w:jc w:val="both"/>
        <w:rPr>
          <w:color w:val="4F81BD" w:themeColor="accent1"/>
        </w:rPr>
      </w:pPr>
      <w:r w:rsidRPr="00562A2C">
        <w:rPr>
          <w:b/>
          <w:color w:val="4F81BD" w:themeColor="accent1"/>
        </w:rPr>
        <w:t>Figure S2</w:t>
      </w:r>
      <w:r w:rsidRPr="00562A2C">
        <w:rPr>
          <w:color w:val="4F81BD" w:themeColor="accent1"/>
        </w:rPr>
        <w:t>.  STEM-HAADF images of the tip before (a) and after (b) EDS data collection.</w:t>
      </w:r>
    </w:p>
    <w:p w14:paraId="32FDDA23" w14:textId="77777777" w:rsidR="00562A2C" w:rsidRDefault="00562A2C" w:rsidP="00562A2C">
      <w:pPr>
        <w:pStyle w:val="Default"/>
        <w:jc w:val="both"/>
      </w:pPr>
    </w:p>
    <w:p w14:paraId="4FA642B0" w14:textId="77777777" w:rsidR="00562A2C" w:rsidRDefault="00562A2C" w:rsidP="00562A2C">
      <w:pPr>
        <w:pStyle w:val="Default"/>
        <w:jc w:val="both"/>
      </w:pPr>
    </w:p>
    <w:p w14:paraId="385928D6" w14:textId="77777777" w:rsidR="008506E8" w:rsidRDefault="00F831F4" w:rsidP="00B06D5A">
      <w:pPr>
        <w:jc w:val="center"/>
      </w:pPr>
      <w:r w:rsidRPr="00F831F4">
        <w:rPr>
          <w:noProof/>
        </w:rPr>
        <w:lastRenderedPageBreak/>
        <w:drawing>
          <wp:inline distT="0" distB="0" distL="0" distR="0" wp14:anchorId="44C4529D" wp14:editId="3AA22B1A">
            <wp:extent cx="3338411" cy="4768778"/>
            <wp:effectExtent l="0" t="0" r="0" b="0"/>
            <wp:docPr id="4" name="Picture 4" descr="C:\Users\wg2\Desktop\Supplementary Fig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g2\Desktop\Supplementary Figure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1753" cy="4773553"/>
                    </a:xfrm>
                    <a:prstGeom prst="rect">
                      <a:avLst/>
                    </a:prstGeom>
                    <a:noFill/>
                    <a:ln>
                      <a:noFill/>
                    </a:ln>
                  </pic:spPr>
                </pic:pic>
              </a:graphicData>
            </a:graphic>
          </wp:inline>
        </w:drawing>
      </w:r>
    </w:p>
    <w:p w14:paraId="4F807DD9" w14:textId="77777777" w:rsidR="0021225D" w:rsidRDefault="00F21490" w:rsidP="00F21490">
      <w:pPr>
        <w:pStyle w:val="Default"/>
        <w:jc w:val="both"/>
      </w:pPr>
      <w:r w:rsidRPr="00A425D2">
        <w:rPr>
          <w:b/>
        </w:rPr>
        <w:t xml:space="preserve">Figure </w:t>
      </w:r>
      <w:r w:rsidR="00A425D2">
        <w:rPr>
          <w:b/>
        </w:rPr>
        <w:t>S</w:t>
      </w:r>
      <w:r w:rsidR="00562A2C">
        <w:rPr>
          <w:b/>
          <w:color w:val="4F81BD" w:themeColor="accent1"/>
        </w:rPr>
        <w:t>3</w:t>
      </w:r>
      <w:r w:rsidR="00A425D2">
        <w:t>.</w:t>
      </w:r>
      <w:r>
        <w:t xml:space="preserve"> </w:t>
      </w:r>
      <w:r w:rsidR="008264BA">
        <w:t>Observed (black) and Randomized (black) distribution of 1</w:t>
      </w:r>
      <w:r w:rsidR="008264BA" w:rsidRPr="008264BA">
        <w:rPr>
          <w:vertAlign w:val="superscript"/>
        </w:rPr>
        <w:t>st</w:t>
      </w:r>
      <w:r w:rsidR="008264BA">
        <w:t xml:space="preserve"> nearest neighbor of Fe-Fe distance for both </w:t>
      </w:r>
      <w:r w:rsidR="008264BA">
        <w:rPr>
          <w:rFonts w:ascii="Symbol" w:hAnsi="Symbol"/>
        </w:rPr>
        <w:t></w:t>
      </w:r>
      <w:r w:rsidR="008264BA" w:rsidRPr="00B06D5A">
        <w:rPr>
          <w:rFonts w:ascii="Symbol" w:hAnsi="Symbol"/>
          <w:vertAlign w:val="subscript"/>
        </w:rPr>
        <w:t></w:t>
      </w:r>
      <w:r w:rsidR="008264BA">
        <w:rPr>
          <w:rFonts w:ascii="Symbol" w:hAnsi="Symbol"/>
        </w:rPr>
        <w:t></w:t>
      </w:r>
      <w:r w:rsidR="008264BA" w:rsidRPr="008264BA">
        <w:t xml:space="preserve">and </w:t>
      </w:r>
      <w:r w:rsidR="008264BA">
        <w:rPr>
          <w:rFonts w:ascii="Symbol" w:hAnsi="Symbol"/>
        </w:rPr>
        <w:t></w:t>
      </w:r>
      <w:r w:rsidR="008264BA">
        <w:rPr>
          <w:rFonts w:ascii="Symbol" w:hAnsi="Symbol"/>
          <w:vertAlign w:val="subscript"/>
        </w:rPr>
        <w:t></w:t>
      </w:r>
      <w:r w:rsidR="008264BA">
        <w:t xml:space="preserve"> blocks. </w:t>
      </w:r>
    </w:p>
    <w:p w14:paraId="0F68BB16" w14:textId="77777777" w:rsidR="00F831F4" w:rsidRDefault="00F831F4" w:rsidP="00F21490">
      <w:pPr>
        <w:pStyle w:val="Default"/>
        <w:jc w:val="both"/>
      </w:pPr>
    </w:p>
    <w:p w14:paraId="3FDDF8E2" w14:textId="77777777" w:rsidR="0021225D" w:rsidRDefault="0021225D" w:rsidP="00F21490">
      <w:pPr>
        <w:pStyle w:val="Default"/>
        <w:jc w:val="both"/>
      </w:pPr>
      <w:r w:rsidRPr="0021225D">
        <w:rPr>
          <w:b/>
        </w:rPr>
        <w:t xml:space="preserve">Table S1. </w:t>
      </w:r>
      <w:r w:rsidRPr="0021225D">
        <w:t xml:space="preserve">Average </w:t>
      </w:r>
      <w:r w:rsidR="001D5AAF">
        <w:t xml:space="preserve">composition </w:t>
      </w:r>
      <w:r w:rsidRPr="0021225D">
        <w:t xml:space="preserve">of </w:t>
      </w:r>
      <w:r w:rsidR="00B8704F" w:rsidRPr="0021225D">
        <w:rPr>
          <w:rFonts w:eastAsia="Times New Roman"/>
        </w:rPr>
        <w:t>α</w:t>
      </w:r>
      <w:r w:rsidR="00B8704F" w:rsidRPr="0021225D">
        <w:rPr>
          <w:rFonts w:eastAsia="Times New Roman"/>
          <w:vertAlign w:val="subscript"/>
        </w:rPr>
        <w:t>1</w:t>
      </w:r>
      <w:r w:rsidR="00B8704F">
        <w:rPr>
          <w:rFonts w:eastAsia="Times New Roman"/>
          <w:vertAlign w:val="subscript"/>
        </w:rPr>
        <w:t xml:space="preserve"> </w:t>
      </w:r>
      <w:r w:rsidR="00B8704F" w:rsidRPr="00B8704F">
        <w:rPr>
          <w:rFonts w:eastAsia="Times New Roman"/>
        </w:rPr>
        <w:t>and</w:t>
      </w:r>
      <w:r w:rsidR="00B8704F" w:rsidRPr="00B8704F">
        <w:t xml:space="preserve"> </w:t>
      </w:r>
      <w:r w:rsidR="00B8704F" w:rsidRPr="0021225D">
        <w:rPr>
          <w:rFonts w:eastAsia="Times New Roman"/>
        </w:rPr>
        <w:t>α</w:t>
      </w:r>
      <w:r w:rsidR="00B8704F">
        <w:rPr>
          <w:rFonts w:eastAsia="Times New Roman"/>
          <w:vertAlign w:val="subscript"/>
        </w:rPr>
        <w:t>2</w:t>
      </w:r>
      <w:r w:rsidR="00B8704F">
        <w:t xml:space="preserve"> phases </w:t>
      </w:r>
      <w:r w:rsidRPr="0021225D">
        <w:t>line profiles</w:t>
      </w:r>
      <w:r>
        <w:t xml:space="preserve"> </w:t>
      </w:r>
      <w:r w:rsidRPr="0021225D">
        <w:t xml:space="preserve">and total </w:t>
      </w:r>
      <w:r w:rsidR="00B8704F">
        <w:t xml:space="preserve">volume </w:t>
      </w:r>
      <w:r w:rsidRPr="0021225D">
        <w:t xml:space="preserve">composition from </w:t>
      </w:r>
      <w:r>
        <w:t xml:space="preserve">a) </w:t>
      </w:r>
      <w:r w:rsidRPr="0021225D">
        <w:t xml:space="preserve">EDS and </w:t>
      </w:r>
      <w:r>
        <w:t xml:space="preserve">b) </w:t>
      </w:r>
      <w:r w:rsidRPr="0021225D">
        <w:t>APT volumes.</w:t>
      </w:r>
    </w:p>
    <w:p w14:paraId="41A1D14A" w14:textId="77777777" w:rsidR="002C1F3B" w:rsidRDefault="002C1F3B" w:rsidP="00F21490">
      <w:pPr>
        <w:pStyle w:val="Default"/>
        <w:jc w:val="both"/>
      </w:pPr>
    </w:p>
    <w:tbl>
      <w:tblPr>
        <w:tblStyle w:val="TableGrid"/>
        <w:tblW w:w="7498" w:type="dxa"/>
        <w:jc w:val="center"/>
        <w:tblLook w:val="04A0" w:firstRow="1" w:lastRow="0" w:firstColumn="1" w:lastColumn="0" w:noHBand="0" w:noVBand="1"/>
      </w:tblPr>
      <w:tblGrid>
        <w:gridCol w:w="440"/>
        <w:gridCol w:w="675"/>
        <w:gridCol w:w="650"/>
        <w:gridCol w:w="650"/>
        <w:gridCol w:w="1300"/>
        <w:gridCol w:w="440"/>
        <w:gridCol w:w="960"/>
        <w:gridCol w:w="650"/>
        <w:gridCol w:w="650"/>
        <w:gridCol w:w="1240"/>
      </w:tblGrid>
      <w:tr w:rsidR="002C1F3B" w:rsidRPr="00E7613B" w14:paraId="04552FE0" w14:textId="77777777" w:rsidTr="00985A01">
        <w:trPr>
          <w:trHeight w:val="324"/>
          <w:jc w:val="center"/>
        </w:trPr>
        <w:tc>
          <w:tcPr>
            <w:tcW w:w="440" w:type="dxa"/>
            <w:noWrap/>
            <w:hideMark/>
          </w:tcPr>
          <w:p w14:paraId="77E6DFE4"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a)</w:t>
            </w:r>
          </w:p>
        </w:tc>
        <w:tc>
          <w:tcPr>
            <w:tcW w:w="675" w:type="dxa"/>
            <w:noWrap/>
            <w:hideMark/>
          </w:tcPr>
          <w:p w14:paraId="6F283020"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 xml:space="preserve">EDS </w:t>
            </w:r>
          </w:p>
        </w:tc>
        <w:tc>
          <w:tcPr>
            <w:tcW w:w="640" w:type="dxa"/>
            <w:noWrap/>
            <w:hideMark/>
          </w:tcPr>
          <w:p w14:paraId="73CB3707" w14:textId="77777777" w:rsidR="002C1F3B" w:rsidRPr="002C1F3B" w:rsidRDefault="002C1F3B" w:rsidP="00985A01">
            <w:pPr>
              <w:jc w:val="both"/>
              <w:rPr>
                <w:rFonts w:ascii="Times New Roman" w:hAnsi="Times New Roman"/>
                <w:color w:val="4F81BD" w:themeColor="accent1"/>
                <w:sz w:val="24"/>
                <w:szCs w:val="24"/>
              </w:rPr>
            </w:pPr>
            <w:r w:rsidRPr="002C1F3B">
              <w:rPr>
                <w:rFonts w:ascii="Times New Roman" w:hAnsi="Times New Roman"/>
                <w:color w:val="4F81BD" w:themeColor="accent1"/>
                <w:szCs w:val="24"/>
              </w:rPr>
              <w:t>α</w:t>
            </w:r>
            <w:r w:rsidRPr="002C1F3B">
              <w:rPr>
                <w:rFonts w:ascii="Times New Roman" w:hAnsi="Times New Roman"/>
                <w:color w:val="4F81BD" w:themeColor="accent1"/>
                <w:szCs w:val="24"/>
                <w:vertAlign w:val="subscript"/>
              </w:rPr>
              <w:t>2</w:t>
            </w:r>
          </w:p>
          <w:p w14:paraId="560B0E0A" w14:textId="77777777" w:rsidR="002C1F3B" w:rsidRPr="002C1F3B" w:rsidRDefault="002C1F3B" w:rsidP="00985A01">
            <w:pPr>
              <w:jc w:val="both"/>
              <w:rPr>
                <w:rFonts w:ascii="Times New Roman" w:hAnsi="Times New Roman"/>
                <w:color w:val="4F81BD" w:themeColor="accent1"/>
                <w:sz w:val="24"/>
                <w:szCs w:val="24"/>
              </w:rPr>
            </w:pPr>
            <w:proofErr w:type="gramStart"/>
            <w:r w:rsidRPr="002C1F3B">
              <w:rPr>
                <w:rFonts w:ascii="Times New Roman" w:hAnsi="Times New Roman"/>
                <w:color w:val="4F81BD" w:themeColor="accent1"/>
                <w:sz w:val="24"/>
                <w:szCs w:val="24"/>
              </w:rPr>
              <w:t>at.%</w:t>
            </w:r>
            <w:proofErr w:type="gramEnd"/>
          </w:p>
        </w:tc>
        <w:tc>
          <w:tcPr>
            <w:tcW w:w="601" w:type="dxa"/>
            <w:noWrap/>
            <w:hideMark/>
          </w:tcPr>
          <w:p w14:paraId="01267146" w14:textId="77777777" w:rsidR="002C1F3B" w:rsidRPr="002C1F3B" w:rsidRDefault="002C1F3B" w:rsidP="00985A01">
            <w:pPr>
              <w:jc w:val="both"/>
              <w:rPr>
                <w:rFonts w:ascii="Times New Roman" w:hAnsi="Times New Roman"/>
                <w:color w:val="4F81BD" w:themeColor="accent1"/>
                <w:sz w:val="24"/>
                <w:szCs w:val="24"/>
              </w:rPr>
            </w:pPr>
            <w:r w:rsidRPr="002C1F3B">
              <w:rPr>
                <w:rFonts w:ascii="Times New Roman" w:hAnsi="Times New Roman"/>
                <w:color w:val="4F81BD" w:themeColor="accent1"/>
                <w:szCs w:val="24"/>
              </w:rPr>
              <w:t>α</w:t>
            </w:r>
            <w:r w:rsidRPr="002C1F3B">
              <w:rPr>
                <w:rFonts w:ascii="Times New Roman" w:hAnsi="Times New Roman"/>
                <w:color w:val="4F81BD" w:themeColor="accent1"/>
                <w:szCs w:val="24"/>
                <w:vertAlign w:val="subscript"/>
              </w:rPr>
              <w:t>1</w:t>
            </w:r>
          </w:p>
          <w:p w14:paraId="3AD44387" w14:textId="77777777" w:rsidR="002C1F3B" w:rsidRPr="002C1F3B" w:rsidRDefault="002C1F3B" w:rsidP="00985A01">
            <w:pPr>
              <w:jc w:val="both"/>
              <w:rPr>
                <w:rFonts w:ascii="Times New Roman" w:hAnsi="Times New Roman"/>
                <w:color w:val="4F81BD" w:themeColor="accent1"/>
                <w:sz w:val="24"/>
                <w:szCs w:val="24"/>
              </w:rPr>
            </w:pPr>
            <w:proofErr w:type="gramStart"/>
            <w:r w:rsidRPr="002C1F3B">
              <w:rPr>
                <w:rFonts w:ascii="Times New Roman" w:hAnsi="Times New Roman"/>
                <w:color w:val="4F81BD" w:themeColor="accent1"/>
                <w:sz w:val="24"/>
                <w:szCs w:val="24"/>
              </w:rPr>
              <w:t>at.%</w:t>
            </w:r>
            <w:proofErr w:type="gramEnd"/>
          </w:p>
        </w:tc>
        <w:tc>
          <w:tcPr>
            <w:tcW w:w="1300" w:type="dxa"/>
            <w:noWrap/>
            <w:hideMark/>
          </w:tcPr>
          <w:p w14:paraId="7C2F5540"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total EDS volume</w:t>
            </w:r>
            <w:r w:rsidR="001C716F">
              <w:rPr>
                <w:rFonts w:ascii="Times New Roman" w:hAnsi="Times New Roman"/>
                <w:color w:val="000000"/>
                <w:szCs w:val="24"/>
              </w:rPr>
              <w:t xml:space="preserve"> </w:t>
            </w:r>
          </w:p>
        </w:tc>
        <w:tc>
          <w:tcPr>
            <w:tcW w:w="440" w:type="dxa"/>
            <w:noWrap/>
            <w:hideMark/>
          </w:tcPr>
          <w:p w14:paraId="3EE6814B"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b)</w:t>
            </w:r>
          </w:p>
        </w:tc>
        <w:tc>
          <w:tcPr>
            <w:tcW w:w="960" w:type="dxa"/>
            <w:noWrap/>
            <w:hideMark/>
          </w:tcPr>
          <w:p w14:paraId="2BFAFCA1" w14:textId="77777777" w:rsidR="002C1F3B" w:rsidRPr="00985A01" w:rsidRDefault="002C1F3B" w:rsidP="00985A01">
            <w:pPr>
              <w:jc w:val="both"/>
              <w:rPr>
                <w:rFonts w:ascii="Times New Roman" w:hAnsi="Times New Roman"/>
                <w:color w:val="000000"/>
                <w:sz w:val="24"/>
                <w:szCs w:val="24"/>
              </w:rPr>
            </w:pPr>
            <w:r>
              <w:rPr>
                <w:rFonts w:ascii="Times New Roman" w:hAnsi="Times New Roman"/>
                <w:color w:val="000000"/>
                <w:szCs w:val="24"/>
              </w:rPr>
              <w:t xml:space="preserve">APT </w:t>
            </w:r>
          </w:p>
        </w:tc>
        <w:tc>
          <w:tcPr>
            <w:tcW w:w="601" w:type="dxa"/>
            <w:noWrap/>
            <w:hideMark/>
          </w:tcPr>
          <w:p w14:paraId="56BA72EB" w14:textId="77777777" w:rsidR="002C1F3B" w:rsidRPr="002C1F3B" w:rsidRDefault="002C1F3B" w:rsidP="00985A01">
            <w:pPr>
              <w:jc w:val="both"/>
              <w:rPr>
                <w:rFonts w:ascii="Times New Roman" w:hAnsi="Times New Roman"/>
                <w:color w:val="4F81BD" w:themeColor="accent1"/>
                <w:sz w:val="24"/>
                <w:szCs w:val="24"/>
              </w:rPr>
            </w:pPr>
            <w:r w:rsidRPr="002C1F3B">
              <w:rPr>
                <w:rFonts w:ascii="Times New Roman" w:hAnsi="Times New Roman"/>
                <w:color w:val="4F81BD" w:themeColor="accent1"/>
                <w:szCs w:val="24"/>
              </w:rPr>
              <w:t>α</w:t>
            </w:r>
            <w:r w:rsidRPr="002C1F3B">
              <w:rPr>
                <w:rFonts w:ascii="Times New Roman" w:hAnsi="Times New Roman"/>
                <w:color w:val="4F81BD" w:themeColor="accent1"/>
                <w:szCs w:val="24"/>
                <w:vertAlign w:val="subscript"/>
              </w:rPr>
              <w:t>2</w:t>
            </w:r>
          </w:p>
          <w:p w14:paraId="49D797AF" w14:textId="77777777" w:rsidR="002C1F3B" w:rsidRPr="002C1F3B" w:rsidRDefault="002C1F3B" w:rsidP="00985A01">
            <w:pPr>
              <w:jc w:val="both"/>
              <w:rPr>
                <w:rFonts w:ascii="Times New Roman" w:hAnsi="Times New Roman"/>
                <w:color w:val="4F81BD" w:themeColor="accent1"/>
                <w:sz w:val="24"/>
                <w:szCs w:val="24"/>
              </w:rPr>
            </w:pPr>
            <w:proofErr w:type="gramStart"/>
            <w:r w:rsidRPr="002C1F3B">
              <w:rPr>
                <w:rFonts w:ascii="Times New Roman" w:hAnsi="Times New Roman"/>
                <w:color w:val="4F81BD" w:themeColor="accent1"/>
                <w:sz w:val="24"/>
                <w:szCs w:val="24"/>
              </w:rPr>
              <w:t>at.%</w:t>
            </w:r>
            <w:proofErr w:type="gramEnd"/>
          </w:p>
        </w:tc>
        <w:tc>
          <w:tcPr>
            <w:tcW w:w="601" w:type="dxa"/>
            <w:noWrap/>
            <w:hideMark/>
          </w:tcPr>
          <w:p w14:paraId="6EE2E725" w14:textId="77777777" w:rsidR="002C1F3B" w:rsidRPr="002C1F3B" w:rsidRDefault="002C1F3B" w:rsidP="00985A01">
            <w:pPr>
              <w:jc w:val="both"/>
              <w:rPr>
                <w:rFonts w:ascii="Times New Roman" w:hAnsi="Times New Roman"/>
                <w:color w:val="4F81BD" w:themeColor="accent1"/>
                <w:sz w:val="24"/>
                <w:szCs w:val="24"/>
              </w:rPr>
            </w:pPr>
            <w:r w:rsidRPr="002C1F3B">
              <w:rPr>
                <w:rFonts w:ascii="Times New Roman" w:hAnsi="Times New Roman"/>
                <w:color w:val="4F81BD" w:themeColor="accent1"/>
                <w:szCs w:val="24"/>
              </w:rPr>
              <w:t>α</w:t>
            </w:r>
            <w:r w:rsidRPr="002C1F3B">
              <w:rPr>
                <w:rFonts w:ascii="Times New Roman" w:hAnsi="Times New Roman"/>
                <w:color w:val="4F81BD" w:themeColor="accent1"/>
                <w:szCs w:val="24"/>
                <w:vertAlign w:val="subscript"/>
              </w:rPr>
              <w:t>1</w:t>
            </w:r>
          </w:p>
          <w:p w14:paraId="11CA56BA" w14:textId="77777777" w:rsidR="002C1F3B" w:rsidRPr="002C1F3B" w:rsidRDefault="002C1F3B" w:rsidP="00985A01">
            <w:pPr>
              <w:jc w:val="both"/>
              <w:rPr>
                <w:rFonts w:ascii="Times New Roman" w:hAnsi="Times New Roman"/>
                <w:color w:val="4F81BD" w:themeColor="accent1"/>
                <w:sz w:val="24"/>
                <w:szCs w:val="24"/>
              </w:rPr>
            </w:pPr>
            <w:proofErr w:type="gramStart"/>
            <w:r w:rsidRPr="002C1F3B">
              <w:rPr>
                <w:rFonts w:ascii="Times New Roman" w:hAnsi="Times New Roman"/>
                <w:color w:val="4F81BD" w:themeColor="accent1"/>
                <w:sz w:val="24"/>
                <w:szCs w:val="24"/>
              </w:rPr>
              <w:t>at.%</w:t>
            </w:r>
            <w:proofErr w:type="gramEnd"/>
          </w:p>
        </w:tc>
        <w:tc>
          <w:tcPr>
            <w:tcW w:w="1240" w:type="dxa"/>
            <w:noWrap/>
            <w:hideMark/>
          </w:tcPr>
          <w:p w14:paraId="1A6DE0C9"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total APT volume</w:t>
            </w:r>
          </w:p>
        </w:tc>
      </w:tr>
      <w:tr w:rsidR="002C1F3B" w:rsidRPr="00E7613B" w14:paraId="61C95A1F" w14:textId="77777777" w:rsidTr="00985A01">
        <w:trPr>
          <w:trHeight w:val="288"/>
          <w:jc w:val="center"/>
        </w:trPr>
        <w:tc>
          <w:tcPr>
            <w:tcW w:w="440" w:type="dxa"/>
            <w:vMerge w:val="restart"/>
            <w:noWrap/>
            <w:hideMark/>
          </w:tcPr>
          <w:p w14:paraId="531A6856" w14:textId="77777777" w:rsidR="002C1F3B" w:rsidRPr="00985A01" w:rsidRDefault="002C1F3B" w:rsidP="00985A01">
            <w:pPr>
              <w:jc w:val="both"/>
              <w:rPr>
                <w:rFonts w:ascii="Times New Roman" w:hAnsi="Times New Roman"/>
                <w:color w:val="000000"/>
                <w:sz w:val="24"/>
                <w:szCs w:val="24"/>
              </w:rPr>
            </w:pPr>
          </w:p>
        </w:tc>
        <w:tc>
          <w:tcPr>
            <w:tcW w:w="675" w:type="dxa"/>
            <w:noWrap/>
            <w:hideMark/>
          </w:tcPr>
          <w:p w14:paraId="37217B6B"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Al</w:t>
            </w:r>
          </w:p>
        </w:tc>
        <w:tc>
          <w:tcPr>
            <w:tcW w:w="640" w:type="dxa"/>
            <w:noWrap/>
            <w:hideMark/>
          </w:tcPr>
          <w:p w14:paraId="1A8878FD"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23.8</w:t>
            </w:r>
          </w:p>
        </w:tc>
        <w:tc>
          <w:tcPr>
            <w:tcW w:w="601" w:type="dxa"/>
            <w:noWrap/>
            <w:hideMark/>
          </w:tcPr>
          <w:p w14:paraId="00962F79"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4.8</w:t>
            </w:r>
          </w:p>
        </w:tc>
        <w:tc>
          <w:tcPr>
            <w:tcW w:w="1300" w:type="dxa"/>
            <w:noWrap/>
            <w:hideMark/>
          </w:tcPr>
          <w:p w14:paraId="1CA7D2DB"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15.1</w:t>
            </w:r>
          </w:p>
        </w:tc>
        <w:tc>
          <w:tcPr>
            <w:tcW w:w="440" w:type="dxa"/>
            <w:vMerge w:val="restart"/>
            <w:noWrap/>
            <w:hideMark/>
          </w:tcPr>
          <w:p w14:paraId="6D50E13E" w14:textId="77777777" w:rsidR="002C1F3B" w:rsidRPr="00985A01" w:rsidRDefault="002C1F3B" w:rsidP="00985A01">
            <w:pPr>
              <w:jc w:val="both"/>
              <w:rPr>
                <w:rFonts w:ascii="Times New Roman" w:hAnsi="Times New Roman"/>
                <w:color w:val="000000"/>
                <w:sz w:val="24"/>
                <w:szCs w:val="24"/>
              </w:rPr>
            </w:pPr>
          </w:p>
        </w:tc>
        <w:tc>
          <w:tcPr>
            <w:tcW w:w="960" w:type="dxa"/>
            <w:noWrap/>
            <w:hideMark/>
          </w:tcPr>
          <w:p w14:paraId="52DDEA04"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Al</w:t>
            </w:r>
          </w:p>
        </w:tc>
        <w:tc>
          <w:tcPr>
            <w:tcW w:w="601" w:type="dxa"/>
            <w:noWrap/>
            <w:hideMark/>
          </w:tcPr>
          <w:p w14:paraId="26677FA2"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21.1</w:t>
            </w:r>
          </w:p>
        </w:tc>
        <w:tc>
          <w:tcPr>
            <w:tcW w:w="601" w:type="dxa"/>
            <w:noWrap/>
            <w:hideMark/>
          </w:tcPr>
          <w:p w14:paraId="6B983E12"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4.2</w:t>
            </w:r>
          </w:p>
        </w:tc>
        <w:tc>
          <w:tcPr>
            <w:tcW w:w="1240" w:type="dxa"/>
            <w:noWrap/>
            <w:hideMark/>
          </w:tcPr>
          <w:p w14:paraId="4A9218AC"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13.9</w:t>
            </w:r>
          </w:p>
        </w:tc>
      </w:tr>
      <w:tr w:rsidR="002C1F3B" w:rsidRPr="00E7613B" w14:paraId="1C5F99DB" w14:textId="77777777" w:rsidTr="00985A01">
        <w:trPr>
          <w:trHeight w:val="288"/>
          <w:jc w:val="center"/>
        </w:trPr>
        <w:tc>
          <w:tcPr>
            <w:tcW w:w="440" w:type="dxa"/>
            <w:vMerge/>
            <w:noWrap/>
            <w:hideMark/>
          </w:tcPr>
          <w:p w14:paraId="049336B9" w14:textId="77777777" w:rsidR="002C1F3B" w:rsidRPr="00985A01" w:rsidRDefault="002C1F3B" w:rsidP="00985A01">
            <w:pPr>
              <w:jc w:val="both"/>
              <w:rPr>
                <w:rFonts w:ascii="Times New Roman" w:hAnsi="Times New Roman"/>
                <w:color w:val="000000"/>
                <w:sz w:val="24"/>
                <w:szCs w:val="24"/>
              </w:rPr>
            </w:pPr>
          </w:p>
        </w:tc>
        <w:tc>
          <w:tcPr>
            <w:tcW w:w="675" w:type="dxa"/>
            <w:noWrap/>
            <w:hideMark/>
          </w:tcPr>
          <w:p w14:paraId="1EA71A6C"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Co</w:t>
            </w:r>
          </w:p>
        </w:tc>
        <w:tc>
          <w:tcPr>
            <w:tcW w:w="640" w:type="dxa"/>
            <w:noWrap/>
            <w:hideMark/>
          </w:tcPr>
          <w:p w14:paraId="0BAD5217"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29.0</w:t>
            </w:r>
          </w:p>
        </w:tc>
        <w:tc>
          <w:tcPr>
            <w:tcW w:w="601" w:type="dxa"/>
            <w:noWrap/>
            <w:hideMark/>
          </w:tcPr>
          <w:p w14:paraId="13330052"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35.1</w:t>
            </w:r>
          </w:p>
        </w:tc>
        <w:tc>
          <w:tcPr>
            <w:tcW w:w="1300" w:type="dxa"/>
            <w:noWrap/>
            <w:hideMark/>
          </w:tcPr>
          <w:p w14:paraId="269FF39A"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32.3</w:t>
            </w:r>
          </w:p>
        </w:tc>
        <w:tc>
          <w:tcPr>
            <w:tcW w:w="440" w:type="dxa"/>
            <w:vMerge/>
            <w:noWrap/>
            <w:hideMark/>
          </w:tcPr>
          <w:p w14:paraId="61511C0E" w14:textId="77777777" w:rsidR="002C1F3B" w:rsidRPr="00985A01" w:rsidRDefault="002C1F3B" w:rsidP="00985A01">
            <w:pPr>
              <w:jc w:val="both"/>
              <w:rPr>
                <w:rFonts w:ascii="Times New Roman" w:hAnsi="Times New Roman"/>
                <w:color w:val="000000"/>
                <w:sz w:val="24"/>
                <w:szCs w:val="24"/>
              </w:rPr>
            </w:pPr>
          </w:p>
        </w:tc>
        <w:tc>
          <w:tcPr>
            <w:tcW w:w="960" w:type="dxa"/>
            <w:noWrap/>
            <w:hideMark/>
          </w:tcPr>
          <w:p w14:paraId="7FAE3F5E"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Co</w:t>
            </w:r>
          </w:p>
        </w:tc>
        <w:tc>
          <w:tcPr>
            <w:tcW w:w="601" w:type="dxa"/>
            <w:noWrap/>
            <w:hideMark/>
          </w:tcPr>
          <w:p w14:paraId="5AC1E3C5"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33.1</w:t>
            </w:r>
          </w:p>
        </w:tc>
        <w:tc>
          <w:tcPr>
            <w:tcW w:w="601" w:type="dxa"/>
            <w:noWrap/>
            <w:hideMark/>
          </w:tcPr>
          <w:p w14:paraId="5B4BE8B0"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36.6</w:t>
            </w:r>
          </w:p>
        </w:tc>
        <w:tc>
          <w:tcPr>
            <w:tcW w:w="1240" w:type="dxa"/>
            <w:noWrap/>
            <w:hideMark/>
          </w:tcPr>
          <w:p w14:paraId="0A2A85E7"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34.0</w:t>
            </w:r>
          </w:p>
        </w:tc>
      </w:tr>
      <w:tr w:rsidR="002C1F3B" w:rsidRPr="00E7613B" w14:paraId="05C3C4C9" w14:textId="77777777" w:rsidTr="00985A01">
        <w:trPr>
          <w:trHeight w:val="288"/>
          <w:jc w:val="center"/>
        </w:trPr>
        <w:tc>
          <w:tcPr>
            <w:tcW w:w="440" w:type="dxa"/>
            <w:vMerge/>
            <w:noWrap/>
            <w:hideMark/>
          </w:tcPr>
          <w:p w14:paraId="1A9E1D1C" w14:textId="77777777" w:rsidR="002C1F3B" w:rsidRPr="00985A01" w:rsidRDefault="002C1F3B" w:rsidP="00985A01">
            <w:pPr>
              <w:jc w:val="both"/>
              <w:rPr>
                <w:rFonts w:ascii="Times New Roman" w:hAnsi="Times New Roman"/>
                <w:color w:val="000000"/>
                <w:sz w:val="24"/>
                <w:szCs w:val="24"/>
              </w:rPr>
            </w:pPr>
          </w:p>
        </w:tc>
        <w:tc>
          <w:tcPr>
            <w:tcW w:w="675" w:type="dxa"/>
            <w:noWrap/>
            <w:hideMark/>
          </w:tcPr>
          <w:p w14:paraId="3ECF77A4"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Cu</w:t>
            </w:r>
          </w:p>
        </w:tc>
        <w:tc>
          <w:tcPr>
            <w:tcW w:w="640" w:type="dxa"/>
            <w:noWrap/>
            <w:hideMark/>
          </w:tcPr>
          <w:p w14:paraId="382D9875"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2.3</w:t>
            </w:r>
          </w:p>
        </w:tc>
        <w:tc>
          <w:tcPr>
            <w:tcW w:w="601" w:type="dxa"/>
            <w:noWrap/>
            <w:hideMark/>
          </w:tcPr>
          <w:p w14:paraId="483E9E17"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1.2</w:t>
            </w:r>
          </w:p>
        </w:tc>
        <w:tc>
          <w:tcPr>
            <w:tcW w:w="1300" w:type="dxa"/>
            <w:noWrap/>
            <w:hideMark/>
          </w:tcPr>
          <w:p w14:paraId="2543AD2D"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2.4</w:t>
            </w:r>
          </w:p>
        </w:tc>
        <w:tc>
          <w:tcPr>
            <w:tcW w:w="440" w:type="dxa"/>
            <w:vMerge/>
            <w:noWrap/>
            <w:hideMark/>
          </w:tcPr>
          <w:p w14:paraId="30576281" w14:textId="77777777" w:rsidR="002C1F3B" w:rsidRPr="00985A01" w:rsidRDefault="002C1F3B" w:rsidP="00985A01">
            <w:pPr>
              <w:jc w:val="both"/>
              <w:rPr>
                <w:rFonts w:ascii="Times New Roman" w:hAnsi="Times New Roman"/>
                <w:color w:val="000000"/>
                <w:sz w:val="24"/>
                <w:szCs w:val="24"/>
              </w:rPr>
            </w:pPr>
          </w:p>
        </w:tc>
        <w:tc>
          <w:tcPr>
            <w:tcW w:w="960" w:type="dxa"/>
            <w:noWrap/>
            <w:hideMark/>
          </w:tcPr>
          <w:p w14:paraId="236AA976"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Cu</w:t>
            </w:r>
          </w:p>
        </w:tc>
        <w:tc>
          <w:tcPr>
            <w:tcW w:w="601" w:type="dxa"/>
            <w:noWrap/>
            <w:hideMark/>
          </w:tcPr>
          <w:p w14:paraId="4DF3C8FE"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2.7</w:t>
            </w:r>
          </w:p>
        </w:tc>
        <w:tc>
          <w:tcPr>
            <w:tcW w:w="601" w:type="dxa"/>
            <w:noWrap/>
            <w:hideMark/>
          </w:tcPr>
          <w:p w14:paraId="1C7289CC"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1.2</w:t>
            </w:r>
          </w:p>
        </w:tc>
        <w:tc>
          <w:tcPr>
            <w:tcW w:w="1240" w:type="dxa"/>
            <w:noWrap/>
            <w:hideMark/>
          </w:tcPr>
          <w:p w14:paraId="711D228F"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2.2</w:t>
            </w:r>
          </w:p>
        </w:tc>
      </w:tr>
      <w:tr w:rsidR="002C1F3B" w:rsidRPr="00E7613B" w14:paraId="50B15CB9" w14:textId="77777777" w:rsidTr="00985A01">
        <w:trPr>
          <w:trHeight w:val="288"/>
          <w:jc w:val="center"/>
        </w:trPr>
        <w:tc>
          <w:tcPr>
            <w:tcW w:w="440" w:type="dxa"/>
            <w:vMerge/>
            <w:noWrap/>
            <w:hideMark/>
          </w:tcPr>
          <w:p w14:paraId="4260F7CF" w14:textId="77777777" w:rsidR="002C1F3B" w:rsidRPr="00985A01" w:rsidRDefault="002C1F3B" w:rsidP="00985A01">
            <w:pPr>
              <w:jc w:val="both"/>
              <w:rPr>
                <w:rFonts w:ascii="Times New Roman" w:hAnsi="Times New Roman"/>
                <w:color w:val="000000"/>
                <w:sz w:val="24"/>
                <w:szCs w:val="24"/>
              </w:rPr>
            </w:pPr>
          </w:p>
        </w:tc>
        <w:tc>
          <w:tcPr>
            <w:tcW w:w="675" w:type="dxa"/>
            <w:noWrap/>
            <w:hideMark/>
          </w:tcPr>
          <w:p w14:paraId="1D0FA129"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Fe</w:t>
            </w:r>
          </w:p>
        </w:tc>
        <w:tc>
          <w:tcPr>
            <w:tcW w:w="640" w:type="dxa"/>
            <w:noWrap/>
            <w:hideMark/>
          </w:tcPr>
          <w:p w14:paraId="7BA65704"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18.6</w:t>
            </w:r>
          </w:p>
        </w:tc>
        <w:tc>
          <w:tcPr>
            <w:tcW w:w="601" w:type="dxa"/>
            <w:noWrap/>
            <w:hideMark/>
          </w:tcPr>
          <w:p w14:paraId="37652C57"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55.9</w:t>
            </w:r>
          </w:p>
        </w:tc>
        <w:tc>
          <w:tcPr>
            <w:tcW w:w="1300" w:type="dxa"/>
            <w:noWrap/>
            <w:hideMark/>
          </w:tcPr>
          <w:p w14:paraId="3F62D10F"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29.7</w:t>
            </w:r>
          </w:p>
        </w:tc>
        <w:tc>
          <w:tcPr>
            <w:tcW w:w="440" w:type="dxa"/>
            <w:vMerge/>
            <w:noWrap/>
            <w:hideMark/>
          </w:tcPr>
          <w:p w14:paraId="4CFB02EA" w14:textId="77777777" w:rsidR="002C1F3B" w:rsidRPr="00985A01" w:rsidRDefault="002C1F3B" w:rsidP="00985A01">
            <w:pPr>
              <w:jc w:val="both"/>
              <w:rPr>
                <w:rFonts w:ascii="Times New Roman" w:hAnsi="Times New Roman"/>
                <w:color w:val="000000"/>
                <w:sz w:val="24"/>
                <w:szCs w:val="24"/>
              </w:rPr>
            </w:pPr>
          </w:p>
        </w:tc>
        <w:tc>
          <w:tcPr>
            <w:tcW w:w="960" w:type="dxa"/>
            <w:noWrap/>
            <w:hideMark/>
          </w:tcPr>
          <w:p w14:paraId="54ABBC60"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Fe</w:t>
            </w:r>
          </w:p>
        </w:tc>
        <w:tc>
          <w:tcPr>
            <w:tcW w:w="601" w:type="dxa"/>
            <w:noWrap/>
            <w:hideMark/>
          </w:tcPr>
          <w:p w14:paraId="5B6681E5"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13.7</w:t>
            </w:r>
          </w:p>
        </w:tc>
        <w:tc>
          <w:tcPr>
            <w:tcW w:w="601" w:type="dxa"/>
            <w:noWrap/>
            <w:hideMark/>
          </w:tcPr>
          <w:p w14:paraId="069211ED"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51.4</w:t>
            </w:r>
          </w:p>
        </w:tc>
        <w:tc>
          <w:tcPr>
            <w:tcW w:w="1240" w:type="dxa"/>
            <w:noWrap/>
            <w:hideMark/>
          </w:tcPr>
          <w:p w14:paraId="2CC65B82"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31.1</w:t>
            </w:r>
          </w:p>
        </w:tc>
      </w:tr>
      <w:tr w:rsidR="002C1F3B" w:rsidRPr="00E7613B" w14:paraId="455FDC51" w14:textId="77777777" w:rsidTr="00985A01">
        <w:trPr>
          <w:trHeight w:val="288"/>
          <w:jc w:val="center"/>
        </w:trPr>
        <w:tc>
          <w:tcPr>
            <w:tcW w:w="440" w:type="dxa"/>
            <w:vMerge/>
            <w:noWrap/>
            <w:hideMark/>
          </w:tcPr>
          <w:p w14:paraId="3F3EFE86" w14:textId="77777777" w:rsidR="002C1F3B" w:rsidRPr="00985A01" w:rsidRDefault="002C1F3B" w:rsidP="00985A01">
            <w:pPr>
              <w:jc w:val="both"/>
              <w:rPr>
                <w:rFonts w:ascii="Times New Roman" w:hAnsi="Times New Roman"/>
                <w:color w:val="000000"/>
                <w:sz w:val="24"/>
                <w:szCs w:val="24"/>
              </w:rPr>
            </w:pPr>
          </w:p>
        </w:tc>
        <w:tc>
          <w:tcPr>
            <w:tcW w:w="675" w:type="dxa"/>
            <w:noWrap/>
            <w:hideMark/>
          </w:tcPr>
          <w:p w14:paraId="6EB721EF"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Ni</w:t>
            </w:r>
          </w:p>
        </w:tc>
        <w:tc>
          <w:tcPr>
            <w:tcW w:w="640" w:type="dxa"/>
            <w:noWrap/>
            <w:hideMark/>
          </w:tcPr>
          <w:p w14:paraId="029DC411"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14.3</w:t>
            </w:r>
          </w:p>
        </w:tc>
        <w:tc>
          <w:tcPr>
            <w:tcW w:w="601" w:type="dxa"/>
            <w:noWrap/>
            <w:hideMark/>
          </w:tcPr>
          <w:p w14:paraId="79776590"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2.6</w:t>
            </w:r>
          </w:p>
        </w:tc>
        <w:tc>
          <w:tcPr>
            <w:tcW w:w="1300" w:type="dxa"/>
            <w:noWrap/>
            <w:hideMark/>
          </w:tcPr>
          <w:p w14:paraId="748037A7"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12.4</w:t>
            </w:r>
          </w:p>
        </w:tc>
        <w:tc>
          <w:tcPr>
            <w:tcW w:w="440" w:type="dxa"/>
            <w:vMerge/>
            <w:noWrap/>
            <w:hideMark/>
          </w:tcPr>
          <w:p w14:paraId="75E3F9A0" w14:textId="77777777" w:rsidR="002C1F3B" w:rsidRPr="00985A01" w:rsidRDefault="002C1F3B" w:rsidP="00985A01">
            <w:pPr>
              <w:jc w:val="both"/>
              <w:rPr>
                <w:rFonts w:ascii="Times New Roman" w:hAnsi="Times New Roman"/>
                <w:color w:val="000000"/>
                <w:sz w:val="24"/>
                <w:szCs w:val="24"/>
              </w:rPr>
            </w:pPr>
          </w:p>
        </w:tc>
        <w:tc>
          <w:tcPr>
            <w:tcW w:w="960" w:type="dxa"/>
            <w:noWrap/>
            <w:hideMark/>
          </w:tcPr>
          <w:p w14:paraId="45EC67FC"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Ni</w:t>
            </w:r>
          </w:p>
        </w:tc>
        <w:tc>
          <w:tcPr>
            <w:tcW w:w="601" w:type="dxa"/>
            <w:noWrap/>
            <w:hideMark/>
          </w:tcPr>
          <w:p w14:paraId="195E07F0"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16.1</w:t>
            </w:r>
          </w:p>
        </w:tc>
        <w:tc>
          <w:tcPr>
            <w:tcW w:w="601" w:type="dxa"/>
            <w:noWrap/>
            <w:hideMark/>
          </w:tcPr>
          <w:p w14:paraId="4763506A"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5.2</w:t>
            </w:r>
          </w:p>
        </w:tc>
        <w:tc>
          <w:tcPr>
            <w:tcW w:w="1240" w:type="dxa"/>
            <w:noWrap/>
            <w:hideMark/>
          </w:tcPr>
          <w:p w14:paraId="4810BE43"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11.9</w:t>
            </w:r>
          </w:p>
        </w:tc>
      </w:tr>
      <w:tr w:rsidR="002C1F3B" w:rsidRPr="00E7613B" w14:paraId="31F4324E" w14:textId="77777777" w:rsidTr="00985A01">
        <w:trPr>
          <w:trHeight w:val="288"/>
          <w:jc w:val="center"/>
        </w:trPr>
        <w:tc>
          <w:tcPr>
            <w:tcW w:w="440" w:type="dxa"/>
            <w:vMerge/>
            <w:noWrap/>
            <w:hideMark/>
          </w:tcPr>
          <w:p w14:paraId="0993F050" w14:textId="77777777" w:rsidR="002C1F3B" w:rsidRPr="00985A01" w:rsidRDefault="002C1F3B" w:rsidP="00985A01">
            <w:pPr>
              <w:jc w:val="both"/>
              <w:rPr>
                <w:rFonts w:ascii="Times New Roman" w:hAnsi="Times New Roman"/>
                <w:color w:val="000000"/>
                <w:sz w:val="24"/>
                <w:szCs w:val="24"/>
              </w:rPr>
            </w:pPr>
          </w:p>
        </w:tc>
        <w:tc>
          <w:tcPr>
            <w:tcW w:w="675" w:type="dxa"/>
            <w:noWrap/>
            <w:hideMark/>
          </w:tcPr>
          <w:p w14:paraId="0B76DB39" w14:textId="77777777" w:rsidR="002C1F3B" w:rsidRPr="00985A01" w:rsidRDefault="002C1F3B" w:rsidP="00985A01">
            <w:pPr>
              <w:jc w:val="both"/>
              <w:rPr>
                <w:rFonts w:ascii="Times New Roman" w:hAnsi="Times New Roman"/>
                <w:color w:val="000000"/>
                <w:sz w:val="24"/>
                <w:szCs w:val="24"/>
              </w:rPr>
            </w:pPr>
            <w:proofErr w:type="spellStart"/>
            <w:r w:rsidRPr="00C03DE2">
              <w:rPr>
                <w:rFonts w:ascii="Times New Roman" w:hAnsi="Times New Roman"/>
                <w:color w:val="000000"/>
                <w:szCs w:val="24"/>
              </w:rPr>
              <w:t>Ti</w:t>
            </w:r>
            <w:proofErr w:type="spellEnd"/>
          </w:p>
        </w:tc>
        <w:tc>
          <w:tcPr>
            <w:tcW w:w="640" w:type="dxa"/>
            <w:noWrap/>
            <w:hideMark/>
          </w:tcPr>
          <w:p w14:paraId="69C4C8FC"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11.9</w:t>
            </w:r>
          </w:p>
        </w:tc>
        <w:tc>
          <w:tcPr>
            <w:tcW w:w="601" w:type="dxa"/>
            <w:noWrap/>
            <w:hideMark/>
          </w:tcPr>
          <w:p w14:paraId="3D5F5CFD"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0.3</w:t>
            </w:r>
          </w:p>
        </w:tc>
        <w:tc>
          <w:tcPr>
            <w:tcW w:w="1300" w:type="dxa"/>
            <w:noWrap/>
            <w:hideMark/>
          </w:tcPr>
          <w:p w14:paraId="0E7F2FE7"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8.1</w:t>
            </w:r>
          </w:p>
        </w:tc>
        <w:tc>
          <w:tcPr>
            <w:tcW w:w="440" w:type="dxa"/>
            <w:vMerge/>
            <w:noWrap/>
            <w:hideMark/>
          </w:tcPr>
          <w:p w14:paraId="405D6A2A" w14:textId="77777777" w:rsidR="002C1F3B" w:rsidRPr="00985A01" w:rsidRDefault="002C1F3B" w:rsidP="00985A01">
            <w:pPr>
              <w:jc w:val="both"/>
              <w:rPr>
                <w:rFonts w:ascii="Times New Roman" w:hAnsi="Times New Roman"/>
                <w:color w:val="000000"/>
                <w:sz w:val="24"/>
                <w:szCs w:val="24"/>
              </w:rPr>
            </w:pPr>
          </w:p>
        </w:tc>
        <w:tc>
          <w:tcPr>
            <w:tcW w:w="960" w:type="dxa"/>
            <w:noWrap/>
            <w:hideMark/>
          </w:tcPr>
          <w:p w14:paraId="5ABE9E67" w14:textId="77777777" w:rsidR="002C1F3B" w:rsidRPr="00985A01" w:rsidRDefault="002C1F3B" w:rsidP="00985A01">
            <w:pPr>
              <w:jc w:val="both"/>
              <w:rPr>
                <w:rFonts w:ascii="Times New Roman" w:hAnsi="Times New Roman"/>
                <w:color w:val="000000"/>
                <w:sz w:val="24"/>
                <w:szCs w:val="24"/>
              </w:rPr>
            </w:pPr>
            <w:proofErr w:type="spellStart"/>
            <w:r w:rsidRPr="00C03DE2">
              <w:rPr>
                <w:rFonts w:ascii="Times New Roman" w:hAnsi="Times New Roman"/>
                <w:color w:val="000000"/>
                <w:szCs w:val="24"/>
              </w:rPr>
              <w:t>Ti</w:t>
            </w:r>
            <w:proofErr w:type="spellEnd"/>
          </w:p>
        </w:tc>
        <w:tc>
          <w:tcPr>
            <w:tcW w:w="601" w:type="dxa"/>
            <w:noWrap/>
            <w:hideMark/>
          </w:tcPr>
          <w:p w14:paraId="5DCFCAC1"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13.3</w:t>
            </w:r>
          </w:p>
        </w:tc>
        <w:tc>
          <w:tcPr>
            <w:tcW w:w="601" w:type="dxa"/>
            <w:noWrap/>
            <w:hideMark/>
          </w:tcPr>
          <w:p w14:paraId="07A23931" w14:textId="77777777" w:rsidR="002C1F3B" w:rsidRPr="00985A01" w:rsidRDefault="002C1F3B" w:rsidP="00985A01">
            <w:pPr>
              <w:jc w:val="both"/>
              <w:rPr>
                <w:rFonts w:ascii="Times New Roman" w:hAnsi="Times New Roman"/>
                <w:color w:val="4F81BD" w:themeColor="accent1"/>
                <w:sz w:val="24"/>
                <w:szCs w:val="24"/>
              </w:rPr>
            </w:pPr>
            <w:r w:rsidRPr="00C03DE2">
              <w:rPr>
                <w:rFonts w:ascii="Times New Roman" w:hAnsi="Times New Roman"/>
                <w:color w:val="4F81BD" w:themeColor="accent1"/>
                <w:szCs w:val="24"/>
              </w:rPr>
              <w:t>1.1</w:t>
            </w:r>
          </w:p>
        </w:tc>
        <w:tc>
          <w:tcPr>
            <w:tcW w:w="1240" w:type="dxa"/>
            <w:noWrap/>
            <w:hideMark/>
          </w:tcPr>
          <w:p w14:paraId="7578AF91" w14:textId="77777777" w:rsidR="002C1F3B" w:rsidRPr="00985A01" w:rsidRDefault="002C1F3B" w:rsidP="00985A01">
            <w:pPr>
              <w:jc w:val="both"/>
              <w:rPr>
                <w:rFonts w:ascii="Times New Roman" w:hAnsi="Times New Roman"/>
                <w:color w:val="000000"/>
                <w:sz w:val="24"/>
                <w:szCs w:val="24"/>
              </w:rPr>
            </w:pPr>
            <w:r w:rsidRPr="00C03DE2">
              <w:rPr>
                <w:rFonts w:ascii="Times New Roman" w:hAnsi="Times New Roman"/>
                <w:color w:val="000000"/>
                <w:szCs w:val="24"/>
              </w:rPr>
              <w:t>6.8</w:t>
            </w:r>
          </w:p>
        </w:tc>
      </w:tr>
    </w:tbl>
    <w:p w14:paraId="003AB215" w14:textId="77777777" w:rsidR="002C1F3B" w:rsidRPr="00B84AB9" w:rsidRDefault="002C1F3B" w:rsidP="00F21490">
      <w:pPr>
        <w:pStyle w:val="Default"/>
        <w:jc w:val="both"/>
        <w:rPr>
          <w:b/>
        </w:rPr>
      </w:pPr>
    </w:p>
    <w:p w14:paraId="66CE77A3" w14:textId="77777777" w:rsidR="00A425D2" w:rsidRDefault="00A425D2" w:rsidP="00F21490">
      <w:pPr>
        <w:pStyle w:val="Default"/>
        <w:jc w:val="both"/>
      </w:pPr>
    </w:p>
    <w:p w14:paraId="19D0A845" w14:textId="77777777" w:rsidR="007D6C57" w:rsidRDefault="007D6C57" w:rsidP="00F21490">
      <w:pPr>
        <w:pStyle w:val="Default"/>
        <w:jc w:val="both"/>
        <w:rPr>
          <w:b/>
        </w:rPr>
      </w:pPr>
    </w:p>
    <w:p w14:paraId="74D4312F" w14:textId="689B4F0C" w:rsidR="005E3C3F" w:rsidRDefault="00B06D5A" w:rsidP="00F21490">
      <w:pPr>
        <w:pStyle w:val="Default"/>
        <w:jc w:val="both"/>
      </w:pPr>
      <w:r w:rsidRPr="00B06D5A">
        <w:rPr>
          <w:b/>
        </w:rPr>
        <w:lastRenderedPageBreak/>
        <w:t>Table S</w:t>
      </w:r>
      <w:r w:rsidR="0021225D">
        <w:rPr>
          <w:b/>
        </w:rPr>
        <w:t>2</w:t>
      </w:r>
      <w:r w:rsidRPr="00B06D5A">
        <w:rPr>
          <w:b/>
        </w:rPr>
        <w:t>:</w:t>
      </w:r>
      <w:r>
        <w:t xml:space="preserve"> Pearson coefficients</w:t>
      </w:r>
      <w:r w:rsidR="00A7732A">
        <w:t xml:space="preserve"> for the frequency distribution analysis</w:t>
      </w:r>
      <w:r>
        <w:t xml:space="preserve"> (normalized chi-square value) of constituent elements for both </w:t>
      </w:r>
      <w:r>
        <w:rPr>
          <w:rFonts w:ascii="Symbol" w:hAnsi="Symbol"/>
        </w:rPr>
        <w:t></w:t>
      </w:r>
      <w:r w:rsidRPr="00B06D5A">
        <w:rPr>
          <w:rFonts w:ascii="Symbol" w:hAnsi="Symbol"/>
          <w:vertAlign w:val="subscript"/>
        </w:rPr>
        <w:t></w:t>
      </w:r>
      <w:r>
        <w:rPr>
          <w:rFonts w:ascii="Symbol" w:hAnsi="Symbol"/>
        </w:rPr>
        <w:t></w:t>
      </w:r>
      <w:r>
        <w:t xml:space="preserve">and </w:t>
      </w:r>
      <w:r>
        <w:rPr>
          <w:rFonts w:ascii="Symbol" w:hAnsi="Symbol"/>
        </w:rPr>
        <w:t></w:t>
      </w:r>
      <w:r w:rsidRPr="00B06D5A">
        <w:rPr>
          <w:rFonts w:ascii="Symbol" w:hAnsi="Symbol"/>
          <w:vertAlign w:val="subscript"/>
        </w:rPr>
        <w:t></w:t>
      </w:r>
      <w:r>
        <w:rPr>
          <w:rFonts w:ascii="Symbol" w:hAnsi="Symbol"/>
        </w:rPr>
        <w:t></w:t>
      </w:r>
      <w:r>
        <w:t>blocks.</w:t>
      </w:r>
      <w:r w:rsidR="007226FB">
        <w:t xml:space="preserve"> Values are obtained by comparing the </w:t>
      </w:r>
      <w:r w:rsidR="00F831F4">
        <w:t>experimental observations</w:t>
      </w:r>
      <w:r w:rsidR="007226FB">
        <w:t xml:space="preserve"> with </w:t>
      </w:r>
      <w:r w:rsidR="00F7234D">
        <w:t xml:space="preserve">a </w:t>
      </w:r>
      <w:r w:rsidR="00F831F4">
        <w:t xml:space="preserve">binomial </w:t>
      </w:r>
      <w:r w:rsidR="007226FB">
        <w:t>distribution.</w:t>
      </w:r>
      <w:r w:rsidR="00F831F4">
        <w:t xml:space="preserve"> The sam</w:t>
      </w:r>
      <w:bookmarkStart w:id="0" w:name="_GoBack"/>
      <w:bookmarkEnd w:id="0"/>
      <w:r w:rsidR="00F831F4">
        <w:t>pling value is 100 ions per bin.</w:t>
      </w:r>
    </w:p>
    <w:p w14:paraId="0B6FDB47" w14:textId="77777777" w:rsidR="00B06D5A" w:rsidRDefault="00B06D5A" w:rsidP="00F21490">
      <w:pPr>
        <w:pStyle w:val="Default"/>
        <w:jc w:val="both"/>
      </w:pPr>
    </w:p>
    <w:tbl>
      <w:tblPr>
        <w:tblStyle w:val="TableGrid"/>
        <w:tblW w:w="0" w:type="auto"/>
        <w:jc w:val="center"/>
        <w:tblLook w:val="04A0" w:firstRow="1" w:lastRow="0" w:firstColumn="1" w:lastColumn="0" w:noHBand="0" w:noVBand="1"/>
      </w:tblPr>
      <w:tblGrid>
        <w:gridCol w:w="2214"/>
        <w:gridCol w:w="1011"/>
        <w:gridCol w:w="1516"/>
        <w:gridCol w:w="1515"/>
        <w:gridCol w:w="1516"/>
        <w:gridCol w:w="1516"/>
      </w:tblGrid>
      <w:tr w:rsidR="00B06D5A" w14:paraId="05E29976" w14:textId="77777777" w:rsidTr="00C32D2A">
        <w:trPr>
          <w:jc w:val="center"/>
        </w:trPr>
        <w:tc>
          <w:tcPr>
            <w:tcW w:w="2214" w:type="dxa"/>
            <w:vAlign w:val="center"/>
          </w:tcPr>
          <w:p w14:paraId="5D3BE85E" w14:textId="77777777" w:rsidR="00B06D5A" w:rsidRDefault="00B06D5A" w:rsidP="00B06D5A">
            <w:pPr>
              <w:pStyle w:val="Default"/>
              <w:jc w:val="center"/>
            </w:pPr>
            <w:r>
              <w:t>Pearson coefficient</w:t>
            </w:r>
            <w:r w:rsidR="001D5AAF">
              <w:t xml:space="preserve">, </w:t>
            </w:r>
            <w:r w:rsidR="001D5AAF">
              <w:rPr>
                <w:rFonts w:ascii="Symbol" w:hAnsi="Symbol"/>
              </w:rPr>
              <w:t></w:t>
            </w:r>
            <w:r>
              <w:t>:</w:t>
            </w:r>
          </w:p>
        </w:tc>
        <w:tc>
          <w:tcPr>
            <w:tcW w:w="1011" w:type="dxa"/>
            <w:vAlign w:val="center"/>
          </w:tcPr>
          <w:p w14:paraId="5E4E331E" w14:textId="77777777" w:rsidR="00B06D5A" w:rsidRDefault="00B06D5A" w:rsidP="00B06D5A">
            <w:pPr>
              <w:pStyle w:val="Default"/>
              <w:jc w:val="center"/>
            </w:pPr>
            <w:r>
              <w:t>Al</w:t>
            </w:r>
          </w:p>
        </w:tc>
        <w:tc>
          <w:tcPr>
            <w:tcW w:w="1516" w:type="dxa"/>
            <w:vAlign w:val="center"/>
          </w:tcPr>
          <w:p w14:paraId="790BDEFC" w14:textId="77777777" w:rsidR="00B06D5A" w:rsidRDefault="00B06D5A" w:rsidP="00B06D5A">
            <w:pPr>
              <w:pStyle w:val="Default"/>
              <w:jc w:val="center"/>
            </w:pPr>
            <w:r>
              <w:t>Ni</w:t>
            </w:r>
          </w:p>
        </w:tc>
        <w:tc>
          <w:tcPr>
            <w:tcW w:w="1515" w:type="dxa"/>
            <w:vAlign w:val="center"/>
          </w:tcPr>
          <w:p w14:paraId="577668A0" w14:textId="77777777" w:rsidR="00B06D5A" w:rsidRDefault="00B06D5A" w:rsidP="00B06D5A">
            <w:pPr>
              <w:pStyle w:val="Default"/>
              <w:jc w:val="center"/>
            </w:pPr>
            <w:r>
              <w:t>Fe</w:t>
            </w:r>
          </w:p>
        </w:tc>
        <w:tc>
          <w:tcPr>
            <w:tcW w:w="1516" w:type="dxa"/>
            <w:vAlign w:val="center"/>
          </w:tcPr>
          <w:p w14:paraId="74989E5C" w14:textId="77777777" w:rsidR="00B06D5A" w:rsidRDefault="00B06D5A" w:rsidP="00B06D5A">
            <w:pPr>
              <w:pStyle w:val="Default"/>
              <w:jc w:val="center"/>
            </w:pPr>
            <w:proofErr w:type="spellStart"/>
            <w:r>
              <w:t>Ti</w:t>
            </w:r>
            <w:proofErr w:type="spellEnd"/>
          </w:p>
        </w:tc>
        <w:tc>
          <w:tcPr>
            <w:tcW w:w="1516" w:type="dxa"/>
            <w:vAlign w:val="center"/>
          </w:tcPr>
          <w:p w14:paraId="1E002044" w14:textId="77777777" w:rsidR="00B06D5A" w:rsidRDefault="00B06D5A" w:rsidP="00B06D5A">
            <w:pPr>
              <w:pStyle w:val="Default"/>
              <w:jc w:val="center"/>
            </w:pPr>
            <w:r>
              <w:t>Co</w:t>
            </w:r>
          </w:p>
        </w:tc>
      </w:tr>
      <w:tr w:rsidR="00B06D5A" w14:paraId="76B30D6A" w14:textId="77777777" w:rsidTr="00C32D2A">
        <w:trPr>
          <w:jc w:val="center"/>
        </w:trPr>
        <w:tc>
          <w:tcPr>
            <w:tcW w:w="2214" w:type="dxa"/>
            <w:vAlign w:val="center"/>
          </w:tcPr>
          <w:p w14:paraId="612605A7" w14:textId="77777777" w:rsidR="00B06D5A" w:rsidRDefault="00B06D5A" w:rsidP="00B06D5A">
            <w:pPr>
              <w:pStyle w:val="Default"/>
              <w:jc w:val="center"/>
            </w:pPr>
            <w:r>
              <w:rPr>
                <w:rFonts w:ascii="Symbol" w:hAnsi="Symbol"/>
              </w:rPr>
              <w:t></w:t>
            </w:r>
            <w:r w:rsidRPr="00B06D5A">
              <w:rPr>
                <w:rFonts w:ascii="Symbol" w:hAnsi="Symbol"/>
                <w:vertAlign w:val="subscript"/>
              </w:rPr>
              <w:t></w:t>
            </w:r>
          </w:p>
        </w:tc>
        <w:tc>
          <w:tcPr>
            <w:tcW w:w="1011" w:type="dxa"/>
            <w:vAlign w:val="center"/>
          </w:tcPr>
          <w:p w14:paraId="0AB3C3F1" w14:textId="77777777" w:rsidR="00B06D5A" w:rsidRDefault="00B06D5A" w:rsidP="00B06D5A">
            <w:pPr>
              <w:pStyle w:val="Default"/>
              <w:jc w:val="center"/>
            </w:pPr>
            <w:r>
              <w:t>0.12</w:t>
            </w:r>
          </w:p>
        </w:tc>
        <w:tc>
          <w:tcPr>
            <w:tcW w:w="1516" w:type="dxa"/>
            <w:vAlign w:val="center"/>
          </w:tcPr>
          <w:p w14:paraId="2D70BA16" w14:textId="77777777" w:rsidR="00B06D5A" w:rsidRDefault="00B06D5A" w:rsidP="00B06D5A">
            <w:pPr>
              <w:pStyle w:val="Default"/>
              <w:jc w:val="center"/>
            </w:pPr>
            <w:r>
              <w:t>0.20</w:t>
            </w:r>
          </w:p>
        </w:tc>
        <w:tc>
          <w:tcPr>
            <w:tcW w:w="1515" w:type="dxa"/>
            <w:vAlign w:val="center"/>
          </w:tcPr>
          <w:p w14:paraId="589FA70C" w14:textId="77777777" w:rsidR="00B06D5A" w:rsidRDefault="00B06D5A" w:rsidP="00B06D5A">
            <w:pPr>
              <w:pStyle w:val="Default"/>
              <w:jc w:val="center"/>
            </w:pPr>
            <w:r>
              <w:t>0.12</w:t>
            </w:r>
          </w:p>
        </w:tc>
        <w:tc>
          <w:tcPr>
            <w:tcW w:w="1516" w:type="dxa"/>
            <w:vAlign w:val="center"/>
          </w:tcPr>
          <w:p w14:paraId="7FD85504" w14:textId="77777777" w:rsidR="00B06D5A" w:rsidRDefault="00B06D5A" w:rsidP="00B06D5A">
            <w:pPr>
              <w:pStyle w:val="Default"/>
              <w:jc w:val="center"/>
            </w:pPr>
            <w:r>
              <w:t>0.07</w:t>
            </w:r>
          </w:p>
        </w:tc>
        <w:tc>
          <w:tcPr>
            <w:tcW w:w="1516" w:type="dxa"/>
            <w:vAlign w:val="center"/>
          </w:tcPr>
          <w:p w14:paraId="29427C9B" w14:textId="77777777" w:rsidR="00B06D5A" w:rsidRDefault="00B06D5A" w:rsidP="00B06D5A">
            <w:pPr>
              <w:pStyle w:val="Default"/>
              <w:jc w:val="center"/>
            </w:pPr>
            <w:r>
              <w:t>0.14</w:t>
            </w:r>
          </w:p>
        </w:tc>
      </w:tr>
      <w:tr w:rsidR="00B06D5A" w14:paraId="393EABBF" w14:textId="77777777" w:rsidTr="00C32D2A">
        <w:trPr>
          <w:jc w:val="center"/>
        </w:trPr>
        <w:tc>
          <w:tcPr>
            <w:tcW w:w="2214" w:type="dxa"/>
            <w:vAlign w:val="center"/>
          </w:tcPr>
          <w:p w14:paraId="4E1683CF" w14:textId="77777777" w:rsidR="00B06D5A" w:rsidRDefault="00B06D5A" w:rsidP="00B06D5A">
            <w:pPr>
              <w:pStyle w:val="Default"/>
              <w:jc w:val="center"/>
            </w:pPr>
            <w:r>
              <w:rPr>
                <w:rFonts w:ascii="Symbol" w:hAnsi="Symbol"/>
              </w:rPr>
              <w:t></w:t>
            </w:r>
            <w:r>
              <w:rPr>
                <w:rFonts w:ascii="Symbol" w:hAnsi="Symbol"/>
                <w:vertAlign w:val="subscript"/>
              </w:rPr>
              <w:t></w:t>
            </w:r>
          </w:p>
        </w:tc>
        <w:tc>
          <w:tcPr>
            <w:tcW w:w="1011" w:type="dxa"/>
            <w:vAlign w:val="center"/>
          </w:tcPr>
          <w:p w14:paraId="50CB700B" w14:textId="77777777" w:rsidR="00B06D5A" w:rsidRDefault="00B06D5A" w:rsidP="00B06D5A">
            <w:pPr>
              <w:pStyle w:val="Default"/>
              <w:jc w:val="center"/>
            </w:pPr>
            <w:r>
              <w:t>0.43</w:t>
            </w:r>
          </w:p>
        </w:tc>
        <w:tc>
          <w:tcPr>
            <w:tcW w:w="1516" w:type="dxa"/>
            <w:vAlign w:val="center"/>
          </w:tcPr>
          <w:p w14:paraId="279639A7" w14:textId="77777777" w:rsidR="00B06D5A" w:rsidRDefault="00B06D5A" w:rsidP="00B06D5A">
            <w:pPr>
              <w:pStyle w:val="Default"/>
              <w:jc w:val="center"/>
            </w:pPr>
            <w:r>
              <w:t>0.25</w:t>
            </w:r>
          </w:p>
        </w:tc>
        <w:tc>
          <w:tcPr>
            <w:tcW w:w="1515" w:type="dxa"/>
            <w:vAlign w:val="center"/>
          </w:tcPr>
          <w:p w14:paraId="492E8579" w14:textId="77777777" w:rsidR="00B06D5A" w:rsidRDefault="00B06D5A" w:rsidP="00B06D5A">
            <w:pPr>
              <w:pStyle w:val="Default"/>
              <w:jc w:val="center"/>
            </w:pPr>
            <w:r>
              <w:t>0.73</w:t>
            </w:r>
          </w:p>
        </w:tc>
        <w:tc>
          <w:tcPr>
            <w:tcW w:w="1516" w:type="dxa"/>
            <w:vAlign w:val="center"/>
          </w:tcPr>
          <w:p w14:paraId="18C34994" w14:textId="77777777" w:rsidR="00B06D5A" w:rsidRDefault="00B06D5A" w:rsidP="00B06D5A">
            <w:pPr>
              <w:pStyle w:val="Default"/>
              <w:jc w:val="center"/>
            </w:pPr>
            <w:r>
              <w:t>0.48</w:t>
            </w:r>
          </w:p>
        </w:tc>
        <w:tc>
          <w:tcPr>
            <w:tcW w:w="1516" w:type="dxa"/>
            <w:vAlign w:val="center"/>
          </w:tcPr>
          <w:p w14:paraId="16EA6558" w14:textId="77777777" w:rsidR="00B06D5A" w:rsidRDefault="00B06D5A" w:rsidP="00B06D5A">
            <w:pPr>
              <w:pStyle w:val="Default"/>
              <w:jc w:val="center"/>
            </w:pPr>
            <w:r>
              <w:t>0.29</w:t>
            </w:r>
          </w:p>
        </w:tc>
      </w:tr>
    </w:tbl>
    <w:p w14:paraId="344FA2DE" w14:textId="77777777" w:rsidR="00B06D5A" w:rsidRDefault="00B06D5A" w:rsidP="00F21490">
      <w:pPr>
        <w:pStyle w:val="Default"/>
        <w:jc w:val="both"/>
      </w:pPr>
    </w:p>
    <w:p w14:paraId="6E27E860" w14:textId="77777777" w:rsidR="00B06D5A" w:rsidRPr="00B06D5A" w:rsidRDefault="00B06D5A" w:rsidP="00F21490">
      <w:pPr>
        <w:pStyle w:val="Default"/>
        <w:jc w:val="both"/>
      </w:pPr>
    </w:p>
    <w:p w14:paraId="0C0AA0E4" w14:textId="77777777" w:rsidR="00A425D2" w:rsidRDefault="00A425D2" w:rsidP="00A425D2">
      <w:pPr>
        <w:pStyle w:val="Default"/>
        <w:jc w:val="center"/>
      </w:pPr>
    </w:p>
    <w:sectPr w:rsidR="00A42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38"/>
    <w:rsid w:val="00002353"/>
    <w:rsid w:val="0019414F"/>
    <w:rsid w:val="001C716F"/>
    <w:rsid w:val="001D5AAF"/>
    <w:rsid w:val="0021225D"/>
    <w:rsid w:val="00256AF2"/>
    <w:rsid w:val="002C1F3B"/>
    <w:rsid w:val="002D720A"/>
    <w:rsid w:val="003C78D8"/>
    <w:rsid w:val="003D7938"/>
    <w:rsid w:val="0049163B"/>
    <w:rsid w:val="00562A2C"/>
    <w:rsid w:val="005E3C3F"/>
    <w:rsid w:val="00692FDB"/>
    <w:rsid w:val="007226FB"/>
    <w:rsid w:val="00743AD0"/>
    <w:rsid w:val="00760285"/>
    <w:rsid w:val="007D6C57"/>
    <w:rsid w:val="008264BA"/>
    <w:rsid w:val="008506E8"/>
    <w:rsid w:val="008E6D15"/>
    <w:rsid w:val="00975FCF"/>
    <w:rsid w:val="00A05381"/>
    <w:rsid w:val="00A425D2"/>
    <w:rsid w:val="00A7732A"/>
    <w:rsid w:val="00AD4987"/>
    <w:rsid w:val="00B06D5A"/>
    <w:rsid w:val="00B84AB9"/>
    <w:rsid w:val="00B8704F"/>
    <w:rsid w:val="00C32D2A"/>
    <w:rsid w:val="00E11F79"/>
    <w:rsid w:val="00F21490"/>
    <w:rsid w:val="00F7234D"/>
    <w:rsid w:val="00F831F4"/>
    <w:rsid w:val="00FA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D46C"/>
  <w15:docId w15:val="{65B8C851-9624-4FE4-AB6D-F1BC28B7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490"/>
    <w:rPr>
      <w:rFonts w:ascii="Tahoma" w:hAnsi="Tahoma" w:cs="Tahoma"/>
      <w:sz w:val="16"/>
      <w:szCs w:val="16"/>
    </w:rPr>
  </w:style>
  <w:style w:type="paragraph" w:customStyle="1" w:styleId="Default">
    <w:name w:val="Default"/>
    <w:link w:val="DefaultChar"/>
    <w:rsid w:val="00F21490"/>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DefaultChar">
    <w:name w:val="Default Char"/>
    <w:basedOn w:val="DefaultParagraphFont"/>
    <w:link w:val="Default"/>
    <w:rsid w:val="00F21490"/>
    <w:rPr>
      <w:rFonts w:ascii="Times New Roman" w:eastAsia="SimSun" w:hAnsi="Times New Roman" w:cs="Times New Roman"/>
      <w:color w:val="000000"/>
      <w:sz w:val="24"/>
      <w:szCs w:val="24"/>
    </w:rPr>
  </w:style>
  <w:style w:type="table" w:styleId="TableGrid">
    <w:name w:val="Table Grid"/>
    <w:basedOn w:val="TableNormal"/>
    <w:uiPriority w:val="59"/>
    <w:rsid w:val="00B06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11F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80975">
      <w:bodyDiv w:val="1"/>
      <w:marLeft w:val="0"/>
      <w:marRight w:val="0"/>
      <w:marTop w:val="0"/>
      <w:marBottom w:val="0"/>
      <w:divBdr>
        <w:top w:val="none" w:sz="0" w:space="0" w:color="auto"/>
        <w:left w:val="none" w:sz="0" w:space="0" w:color="auto"/>
        <w:bottom w:val="none" w:sz="0" w:space="0" w:color="auto"/>
        <w:right w:val="none" w:sz="0" w:space="0" w:color="auto"/>
      </w:divBdr>
    </w:div>
    <w:div w:id="757868858">
      <w:bodyDiv w:val="1"/>
      <w:marLeft w:val="0"/>
      <w:marRight w:val="0"/>
      <w:marTop w:val="0"/>
      <w:marBottom w:val="0"/>
      <w:divBdr>
        <w:top w:val="none" w:sz="0" w:space="0" w:color="auto"/>
        <w:left w:val="none" w:sz="0" w:space="0" w:color="auto"/>
        <w:bottom w:val="none" w:sz="0" w:space="0" w:color="auto"/>
        <w:right w:val="none" w:sz="0" w:space="0" w:color="auto"/>
      </w:divBdr>
    </w:div>
    <w:div w:id="191354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7A273-C0E2-455A-8A8F-E6706C63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 Wei</dc:creator>
  <cp:lastModifiedBy>Guo, Wei</cp:lastModifiedBy>
  <cp:revision>2</cp:revision>
  <dcterms:created xsi:type="dcterms:W3CDTF">2016-08-23T19:10:00Z</dcterms:created>
  <dcterms:modified xsi:type="dcterms:W3CDTF">2016-08-23T19:10:00Z</dcterms:modified>
</cp:coreProperties>
</file>