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2" w:rsidRPr="00DD6835" w:rsidRDefault="005C38F2" w:rsidP="005C38F2">
      <w:pPr>
        <w:bidi w:val="0"/>
      </w:pPr>
    </w:p>
    <w:p w:rsidR="005C38F2" w:rsidRPr="00DD6835" w:rsidRDefault="005C38F2" w:rsidP="005C38F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D6835">
        <w:rPr>
          <w:rFonts w:asciiTheme="majorBidi" w:hAnsiTheme="majorBidi" w:cs="B Nazanin"/>
          <w:b/>
          <w:bCs/>
          <w:sz w:val="24"/>
          <w:szCs w:val="24"/>
        </w:rPr>
        <w:t>Supplementary Table 1.</w:t>
      </w:r>
      <w:proofErr w:type="gramEnd"/>
      <w:r w:rsidRPr="00DD6835">
        <w:rPr>
          <w:rFonts w:asciiTheme="majorBidi" w:hAnsiTheme="majorBidi" w:cs="B Nazanin"/>
          <w:sz w:val="24"/>
          <w:szCs w:val="24"/>
        </w:rPr>
        <w:t xml:space="preserve"> </w:t>
      </w:r>
      <w:r w:rsidRPr="00DD6835">
        <w:rPr>
          <w:rFonts w:asciiTheme="majorBidi" w:hAnsiTheme="majorBidi" w:cstheme="majorBidi"/>
          <w:sz w:val="24"/>
          <w:szCs w:val="24"/>
        </w:rPr>
        <w:t>The method of scoring and definition of HEI-2015</w:t>
      </w:r>
    </w:p>
    <w:p w:rsidR="005C38F2" w:rsidRPr="00DD6835" w:rsidRDefault="005C38F2" w:rsidP="005C38F2">
      <w:pPr>
        <w:bidi w:val="0"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tbl>
      <w:tblPr>
        <w:tblStyle w:val="PlainTable2"/>
        <w:tblW w:w="9715" w:type="dxa"/>
        <w:tblLook w:val="04A0"/>
      </w:tblPr>
      <w:tblGrid>
        <w:gridCol w:w="1975"/>
        <w:gridCol w:w="1800"/>
        <w:gridCol w:w="2970"/>
        <w:gridCol w:w="2970"/>
      </w:tblGrid>
      <w:tr w:rsidR="005C38F2" w:rsidRPr="00DD6835" w:rsidTr="00616E74">
        <w:trPr>
          <w:cnfStyle w:val="1000000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Component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1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Maximum Scores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1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Standard for Maximum Scores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1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Standard for Minimum of zero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Adequacy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Total fruits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>0.8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fruits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Whole fruits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>0.4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Whole fruits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Total vegetables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1.1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vegetables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Greens &amp; Beans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0.2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Greens &amp; Beans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Whole Grains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1.5 Oz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Whole Grains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Dairy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1.3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Dairy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Total Protein Foods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2.5 Oz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Protein Foods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Seafood &amp; plant proteins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0.8 cup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No Seafood &amp; plant proteins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Fatty Acids Moderation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="Times New Roman" w:hAnsi="Times New Roman" w:cs="Times New Roman"/>
                <w:iCs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(PUFAs+MUFAs)/SFAs≥</m:t>
              </m:r>
            </m:oMath>
            <w:r w:rsidRPr="00DD6835">
              <w:rPr>
                <w:rFonts w:ascii="Times New Roman" w:eastAsiaTheme="minorEastAsia" w:hAnsi="Times New Roman" w:cs="Times New Roman"/>
                <w:iCs/>
              </w:rPr>
              <w:t xml:space="preserve"> 2.5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="Times New Roman" w:hAnsi="Times New Roman" w:cs="Times New Roman"/>
                <w:iCs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(PUFAs+MUFAs)/SFAs</m:t>
              </m:r>
            </m:oMath>
            <w:r w:rsidRPr="00DD6835">
              <w:rPr>
                <w:rFonts w:ascii="Times New Roman" w:eastAsiaTheme="minorEastAsia" w:hAnsi="Times New Roman" w:cs="Times New Roman"/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 xml:space="preserve">≤ </m:t>
              </m:r>
            </m:oMath>
            <w:r w:rsidRPr="00DD6835">
              <w:rPr>
                <w:rFonts w:ascii="Times New Roman" w:eastAsiaTheme="minorEastAsia" w:hAnsi="Times New Roman" w:cs="Times New Roman"/>
                <w:iCs/>
              </w:rPr>
              <w:t>1.2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Refined Grains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≤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>1.8 Oz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4.3 Oz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Sodium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≤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1.1 g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2.0 g</w:t>
            </w:r>
          </w:p>
        </w:tc>
      </w:tr>
      <w:tr w:rsidR="005C38F2" w:rsidRPr="00DD6835" w:rsidTr="00616E74">
        <w:trPr>
          <w:cnfStyle w:val="000000100000"/>
        </w:trPr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Added Sugars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≤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6.5% of energy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1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26% of energy</w:t>
            </w:r>
          </w:p>
        </w:tc>
      </w:tr>
      <w:tr w:rsidR="005C38F2" w:rsidRPr="00DD6835" w:rsidTr="00616E74">
        <w:tc>
          <w:tcPr>
            <w:cnfStyle w:val="001000000000"/>
            <w:tcW w:w="1975" w:type="dxa"/>
          </w:tcPr>
          <w:p w:rsidR="005C38F2" w:rsidRPr="00DD6835" w:rsidRDefault="005C38F2" w:rsidP="00616E74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Saturated Fats</w:t>
            </w:r>
          </w:p>
        </w:tc>
        <w:tc>
          <w:tcPr>
            <w:tcW w:w="180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w:r w:rsidRPr="00DD6835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≤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8% of energy</w:t>
            </w:r>
          </w:p>
        </w:tc>
        <w:tc>
          <w:tcPr>
            <w:tcW w:w="2970" w:type="dxa"/>
          </w:tcPr>
          <w:p w:rsidR="005C38F2" w:rsidRPr="00DD6835" w:rsidRDefault="005C38F2" w:rsidP="00616E74">
            <w:pPr>
              <w:bidi w:val="0"/>
              <w:jc w:val="center"/>
              <w:cnfStyle w:val="000000000000"/>
              <w:rPr>
                <w:rFonts w:asciiTheme="majorBidi" w:hAnsiTheme="majorBidi" w:cs="B Nazanin"/>
              </w:rPr>
            </w:pPr>
            <m:oMath>
              <m:r>
                <w:rPr>
                  <w:rFonts w:ascii="Cambria Math" w:hAnsi="Cambria Math" w:cs="B Nazanin"/>
                </w:rPr>
                <m:t>≥</m:t>
              </m:r>
            </m:oMath>
            <w:r w:rsidRPr="00DD6835">
              <w:rPr>
                <w:rFonts w:asciiTheme="majorBidi" w:eastAsiaTheme="minorEastAsia" w:hAnsiTheme="majorBidi" w:cs="B Nazanin"/>
              </w:rPr>
              <w:t xml:space="preserve"> 16% of energy</w:t>
            </w:r>
          </w:p>
        </w:tc>
      </w:tr>
    </w:tbl>
    <w:p w:rsidR="005C38F2" w:rsidRPr="00DD6835" w:rsidRDefault="005C38F2" w:rsidP="005C38F2">
      <w:pPr>
        <w:bidi w:val="0"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:rsidR="00194DF7" w:rsidRDefault="005C38F2"/>
    <w:sectPr w:rsidR="00194DF7" w:rsidSect="00735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8F2"/>
    <w:rsid w:val="005C38F2"/>
    <w:rsid w:val="00735184"/>
    <w:rsid w:val="00AF2FB3"/>
    <w:rsid w:val="00E5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F2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5C3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F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chandu.p</dc:creator>
  <cp:lastModifiedBy>chandu.p</cp:lastModifiedBy>
  <cp:revision>1</cp:revision>
  <dcterms:created xsi:type="dcterms:W3CDTF">2023-04-21T11:38:00Z</dcterms:created>
  <dcterms:modified xsi:type="dcterms:W3CDTF">2023-04-21T11:38:00Z</dcterms:modified>
</cp:coreProperties>
</file>