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89A2" w14:textId="63848D52" w:rsidR="00586532" w:rsidRPr="00586532" w:rsidRDefault="00586532" w:rsidP="00586532">
      <w:pPr>
        <w:spacing w:line="276" w:lineRule="auto"/>
        <w:ind w:left="360" w:hanging="360"/>
        <w:rPr>
          <w:rFonts w:ascii="Calibri" w:hAnsi="Calibri" w:cs="Calibri"/>
          <w:sz w:val="32"/>
          <w:szCs w:val="32"/>
        </w:rPr>
      </w:pPr>
      <w:r w:rsidRPr="00586532">
        <w:rPr>
          <w:rFonts w:ascii="Calibri" w:hAnsi="Calibri" w:cs="Calibri"/>
          <w:sz w:val="32"/>
          <w:szCs w:val="32"/>
        </w:rPr>
        <w:t xml:space="preserve">Appendix 1: </w:t>
      </w:r>
      <w:r w:rsidR="009E284C">
        <w:rPr>
          <w:rFonts w:ascii="Calibri" w:hAnsi="Calibri" w:cs="Calibri"/>
          <w:sz w:val="32"/>
          <w:szCs w:val="32"/>
        </w:rPr>
        <w:t xml:space="preserve">Search </w:t>
      </w:r>
      <w:r w:rsidR="00C86023">
        <w:rPr>
          <w:rFonts w:ascii="Calibri" w:hAnsi="Calibri" w:cs="Calibri"/>
          <w:sz w:val="32"/>
          <w:szCs w:val="32"/>
        </w:rPr>
        <w:t>s</w:t>
      </w:r>
      <w:r w:rsidR="009E284C">
        <w:rPr>
          <w:rFonts w:ascii="Calibri" w:hAnsi="Calibri" w:cs="Calibri"/>
          <w:sz w:val="32"/>
          <w:szCs w:val="32"/>
        </w:rPr>
        <w:t>trategy</w:t>
      </w:r>
    </w:p>
    <w:p w14:paraId="2F2ABF31" w14:textId="2D77C560" w:rsidR="00FD4860" w:rsidRPr="00586532" w:rsidRDefault="00FD4860" w:rsidP="00586532">
      <w:pPr>
        <w:pStyle w:val="ListParagraph"/>
        <w:numPr>
          <w:ilvl w:val="1"/>
          <w:numId w:val="1"/>
        </w:numPr>
        <w:spacing w:line="276" w:lineRule="auto"/>
        <w:rPr>
          <w:rFonts w:ascii="Calibri" w:hAnsi="Calibri" w:cs="Calibri"/>
          <w:sz w:val="26"/>
          <w:szCs w:val="26"/>
          <w:lang w:val="en-US"/>
        </w:rPr>
      </w:pPr>
      <w:r w:rsidRPr="00586532">
        <w:rPr>
          <w:rFonts w:ascii="Calibri" w:hAnsi="Calibri" w:cs="Calibri"/>
          <w:sz w:val="26"/>
          <w:szCs w:val="26"/>
          <w:lang w:val="en-US"/>
        </w:rPr>
        <w:t>S</w:t>
      </w:r>
      <w:r w:rsidR="009E284C">
        <w:rPr>
          <w:rFonts w:ascii="Calibri" w:hAnsi="Calibri" w:cs="Calibri"/>
          <w:sz w:val="26"/>
          <w:szCs w:val="26"/>
          <w:lang w:val="en-US"/>
        </w:rPr>
        <w:t>ystematic S</w:t>
      </w:r>
      <w:r w:rsidRPr="00586532">
        <w:rPr>
          <w:rFonts w:ascii="Calibri" w:hAnsi="Calibri" w:cs="Calibri"/>
          <w:sz w:val="26"/>
          <w:szCs w:val="26"/>
          <w:lang w:val="en-US"/>
        </w:rPr>
        <w:t>earch Strategy</w:t>
      </w:r>
      <w:r w:rsidR="007933F1" w:rsidRPr="00586532">
        <w:rPr>
          <w:rFonts w:ascii="Calibri" w:hAnsi="Calibri" w:cs="Calibri"/>
          <w:sz w:val="26"/>
          <w:szCs w:val="26"/>
          <w:lang w:val="en-US"/>
        </w:rPr>
        <w:t xml:space="preserve"> and Search Results</w:t>
      </w:r>
      <w:r w:rsidR="003C1363" w:rsidRPr="00586532">
        <w:rPr>
          <w:rFonts w:ascii="Calibri" w:hAnsi="Calibri" w:cs="Calibri"/>
          <w:sz w:val="26"/>
          <w:szCs w:val="26"/>
          <w:lang w:val="en-US"/>
        </w:rPr>
        <w:t xml:space="preserve"> for Peer-Reviewed Literature</w:t>
      </w:r>
    </w:p>
    <w:p w14:paraId="15F592EB" w14:textId="7A8FC964" w:rsidR="00FD4860" w:rsidRPr="00586532" w:rsidRDefault="00FD4860" w:rsidP="00586532">
      <w:pPr>
        <w:spacing w:line="276" w:lineRule="auto"/>
        <w:ind w:firstLine="360"/>
        <w:rPr>
          <w:rFonts w:ascii="Calibri" w:hAnsi="Calibri" w:cs="Calibri"/>
          <w:sz w:val="24"/>
          <w:szCs w:val="24"/>
          <w:lang w:val="en-US"/>
        </w:rPr>
      </w:pPr>
      <w:r w:rsidRPr="00586532">
        <w:rPr>
          <w:rFonts w:ascii="Calibri" w:hAnsi="Calibri" w:cs="Calibri"/>
          <w:sz w:val="24"/>
          <w:szCs w:val="24"/>
          <w:lang w:val="en-US"/>
        </w:rPr>
        <w:t xml:space="preserve">We applied a </w:t>
      </w:r>
      <w:r w:rsidR="00D029C1" w:rsidRPr="00586532">
        <w:rPr>
          <w:rFonts w:ascii="Calibri" w:hAnsi="Calibri" w:cs="Calibri"/>
          <w:sz w:val="24"/>
          <w:szCs w:val="24"/>
          <w:lang w:val="en-US"/>
        </w:rPr>
        <w:t xml:space="preserve">systematic search to </w:t>
      </w:r>
      <w:r w:rsidR="00655F19">
        <w:rPr>
          <w:rFonts w:ascii="Calibri" w:hAnsi="Calibri" w:cs="Calibri"/>
          <w:sz w:val="24"/>
          <w:szCs w:val="24"/>
          <w:lang w:val="en-US"/>
        </w:rPr>
        <w:t>MEDLINE</w:t>
      </w:r>
      <w:r w:rsidR="007933F1" w:rsidRPr="00586532">
        <w:rPr>
          <w:rFonts w:ascii="Calibri" w:hAnsi="Calibri" w:cs="Calibri"/>
          <w:sz w:val="24"/>
          <w:szCs w:val="24"/>
          <w:lang w:val="en-US"/>
        </w:rPr>
        <w:t xml:space="preserve">, Web of Science and Scopus in </w:t>
      </w:r>
      <w:r w:rsidR="00586532" w:rsidRPr="00586532">
        <w:rPr>
          <w:rFonts w:ascii="Calibri" w:hAnsi="Calibri" w:cs="Calibri"/>
          <w:sz w:val="24"/>
          <w:szCs w:val="24"/>
          <w:lang w:val="en-US"/>
        </w:rPr>
        <w:t>February</w:t>
      </w:r>
      <w:r w:rsidR="007933F1" w:rsidRPr="00586532">
        <w:rPr>
          <w:rFonts w:ascii="Calibri" w:hAnsi="Calibri" w:cs="Calibri"/>
          <w:sz w:val="24"/>
          <w:szCs w:val="24"/>
          <w:lang w:val="en-US"/>
        </w:rPr>
        <w:t xml:space="preserve"> 2022. </w:t>
      </w:r>
    </w:p>
    <w:tbl>
      <w:tblPr>
        <w:tblStyle w:val="GridTable1Light"/>
        <w:tblW w:w="0" w:type="auto"/>
        <w:tblLook w:val="04A0" w:firstRow="1" w:lastRow="0" w:firstColumn="1" w:lastColumn="0" w:noHBand="0" w:noVBand="1"/>
      </w:tblPr>
      <w:tblGrid>
        <w:gridCol w:w="1857"/>
        <w:gridCol w:w="1581"/>
        <w:gridCol w:w="9384"/>
        <w:gridCol w:w="1126"/>
      </w:tblGrid>
      <w:tr w:rsidR="00FD4860" w:rsidRPr="00586532" w14:paraId="3526FDFC" w14:textId="77777777" w:rsidTr="00393D8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noWrap/>
            <w:hideMark/>
          </w:tcPr>
          <w:p w14:paraId="09120C3A" w14:textId="77777777" w:rsidR="00FD4860" w:rsidRPr="00586532" w:rsidRDefault="00FD4860" w:rsidP="00586532">
            <w:pPr>
              <w:spacing w:line="276" w:lineRule="auto"/>
              <w:rPr>
                <w:rFonts w:ascii="Calibri" w:hAnsi="Calibri" w:cs="Calibri"/>
              </w:rPr>
            </w:pPr>
            <w:r w:rsidRPr="00586532">
              <w:rPr>
                <w:rFonts w:ascii="Calibri" w:hAnsi="Calibri" w:cs="Calibri"/>
              </w:rPr>
              <w:t>Database searched</w:t>
            </w:r>
          </w:p>
        </w:tc>
        <w:tc>
          <w:tcPr>
            <w:tcW w:w="1684" w:type="dxa"/>
            <w:shd w:val="clear" w:color="auto" w:fill="E7E6E6" w:themeFill="background2"/>
            <w:noWrap/>
            <w:hideMark/>
          </w:tcPr>
          <w:p w14:paraId="146BD228" w14:textId="77777777" w:rsidR="00FD4860" w:rsidRPr="00586532" w:rsidRDefault="00FD4860" w:rsidP="00586532">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Date searched</w:t>
            </w:r>
          </w:p>
        </w:tc>
        <w:tc>
          <w:tcPr>
            <w:tcW w:w="9089" w:type="dxa"/>
            <w:shd w:val="clear" w:color="auto" w:fill="E7E6E6" w:themeFill="background2"/>
            <w:noWrap/>
            <w:hideMark/>
          </w:tcPr>
          <w:p w14:paraId="076A0E25" w14:textId="77777777" w:rsidR="00FD4860" w:rsidRPr="00586532" w:rsidRDefault="00FD4860" w:rsidP="00586532">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Search string</w:t>
            </w:r>
          </w:p>
        </w:tc>
        <w:tc>
          <w:tcPr>
            <w:tcW w:w="1195" w:type="dxa"/>
            <w:shd w:val="clear" w:color="auto" w:fill="E7E6E6" w:themeFill="background2"/>
            <w:noWrap/>
            <w:hideMark/>
          </w:tcPr>
          <w:p w14:paraId="0AAD4B1B" w14:textId="7C778FCF" w:rsidR="00FD4860" w:rsidRPr="00586532" w:rsidRDefault="00FD4860" w:rsidP="00586532">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N</w:t>
            </w:r>
            <w:r w:rsidR="00393D82">
              <w:rPr>
                <w:rFonts w:ascii="Calibri" w:hAnsi="Calibri" w:cs="Calibri"/>
              </w:rPr>
              <w:t>umber of</w:t>
            </w:r>
            <w:r w:rsidRPr="00586532">
              <w:rPr>
                <w:rFonts w:ascii="Calibri" w:hAnsi="Calibri" w:cs="Calibri"/>
              </w:rPr>
              <w:t xml:space="preserve"> results</w:t>
            </w:r>
          </w:p>
        </w:tc>
      </w:tr>
      <w:tr w:rsidR="00FD4860" w:rsidRPr="00586532" w14:paraId="7237EEF5" w14:textId="77777777" w:rsidTr="00393D82">
        <w:trPr>
          <w:trHeight w:val="377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noWrap/>
            <w:hideMark/>
          </w:tcPr>
          <w:p w14:paraId="33EA88B6" w14:textId="3EE2189A" w:rsidR="00FD4860" w:rsidRPr="00586532" w:rsidRDefault="00655F19" w:rsidP="00586532">
            <w:pPr>
              <w:spacing w:line="276" w:lineRule="auto"/>
              <w:rPr>
                <w:rFonts w:ascii="Calibri" w:hAnsi="Calibri" w:cs="Calibri"/>
              </w:rPr>
            </w:pPr>
            <w:r>
              <w:rPr>
                <w:rFonts w:ascii="Calibri" w:hAnsi="Calibri" w:cs="Calibri"/>
              </w:rPr>
              <w:t>MEDLINE</w:t>
            </w:r>
            <w:r w:rsidR="00FD4860" w:rsidRPr="00586532">
              <w:rPr>
                <w:rFonts w:ascii="Calibri" w:hAnsi="Calibri" w:cs="Calibri"/>
              </w:rPr>
              <w:t xml:space="preserve"> via EBSCO</w:t>
            </w:r>
          </w:p>
        </w:tc>
        <w:tc>
          <w:tcPr>
            <w:tcW w:w="1684" w:type="dxa"/>
            <w:noWrap/>
            <w:hideMark/>
          </w:tcPr>
          <w:p w14:paraId="478B71A1" w14:textId="4C6CCBED" w:rsidR="00FD4860" w:rsidRPr="00586532" w:rsidRDefault="00586532"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0</w:t>
            </w:r>
            <w:r w:rsidR="00FD4860" w:rsidRPr="00586532">
              <w:rPr>
                <w:rFonts w:ascii="Calibri" w:hAnsi="Calibri" w:cs="Calibri"/>
              </w:rPr>
              <w:t>2.0</w:t>
            </w:r>
            <w:r w:rsidRPr="00586532">
              <w:rPr>
                <w:rFonts w:ascii="Calibri" w:hAnsi="Calibri" w:cs="Calibri"/>
              </w:rPr>
              <w:t>2</w:t>
            </w:r>
            <w:r w:rsidR="00FD4860" w:rsidRPr="00586532">
              <w:rPr>
                <w:rFonts w:ascii="Calibri" w:hAnsi="Calibri" w:cs="Calibri"/>
              </w:rPr>
              <w:t>.2022</w:t>
            </w:r>
          </w:p>
        </w:tc>
        <w:tc>
          <w:tcPr>
            <w:tcW w:w="9089" w:type="dxa"/>
            <w:hideMark/>
          </w:tcPr>
          <w:p w14:paraId="4B92FA37" w14:textId="40712F07" w:rsidR="00FD4860" w:rsidRPr="00586532" w:rsidRDefault="00FD4860"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 xml:space="preserve">"AB ( salt or sodium ) AND AB ( consum* or intake or excretion* ) AND AB ( Albania OR Andorra OR Armenia OR Austria OR Azerbaijan </w:t>
            </w:r>
            <w:r w:rsidR="006F20F9">
              <w:rPr>
                <w:rFonts w:ascii="Calibri" w:hAnsi="Calibri" w:cs="Calibri"/>
              </w:rPr>
              <w:t xml:space="preserve">OR </w:t>
            </w:r>
            <w:r w:rsidRPr="00586532">
              <w:rPr>
                <w:rFonts w:ascii="Calibri" w:hAnsi="Calibri" w:cs="Calibri"/>
              </w:rPr>
              <w:t xml:space="preserve">Belarus OR Belgium OR Bosnia Herzegovina OR Bulgaria OR Croatia OR Cyprus OR Czech* OR Denmark OR Estonia OR Finland OR France OR Georgia OR Germany OR Greece OR Hungary OR Iceland OR Ireland OR Israel OR Ital* OR Kazakhstan OR Kyrgyz* </w:t>
            </w:r>
            <w:r w:rsidR="006F20F9">
              <w:rPr>
                <w:rFonts w:ascii="Calibri" w:hAnsi="Calibri" w:cs="Calibri"/>
              </w:rPr>
              <w:t xml:space="preserve">OR </w:t>
            </w:r>
            <w:r w:rsidRPr="00586532">
              <w:rPr>
                <w:rFonts w:ascii="Calibri" w:hAnsi="Calibri" w:cs="Calibri"/>
              </w:rPr>
              <w:t>Latvia OR Lithuania OR Luxembourg OR Malta OR Monaco OR Montenegro OR Netherlands OR Norway OR Poland OR Portugal OR Moldova OR Romania OR Russia* OR San Marino OR Serbia OR Slovakia OR Slovenia OR Spain OR Sweden OR Switzerland OR Tajikistan OR North Macedonia OR Turkey OR Turkmenistan OR Ukraine OR United Kingdom OR Uzbekistan ) Date of Publication: 20000101-20220131; Human</w:t>
            </w:r>
          </w:p>
        </w:tc>
        <w:tc>
          <w:tcPr>
            <w:tcW w:w="1195" w:type="dxa"/>
            <w:noWrap/>
            <w:hideMark/>
          </w:tcPr>
          <w:p w14:paraId="6095E9D1" w14:textId="77777777" w:rsidR="00FD4860" w:rsidRPr="00586532" w:rsidRDefault="00FD4860"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882</w:t>
            </w:r>
          </w:p>
        </w:tc>
      </w:tr>
      <w:tr w:rsidR="00FD4860" w:rsidRPr="00586532" w14:paraId="3DD7CDF5" w14:textId="77777777" w:rsidTr="00393D82">
        <w:trPr>
          <w:trHeight w:val="377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noWrap/>
            <w:hideMark/>
          </w:tcPr>
          <w:p w14:paraId="66D72CC1" w14:textId="77777777" w:rsidR="00FD4860" w:rsidRPr="00586532" w:rsidRDefault="00FD4860" w:rsidP="00586532">
            <w:pPr>
              <w:spacing w:line="276" w:lineRule="auto"/>
              <w:rPr>
                <w:rFonts w:ascii="Calibri" w:hAnsi="Calibri" w:cs="Calibri"/>
              </w:rPr>
            </w:pPr>
            <w:r w:rsidRPr="00586532">
              <w:rPr>
                <w:rFonts w:ascii="Calibri" w:hAnsi="Calibri" w:cs="Calibri"/>
              </w:rPr>
              <w:lastRenderedPageBreak/>
              <w:t>Web of Science Core Collection</w:t>
            </w:r>
          </w:p>
        </w:tc>
        <w:tc>
          <w:tcPr>
            <w:tcW w:w="1684" w:type="dxa"/>
            <w:noWrap/>
            <w:hideMark/>
          </w:tcPr>
          <w:p w14:paraId="67DCDCC6" w14:textId="6E111485" w:rsidR="00FD4860" w:rsidRPr="00586532" w:rsidRDefault="00586532"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0</w:t>
            </w:r>
            <w:r w:rsidR="00FD4860" w:rsidRPr="00586532">
              <w:rPr>
                <w:rFonts w:ascii="Calibri" w:hAnsi="Calibri" w:cs="Calibri"/>
              </w:rPr>
              <w:t>2.0</w:t>
            </w:r>
            <w:r w:rsidRPr="00586532">
              <w:rPr>
                <w:rFonts w:ascii="Calibri" w:hAnsi="Calibri" w:cs="Calibri"/>
              </w:rPr>
              <w:t>2</w:t>
            </w:r>
            <w:r w:rsidR="00FD4860" w:rsidRPr="00586532">
              <w:rPr>
                <w:rFonts w:ascii="Calibri" w:hAnsi="Calibri" w:cs="Calibri"/>
              </w:rPr>
              <w:t>.2022</w:t>
            </w:r>
          </w:p>
        </w:tc>
        <w:tc>
          <w:tcPr>
            <w:tcW w:w="9089" w:type="dxa"/>
            <w:hideMark/>
          </w:tcPr>
          <w:p w14:paraId="1F0E9104" w14:textId="57CCB907" w:rsidR="00FD4860" w:rsidRPr="00586532" w:rsidRDefault="00FD4860"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 xml:space="preserve">((AB=(sodium or salt) AND AB=(consumption or intake) AND AB=( (Albania OR Andorra OR Armenia OR Austria OR Azerbaijan </w:t>
            </w:r>
            <w:r w:rsidR="006F20F9">
              <w:rPr>
                <w:rFonts w:ascii="Calibri" w:hAnsi="Calibri" w:cs="Calibri"/>
              </w:rPr>
              <w:t xml:space="preserve">OR </w:t>
            </w:r>
            <w:r w:rsidRPr="00586532">
              <w:rPr>
                <w:rFonts w:ascii="Calibri" w:hAnsi="Calibri" w:cs="Calibri"/>
              </w:rPr>
              <w:t xml:space="preserve">Belarus OR Belgium OR Bosnia Herzegovina OR Bulgaria OR Croatia OR Cyprus OR Czech* OR Denmark OR Estonia OR Finland OR France OR Georgia OR Germany OR Greece OR Hungary OR Iceland OR Ireland OR Israel OR Ital* OR Kazakhstan OR Kyrgyz* </w:t>
            </w:r>
            <w:r w:rsidR="006F20F9">
              <w:rPr>
                <w:rFonts w:ascii="Calibri" w:hAnsi="Calibri" w:cs="Calibri"/>
              </w:rPr>
              <w:t xml:space="preserve">OR </w:t>
            </w:r>
            <w:r w:rsidRPr="00586532">
              <w:rPr>
                <w:rFonts w:ascii="Calibri" w:hAnsi="Calibri" w:cs="Calibri"/>
              </w:rPr>
              <w:t>Latvia OR Lithuania OR Luxembourg OR Malta OR Monaco OR Montenegro OR Netherlands OR Norway OR Poland OR Portugal OR Moldova OR Romania OR Russia* OR San Marino OR Serbia OR Slovakia OR Slovenia OR Spain OR Spanish OR Sweden OR Switzerland OR Tajikistan OR North Macedonia OR Turkey OR Turkmenistan OR Ukraine OR United Kingdom OR Uzbekistan))) NOT TS=(animal* or mice* or mouse or soil))</w:t>
            </w:r>
          </w:p>
        </w:tc>
        <w:tc>
          <w:tcPr>
            <w:tcW w:w="1195" w:type="dxa"/>
            <w:noWrap/>
            <w:hideMark/>
          </w:tcPr>
          <w:p w14:paraId="0CDE0E50" w14:textId="26A0B4D5" w:rsidR="00FD4860" w:rsidRPr="00586532" w:rsidRDefault="00FD4860"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1</w:t>
            </w:r>
            <w:r w:rsidR="00586532" w:rsidRPr="00586532">
              <w:rPr>
                <w:rFonts w:ascii="Calibri" w:hAnsi="Calibri" w:cs="Calibri"/>
              </w:rPr>
              <w:t>,</w:t>
            </w:r>
            <w:r w:rsidRPr="00586532">
              <w:rPr>
                <w:rFonts w:ascii="Calibri" w:hAnsi="Calibri" w:cs="Calibri"/>
              </w:rPr>
              <w:t>29</w:t>
            </w:r>
            <w:r w:rsidR="00586532" w:rsidRPr="00586532">
              <w:rPr>
                <w:rFonts w:ascii="Calibri" w:hAnsi="Calibri" w:cs="Calibri"/>
              </w:rPr>
              <w:t>4</w:t>
            </w:r>
          </w:p>
        </w:tc>
      </w:tr>
      <w:tr w:rsidR="00FD4860" w:rsidRPr="00586532" w14:paraId="0F43FA81" w14:textId="77777777" w:rsidTr="00393D82">
        <w:trPr>
          <w:trHeight w:val="754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noWrap/>
            <w:hideMark/>
          </w:tcPr>
          <w:p w14:paraId="1B050101" w14:textId="77777777" w:rsidR="00FD4860" w:rsidRPr="00586532" w:rsidRDefault="00FD4860" w:rsidP="00586532">
            <w:pPr>
              <w:spacing w:line="276" w:lineRule="auto"/>
              <w:rPr>
                <w:rFonts w:ascii="Calibri" w:hAnsi="Calibri" w:cs="Calibri"/>
              </w:rPr>
            </w:pPr>
            <w:r w:rsidRPr="00586532">
              <w:rPr>
                <w:rFonts w:ascii="Calibri" w:hAnsi="Calibri" w:cs="Calibri"/>
              </w:rPr>
              <w:lastRenderedPageBreak/>
              <w:t>Scopus</w:t>
            </w:r>
          </w:p>
        </w:tc>
        <w:tc>
          <w:tcPr>
            <w:tcW w:w="1684" w:type="dxa"/>
            <w:noWrap/>
            <w:hideMark/>
          </w:tcPr>
          <w:p w14:paraId="2A044467" w14:textId="68F6821E" w:rsidR="00FD4860" w:rsidRPr="00586532" w:rsidRDefault="00586532"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t>0</w:t>
            </w:r>
            <w:r w:rsidR="00FD4860" w:rsidRPr="00586532">
              <w:rPr>
                <w:rFonts w:ascii="Calibri" w:hAnsi="Calibri" w:cs="Calibri"/>
              </w:rPr>
              <w:t>2.0</w:t>
            </w:r>
            <w:r w:rsidRPr="00586532">
              <w:rPr>
                <w:rFonts w:ascii="Calibri" w:hAnsi="Calibri" w:cs="Calibri"/>
              </w:rPr>
              <w:t>2</w:t>
            </w:r>
            <w:r w:rsidR="00FD4860" w:rsidRPr="00586532">
              <w:rPr>
                <w:rFonts w:ascii="Calibri" w:hAnsi="Calibri" w:cs="Calibri"/>
              </w:rPr>
              <w:t>.2022</w:t>
            </w:r>
          </w:p>
        </w:tc>
        <w:tc>
          <w:tcPr>
            <w:tcW w:w="9089" w:type="dxa"/>
            <w:hideMark/>
          </w:tcPr>
          <w:p w14:paraId="00C0F060" w14:textId="5D1FE4A6" w:rsidR="00FD4860" w:rsidRPr="00D25D75" w:rsidRDefault="00D25D75" w:rsidP="00D25D7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sidRPr="00D25D75">
              <w:rPr>
                <w:rFonts w:ascii="Calibri" w:hAnsi="Calibri" w:cs="Calibri"/>
                <w:lang w:val="en-AU"/>
              </w:rPr>
              <w:t>TITLE-ABS-KEY ( ( diet*  PRE/1  ( salt  OR  sodium )  AND  ( intake  OR  consum* ) ) )  AND  PUBYEAR  &gt;  2000  AND  ( LIMIT-TO ( AFFILCOUNTRY ,  "United Kingdom" )  OR  LIMIT-TO ( AFFILCOUNTRY ,  "Germany" )  OR  LIMIT-TO ( AFFILCOUNTRY ,  "Italy" )  OR  LIMIT-TO ( AFFILCOUNTRY ,  "Netherlands" )  OR  LIMIT-TO ( AFFILCOUNTRY ,  "France" )  OR  LIMIT-TO ( AFFILCOUNTRY ,  "Switzerland" )  OR  LIMIT-TO ( AFFILCOUNTRY ,  "Denmark" )  OR  LIMIT-TO ( AFFILCOUNTRY ,  "Spain" )  OR  LIMIT-TO ( AFFILCOUNTRY ,  "Sweden" )  OR  LIMIT-TO ( AFFILCOUNTRY ,  "Turkey" )  OR  LIMIT-TO ( AFFILCOUNTRY ,  "Poland" )  OR  LIMIT-TO ( AFFILCOUNTRY ,  "Belgium" )  OR  LIMIT-TO ( AFFILCOUNTRY ,  "Ireland" )  OR  LIMIT-TO ( AFFILCOUNTRY ,  "Greece" )  OR  LIMIT-TO ( AFFILCOUNTRY ,  "Finland" )  OR  LIMIT-TO ( AFFILCOUNTRY ,  "Israel" )  OR  LIMIT-TO ( AFFILCOUNTRY ,  "Austria" )  OR  LIMIT-TO ( AFFILCOUNTRY ,  "Portugal" )  OR  LIMIT-TO ( AFFILCOUNTRY ,  "Russian Federation" )  OR  LIMIT-TO ( AFFILCOUNTRY ,  "Czech Republic" )  OR  LIMIT-TO ( AFFILCOUNTRY ,  "Hungary" )  OR  LIMIT-TO ( AFFILCOUNTRY ,  "Croatia" )  OR  LIMIT-TO ( AFFILCOUNTRY ,  "Norway" )  OR  LIMIT-TO ( AFFILCOUNTRY ,  "Georgia" )  OR  LIMIT-TO ( AFFILCOUNTRY ,  "Romania" )  OR  LIMIT-TO ( AFFILCOUNTRY ,  "Slovakia" )  OR  LIMIT-TO ( AFFILCOUNTRY ,  "Bosnia and Herzegovina" )  OR  LIMIT-TO ( AFFILCOUNTRY ,  "Slovenia" )  OR  LIMIT-TO ( AFFILCOUNTRY ,  "Lithuania" )  OR  LIMIT-TO ( AFFILCOUNTRY ,  "Serbia" )  OR  LIMIT-TO ( AFFILCOUNTRY ,  "Iceland" )  OR  LIMIT-TO ( AFFILCOUNTRY ,  "Luxembourg" )  OR  LIMIT-TO ( AFFILCOUNTRY ,  "Monaco" )  OR  LIMIT-TO ( AFFILCOUNTRY ,  "Bulgaria" )  OR  LIMIT-TO ( AFFILCOUNTRY ,  "Cyprus" )  OR  LIMIT-TO ( AFFILCOUNTRY ,  "Estonia" )  OR  LIMIT-TO ( AFFILCOUNTRY ,  "Montenegro" )  OR  LIMIT-TO ( AFFILCOUNTRY ,  "North Macedonia" )  OR  LIMIT-TO ( AFFILCOUNTRY ,  "Ukraine" )  OR  LIMIT-TO ( AFFILCOUNTRY ,  "Albania" )  OR  LIMIT-TO ( AFFILCOUNTRY ,  "Andorra" )  OR  LIMIT-TO ( AFFILCOUNTRY ,  "Armenia" )  OR  LIMIT-TO ( AFFILCOUNTRY ,  "Azerbaijan" )  OR  LIMIT-TO ( AFFILCOUNTRY ,  "Belarus" )  OR  LIMIT-TO ( AFFILCOUNTRY ,  "Kazakhstan" )  OR  LIMIT-TO ( AFFILCOUNTRY ,  "Kyrgyzstan" )  OR  LIMIT-TO ( AFFILCOUNTRY ,  "Latvia" )  OR  LIMIT-TO ( AFFILCOUNTRY ,  "Malta" )  OR  LIMIT-TO ( AFFILCOUNTRY ,  "Moldova" )  OR  LIMIT-TO ( AFFILCOUNTRY ,  "San Marino" )  OR  LIMIT-TO ( AFFILCOUNTRY ,  "Tajikistan" )  OR  LIMIT-</w:t>
            </w:r>
            <w:r w:rsidRPr="00D25D75">
              <w:rPr>
                <w:rFonts w:ascii="Calibri" w:hAnsi="Calibri" w:cs="Calibri"/>
                <w:lang w:val="en-AU"/>
              </w:rPr>
              <w:lastRenderedPageBreak/>
              <w:t>TO ( AFFILCOUNTRY ,  "Turkmenistan" )  OR  LIMIT-TO ( AFFILCOUNTRY ,  "Uzbekistan" ) )  AND  ( LIMIT-TO ( SUBJAREA ,  "MEDI" ) )  AND  ( LIMIT-TO ( DOCTYPE ,  "ar" )  OR  LIMIT-TO ( DOCTYPE ,  "re" )  OR  LIMIT-TO ( DOCTYPE ,  "sh" ) ) </w:t>
            </w:r>
          </w:p>
        </w:tc>
        <w:tc>
          <w:tcPr>
            <w:tcW w:w="1195" w:type="dxa"/>
            <w:noWrap/>
            <w:hideMark/>
          </w:tcPr>
          <w:p w14:paraId="04D234E5" w14:textId="64B95A3D" w:rsidR="00FD4860" w:rsidRPr="00586532" w:rsidRDefault="00FD4860" w:rsidP="0058653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86532">
              <w:rPr>
                <w:rFonts w:ascii="Calibri" w:hAnsi="Calibri" w:cs="Calibri"/>
              </w:rPr>
              <w:lastRenderedPageBreak/>
              <w:t>1</w:t>
            </w:r>
            <w:r w:rsidR="00586532" w:rsidRPr="00586532">
              <w:rPr>
                <w:rFonts w:ascii="Calibri" w:hAnsi="Calibri" w:cs="Calibri"/>
              </w:rPr>
              <w:t>,</w:t>
            </w:r>
            <w:r w:rsidRPr="00586532">
              <w:rPr>
                <w:rFonts w:ascii="Calibri" w:hAnsi="Calibri" w:cs="Calibri"/>
              </w:rPr>
              <w:t>059</w:t>
            </w:r>
          </w:p>
        </w:tc>
      </w:tr>
    </w:tbl>
    <w:p w14:paraId="3DEDE683" w14:textId="35C7BD30" w:rsidR="00FD4860" w:rsidRPr="00586532" w:rsidRDefault="00FD4860" w:rsidP="00586532">
      <w:pPr>
        <w:spacing w:line="276" w:lineRule="auto"/>
        <w:rPr>
          <w:rFonts w:ascii="Calibri" w:hAnsi="Calibri" w:cs="Calibri"/>
          <w:lang w:val="en-US"/>
        </w:rPr>
      </w:pPr>
    </w:p>
    <w:p w14:paraId="4AB1AAE9" w14:textId="2B93A9B8" w:rsidR="00586532" w:rsidRDefault="00586532" w:rsidP="00586532">
      <w:pPr>
        <w:spacing w:line="276" w:lineRule="auto"/>
        <w:rPr>
          <w:rFonts w:ascii="Calibri" w:hAnsi="Calibri" w:cs="Calibri"/>
          <w:lang w:val="en-US"/>
        </w:rPr>
      </w:pPr>
    </w:p>
    <w:p w14:paraId="5AE2C385" w14:textId="77777777" w:rsidR="00D25D75" w:rsidRDefault="00D25D75" w:rsidP="00586532">
      <w:pPr>
        <w:spacing w:line="276" w:lineRule="auto"/>
        <w:rPr>
          <w:rFonts w:ascii="Calibri" w:hAnsi="Calibri" w:cs="Calibri"/>
          <w:lang w:val="en-US"/>
        </w:rPr>
      </w:pPr>
    </w:p>
    <w:p w14:paraId="6AB0FA46" w14:textId="77777777" w:rsidR="003C1363" w:rsidRPr="00586532" w:rsidRDefault="003C1363" w:rsidP="00586532">
      <w:pPr>
        <w:pStyle w:val="ListParagraph"/>
        <w:numPr>
          <w:ilvl w:val="1"/>
          <w:numId w:val="1"/>
        </w:numPr>
        <w:spacing w:line="276" w:lineRule="auto"/>
        <w:rPr>
          <w:rFonts w:ascii="Calibri" w:hAnsi="Calibri" w:cs="Calibri"/>
          <w:sz w:val="26"/>
          <w:szCs w:val="26"/>
          <w:lang w:val="en-US"/>
        </w:rPr>
      </w:pPr>
      <w:r w:rsidRPr="00586532">
        <w:rPr>
          <w:rFonts w:ascii="Calibri" w:hAnsi="Calibri" w:cs="Calibri"/>
          <w:sz w:val="26"/>
          <w:szCs w:val="26"/>
          <w:lang w:val="en-US"/>
        </w:rPr>
        <w:lastRenderedPageBreak/>
        <w:t>Grey Literature Searches</w:t>
      </w:r>
    </w:p>
    <w:p w14:paraId="5A844A6B" w14:textId="77777777" w:rsidR="00586532" w:rsidRDefault="00586532" w:rsidP="00586532">
      <w:pPr>
        <w:pStyle w:val="ListParagraph"/>
        <w:spacing w:line="276" w:lineRule="auto"/>
        <w:ind w:left="360"/>
        <w:rPr>
          <w:rFonts w:ascii="Calibri" w:hAnsi="Calibri" w:cs="Calibri"/>
          <w:sz w:val="24"/>
          <w:szCs w:val="24"/>
          <w:lang w:val="en-US"/>
        </w:rPr>
      </w:pPr>
    </w:p>
    <w:p w14:paraId="5279CA1A" w14:textId="2368F009" w:rsidR="00A65712" w:rsidRDefault="00F42DDB" w:rsidP="00586532">
      <w:pPr>
        <w:pStyle w:val="ListParagraph"/>
        <w:spacing w:line="276" w:lineRule="auto"/>
        <w:ind w:left="360"/>
        <w:rPr>
          <w:rFonts w:ascii="Calibri" w:hAnsi="Calibri" w:cs="Calibri"/>
          <w:sz w:val="24"/>
          <w:szCs w:val="24"/>
          <w:lang w:val="en-AU"/>
        </w:rPr>
      </w:pPr>
      <w:r w:rsidRPr="00586532">
        <w:rPr>
          <w:rFonts w:ascii="Calibri" w:hAnsi="Calibri" w:cs="Calibri"/>
          <w:sz w:val="24"/>
          <w:szCs w:val="24"/>
          <w:lang w:val="en-US"/>
        </w:rPr>
        <w:t xml:space="preserve">We complemented the dataset with data from surveys conducted by the </w:t>
      </w:r>
      <w:r w:rsidR="00586532">
        <w:rPr>
          <w:rFonts w:ascii="Calibri" w:hAnsi="Calibri" w:cs="Calibri"/>
          <w:sz w:val="24"/>
          <w:szCs w:val="24"/>
          <w:lang w:val="en-US"/>
        </w:rPr>
        <w:t xml:space="preserve">WHO Europe NCD Office, via a questionnaire sent to members of the </w:t>
      </w:r>
      <w:r w:rsidRPr="00586532">
        <w:rPr>
          <w:rFonts w:ascii="Calibri" w:hAnsi="Calibri" w:cs="Calibri"/>
          <w:sz w:val="24"/>
          <w:szCs w:val="24"/>
          <w:lang w:val="en-AU"/>
        </w:rPr>
        <w:t>European Salt Action Network (</w:t>
      </w:r>
      <w:r w:rsidRPr="00CB7D38">
        <w:rPr>
          <w:rFonts w:ascii="Calibri" w:hAnsi="Calibri" w:cs="Calibri"/>
          <w:b/>
          <w:bCs/>
          <w:sz w:val="24"/>
          <w:szCs w:val="24"/>
          <w:lang w:val="en-AU"/>
        </w:rPr>
        <w:t>ESAN</w:t>
      </w:r>
      <w:r w:rsidRPr="00586532">
        <w:rPr>
          <w:rFonts w:ascii="Calibri" w:hAnsi="Calibri" w:cs="Calibri"/>
          <w:sz w:val="24"/>
          <w:szCs w:val="24"/>
          <w:lang w:val="en-AU"/>
        </w:rPr>
        <w:t>)</w:t>
      </w:r>
      <w:r w:rsidR="00586532">
        <w:rPr>
          <w:rFonts w:ascii="Calibri" w:hAnsi="Calibri" w:cs="Calibri"/>
          <w:sz w:val="24"/>
          <w:szCs w:val="24"/>
          <w:lang w:val="en-AU"/>
        </w:rPr>
        <w:t>,</w:t>
      </w:r>
      <w:r w:rsidRPr="00586532">
        <w:rPr>
          <w:rFonts w:ascii="Calibri" w:hAnsi="Calibri" w:cs="Calibri"/>
          <w:sz w:val="24"/>
          <w:szCs w:val="24"/>
          <w:lang w:val="en-AU"/>
        </w:rPr>
        <w:t xml:space="preserve"> </w:t>
      </w:r>
      <w:r w:rsidR="00586532">
        <w:rPr>
          <w:rFonts w:ascii="Calibri" w:hAnsi="Calibri" w:cs="Calibri"/>
          <w:sz w:val="24"/>
          <w:szCs w:val="24"/>
          <w:lang w:val="en-AU"/>
        </w:rPr>
        <w:t>as well as</w:t>
      </w:r>
      <w:r w:rsidRPr="00586532">
        <w:rPr>
          <w:rFonts w:ascii="Calibri" w:hAnsi="Calibri" w:cs="Calibri"/>
          <w:sz w:val="24"/>
          <w:szCs w:val="24"/>
          <w:lang w:val="en-AU"/>
        </w:rPr>
        <w:t xml:space="preserve"> the NCD Country Capacity Survey (</w:t>
      </w:r>
      <w:r w:rsidRPr="00CB7D38">
        <w:rPr>
          <w:rFonts w:ascii="Calibri" w:hAnsi="Calibri" w:cs="Calibri"/>
          <w:b/>
          <w:bCs/>
          <w:sz w:val="24"/>
          <w:szCs w:val="24"/>
          <w:lang w:val="en-AU"/>
        </w:rPr>
        <w:t>CCS</w:t>
      </w:r>
      <w:r w:rsidRPr="00586532">
        <w:rPr>
          <w:rFonts w:ascii="Calibri" w:hAnsi="Calibri" w:cs="Calibri"/>
          <w:sz w:val="24"/>
          <w:szCs w:val="24"/>
          <w:lang w:val="en-AU"/>
        </w:rPr>
        <w:t xml:space="preserve">). </w:t>
      </w:r>
      <w:r w:rsidR="00586532">
        <w:rPr>
          <w:rFonts w:ascii="Calibri" w:hAnsi="Calibri" w:cs="Calibri"/>
          <w:sz w:val="24"/>
          <w:szCs w:val="24"/>
          <w:lang w:val="en-AU"/>
        </w:rPr>
        <w:t>They were both administered in 2019.</w:t>
      </w:r>
      <w:r w:rsidR="00A65712">
        <w:rPr>
          <w:rFonts w:ascii="Calibri" w:hAnsi="Calibri" w:cs="Calibri"/>
          <w:sz w:val="24"/>
          <w:szCs w:val="24"/>
          <w:lang w:val="en-AU"/>
        </w:rPr>
        <w:t xml:space="preserve"> We also directly contacted relevant experts and staff at various WHO country offices and national health ministries, to obtain and/or confirm data.</w:t>
      </w:r>
    </w:p>
    <w:p w14:paraId="5059A765" w14:textId="77777777" w:rsidR="00A65712" w:rsidRDefault="00A65712" w:rsidP="00586532">
      <w:pPr>
        <w:pStyle w:val="ListParagraph"/>
        <w:spacing w:line="276" w:lineRule="auto"/>
        <w:ind w:left="360"/>
        <w:rPr>
          <w:rFonts w:ascii="Calibri" w:hAnsi="Calibri" w:cs="Calibri"/>
          <w:sz w:val="24"/>
          <w:szCs w:val="24"/>
          <w:lang w:val="en-AU"/>
        </w:rPr>
      </w:pPr>
    </w:p>
    <w:p w14:paraId="227E34CF" w14:textId="0D720C45" w:rsidR="00633EC8" w:rsidRDefault="00F42DDB" w:rsidP="00586532">
      <w:pPr>
        <w:pStyle w:val="ListParagraph"/>
        <w:spacing w:line="276" w:lineRule="auto"/>
        <w:ind w:left="360"/>
        <w:rPr>
          <w:rFonts w:ascii="Calibri" w:hAnsi="Calibri" w:cs="Calibri"/>
          <w:sz w:val="24"/>
          <w:szCs w:val="24"/>
          <w:lang w:val="en-AU"/>
        </w:rPr>
      </w:pPr>
      <w:r w:rsidRPr="00586532">
        <w:rPr>
          <w:rFonts w:ascii="Calibri" w:hAnsi="Calibri" w:cs="Calibri"/>
          <w:sz w:val="24"/>
          <w:szCs w:val="24"/>
          <w:lang w:val="en-AU"/>
        </w:rPr>
        <w:t xml:space="preserve">The following table </w:t>
      </w:r>
      <w:r w:rsidR="005A04B9">
        <w:rPr>
          <w:rFonts w:ascii="Calibri" w:hAnsi="Calibri" w:cs="Calibri"/>
          <w:sz w:val="24"/>
          <w:szCs w:val="24"/>
          <w:lang w:val="en-AU"/>
        </w:rPr>
        <w:t>gives</w:t>
      </w:r>
      <w:r w:rsidRPr="00586532">
        <w:rPr>
          <w:rFonts w:ascii="Calibri" w:hAnsi="Calibri" w:cs="Calibri"/>
          <w:sz w:val="24"/>
          <w:szCs w:val="24"/>
          <w:lang w:val="en-AU"/>
        </w:rPr>
        <w:t xml:space="preserve"> an overview of the countries </w:t>
      </w:r>
      <w:r w:rsidR="006F20F9">
        <w:rPr>
          <w:rFonts w:ascii="Calibri" w:hAnsi="Calibri" w:cs="Calibri"/>
          <w:sz w:val="24"/>
          <w:szCs w:val="24"/>
          <w:lang w:val="en-AU"/>
        </w:rPr>
        <w:t>for which grey literature provided the population salt intake data.</w:t>
      </w:r>
    </w:p>
    <w:tbl>
      <w:tblPr>
        <w:tblStyle w:val="GridTable1Light"/>
        <w:tblW w:w="14583" w:type="dxa"/>
        <w:tblLook w:val="04A0" w:firstRow="1" w:lastRow="0" w:firstColumn="1" w:lastColumn="0" w:noHBand="0" w:noVBand="1"/>
      </w:tblPr>
      <w:tblGrid>
        <w:gridCol w:w="1980"/>
        <w:gridCol w:w="2551"/>
        <w:gridCol w:w="10052"/>
      </w:tblGrid>
      <w:tr w:rsidR="00CB7D38" w:rsidRPr="00586532" w14:paraId="2D10BA71" w14:textId="77777777" w:rsidTr="00BC419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E7E6E6" w:themeFill="background2"/>
            <w:noWrap/>
            <w:hideMark/>
          </w:tcPr>
          <w:p w14:paraId="19E31EBA" w14:textId="63C2282C" w:rsidR="00CB7D38" w:rsidRPr="00586532" w:rsidRDefault="00CB7D38" w:rsidP="00EC611C">
            <w:pPr>
              <w:spacing w:line="276" w:lineRule="auto"/>
              <w:rPr>
                <w:rFonts w:ascii="Calibri" w:hAnsi="Calibri" w:cs="Calibri"/>
              </w:rPr>
            </w:pPr>
            <w:r>
              <w:rPr>
                <w:rFonts w:ascii="Calibri" w:hAnsi="Calibri" w:cs="Calibri"/>
              </w:rPr>
              <w:t>Country</w:t>
            </w:r>
          </w:p>
        </w:tc>
        <w:tc>
          <w:tcPr>
            <w:tcW w:w="2551" w:type="dxa"/>
            <w:shd w:val="clear" w:color="auto" w:fill="E7E6E6" w:themeFill="background2"/>
            <w:noWrap/>
            <w:hideMark/>
          </w:tcPr>
          <w:p w14:paraId="391E73BA" w14:textId="7F6ACC24" w:rsidR="00CB7D38" w:rsidRPr="00586532" w:rsidRDefault="00CB7D38" w:rsidP="00EC611C">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Retrieval method</w:t>
            </w:r>
          </w:p>
        </w:tc>
        <w:tc>
          <w:tcPr>
            <w:tcW w:w="10052" w:type="dxa"/>
            <w:shd w:val="clear" w:color="auto" w:fill="E7E6E6" w:themeFill="background2"/>
            <w:noWrap/>
            <w:hideMark/>
          </w:tcPr>
          <w:p w14:paraId="604A7C36" w14:textId="07893A1E" w:rsidR="00CB7D38" w:rsidRPr="00586532" w:rsidRDefault="00CB7D38" w:rsidP="00EC611C">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Reference</w:t>
            </w:r>
          </w:p>
        </w:tc>
      </w:tr>
      <w:tr w:rsidR="00A4272A" w:rsidRPr="00586532" w14:paraId="13720C68"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6F68D5E2" w14:textId="20861C80" w:rsidR="00A4272A" w:rsidRPr="006F20F9" w:rsidRDefault="00A4272A" w:rsidP="00EC611C">
            <w:pPr>
              <w:spacing w:line="276" w:lineRule="auto"/>
              <w:rPr>
                <w:rFonts w:ascii="Calibri" w:hAnsi="Calibri" w:cs="Calibri"/>
              </w:rPr>
            </w:pPr>
            <w:r w:rsidRPr="00A4272A">
              <w:rPr>
                <w:rFonts w:ascii="Calibri" w:hAnsi="Calibri" w:cs="Calibri"/>
                <w:b w:val="0"/>
                <w:bCs w:val="0"/>
              </w:rPr>
              <w:t>Albania</w:t>
            </w:r>
          </w:p>
        </w:tc>
        <w:tc>
          <w:tcPr>
            <w:tcW w:w="2551" w:type="dxa"/>
            <w:tcBorders>
              <w:top w:val="single" w:sz="12" w:space="0" w:color="666666" w:themeColor="text1" w:themeTint="99"/>
              <w:bottom w:val="single" w:sz="12" w:space="0" w:color="666666" w:themeColor="text1" w:themeTint="99"/>
            </w:tcBorders>
            <w:shd w:val="clear" w:color="auto" w:fill="auto"/>
            <w:noWrap/>
          </w:tcPr>
          <w:p w14:paraId="23E23A23" w14:textId="0A698715" w:rsidR="00A4272A" w:rsidRDefault="00A4272A"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WHO NCD Office</w:t>
            </w:r>
          </w:p>
        </w:tc>
        <w:tc>
          <w:tcPr>
            <w:tcW w:w="10052" w:type="dxa"/>
            <w:tcBorders>
              <w:top w:val="single" w:sz="12" w:space="0" w:color="666666" w:themeColor="text1" w:themeTint="99"/>
              <w:bottom w:val="single" w:sz="12" w:space="0" w:color="666666" w:themeColor="text1" w:themeTint="99"/>
            </w:tcBorders>
            <w:shd w:val="clear" w:color="auto" w:fill="auto"/>
            <w:noWrap/>
          </w:tcPr>
          <w:p w14:paraId="38DD0E15" w14:textId="348FBB7C" w:rsidR="00A4272A" w:rsidRPr="00CB7D38" w:rsidRDefault="00A4272A"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272A">
              <w:rPr>
                <w:rFonts w:ascii="Calibri" w:hAnsi="Calibri" w:cs="Calibri"/>
              </w:rPr>
              <w:t xml:space="preserve">Llanaj E, Ádány R, Lachat C, D’Haese M (2018) Examining food intake and eating out of home patterns among university students. PLoS ONE 13(10): e0197874. </w:t>
            </w:r>
            <w:r>
              <w:rPr>
                <w:rFonts w:ascii="Calibri" w:hAnsi="Calibri" w:cs="Calibri"/>
              </w:rPr>
              <w:t xml:space="preserve">Obtained report via staff at WHO NCD Office. </w:t>
            </w:r>
          </w:p>
        </w:tc>
      </w:tr>
      <w:tr w:rsidR="00CB7D38" w:rsidRPr="00586532" w14:paraId="273BAC3B"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2CED2544" w14:textId="4FF34CF3" w:rsidR="00CB7D38" w:rsidRPr="006F20F9" w:rsidRDefault="00CB7D38" w:rsidP="00EC611C">
            <w:pPr>
              <w:spacing w:line="276" w:lineRule="auto"/>
              <w:rPr>
                <w:rFonts w:ascii="Calibri" w:hAnsi="Calibri" w:cs="Calibri"/>
                <w:b w:val="0"/>
                <w:bCs w:val="0"/>
              </w:rPr>
            </w:pPr>
            <w:r w:rsidRPr="006F20F9">
              <w:rPr>
                <w:rFonts w:ascii="Calibri" w:hAnsi="Calibri" w:cs="Calibri"/>
                <w:b w:val="0"/>
                <w:bCs w:val="0"/>
              </w:rPr>
              <w:t>Andorra</w:t>
            </w:r>
          </w:p>
        </w:tc>
        <w:tc>
          <w:tcPr>
            <w:tcW w:w="2551" w:type="dxa"/>
            <w:tcBorders>
              <w:top w:val="single" w:sz="12" w:space="0" w:color="666666" w:themeColor="text1" w:themeTint="99"/>
              <w:bottom w:val="single" w:sz="12" w:space="0" w:color="666666" w:themeColor="text1" w:themeTint="99"/>
            </w:tcBorders>
            <w:shd w:val="clear" w:color="auto" w:fill="auto"/>
            <w:noWrap/>
          </w:tcPr>
          <w:p w14:paraId="20BB637E" w14:textId="4EBA6BF7"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4FE49EAE" w14:textId="6D89507B"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B7D38">
              <w:rPr>
                <w:rFonts w:ascii="Calibri" w:hAnsi="Calibri" w:cs="Calibri"/>
              </w:rPr>
              <w:t>Ministeri de Salut. Enquesta nutricional d’Andorra 2017-2018. Avaluació de l’estat nutricional de la població d’Andorra 2017-2018 i avaluació de les tendències 2005-2018. Govern d’Andorra; complemented by personal communication with Mr Josep Romagosa Massana, Ministry of Health, Principality of Andorra.</w:t>
            </w:r>
          </w:p>
        </w:tc>
      </w:tr>
      <w:tr w:rsidR="00CB7D38" w:rsidRPr="00586532" w14:paraId="3326A962"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1949B7B" w14:textId="349732B2" w:rsidR="00CB7D38" w:rsidRPr="006F20F9" w:rsidRDefault="00CB7D38" w:rsidP="00EC611C">
            <w:pPr>
              <w:spacing w:line="276" w:lineRule="auto"/>
              <w:rPr>
                <w:rFonts w:ascii="Calibri" w:hAnsi="Calibri" w:cs="Calibri"/>
                <w:b w:val="0"/>
                <w:bCs w:val="0"/>
              </w:rPr>
            </w:pPr>
            <w:r>
              <w:rPr>
                <w:rFonts w:ascii="Calibri" w:hAnsi="Calibri" w:cs="Calibri"/>
                <w:b w:val="0"/>
                <w:bCs w:val="0"/>
              </w:rPr>
              <w:t>Armenia</w:t>
            </w:r>
          </w:p>
        </w:tc>
        <w:tc>
          <w:tcPr>
            <w:tcW w:w="2551" w:type="dxa"/>
            <w:tcBorders>
              <w:top w:val="single" w:sz="12" w:space="0" w:color="666666" w:themeColor="text1" w:themeTint="99"/>
              <w:bottom w:val="single" w:sz="12" w:space="0" w:color="666666" w:themeColor="text1" w:themeTint="99"/>
            </w:tcBorders>
            <w:shd w:val="clear" w:color="auto" w:fill="auto"/>
            <w:noWrap/>
          </w:tcPr>
          <w:p w14:paraId="4D1DAC47" w14:textId="748B7667"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bottom w:val="single" w:sz="12" w:space="0" w:color="666666" w:themeColor="text1" w:themeTint="99"/>
            </w:tcBorders>
            <w:shd w:val="clear" w:color="auto" w:fill="auto"/>
            <w:noWrap/>
          </w:tcPr>
          <w:p w14:paraId="0666FD88" w14:textId="48DE263C" w:rsidR="00CB7D38" w:rsidRDefault="00E8278F"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278F">
              <w:rPr>
                <w:rFonts w:ascii="Calibri" w:hAnsi="Calibri" w:cs="Calibri"/>
              </w:rPr>
              <w:t>Andreasyan D, Bazarchyan A, Saghatelyan A, et al. (2018) Prevalence of Noncommunicable Disease Risk Factors in the Republic of Armenia. STEPS National Survey 2016. Yerevan: National Institute of Health after Academician S. Avdalbekyan, Ministry of Health, Republic of Armenia.</w:t>
            </w:r>
          </w:p>
        </w:tc>
      </w:tr>
      <w:tr w:rsidR="00806190" w:rsidRPr="00586532" w14:paraId="44D45D77"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47E52A69" w14:textId="6B675469" w:rsidR="00806190" w:rsidRDefault="00806190" w:rsidP="00EC611C">
            <w:pPr>
              <w:spacing w:line="276" w:lineRule="auto"/>
              <w:rPr>
                <w:rFonts w:ascii="Calibri" w:hAnsi="Calibri" w:cs="Calibri"/>
                <w:b w:val="0"/>
                <w:bCs w:val="0"/>
              </w:rPr>
            </w:pPr>
            <w:r>
              <w:rPr>
                <w:rFonts w:ascii="Calibri" w:hAnsi="Calibri" w:cs="Calibri"/>
                <w:b w:val="0"/>
                <w:bCs w:val="0"/>
              </w:rPr>
              <w:t>Austria</w:t>
            </w:r>
          </w:p>
        </w:tc>
        <w:tc>
          <w:tcPr>
            <w:tcW w:w="2551" w:type="dxa"/>
            <w:tcBorders>
              <w:top w:val="single" w:sz="12" w:space="0" w:color="666666" w:themeColor="text1" w:themeTint="99"/>
              <w:bottom w:val="single" w:sz="12" w:space="0" w:color="666666" w:themeColor="text1" w:themeTint="99"/>
            </w:tcBorders>
            <w:shd w:val="clear" w:color="auto" w:fill="auto"/>
            <w:noWrap/>
          </w:tcPr>
          <w:p w14:paraId="3D98D151" w14:textId="7B8C3EDD" w:rsidR="00806190" w:rsidRDefault="0080619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 + 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2AA2DBBB" w14:textId="4EE148A6" w:rsidR="00806190" w:rsidRPr="00E8278F" w:rsidRDefault="0080619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6190">
              <w:rPr>
                <w:rFonts w:ascii="Calibri" w:hAnsi="Calibri" w:cs="Calibri"/>
              </w:rPr>
              <w:t>Rippin H, Hutchinson J, Jewell J, et al. (2017) Adult Nutrient Intakes from Current National Dietary Surveys of European Populations. Nutrients 9, 1288.</w:t>
            </w:r>
            <w:r>
              <w:rPr>
                <w:rFonts w:ascii="Calibri" w:hAnsi="Calibri" w:cs="Calibri"/>
              </w:rPr>
              <w:t xml:space="preserve"> The data used in this manuscript was </w:t>
            </w:r>
            <w:r w:rsidR="005B4B58">
              <w:rPr>
                <w:rFonts w:ascii="Calibri" w:hAnsi="Calibri" w:cs="Calibri"/>
              </w:rPr>
              <w:t xml:space="preserve">taken from the reference above, </w:t>
            </w:r>
            <w:r w:rsidR="00AF7839">
              <w:rPr>
                <w:rFonts w:ascii="Calibri" w:hAnsi="Calibri" w:cs="Calibri"/>
              </w:rPr>
              <w:t xml:space="preserve">instead of the original data source (Austrian Nutrition Report 2012) </w:t>
            </w:r>
            <w:r w:rsidR="005B4B58">
              <w:rPr>
                <w:rFonts w:ascii="Calibri" w:hAnsi="Calibri" w:cs="Calibri"/>
              </w:rPr>
              <w:t xml:space="preserve">and </w:t>
            </w:r>
            <w:r>
              <w:rPr>
                <w:rFonts w:ascii="Calibri" w:hAnsi="Calibri" w:cs="Calibri"/>
              </w:rPr>
              <w:t>confirmed with Dr Holly Rippin, WHO Europe.</w:t>
            </w:r>
          </w:p>
        </w:tc>
      </w:tr>
      <w:tr w:rsidR="00CB7D38" w:rsidRPr="00586532" w14:paraId="41A1C8BF"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855779E" w14:textId="459667C0" w:rsidR="00CB7D38" w:rsidRDefault="00CB7D38" w:rsidP="00EC611C">
            <w:pPr>
              <w:spacing w:line="276" w:lineRule="auto"/>
              <w:rPr>
                <w:rFonts w:ascii="Calibri" w:hAnsi="Calibri" w:cs="Calibri"/>
                <w:b w:val="0"/>
                <w:bCs w:val="0"/>
              </w:rPr>
            </w:pPr>
            <w:r>
              <w:rPr>
                <w:rFonts w:ascii="Calibri" w:hAnsi="Calibri" w:cs="Calibri"/>
                <w:b w:val="0"/>
                <w:bCs w:val="0"/>
              </w:rPr>
              <w:t>Azerbaijan</w:t>
            </w:r>
          </w:p>
        </w:tc>
        <w:tc>
          <w:tcPr>
            <w:tcW w:w="2551" w:type="dxa"/>
            <w:tcBorders>
              <w:top w:val="single" w:sz="12" w:space="0" w:color="666666" w:themeColor="text1" w:themeTint="99"/>
              <w:bottom w:val="single" w:sz="12" w:space="0" w:color="666666" w:themeColor="text1" w:themeTint="99"/>
            </w:tcBorders>
            <w:shd w:val="clear" w:color="auto" w:fill="auto"/>
            <w:noWrap/>
          </w:tcPr>
          <w:p w14:paraId="61DACBD4" w14:textId="6B51E9A1"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bottom w:val="single" w:sz="12" w:space="0" w:color="666666" w:themeColor="text1" w:themeTint="99"/>
            </w:tcBorders>
            <w:shd w:val="clear" w:color="auto" w:fill="auto"/>
            <w:noWrap/>
          </w:tcPr>
          <w:p w14:paraId="21CA5F48" w14:textId="1E6A25DD" w:rsidR="00CB7D38" w:rsidRDefault="00E8278F"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278F">
              <w:rPr>
                <w:rFonts w:ascii="Calibri" w:hAnsi="Calibri" w:cs="Calibri"/>
              </w:rPr>
              <w:t>STEPS: prevalence of noncommunicable disease risk factors in Azerbaijan Republic 2017. Copenhagen: WHO Regional Office for Europe.</w:t>
            </w:r>
          </w:p>
        </w:tc>
      </w:tr>
      <w:tr w:rsidR="00CB7D38" w:rsidRPr="00586532" w14:paraId="4A4C7FC9"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B3D2CC5" w14:textId="295B5726" w:rsidR="00CB7D38" w:rsidRDefault="00CB7D38" w:rsidP="00EC611C">
            <w:pPr>
              <w:spacing w:line="276" w:lineRule="auto"/>
              <w:rPr>
                <w:rFonts w:ascii="Calibri" w:hAnsi="Calibri" w:cs="Calibri"/>
                <w:b w:val="0"/>
                <w:bCs w:val="0"/>
              </w:rPr>
            </w:pPr>
            <w:r>
              <w:rPr>
                <w:rFonts w:ascii="Calibri" w:hAnsi="Calibri" w:cs="Calibri"/>
                <w:b w:val="0"/>
                <w:bCs w:val="0"/>
              </w:rPr>
              <w:t>Belarus</w:t>
            </w:r>
          </w:p>
        </w:tc>
        <w:tc>
          <w:tcPr>
            <w:tcW w:w="2551" w:type="dxa"/>
            <w:tcBorders>
              <w:top w:val="single" w:sz="12" w:space="0" w:color="666666" w:themeColor="text1" w:themeTint="99"/>
              <w:bottom w:val="single" w:sz="12" w:space="0" w:color="666666" w:themeColor="text1" w:themeTint="99"/>
            </w:tcBorders>
            <w:shd w:val="clear" w:color="auto" w:fill="auto"/>
            <w:noWrap/>
          </w:tcPr>
          <w:p w14:paraId="54EB5F87" w14:textId="4CC7E50C"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bottom w:val="single" w:sz="12" w:space="0" w:color="666666" w:themeColor="text1" w:themeTint="99"/>
            </w:tcBorders>
            <w:shd w:val="clear" w:color="auto" w:fill="auto"/>
            <w:noWrap/>
          </w:tcPr>
          <w:p w14:paraId="64BC8F57" w14:textId="4F266B1F" w:rsidR="00CB7D38" w:rsidRDefault="00E8278F"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278F">
              <w:rPr>
                <w:rFonts w:ascii="Calibri" w:hAnsi="Calibri" w:cs="Calibri"/>
              </w:rPr>
              <w:t>Prevalence of Noncommunicable Disease Risk Factors in Belarus. STEPS 2016. Minsk: WHO Regional Office for Europe.</w:t>
            </w:r>
          </w:p>
        </w:tc>
      </w:tr>
      <w:tr w:rsidR="00CB7D38" w:rsidRPr="00586532" w14:paraId="387932ED"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3B2551B" w14:textId="6B1A2344" w:rsidR="00CB7D38" w:rsidRDefault="00CB7D38" w:rsidP="00EC611C">
            <w:pPr>
              <w:spacing w:line="276" w:lineRule="auto"/>
              <w:rPr>
                <w:rFonts w:ascii="Calibri" w:hAnsi="Calibri" w:cs="Calibri"/>
                <w:b w:val="0"/>
                <w:bCs w:val="0"/>
              </w:rPr>
            </w:pPr>
            <w:r>
              <w:rPr>
                <w:rFonts w:ascii="Calibri" w:hAnsi="Calibri" w:cs="Calibri"/>
                <w:b w:val="0"/>
                <w:bCs w:val="0"/>
              </w:rPr>
              <w:t>Bulgaria</w:t>
            </w:r>
          </w:p>
        </w:tc>
        <w:tc>
          <w:tcPr>
            <w:tcW w:w="2551" w:type="dxa"/>
            <w:tcBorders>
              <w:top w:val="single" w:sz="12" w:space="0" w:color="666666" w:themeColor="text1" w:themeTint="99"/>
              <w:bottom w:val="single" w:sz="12" w:space="0" w:color="666666" w:themeColor="text1" w:themeTint="99"/>
            </w:tcBorders>
            <w:shd w:val="clear" w:color="auto" w:fill="auto"/>
            <w:noWrap/>
          </w:tcPr>
          <w:p w14:paraId="7B77C8E4" w14:textId="10EE128C"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 + 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3D62DC19" w14:textId="30B96469"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B7D38">
              <w:rPr>
                <w:rFonts w:ascii="Calibri" w:hAnsi="Calibri" w:cs="Calibri"/>
              </w:rPr>
              <w:t xml:space="preserve">Duleva V, Stavreva S, Georgieva R, Dimitrov P, Rangelova L. Study on Salt Intake in Bulgarian Population at the Age of 15-65+ Years Estimated by Sodium Urinary Exretion. Nutrition Science in Prevention and Therapy of </w:t>
            </w:r>
            <w:r w:rsidRPr="00CB7D38">
              <w:rPr>
                <w:rFonts w:ascii="Calibri" w:hAnsi="Calibri" w:cs="Calibri"/>
              </w:rPr>
              <w:lastRenderedPageBreak/>
              <w:t>Contemporary Diseases. 2019;13-17.</w:t>
            </w:r>
            <w:r w:rsidR="00E8278F">
              <w:rPr>
                <w:rFonts w:ascii="Calibri" w:hAnsi="Calibri" w:cs="Calibri"/>
              </w:rPr>
              <w:t xml:space="preserve"> </w:t>
            </w:r>
            <w:r w:rsidR="00F17170">
              <w:rPr>
                <w:rFonts w:ascii="Calibri" w:hAnsi="Calibri" w:cs="Calibri"/>
              </w:rPr>
              <w:t>Obtained</w:t>
            </w:r>
            <w:r w:rsidR="00E8278F">
              <w:rPr>
                <w:rFonts w:ascii="Calibri" w:hAnsi="Calibri" w:cs="Calibri"/>
              </w:rPr>
              <w:t xml:space="preserve"> </w:t>
            </w:r>
            <w:r w:rsidR="00F17170">
              <w:rPr>
                <w:rFonts w:ascii="Calibri" w:hAnsi="Calibri" w:cs="Calibri"/>
              </w:rPr>
              <w:t>via</w:t>
            </w:r>
            <w:r w:rsidR="00E8278F">
              <w:rPr>
                <w:rFonts w:ascii="Calibri" w:hAnsi="Calibri" w:cs="Calibri"/>
              </w:rPr>
              <w:t xml:space="preserve"> personal communication with Prof</w:t>
            </w:r>
            <w:r w:rsidR="00403D9D">
              <w:rPr>
                <w:rFonts w:ascii="Calibri" w:hAnsi="Calibri" w:cs="Calibri"/>
              </w:rPr>
              <w:t xml:space="preserve"> Dr</w:t>
            </w:r>
            <w:r w:rsidR="00E8278F">
              <w:rPr>
                <w:rFonts w:ascii="Calibri" w:hAnsi="Calibri" w:cs="Calibri"/>
              </w:rPr>
              <w:t xml:space="preserve"> Vesselka Duleva, National Center of Public Health and Analyses, Ministry of Health, Bulgaria.</w:t>
            </w:r>
          </w:p>
        </w:tc>
      </w:tr>
      <w:tr w:rsidR="00CB7D38" w:rsidRPr="00586532" w14:paraId="055B5F3C"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1D1AE63" w14:textId="2D24364D" w:rsidR="00CB7D38" w:rsidRDefault="00CB7D38" w:rsidP="00EC611C">
            <w:pPr>
              <w:spacing w:line="276" w:lineRule="auto"/>
              <w:rPr>
                <w:rFonts w:ascii="Calibri" w:hAnsi="Calibri" w:cs="Calibri"/>
                <w:b w:val="0"/>
                <w:bCs w:val="0"/>
              </w:rPr>
            </w:pPr>
            <w:r>
              <w:rPr>
                <w:rFonts w:ascii="Calibri" w:hAnsi="Calibri" w:cs="Calibri"/>
                <w:b w:val="0"/>
                <w:bCs w:val="0"/>
              </w:rPr>
              <w:lastRenderedPageBreak/>
              <w:t>Cyprus</w:t>
            </w:r>
          </w:p>
        </w:tc>
        <w:tc>
          <w:tcPr>
            <w:tcW w:w="2551" w:type="dxa"/>
            <w:tcBorders>
              <w:top w:val="single" w:sz="12" w:space="0" w:color="666666" w:themeColor="text1" w:themeTint="99"/>
              <w:bottom w:val="single" w:sz="12" w:space="0" w:color="666666" w:themeColor="text1" w:themeTint="99"/>
            </w:tcBorders>
            <w:shd w:val="clear" w:color="auto" w:fill="auto"/>
            <w:noWrap/>
          </w:tcPr>
          <w:p w14:paraId="741BE3F7" w14:textId="4B734540"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6D0574B6" w14:textId="6C8883F6" w:rsidR="00CB7D38" w:rsidRP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Unpublished s</w:t>
            </w:r>
            <w:r w:rsidRPr="00CB7D38">
              <w:rPr>
                <w:rFonts w:ascii="Calibri" w:hAnsi="Calibri" w:cs="Calibri"/>
              </w:rPr>
              <w:t>tudy conducted in 2009 by the Cyprus Nutrition Association.</w:t>
            </w:r>
            <w:r>
              <w:rPr>
                <w:rFonts w:ascii="Calibri" w:hAnsi="Calibri" w:cs="Calibri"/>
              </w:rPr>
              <w:t xml:space="preserve"> Personal communication with Ms Eliza Markidou, Ministry of Health, Republic of Cyprus.</w:t>
            </w:r>
          </w:p>
        </w:tc>
      </w:tr>
      <w:tr w:rsidR="00CB7D38" w:rsidRPr="00586532" w14:paraId="078599D3"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374589E" w14:textId="11F47B4D" w:rsidR="00CB7D38" w:rsidRDefault="00CB7D38" w:rsidP="00EC611C">
            <w:pPr>
              <w:spacing w:line="276" w:lineRule="auto"/>
              <w:rPr>
                <w:rFonts w:ascii="Calibri" w:hAnsi="Calibri" w:cs="Calibri"/>
                <w:b w:val="0"/>
                <w:bCs w:val="0"/>
              </w:rPr>
            </w:pPr>
            <w:r>
              <w:rPr>
                <w:rFonts w:ascii="Calibri" w:hAnsi="Calibri" w:cs="Calibri"/>
                <w:b w:val="0"/>
                <w:bCs w:val="0"/>
              </w:rPr>
              <w:t>Denmark</w:t>
            </w:r>
          </w:p>
        </w:tc>
        <w:tc>
          <w:tcPr>
            <w:tcW w:w="2551" w:type="dxa"/>
            <w:tcBorders>
              <w:top w:val="single" w:sz="12" w:space="0" w:color="666666" w:themeColor="text1" w:themeTint="99"/>
              <w:bottom w:val="single" w:sz="12" w:space="0" w:color="666666" w:themeColor="text1" w:themeTint="99"/>
            </w:tcBorders>
            <w:shd w:val="clear" w:color="auto" w:fill="auto"/>
            <w:noWrap/>
          </w:tcPr>
          <w:p w14:paraId="31788ADA" w14:textId="764569B3"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7873A4C9" w14:textId="661083A8" w:rsidR="00CB7D38" w:rsidRDefault="00E8278F"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278F">
              <w:rPr>
                <w:rFonts w:ascii="Calibri" w:hAnsi="Calibri" w:cs="Calibri"/>
                <w:lang w:val="da-DK"/>
              </w:rPr>
              <w:t xml:space="preserve">Danskernes kostvaner 2011-2013: hovedresultater (Dietary habits in Denmark 2011-2013: main results). </w:t>
            </w:r>
            <w:r w:rsidRPr="00E8278F">
              <w:rPr>
                <w:rFonts w:ascii="Calibri" w:hAnsi="Calibri" w:cs="Calibri"/>
              </w:rPr>
              <w:t>Søborg: Danmarks Tekniske Universitet Fødevareinstituttet Afdeling for Ernæring.</w:t>
            </w:r>
          </w:p>
        </w:tc>
      </w:tr>
      <w:tr w:rsidR="00CB7D38" w:rsidRPr="00586532" w14:paraId="2DE3DF52"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6EEC0B05" w14:textId="1D91E224" w:rsidR="00CB7D38" w:rsidRDefault="00CB7D38" w:rsidP="00EC611C">
            <w:pPr>
              <w:spacing w:line="276" w:lineRule="auto"/>
              <w:rPr>
                <w:rFonts w:ascii="Calibri" w:hAnsi="Calibri" w:cs="Calibri"/>
                <w:b w:val="0"/>
                <w:bCs w:val="0"/>
              </w:rPr>
            </w:pPr>
            <w:r>
              <w:rPr>
                <w:rFonts w:ascii="Calibri" w:hAnsi="Calibri" w:cs="Calibri"/>
                <w:b w:val="0"/>
                <w:bCs w:val="0"/>
              </w:rPr>
              <w:t>Estonia</w:t>
            </w:r>
          </w:p>
        </w:tc>
        <w:tc>
          <w:tcPr>
            <w:tcW w:w="2551" w:type="dxa"/>
            <w:tcBorders>
              <w:top w:val="single" w:sz="12" w:space="0" w:color="666666" w:themeColor="text1" w:themeTint="99"/>
              <w:bottom w:val="single" w:sz="12" w:space="0" w:color="666666" w:themeColor="text1" w:themeTint="99"/>
            </w:tcBorders>
            <w:shd w:val="clear" w:color="auto" w:fill="auto"/>
            <w:noWrap/>
          </w:tcPr>
          <w:p w14:paraId="706FB101" w14:textId="7FA1DED8"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07E66CAD" w14:textId="5C06B62E" w:rsidR="00CB7D38" w:rsidRDefault="00B72D34"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2D34">
              <w:rPr>
                <w:rFonts w:ascii="Calibri" w:hAnsi="Calibri" w:cs="Calibri"/>
              </w:rPr>
              <w:t>Estonian National Dietary Survey 2014; https://statistika.tai.ee/pxweb/en/Andmebaas/Andmebaas__05Uuringud__09RTU__e_Toitained/RTU051.px/</w:t>
            </w:r>
          </w:p>
        </w:tc>
      </w:tr>
      <w:tr w:rsidR="00CB7D38" w:rsidRPr="00586532" w14:paraId="02AC4A5E"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3AEAF04F" w14:textId="6F896133" w:rsidR="00CB7D38" w:rsidRDefault="00CB7D38" w:rsidP="00EC611C">
            <w:pPr>
              <w:spacing w:line="276" w:lineRule="auto"/>
              <w:rPr>
                <w:rFonts w:ascii="Calibri" w:hAnsi="Calibri" w:cs="Calibri"/>
                <w:b w:val="0"/>
                <w:bCs w:val="0"/>
              </w:rPr>
            </w:pPr>
            <w:r>
              <w:rPr>
                <w:rFonts w:ascii="Calibri" w:hAnsi="Calibri" w:cs="Calibri"/>
                <w:b w:val="0"/>
                <w:bCs w:val="0"/>
              </w:rPr>
              <w:t>Finland</w:t>
            </w:r>
          </w:p>
        </w:tc>
        <w:tc>
          <w:tcPr>
            <w:tcW w:w="2551" w:type="dxa"/>
            <w:tcBorders>
              <w:top w:val="single" w:sz="12" w:space="0" w:color="666666" w:themeColor="text1" w:themeTint="99"/>
              <w:bottom w:val="single" w:sz="12" w:space="0" w:color="666666" w:themeColor="text1" w:themeTint="99"/>
            </w:tcBorders>
            <w:shd w:val="clear" w:color="auto" w:fill="auto"/>
            <w:noWrap/>
          </w:tcPr>
          <w:p w14:paraId="6211DD04" w14:textId="0462E1A9"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6258C5E2" w14:textId="6DCDD082" w:rsidR="00CB7D38" w:rsidRDefault="00AB3D9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B3D9D">
              <w:rPr>
                <w:rFonts w:ascii="Calibri" w:hAnsi="Calibri" w:cs="Calibri"/>
              </w:rPr>
              <w:t>Liisa Valsta, Niina Kaartinen, Heli Tapanainen, Satu Männistö, Katri Sääksjärvi, (eds.). Ravitsemus Suomessa – FinRavinto 2017 -tutkimus [Nutrition in Finland – The National FinDiet 2017 Survey]. Institute for Health and Welfare (THL</w:t>
            </w:r>
            <w:r>
              <w:rPr>
                <w:rFonts w:ascii="Calibri" w:hAnsi="Calibri" w:cs="Calibri"/>
              </w:rPr>
              <w:t>)</w:t>
            </w:r>
            <w:r w:rsidRPr="00AB3D9D">
              <w:rPr>
                <w:rFonts w:ascii="Calibri" w:hAnsi="Calibri" w:cs="Calibri"/>
              </w:rPr>
              <w:t>; https://thl.fi/fi/tutkimus-ja-kehittaminen/tutkimukset-ja-hankkeet/finravinto-tutkimus</w:t>
            </w:r>
          </w:p>
        </w:tc>
      </w:tr>
      <w:tr w:rsidR="00DE46B5" w:rsidRPr="00F83B38" w14:paraId="05755CEF"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21CC53DE" w14:textId="7FB72E62" w:rsidR="00DE46B5" w:rsidRDefault="00DE46B5" w:rsidP="00EC611C">
            <w:pPr>
              <w:spacing w:line="276" w:lineRule="auto"/>
              <w:rPr>
                <w:rFonts w:ascii="Calibri" w:hAnsi="Calibri" w:cs="Calibri"/>
                <w:b w:val="0"/>
                <w:bCs w:val="0"/>
              </w:rPr>
            </w:pPr>
            <w:r>
              <w:rPr>
                <w:rFonts w:ascii="Calibri" w:hAnsi="Calibri" w:cs="Calibri"/>
                <w:b w:val="0"/>
                <w:bCs w:val="0"/>
              </w:rPr>
              <w:t>France</w:t>
            </w:r>
          </w:p>
        </w:tc>
        <w:tc>
          <w:tcPr>
            <w:tcW w:w="2551" w:type="dxa"/>
            <w:tcBorders>
              <w:top w:val="single" w:sz="12" w:space="0" w:color="666666" w:themeColor="text1" w:themeTint="99"/>
              <w:bottom w:val="single" w:sz="12" w:space="0" w:color="666666" w:themeColor="text1" w:themeTint="99"/>
            </w:tcBorders>
            <w:shd w:val="clear" w:color="auto" w:fill="auto"/>
            <w:noWrap/>
          </w:tcPr>
          <w:p w14:paraId="36BA33BB" w14:textId="46DD6113" w:rsidR="00DE46B5"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205F5CBC" w14:textId="35241AA0" w:rsidR="00DE46B5" w:rsidRPr="00F83B38" w:rsidRDefault="00F83B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da-DK"/>
              </w:rPr>
            </w:pPr>
            <w:r w:rsidRPr="00F83B38">
              <w:rPr>
                <w:rFonts w:ascii="Calibri" w:hAnsi="Calibri" w:cs="Calibri"/>
              </w:rPr>
              <w:t xml:space="preserve">Étude individuelle nationale des consommations alimentaires 3 (INCA 3). </w:t>
            </w:r>
            <w:r w:rsidRPr="00A4272A">
              <w:rPr>
                <w:rFonts w:ascii="Calibri" w:hAnsi="Calibri" w:cs="Calibri"/>
              </w:rPr>
              <w:t xml:space="preserve">Maisons-Alfort: Agence nationale de sécurité sanitaire de l’alimentation, de l’environnement et du travail. </w:t>
            </w:r>
            <w:r>
              <w:rPr>
                <w:rFonts w:ascii="Calibri" w:hAnsi="Calibri" w:cs="Calibri"/>
                <w:lang w:val="da-DK"/>
              </w:rPr>
              <w:t>Obtained via Dr Amélie Schmitt, World Health Organization.</w:t>
            </w:r>
          </w:p>
        </w:tc>
      </w:tr>
      <w:tr w:rsidR="00CB7D38" w:rsidRPr="00586532" w14:paraId="59B94466"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05746E9" w14:textId="00ACAE97" w:rsidR="00CB7D38" w:rsidRDefault="00CB7D38" w:rsidP="00EC611C">
            <w:pPr>
              <w:spacing w:line="276" w:lineRule="auto"/>
              <w:rPr>
                <w:rFonts w:ascii="Calibri" w:hAnsi="Calibri" w:cs="Calibri"/>
                <w:b w:val="0"/>
                <w:bCs w:val="0"/>
              </w:rPr>
            </w:pPr>
            <w:r>
              <w:rPr>
                <w:rFonts w:ascii="Calibri" w:hAnsi="Calibri" w:cs="Calibri"/>
                <w:b w:val="0"/>
                <w:bCs w:val="0"/>
              </w:rPr>
              <w:t>Georgia</w:t>
            </w:r>
          </w:p>
        </w:tc>
        <w:tc>
          <w:tcPr>
            <w:tcW w:w="2551" w:type="dxa"/>
            <w:tcBorders>
              <w:top w:val="single" w:sz="12" w:space="0" w:color="666666" w:themeColor="text1" w:themeTint="99"/>
              <w:bottom w:val="single" w:sz="12" w:space="0" w:color="666666" w:themeColor="text1" w:themeTint="99"/>
            </w:tcBorders>
            <w:shd w:val="clear" w:color="auto" w:fill="auto"/>
            <w:noWrap/>
          </w:tcPr>
          <w:p w14:paraId="3F482B84" w14:textId="4FB2E4D5" w:rsidR="00CB7D38" w:rsidRDefault="00CB7D3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bottom w:val="single" w:sz="12" w:space="0" w:color="666666" w:themeColor="text1" w:themeTint="99"/>
            </w:tcBorders>
            <w:shd w:val="clear" w:color="auto" w:fill="auto"/>
            <w:noWrap/>
          </w:tcPr>
          <w:p w14:paraId="4EBA3CBF" w14:textId="10941AED" w:rsidR="00CB7D38" w:rsidRDefault="00A55CB6"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5CB6">
              <w:rPr>
                <w:rFonts w:ascii="Calibri" w:hAnsi="Calibri" w:cs="Calibri"/>
                <w:lang w:val="da-DK"/>
              </w:rPr>
              <w:t xml:space="preserve">Gamkrelidze A, Mebonia N, Sturua L, et al. </w:t>
            </w:r>
            <w:r w:rsidRPr="00A55CB6">
              <w:rPr>
                <w:rFonts w:ascii="Calibri" w:hAnsi="Calibri" w:cs="Calibri"/>
              </w:rPr>
              <w:t>(2018) Noncommunicable Diseases Risk-Factor STEPS Survey, Georgia, 2016. Tbilisi: National Center of Disease Control and Public Health of Georgia.</w:t>
            </w:r>
          </w:p>
        </w:tc>
      </w:tr>
      <w:tr w:rsidR="00AB3D9D" w:rsidRPr="00586532" w14:paraId="7777FF9E"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2403229A" w14:textId="12089D6F" w:rsidR="00AB3D9D" w:rsidRDefault="00AB3D9D" w:rsidP="00EC611C">
            <w:pPr>
              <w:spacing w:line="276" w:lineRule="auto"/>
              <w:rPr>
                <w:rFonts w:ascii="Calibri" w:hAnsi="Calibri" w:cs="Calibri"/>
                <w:b w:val="0"/>
                <w:bCs w:val="0"/>
              </w:rPr>
            </w:pPr>
            <w:r>
              <w:rPr>
                <w:rFonts w:ascii="Calibri" w:hAnsi="Calibri" w:cs="Calibri"/>
                <w:b w:val="0"/>
                <w:bCs w:val="0"/>
              </w:rPr>
              <w:t>Hungary</w:t>
            </w:r>
          </w:p>
        </w:tc>
        <w:tc>
          <w:tcPr>
            <w:tcW w:w="2551" w:type="dxa"/>
            <w:tcBorders>
              <w:top w:val="single" w:sz="12" w:space="0" w:color="666666" w:themeColor="text1" w:themeTint="99"/>
              <w:bottom w:val="single" w:sz="12" w:space="0" w:color="666666" w:themeColor="text1" w:themeTint="99"/>
            </w:tcBorders>
            <w:shd w:val="clear" w:color="auto" w:fill="auto"/>
            <w:noWrap/>
          </w:tcPr>
          <w:p w14:paraId="275336B4" w14:textId="39E945A0" w:rsidR="00AB3D9D" w:rsidRDefault="00AB3D9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 + 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3E66592E" w14:textId="4AA5AC5F" w:rsidR="00AB3D9D" w:rsidRDefault="00F1717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Unpublished data. Obtained via p</w:t>
            </w:r>
            <w:r w:rsidR="00494B86" w:rsidRPr="00494B86">
              <w:rPr>
                <w:rFonts w:ascii="Calibri" w:hAnsi="Calibri" w:cs="Calibri"/>
              </w:rPr>
              <w:t>ersonal communication with Dr Eszter Sarkadi Nagy, National Institute of Pharmacy and Nutrition, the successor of the National Institute for Food and Nutrition Science.</w:t>
            </w:r>
          </w:p>
        </w:tc>
      </w:tr>
      <w:tr w:rsidR="00A44051" w:rsidRPr="00586532" w14:paraId="0F27D91E"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6E153CC9" w14:textId="22083A67" w:rsidR="00A44051" w:rsidRDefault="00A44051" w:rsidP="00EC611C">
            <w:pPr>
              <w:spacing w:line="276" w:lineRule="auto"/>
              <w:rPr>
                <w:rFonts w:ascii="Calibri" w:hAnsi="Calibri" w:cs="Calibri"/>
                <w:b w:val="0"/>
                <w:bCs w:val="0"/>
              </w:rPr>
            </w:pPr>
            <w:r>
              <w:rPr>
                <w:rFonts w:ascii="Calibri" w:hAnsi="Calibri" w:cs="Calibri"/>
                <w:b w:val="0"/>
                <w:bCs w:val="0"/>
              </w:rPr>
              <w:t>Iceland</w:t>
            </w:r>
          </w:p>
        </w:tc>
        <w:tc>
          <w:tcPr>
            <w:tcW w:w="2551" w:type="dxa"/>
            <w:tcBorders>
              <w:top w:val="single" w:sz="12" w:space="0" w:color="666666" w:themeColor="text1" w:themeTint="99"/>
              <w:bottom w:val="single" w:sz="12" w:space="0" w:color="666666" w:themeColor="text1" w:themeTint="99"/>
            </w:tcBorders>
            <w:shd w:val="clear" w:color="auto" w:fill="auto"/>
            <w:noWrap/>
          </w:tcPr>
          <w:p w14:paraId="3FC9DB0A" w14:textId="613EA05A" w:rsidR="00A44051"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3DE4D763" w14:textId="5DFC24BB" w:rsidR="00A44051" w:rsidRPr="00494B86" w:rsidRDefault="00E8278F"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278F">
              <w:rPr>
                <w:rFonts w:ascii="Calibri" w:hAnsi="Calibri" w:cs="Calibri"/>
                <w:lang w:val="da-DK"/>
              </w:rPr>
              <w:t xml:space="preserve">Þorgeirsdóttir H, Valgeirsdóttir H, Gunnarsdóttir I, et al. </w:t>
            </w:r>
            <w:r w:rsidRPr="00E8278F">
              <w:rPr>
                <w:rFonts w:ascii="Calibri" w:hAnsi="Calibri" w:cs="Calibri"/>
              </w:rPr>
              <w:t>(2011) Hvað borða Íslendingar? Könnun á mataræði Íslendinga 2010-2011 (What do Icelanders eat? A survey of the Icelandic diet). Reykjavík: Embætti landlæknis, Matvælastofnun &amp; Rannsóknastofa í næringarfræði við Háskóla Íslands og Landspítala-háskólasjúkrahús.</w:t>
            </w:r>
            <w:r w:rsidR="00F17170">
              <w:rPr>
                <w:rFonts w:ascii="Calibri" w:hAnsi="Calibri" w:cs="Calibri"/>
              </w:rPr>
              <w:t xml:space="preserve"> </w:t>
            </w:r>
            <w:r w:rsidR="00DA5733">
              <w:rPr>
                <w:rFonts w:ascii="Calibri" w:hAnsi="Calibri" w:cs="Calibri"/>
              </w:rPr>
              <w:t xml:space="preserve">Confirmed with Ms </w:t>
            </w:r>
            <w:r w:rsidR="00DA5733" w:rsidRPr="00DA5733">
              <w:rPr>
                <w:rFonts w:ascii="Calibri" w:hAnsi="Calibri" w:cs="Calibri"/>
              </w:rPr>
              <w:t>Hólmfríður Þorgeirsdóttir</w:t>
            </w:r>
            <w:r w:rsidR="00DA5733">
              <w:rPr>
                <w:rFonts w:ascii="Calibri" w:hAnsi="Calibri" w:cs="Calibri"/>
              </w:rPr>
              <w:t xml:space="preserve">, Directorate of Health, Iceland. </w:t>
            </w:r>
          </w:p>
        </w:tc>
      </w:tr>
      <w:tr w:rsidR="00A44051" w:rsidRPr="00586532" w14:paraId="78A479A2"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43B50AA8" w14:textId="241520E5" w:rsidR="00A44051" w:rsidRDefault="00A44051" w:rsidP="00EC611C">
            <w:pPr>
              <w:spacing w:line="276" w:lineRule="auto"/>
              <w:rPr>
                <w:rFonts w:ascii="Calibri" w:hAnsi="Calibri" w:cs="Calibri"/>
                <w:b w:val="0"/>
                <w:bCs w:val="0"/>
              </w:rPr>
            </w:pPr>
            <w:r>
              <w:rPr>
                <w:rFonts w:ascii="Calibri" w:hAnsi="Calibri" w:cs="Calibri"/>
                <w:b w:val="0"/>
                <w:bCs w:val="0"/>
              </w:rPr>
              <w:t>Ireland</w:t>
            </w:r>
          </w:p>
        </w:tc>
        <w:tc>
          <w:tcPr>
            <w:tcW w:w="2551" w:type="dxa"/>
            <w:tcBorders>
              <w:top w:val="single" w:sz="12" w:space="0" w:color="666666" w:themeColor="text1" w:themeTint="99"/>
              <w:bottom w:val="single" w:sz="12" w:space="0" w:color="666666" w:themeColor="text1" w:themeTint="99"/>
            </w:tcBorders>
            <w:shd w:val="clear" w:color="auto" w:fill="auto"/>
            <w:noWrap/>
          </w:tcPr>
          <w:p w14:paraId="136696BE" w14:textId="2541A5F7" w:rsidR="00A44051" w:rsidRDefault="00A55CB6"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61B1AF71" w14:textId="024981C0" w:rsidR="00A44051" w:rsidRPr="00494B86" w:rsidRDefault="00E8278F"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278F">
              <w:rPr>
                <w:rFonts w:ascii="Calibri" w:hAnsi="Calibri" w:cs="Calibri"/>
                <w:lang w:val="da-DK"/>
              </w:rPr>
              <w:t xml:space="preserve">Perry IJ, Browne G, Loughrey M, et al. </w:t>
            </w:r>
            <w:r w:rsidRPr="00E8278F">
              <w:rPr>
                <w:rFonts w:ascii="Calibri" w:hAnsi="Calibri" w:cs="Calibri"/>
              </w:rPr>
              <w:t>(2010) Dietary salt intake and related risk factors in the Irish population. A report for safefood. Cork: Safefood.</w:t>
            </w:r>
          </w:p>
        </w:tc>
      </w:tr>
      <w:tr w:rsidR="00A44051" w:rsidRPr="00586532" w14:paraId="5B4C3BE6"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66D4894" w14:textId="43272D92" w:rsidR="00A44051" w:rsidRDefault="00A44051" w:rsidP="00EC611C">
            <w:pPr>
              <w:spacing w:line="276" w:lineRule="auto"/>
              <w:rPr>
                <w:rFonts w:ascii="Calibri" w:hAnsi="Calibri" w:cs="Calibri"/>
                <w:b w:val="0"/>
                <w:bCs w:val="0"/>
              </w:rPr>
            </w:pPr>
            <w:r>
              <w:rPr>
                <w:rFonts w:ascii="Calibri" w:hAnsi="Calibri" w:cs="Calibri"/>
                <w:b w:val="0"/>
                <w:bCs w:val="0"/>
              </w:rPr>
              <w:t>Israel</w:t>
            </w:r>
          </w:p>
        </w:tc>
        <w:tc>
          <w:tcPr>
            <w:tcW w:w="2551" w:type="dxa"/>
            <w:tcBorders>
              <w:top w:val="single" w:sz="12" w:space="0" w:color="666666" w:themeColor="text1" w:themeTint="99"/>
              <w:bottom w:val="single" w:sz="12" w:space="0" w:color="666666" w:themeColor="text1" w:themeTint="99"/>
            </w:tcBorders>
            <w:shd w:val="clear" w:color="auto" w:fill="auto"/>
            <w:noWrap/>
          </w:tcPr>
          <w:p w14:paraId="39864B7B" w14:textId="07652802" w:rsidR="00A44051" w:rsidRDefault="00A55CB6"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700A6EDE" w14:textId="6ED9DCEF" w:rsidR="00A44051" w:rsidRPr="00494B86" w:rsidRDefault="00A55CB6"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5CB6">
              <w:rPr>
                <w:rFonts w:ascii="Calibri" w:hAnsi="Calibri" w:cs="Calibri"/>
              </w:rPr>
              <w:t>Stern N, Buch A, Goldsmith R, et al. (2021) The role of caloric intake in the association of high salt intake with high blood pressure. Sci Rep 11, 15803.</w:t>
            </w:r>
            <w:r>
              <w:rPr>
                <w:rFonts w:ascii="Calibri" w:hAnsi="Calibri" w:cs="Calibri"/>
              </w:rPr>
              <w:t xml:space="preserve"> Initially obtain</w:t>
            </w:r>
            <w:r w:rsidR="00403D9D">
              <w:rPr>
                <w:rFonts w:ascii="Calibri" w:hAnsi="Calibri" w:cs="Calibri"/>
              </w:rPr>
              <w:t>ed</w:t>
            </w:r>
            <w:r>
              <w:rPr>
                <w:rFonts w:ascii="Calibri" w:hAnsi="Calibri" w:cs="Calibri"/>
              </w:rPr>
              <w:t xml:space="preserve"> unpublished data via Prof Ronit Endevelt and Ms Lesley Nitsan, Ministry of Health, Israel. Manuscript was published since our initial communication.</w:t>
            </w:r>
          </w:p>
        </w:tc>
      </w:tr>
      <w:tr w:rsidR="00A44051" w:rsidRPr="00586532" w14:paraId="3349AC0C"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2F76E49E" w14:textId="4438B096" w:rsidR="00A44051" w:rsidRDefault="00A44051" w:rsidP="00EC611C">
            <w:pPr>
              <w:spacing w:line="276" w:lineRule="auto"/>
              <w:rPr>
                <w:rFonts w:ascii="Calibri" w:hAnsi="Calibri" w:cs="Calibri"/>
                <w:b w:val="0"/>
                <w:bCs w:val="0"/>
              </w:rPr>
            </w:pPr>
            <w:r>
              <w:rPr>
                <w:rFonts w:ascii="Calibri" w:hAnsi="Calibri" w:cs="Calibri"/>
                <w:b w:val="0"/>
                <w:bCs w:val="0"/>
              </w:rPr>
              <w:lastRenderedPageBreak/>
              <w:t>Latvia</w:t>
            </w:r>
          </w:p>
        </w:tc>
        <w:tc>
          <w:tcPr>
            <w:tcW w:w="2551" w:type="dxa"/>
            <w:tcBorders>
              <w:top w:val="single" w:sz="12" w:space="0" w:color="666666" w:themeColor="text1" w:themeTint="99"/>
              <w:bottom w:val="single" w:sz="12" w:space="0" w:color="666666" w:themeColor="text1" w:themeTint="99"/>
            </w:tcBorders>
            <w:shd w:val="clear" w:color="auto" w:fill="auto"/>
            <w:noWrap/>
          </w:tcPr>
          <w:p w14:paraId="7F2D5A69" w14:textId="6CC0FBC9" w:rsidR="00A44051" w:rsidRDefault="00F1717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WHO NCD Office</w:t>
            </w:r>
          </w:p>
        </w:tc>
        <w:tc>
          <w:tcPr>
            <w:tcW w:w="10052" w:type="dxa"/>
            <w:tcBorders>
              <w:top w:val="single" w:sz="12" w:space="0" w:color="666666" w:themeColor="text1" w:themeTint="99"/>
              <w:bottom w:val="single" w:sz="12" w:space="0" w:color="666666" w:themeColor="text1" w:themeTint="99"/>
            </w:tcBorders>
            <w:shd w:val="clear" w:color="auto" w:fill="auto"/>
            <w:noWrap/>
          </w:tcPr>
          <w:p w14:paraId="09F26642" w14:textId="2F98AFC2" w:rsidR="00A44051" w:rsidRPr="00494B86" w:rsidRDefault="00F1717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17170">
              <w:rPr>
                <w:rFonts w:ascii="Calibri" w:hAnsi="Calibri" w:cs="Calibri"/>
                <w:lang w:val="da-DK"/>
              </w:rPr>
              <w:t xml:space="preserve">Joffe R, Ozoliņš G, Šantare D, et al. </w:t>
            </w:r>
            <w:r w:rsidRPr="00F17170">
              <w:rPr>
                <w:rFonts w:ascii="Calibri" w:hAnsi="Calibri" w:cs="Calibri"/>
              </w:rPr>
              <w:t>(2009) Latvijas iedzīvotāju visaptverošais pārtikas patēriņa pētījums, 2007-2009 (The National Food Consumption Survey of Latvia, 2007-2009). Rīga: Nacionālais diagnostikas centrs &amp; Pārtikas un veterinārā dienesta Pārtikas centrs.</w:t>
            </w:r>
            <w:r w:rsidR="00DA5733">
              <w:rPr>
                <w:rFonts w:ascii="Calibri" w:hAnsi="Calibri" w:cs="Calibri"/>
              </w:rPr>
              <w:t xml:space="preserve"> Obtained report via staff at WHO NCD Office.</w:t>
            </w:r>
          </w:p>
        </w:tc>
      </w:tr>
      <w:tr w:rsidR="00AB3D9D" w:rsidRPr="00586532" w14:paraId="2962E6FA"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3DF988A7" w14:textId="13ACC595" w:rsidR="00AB3D9D" w:rsidRDefault="00AB3D9D" w:rsidP="00EC611C">
            <w:pPr>
              <w:spacing w:line="276" w:lineRule="auto"/>
              <w:rPr>
                <w:rFonts w:ascii="Calibri" w:hAnsi="Calibri" w:cs="Calibri"/>
                <w:b w:val="0"/>
                <w:bCs w:val="0"/>
              </w:rPr>
            </w:pPr>
            <w:r>
              <w:rPr>
                <w:rFonts w:ascii="Calibri" w:hAnsi="Calibri" w:cs="Calibri"/>
                <w:b w:val="0"/>
                <w:bCs w:val="0"/>
              </w:rPr>
              <w:t>Lithuania</w:t>
            </w:r>
          </w:p>
        </w:tc>
        <w:tc>
          <w:tcPr>
            <w:tcW w:w="2551" w:type="dxa"/>
            <w:tcBorders>
              <w:top w:val="single" w:sz="12" w:space="0" w:color="666666" w:themeColor="text1" w:themeTint="99"/>
              <w:bottom w:val="single" w:sz="12" w:space="0" w:color="666666" w:themeColor="text1" w:themeTint="99"/>
            </w:tcBorders>
            <w:shd w:val="clear" w:color="auto" w:fill="auto"/>
            <w:noWrap/>
          </w:tcPr>
          <w:p w14:paraId="28FC49DC" w14:textId="2EA1DEE6" w:rsidR="00AB3D9D" w:rsidRDefault="00AB3D9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71AA3291" w14:textId="4E630EAF" w:rsidR="00AB3D9D" w:rsidRDefault="00B72D34"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2D34">
              <w:rPr>
                <w:rFonts w:ascii="Calibri" w:hAnsi="Calibri" w:cs="Calibri"/>
              </w:rPr>
              <w:t xml:space="preserve">Personal communication with Prof </w:t>
            </w:r>
            <w:r w:rsidR="00403D9D">
              <w:rPr>
                <w:rFonts w:ascii="Calibri" w:hAnsi="Calibri" w:cs="Calibri"/>
              </w:rPr>
              <w:t xml:space="preserve">Dr </w:t>
            </w:r>
            <w:r w:rsidRPr="00B72D34">
              <w:rPr>
                <w:rFonts w:ascii="Calibri" w:hAnsi="Calibri" w:cs="Calibri"/>
              </w:rPr>
              <w:t>Marius Miglinas, Vilnius University. Data from unpublished study "NATRIJOD", conducted between 2018-2020.</w:t>
            </w:r>
          </w:p>
        </w:tc>
      </w:tr>
      <w:tr w:rsidR="00AB3D9D" w:rsidRPr="00586532" w14:paraId="3FF021E8"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60F470FC" w14:textId="6868694E" w:rsidR="00AB3D9D" w:rsidRDefault="00AB3D9D" w:rsidP="00EC611C">
            <w:pPr>
              <w:spacing w:line="276" w:lineRule="auto"/>
              <w:rPr>
                <w:rFonts w:ascii="Calibri" w:hAnsi="Calibri" w:cs="Calibri"/>
                <w:b w:val="0"/>
                <w:bCs w:val="0"/>
              </w:rPr>
            </w:pPr>
            <w:r>
              <w:rPr>
                <w:rFonts w:ascii="Calibri" w:hAnsi="Calibri" w:cs="Calibri"/>
                <w:b w:val="0"/>
                <w:bCs w:val="0"/>
              </w:rPr>
              <w:t>Malta</w:t>
            </w:r>
          </w:p>
        </w:tc>
        <w:tc>
          <w:tcPr>
            <w:tcW w:w="2551" w:type="dxa"/>
            <w:tcBorders>
              <w:top w:val="single" w:sz="12" w:space="0" w:color="666666" w:themeColor="text1" w:themeTint="99"/>
              <w:bottom w:val="single" w:sz="12" w:space="0" w:color="666666" w:themeColor="text1" w:themeTint="99"/>
            </w:tcBorders>
            <w:shd w:val="clear" w:color="auto" w:fill="auto"/>
            <w:noWrap/>
          </w:tcPr>
          <w:p w14:paraId="1C9F5A33" w14:textId="1FB91C65" w:rsidR="00AB3D9D" w:rsidRDefault="00AB3D9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28542A86" w14:textId="1F7F9960" w:rsidR="00AB3D9D" w:rsidRDefault="00DA5733"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Unpublished data, obtained via p</w:t>
            </w:r>
            <w:r w:rsidR="00B72D34">
              <w:rPr>
                <w:rFonts w:ascii="Calibri" w:hAnsi="Calibri" w:cs="Calibri"/>
              </w:rPr>
              <w:t xml:space="preserve">ersonal communication with Dr Daniel Cauchi, Ministry of Health. Data from </w:t>
            </w:r>
            <w:r w:rsidR="00B72D34" w:rsidRPr="00B72D34">
              <w:rPr>
                <w:rFonts w:ascii="Calibri" w:hAnsi="Calibri" w:cs="Calibri"/>
              </w:rPr>
              <w:t>National Food Consumption Survey (Nov 2015 - Jan 2017)</w:t>
            </w:r>
            <w:r w:rsidR="00B72D34">
              <w:rPr>
                <w:rFonts w:ascii="Calibri" w:hAnsi="Calibri" w:cs="Calibri"/>
              </w:rPr>
              <w:t>.</w:t>
            </w:r>
          </w:p>
        </w:tc>
      </w:tr>
      <w:tr w:rsidR="005B1A0B" w:rsidRPr="00A4272A" w14:paraId="464E8320"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3D8123BD" w14:textId="451D4A97" w:rsidR="005B1A0B" w:rsidRDefault="005B1A0B" w:rsidP="00EC611C">
            <w:pPr>
              <w:spacing w:line="276" w:lineRule="auto"/>
              <w:rPr>
                <w:rFonts w:ascii="Calibri" w:hAnsi="Calibri" w:cs="Calibri"/>
                <w:b w:val="0"/>
                <w:bCs w:val="0"/>
              </w:rPr>
            </w:pPr>
            <w:r>
              <w:rPr>
                <w:rFonts w:ascii="Calibri" w:hAnsi="Calibri" w:cs="Calibri"/>
                <w:b w:val="0"/>
                <w:bCs w:val="0"/>
              </w:rPr>
              <w:t>Netherlands</w:t>
            </w:r>
          </w:p>
        </w:tc>
        <w:tc>
          <w:tcPr>
            <w:tcW w:w="2551" w:type="dxa"/>
            <w:tcBorders>
              <w:top w:val="single" w:sz="12" w:space="0" w:color="666666" w:themeColor="text1" w:themeTint="99"/>
              <w:bottom w:val="single" w:sz="12" w:space="0" w:color="666666" w:themeColor="text1" w:themeTint="99"/>
            </w:tcBorders>
            <w:shd w:val="clear" w:color="auto" w:fill="auto"/>
            <w:noWrap/>
          </w:tcPr>
          <w:p w14:paraId="1E44CFF2" w14:textId="0FC34F83"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50EA4464" w14:textId="4A03675B" w:rsidR="005B1A0B" w:rsidRPr="00853B9E" w:rsidRDefault="003261C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da-DK"/>
              </w:rPr>
            </w:pPr>
            <w:r w:rsidRPr="003261CB">
              <w:rPr>
                <w:rFonts w:ascii="Calibri" w:hAnsi="Calibri" w:cs="Calibri"/>
                <w:lang w:val="da-DK"/>
              </w:rPr>
              <w:t xml:space="preserve">Hendriksen M, Etemad Z, van den Bogaard C, et al. </w:t>
            </w:r>
            <w:r w:rsidRPr="00A4272A">
              <w:rPr>
                <w:rFonts w:ascii="Calibri" w:hAnsi="Calibri" w:cs="Calibri"/>
                <w:lang w:val="da-DK"/>
              </w:rPr>
              <w:t xml:space="preserve">(2016) Zout-, jodium- en kaliuminname 2015 - Voedingsstatusonderzoek bij volwassenen uit Doetinchem (Salt, iodine and potassium intake 2015 - Nutritional status study among adults in Doetinchem). </w:t>
            </w:r>
            <w:r w:rsidRPr="003261CB">
              <w:rPr>
                <w:rFonts w:ascii="Calibri" w:hAnsi="Calibri" w:cs="Calibri"/>
                <w:lang w:val="da-DK"/>
              </w:rPr>
              <w:t>Bilthoven: Rijksinstituut voor Volksgezondheid en Milieu.</w:t>
            </w:r>
          </w:p>
        </w:tc>
      </w:tr>
      <w:tr w:rsidR="005B1A0B" w:rsidRPr="00586532" w14:paraId="4BA0D34F"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45C53E13" w14:textId="2E15DE0D" w:rsidR="005B1A0B" w:rsidRDefault="005B1A0B" w:rsidP="00EC611C">
            <w:pPr>
              <w:spacing w:line="276" w:lineRule="auto"/>
              <w:rPr>
                <w:rFonts w:ascii="Calibri" w:hAnsi="Calibri" w:cs="Calibri"/>
                <w:b w:val="0"/>
                <w:bCs w:val="0"/>
              </w:rPr>
            </w:pPr>
            <w:r>
              <w:rPr>
                <w:rFonts w:ascii="Calibri" w:hAnsi="Calibri" w:cs="Calibri"/>
                <w:b w:val="0"/>
                <w:bCs w:val="0"/>
              </w:rPr>
              <w:t>North Macedonia</w:t>
            </w:r>
          </w:p>
        </w:tc>
        <w:tc>
          <w:tcPr>
            <w:tcW w:w="2551" w:type="dxa"/>
            <w:tcBorders>
              <w:top w:val="single" w:sz="12" w:space="0" w:color="666666" w:themeColor="text1" w:themeTint="99"/>
              <w:bottom w:val="single" w:sz="12" w:space="0" w:color="666666" w:themeColor="text1" w:themeTint="99"/>
            </w:tcBorders>
            <w:shd w:val="clear" w:color="auto" w:fill="auto"/>
            <w:noWrap/>
          </w:tcPr>
          <w:p w14:paraId="3AEB276F" w14:textId="17F472DD"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6A54A091" w14:textId="782130CD" w:rsidR="005B1A0B" w:rsidRDefault="00E9089E"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9089E">
              <w:rPr>
                <w:rFonts w:ascii="Calibri" w:hAnsi="Calibri" w:cs="Calibri"/>
              </w:rPr>
              <w:t>Republic of North Macedonia, State Statistical Office, MakStat Database</w:t>
            </w:r>
            <w:r>
              <w:rPr>
                <w:rFonts w:ascii="Calibri" w:hAnsi="Calibri" w:cs="Calibri"/>
              </w:rPr>
              <w:t xml:space="preserve">. </w:t>
            </w:r>
            <w:r w:rsidRPr="00E9089E">
              <w:rPr>
                <w:rFonts w:ascii="Calibri" w:hAnsi="Calibri" w:cs="Calibri"/>
              </w:rPr>
              <w:t>http://makstat.stat.gov.mk/PXWeb/pxweb/en/MakStat/MakStat__ZivotenStandard__</w:t>
            </w:r>
            <w:r>
              <w:rPr>
                <w:rFonts w:ascii="Calibri" w:hAnsi="Calibri" w:cs="Calibri"/>
              </w:rPr>
              <w:t xml:space="preserve"> </w:t>
            </w:r>
            <w:r w:rsidRPr="00E9089E">
              <w:rPr>
                <w:rFonts w:ascii="Calibri" w:hAnsi="Calibri" w:cs="Calibri"/>
              </w:rPr>
              <w:t>AnketaZaPotrosuvackaDomakinstva/225_ZivStand_mk_KOLICINI_ml.px/?rxid=efc62eac-def6-4470-9fa6-017b2da9b931</w:t>
            </w:r>
          </w:p>
        </w:tc>
      </w:tr>
      <w:tr w:rsidR="00A44051" w:rsidRPr="00586532" w14:paraId="1D537651"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1F1AF39B" w14:textId="6AE3E38E" w:rsidR="00A44051" w:rsidRDefault="00A44051" w:rsidP="00EC611C">
            <w:pPr>
              <w:spacing w:line="276" w:lineRule="auto"/>
              <w:rPr>
                <w:rFonts w:ascii="Calibri" w:hAnsi="Calibri" w:cs="Calibri"/>
                <w:b w:val="0"/>
                <w:bCs w:val="0"/>
              </w:rPr>
            </w:pPr>
            <w:r>
              <w:rPr>
                <w:rFonts w:ascii="Calibri" w:hAnsi="Calibri" w:cs="Calibri"/>
                <w:b w:val="0"/>
                <w:bCs w:val="0"/>
              </w:rPr>
              <w:t>Norway</w:t>
            </w:r>
          </w:p>
        </w:tc>
        <w:tc>
          <w:tcPr>
            <w:tcW w:w="2551" w:type="dxa"/>
            <w:tcBorders>
              <w:top w:val="single" w:sz="12" w:space="0" w:color="666666" w:themeColor="text1" w:themeTint="99"/>
              <w:bottom w:val="single" w:sz="12" w:space="0" w:color="666666" w:themeColor="text1" w:themeTint="99"/>
            </w:tcBorders>
            <w:shd w:val="clear" w:color="auto" w:fill="auto"/>
            <w:noWrap/>
          </w:tcPr>
          <w:p w14:paraId="680032FC" w14:textId="601051AF" w:rsidR="00A44051"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6AB0D7CB" w14:textId="38619D74" w:rsidR="00A44051" w:rsidRPr="00E9089E"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4051">
              <w:rPr>
                <w:rFonts w:ascii="Calibri" w:hAnsi="Calibri" w:cs="Calibri"/>
                <w:lang w:val="da-DK"/>
              </w:rPr>
              <w:t xml:space="preserve">Meyer HE, Johansson L, Eggen AE, et al. </w:t>
            </w:r>
            <w:r w:rsidRPr="00A44051">
              <w:rPr>
                <w:rFonts w:ascii="Calibri" w:hAnsi="Calibri" w:cs="Calibri"/>
              </w:rPr>
              <w:t>(2019) Sodium and Potassium Intake Assessed by Spot and 24-h Urine in the Population-Based Tromsø Study 2015–2016. Nutrients 11, 1619.</w:t>
            </w:r>
            <w:r w:rsidR="00403D9D">
              <w:rPr>
                <w:rFonts w:ascii="Calibri" w:hAnsi="Calibri" w:cs="Calibri"/>
              </w:rPr>
              <w:t xml:space="preserve"> Obtained report via personal communication with Prof Dr Haakon Meyer.</w:t>
            </w:r>
          </w:p>
        </w:tc>
      </w:tr>
      <w:tr w:rsidR="005B1A0B" w:rsidRPr="00586532" w14:paraId="67318ADB"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7744BD06" w14:textId="24862127" w:rsidR="005B1A0B" w:rsidRDefault="005B1A0B" w:rsidP="00EC611C">
            <w:pPr>
              <w:spacing w:line="276" w:lineRule="auto"/>
              <w:rPr>
                <w:rFonts w:ascii="Calibri" w:hAnsi="Calibri" w:cs="Calibri"/>
                <w:b w:val="0"/>
                <w:bCs w:val="0"/>
              </w:rPr>
            </w:pPr>
            <w:r>
              <w:rPr>
                <w:rFonts w:ascii="Calibri" w:hAnsi="Calibri" w:cs="Calibri"/>
                <w:b w:val="0"/>
                <w:bCs w:val="0"/>
              </w:rPr>
              <w:t>Poland</w:t>
            </w:r>
          </w:p>
        </w:tc>
        <w:tc>
          <w:tcPr>
            <w:tcW w:w="2551" w:type="dxa"/>
            <w:tcBorders>
              <w:top w:val="single" w:sz="12" w:space="0" w:color="666666" w:themeColor="text1" w:themeTint="99"/>
              <w:bottom w:val="single" w:sz="12" w:space="0" w:color="666666" w:themeColor="text1" w:themeTint="99"/>
            </w:tcBorders>
            <w:shd w:val="clear" w:color="auto" w:fill="auto"/>
            <w:noWrap/>
          </w:tcPr>
          <w:p w14:paraId="23148DD0" w14:textId="1563E515"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66911723" w14:textId="40C71A2C" w:rsidR="005B1A0B" w:rsidRDefault="00BC4198"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C4198">
              <w:rPr>
                <w:rFonts w:ascii="Calibri" w:hAnsi="Calibri" w:cs="Calibri"/>
              </w:rPr>
              <w:t>Calculations of the Department of Food and Nutrition Economics of Institute of Food and Nutrition, based on unpublished data from the Department of Social Research and Living Conditions of the Central Statistical Office.</w:t>
            </w:r>
          </w:p>
        </w:tc>
      </w:tr>
      <w:tr w:rsidR="002010AD" w:rsidRPr="00586532" w14:paraId="5F0D4DB1"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2E14FB41" w14:textId="34FFB061" w:rsidR="002010AD" w:rsidRDefault="002010AD" w:rsidP="00EC611C">
            <w:pPr>
              <w:spacing w:line="276" w:lineRule="auto"/>
              <w:rPr>
                <w:rFonts w:ascii="Calibri" w:hAnsi="Calibri" w:cs="Calibri"/>
                <w:b w:val="0"/>
                <w:bCs w:val="0"/>
              </w:rPr>
            </w:pPr>
            <w:r>
              <w:rPr>
                <w:rFonts w:ascii="Calibri" w:hAnsi="Calibri" w:cs="Calibri"/>
                <w:b w:val="0"/>
                <w:bCs w:val="0"/>
              </w:rPr>
              <w:t>Portugal</w:t>
            </w:r>
          </w:p>
        </w:tc>
        <w:tc>
          <w:tcPr>
            <w:tcW w:w="2551" w:type="dxa"/>
            <w:tcBorders>
              <w:top w:val="single" w:sz="12" w:space="0" w:color="666666" w:themeColor="text1" w:themeTint="99"/>
              <w:bottom w:val="single" w:sz="12" w:space="0" w:color="666666" w:themeColor="text1" w:themeTint="99"/>
            </w:tcBorders>
            <w:shd w:val="clear" w:color="auto" w:fill="auto"/>
            <w:noWrap/>
          </w:tcPr>
          <w:p w14:paraId="75F7BD15" w14:textId="65EB6221" w:rsidR="002010AD" w:rsidRDefault="002010A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 + WHO NCD Office</w:t>
            </w:r>
          </w:p>
        </w:tc>
        <w:tc>
          <w:tcPr>
            <w:tcW w:w="10052" w:type="dxa"/>
            <w:tcBorders>
              <w:top w:val="single" w:sz="12" w:space="0" w:color="666666" w:themeColor="text1" w:themeTint="99"/>
              <w:bottom w:val="single" w:sz="12" w:space="0" w:color="666666" w:themeColor="text1" w:themeTint="99"/>
            </w:tcBorders>
            <w:shd w:val="clear" w:color="auto" w:fill="auto"/>
            <w:noWrap/>
          </w:tcPr>
          <w:p w14:paraId="3C1DD1FB" w14:textId="2946445D" w:rsidR="002010AD" w:rsidRPr="00BC4198" w:rsidRDefault="002010A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10AD">
              <w:rPr>
                <w:rFonts w:ascii="Calibri" w:hAnsi="Calibri" w:cs="Calibri"/>
              </w:rPr>
              <w:t>Polonia J, Martins L, Pinto F, Nazare J. Prevalence, awareness, treatment and control of hypertension and salt intake in Portugal: changes over a decade. The PHYSA study. J Hypertens 2014; 32: 1211-1221.</w:t>
            </w:r>
            <w:r w:rsidR="0028553E">
              <w:rPr>
                <w:rFonts w:ascii="Calibri" w:hAnsi="Calibri" w:cs="Calibri"/>
              </w:rPr>
              <w:t xml:space="preserve"> Obtained report via staff at WHO NCD Office.</w:t>
            </w:r>
          </w:p>
        </w:tc>
      </w:tr>
      <w:tr w:rsidR="00A4272A" w:rsidRPr="00586532" w14:paraId="6D4F8FD8"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76D63FAF" w14:textId="0B668692" w:rsidR="00A4272A" w:rsidRPr="00A4272A" w:rsidRDefault="00A4272A" w:rsidP="00EC611C">
            <w:pPr>
              <w:spacing w:line="276" w:lineRule="auto"/>
              <w:rPr>
                <w:rFonts w:ascii="Calibri" w:hAnsi="Calibri" w:cs="Calibri"/>
                <w:b w:val="0"/>
                <w:bCs w:val="0"/>
              </w:rPr>
            </w:pPr>
            <w:r w:rsidRPr="00A4272A">
              <w:rPr>
                <w:rFonts w:ascii="Calibri" w:hAnsi="Calibri" w:cs="Calibri"/>
                <w:b w:val="0"/>
                <w:bCs w:val="0"/>
              </w:rPr>
              <w:t>Romania</w:t>
            </w:r>
          </w:p>
        </w:tc>
        <w:tc>
          <w:tcPr>
            <w:tcW w:w="2551" w:type="dxa"/>
            <w:tcBorders>
              <w:top w:val="single" w:sz="12" w:space="0" w:color="666666" w:themeColor="text1" w:themeTint="99"/>
              <w:bottom w:val="single" w:sz="12" w:space="0" w:color="666666" w:themeColor="text1" w:themeTint="99"/>
            </w:tcBorders>
            <w:shd w:val="clear" w:color="auto" w:fill="auto"/>
            <w:noWrap/>
          </w:tcPr>
          <w:p w14:paraId="145620E7" w14:textId="4C95AA6B" w:rsidR="00A4272A" w:rsidRDefault="00A4272A"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WHO NCD Office</w:t>
            </w:r>
          </w:p>
        </w:tc>
        <w:tc>
          <w:tcPr>
            <w:tcW w:w="10052" w:type="dxa"/>
            <w:tcBorders>
              <w:top w:val="single" w:sz="12" w:space="0" w:color="666666" w:themeColor="text1" w:themeTint="99"/>
              <w:bottom w:val="single" w:sz="12" w:space="0" w:color="666666" w:themeColor="text1" w:themeTint="99"/>
            </w:tcBorders>
            <w:shd w:val="clear" w:color="auto" w:fill="auto"/>
            <w:noWrap/>
          </w:tcPr>
          <w:p w14:paraId="4738E900" w14:textId="2F69403D" w:rsidR="00A4272A" w:rsidRPr="002010AD" w:rsidRDefault="00A4272A"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272A">
              <w:rPr>
                <w:rFonts w:ascii="Calibri" w:hAnsi="Calibri" w:cs="Calibri"/>
              </w:rPr>
              <w:t>Dorobantu M, Tautu O, Dimulescu D, Sinescu C, Gusbeth-Tatomir P, Arsenescu-Georgescu C et al. Perspectives on hypertensionʼs prevalence, treatment and control in a high cardiovascular risk East European country. Journal of Hypertension. 2018;36(3):690-700.</w:t>
            </w:r>
            <w:r>
              <w:rPr>
                <w:rFonts w:ascii="Calibri" w:hAnsi="Calibri" w:cs="Calibri"/>
              </w:rPr>
              <w:t xml:space="preserve"> Obtained report via staff at WHO NCD Office.</w:t>
            </w:r>
          </w:p>
        </w:tc>
      </w:tr>
      <w:tr w:rsidR="00CB7D38" w:rsidRPr="00586532" w14:paraId="69D8D77A"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785A905D" w14:textId="50789CED" w:rsidR="00CB7D38" w:rsidRDefault="005B1A0B" w:rsidP="00EC611C">
            <w:pPr>
              <w:spacing w:line="276" w:lineRule="auto"/>
              <w:rPr>
                <w:rFonts w:ascii="Calibri" w:hAnsi="Calibri" w:cs="Calibri"/>
                <w:b w:val="0"/>
                <w:bCs w:val="0"/>
              </w:rPr>
            </w:pPr>
            <w:r>
              <w:rPr>
                <w:rFonts w:ascii="Calibri" w:hAnsi="Calibri" w:cs="Calibri"/>
                <w:b w:val="0"/>
                <w:bCs w:val="0"/>
              </w:rPr>
              <w:lastRenderedPageBreak/>
              <w:t>Russian Federation</w:t>
            </w:r>
          </w:p>
        </w:tc>
        <w:tc>
          <w:tcPr>
            <w:tcW w:w="2551" w:type="dxa"/>
            <w:tcBorders>
              <w:top w:val="single" w:sz="12" w:space="0" w:color="666666" w:themeColor="text1" w:themeTint="99"/>
              <w:bottom w:val="single" w:sz="12" w:space="0" w:color="666666" w:themeColor="text1" w:themeTint="99"/>
            </w:tcBorders>
            <w:shd w:val="clear" w:color="auto" w:fill="auto"/>
            <w:noWrap/>
          </w:tcPr>
          <w:p w14:paraId="45613A71" w14:textId="07AEC518" w:rsidR="00CB7D38"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r w:rsidR="00E8278F">
              <w:rPr>
                <w:rFonts w:ascii="Calibri" w:hAnsi="Calibri" w:cs="Calibri"/>
              </w:rPr>
              <w:t xml:space="preserve"> + WHO NCD Office</w:t>
            </w:r>
          </w:p>
        </w:tc>
        <w:tc>
          <w:tcPr>
            <w:tcW w:w="10052" w:type="dxa"/>
            <w:tcBorders>
              <w:top w:val="single" w:sz="12" w:space="0" w:color="666666" w:themeColor="text1" w:themeTint="99"/>
              <w:bottom w:val="single" w:sz="12" w:space="0" w:color="666666" w:themeColor="text1" w:themeTint="99"/>
            </w:tcBorders>
            <w:shd w:val="clear" w:color="auto" w:fill="auto"/>
            <w:noWrap/>
          </w:tcPr>
          <w:p w14:paraId="3E0BE83A" w14:textId="0BAA3C28" w:rsidR="00CB7D38"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4051">
              <w:rPr>
                <w:rFonts w:ascii="Calibri" w:hAnsi="Calibri" w:cs="Calibri"/>
                <w:lang w:val="ru-RU"/>
              </w:rPr>
              <w:t>Выборочное наблюдение рациона питания населения 2018 (</w:t>
            </w:r>
            <w:r w:rsidRPr="00A44051">
              <w:rPr>
                <w:rFonts w:ascii="Calibri" w:hAnsi="Calibri" w:cs="Calibri"/>
              </w:rPr>
              <w:t>The</w:t>
            </w:r>
            <w:r w:rsidRPr="00A44051">
              <w:rPr>
                <w:rFonts w:ascii="Calibri" w:hAnsi="Calibri" w:cs="Calibri"/>
                <w:lang w:val="ru-RU"/>
              </w:rPr>
              <w:t xml:space="preserve"> </w:t>
            </w:r>
            <w:r w:rsidRPr="00A44051">
              <w:rPr>
                <w:rFonts w:ascii="Calibri" w:hAnsi="Calibri" w:cs="Calibri"/>
              </w:rPr>
              <w:t>population</w:t>
            </w:r>
            <w:r w:rsidRPr="00A44051">
              <w:rPr>
                <w:rFonts w:ascii="Calibri" w:hAnsi="Calibri" w:cs="Calibri"/>
                <w:lang w:val="ru-RU"/>
              </w:rPr>
              <w:t xml:space="preserve"> </w:t>
            </w:r>
            <w:r w:rsidRPr="00A44051">
              <w:rPr>
                <w:rFonts w:ascii="Calibri" w:hAnsi="Calibri" w:cs="Calibri"/>
              </w:rPr>
              <w:t>dietary</w:t>
            </w:r>
            <w:r w:rsidRPr="00A44051">
              <w:rPr>
                <w:rFonts w:ascii="Calibri" w:hAnsi="Calibri" w:cs="Calibri"/>
                <w:lang w:val="ru-RU"/>
              </w:rPr>
              <w:t xml:space="preserve"> </w:t>
            </w:r>
            <w:r w:rsidRPr="00A44051">
              <w:rPr>
                <w:rFonts w:ascii="Calibri" w:hAnsi="Calibri" w:cs="Calibri"/>
              </w:rPr>
              <w:t>structure</w:t>
            </w:r>
            <w:r w:rsidRPr="00A44051">
              <w:rPr>
                <w:rFonts w:ascii="Calibri" w:hAnsi="Calibri" w:cs="Calibri"/>
                <w:lang w:val="ru-RU"/>
              </w:rPr>
              <w:t xml:space="preserve"> </w:t>
            </w:r>
            <w:r w:rsidRPr="00A44051">
              <w:rPr>
                <w:rFonts w:ascii="Calibri" w:hAnsi="Calibri" w:cs="Calibri"/>
              </w:rPr>
              <w:t>sample</w:t>
            </w:r>
            <w:r w:rsidRPr="00A44051">
              <w:rPr>
                <w:rFonts w:ascii="Calibri" w:hAnsi="Calibri" w:cs="Calibri"/>
                <w:lang w:val="ru-RU"/>
              </w:rPr>
              <w:t xml:space="preserve"> </w:t>
            </w:r>
            <w:r w:rsidRPr="00A44051">
              <w:rPr>
                <w:rFonts w:ascii="Calibri" w:hAnsi="Calibri" w:cs="Calibri"/>
              </w:rPr>
              <w:t>survey</w:t>
            </w:r>
            <w:r w:rsidRPr="00A44051">
              <w:rPr>
                <w:rFonts w:ascii="Calibri" w:hAnsi="Calibri" w:cs="Calibri"/>
                <w:lang w:val="ru-RU"/>
              </w:rPr>
              <w:t xml:space="preserve"> 2018). </w:t>
            </w:r>
            <w:r w:rsidRPr="00A44051">
              <w:rPr>
                <w:rFonts w:ascii="Calibri" w:hAnsi="Calibri" w:cs="Calibri"/>
              </w:rPr>
              <w:t xml:space="preserve">Moscow: Russian Federal State Statistics Service. </w:t>
            </w:r>
            <w:r w:rsidR="00BC4198" w:rsidRPr="00BC4198">
              <w:rPr>
                <w:rFonts w:ascii="Calibri" w:hAnsi="Calibri" w:cs="Calibri"/>
              </w:rPr>
              <w:t>(https://rosstat.gov.ru/free_doc/new_site/food18/index.html), table 30.2.9</w:t>
            </w:r>
            <w:r w:rsidR="00BC4198">
              <w:rPr>
                <w:rFonts w:ascii="Calibri" w:hAnsi="Calibri" w:cs="Calibri"/>
              </w:rPr>
              <w:t>.</w:t>
            </w:r>
            <w:r w:rsidR="00E8278F">
              <w:rPr>
                <w:rFonts w:ascii="Calibri" w:hAnsi="Calibri" w:cs="Calibri"/>
              </w:rPr>
              <w:t xml:space="preserve"> </w:t>
            </w:r>
            <w:r w:rsidR="00403D9D">
              <w:rPr>
                <w:rFonts w:ascii="Calibri" w:hAnsi="Calibri" w:cs="Calibri"/>
              </w:rPr>
              <w:t>Obtained data via</w:t>
            </w:r>
            <w:r w:rsidR="006034FB">
              <w:rPr>
                <w:rFonts w:ascii="Calibri" w:hAnsi="Calibri" w:cs="Calibri"/>
              </w:rPr>
              <w:t xml:space="preserve"> staff at WHO NCD Office.</w:t>
            </w:r>
          </w:p>
        </w:tc>
      </w:tr>
      <w:tr w:rsidR="00A44051" w:rsidRPr="005F7BF0" w14:paraId="45FFF114"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3A6BCAF0" w14:textId="19CA0C68" w:rsidR="00A44051" w:rsidRDefault="00A44051" w:rsidP="00EC611C">
            <w:pPr>
              <w:spacing w:line="276" w:lineRule="auto"/>
              <w:rPr>
                <w:rFonts w:ascii="Calibri" w:hAnsi="Calibri" w:cs="Calibri"/>
                <w:b w:val="0"/>
                <w:bCs w:val="0"/>
              </w:rPr>
            </w:pPr>
            <w:r>
              <w:rPr>
                <w:rFonts w:ascii="Calibri" w:hAnsi="Calibri" w:cs="Calibri"/>
                <w:b w:val="0"/>
                <w:bCs w:val="0"/>
              </w:rPr>
              <w:t>Slovakia</w:t>
            </w:r>
          </w:p>
        </w:tc>
        <w:tc>
          <w:tcPr>
            <w:tcW w:w="2551" w:type="dxa"/>
            <w:tcBorders>
              <w:top w:val="single" w:sz="12" w:space="0" w:color="666666" w:themeColor="text1" w:themeTint="99"/>
              <w:bottom w:val="single" w:sz="12" w:space="0" w:color="666666" w:themeColor="text1" w:themeTint="99"/>
            </w:tcBorders>
            <w:shd w:val="clear" w:color="auto" w:fill="auto"/>
            <w:noWrap/>
          </w:tcPr>
          <w:p w14:paraId="54553965" w14:textId="40C05754" w:rsidR="00A44051" w:rsidRDefault="005F7BF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bottom w:val="single" w:sz="12" w:space="0" w:color="666666" w:themeColor="text1" w:themeTint="99"/>
            </w:tcBorders>
            <w:shd w:val="clear" w:color="auto" w:fill="auto"/>
            <w:noWrap/>
          </w:tcPr>
          <w:p w14:paraId="6487BA38" w14:textId="4A8E5626" w:rsidR="00A44051" w:rsidRPr="005F7BF0" w:rsidRDefault="006034F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en-AU"/>
              </w:rPr>
            </w:pPr>
            <w:r>
              <w:rPr>
                <w:rFonts w:ascii="Calibri" w:hAnsi="Calibri" w:cs="Calibri"/>
                <w:lang w:val="en-AU"/>
              </w:rPr>
              <w:t>Unpublished data, obtained via p</w:t>
            </w:r>
            <w:r w:rsidR="005F7BF0" w:rsidRPr="005F7BF0">
              <w:rPr>
                <w:rFonts w:ascii="Calibri" w:hAnsi="Calibri" w:cs="Calibri"/>
                <w:lang w:val="en-AU"/>
              </w:rPr>
              <w:t xml:space="preserve">ersonal communication with Dr Jozef Suvada, Ministry of Health, </w:t>
            </w:r>
            <w:r w:rsidR="005F7BF0">
              <w:rPr>
                <w:rFonts w:ascii="Calibri" w:hAnsi="Calibri" w:cs="Calibri"/>
                <w:lang w:val="en-AU"/>
              </w:rPr>
              <w:t>Slovak Republic</w:t>
            </w:r>
            <w:r w:rsidR="005F7BF0" w:rsidRPr="005F7BF0">
              <w:rPr>
                <w:rFonts w:ascii="Calibri" w:hAnsi="Calibri" w:cs="Calibri"/>
                <w:lang w:val="en-AU"/>
              </w:rPr>
              <w:t>.</w:t>
            </w:r>
          </w:p>
        </w:tc>
      </w:tr>
      <w:tr w:rsidR="005B1A0B" w:rsidRPr="00475925" w14:paraId="72F93D38"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57574865" w14:textId="7B43FB44" w:rsidR="005B1A0B" w:rsidRDefault="005B1A0B" w:rsidP="00EC611C">
            <w:pPr>
              <w:spacing w:line="276" w:lineRule="auto"/>
              <w:rPr>
                <w:rFonts w:ascii="Calibri" w:hAnsi="Calibri" w:cs="Calibri"/>
                <w:b w:val="0"/>
                <w:bCs w:val="0"/>
              </w:rPr>
            </w:pPr>
            <w:r>
              <w:rPr>
                <w:rFonts w:ascii="Calibri" w:hAnsi="Calibri" w:cs="Calibri"/>
                <w:b w:val="0"/>
                <w:bCs w:val="0"/>
              </w:rPr>
              <w:t>Sweden</w:t>
            </w:r>
          </w:p>
        </w:tc>
        <w:tc>
          <w:tcPr>
            <w:tcW w:w="2551" w:type="dxa"/>
            <w:tcBorders>
              <w:top w:val="single" w:sz="12" w:space="0" w:color="666666" w:themeColor="text1" w:themeTint="99"/>
              <w:bottom w:val="single" w:sz="12" w:space="0" w:color="666666" w:themeColor="text1" w:themeTint="99"/>
            </w:tcBorders>
            <w:shd w:val="clear" w:color="auto" w:fill="auto"/>
            <w:noWrap/>
          </w:tcPr>
          <w:p w14:paraId="4A812E6C" w14:textId="7FF72409"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58DEB602" w14:textId="26E5120B" w:rsidR="005B1A0B" w:rsidRPr="00475925" w:rsidRDefault="00475925"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da-DK"/>
              </w:rPr>
            </w:pPr>
            <w:r w:rsidRPr="00475925">
              <w:rPr>
                <w:rFonts w:ascii="Calibri" w:hAnsi="Calibri" w:cs="Calibri"/>
                <w:lang w:val="da-DK"/>
              </w:rPr>
              <w:t>Riksmaten - vuxna 2010–11: Livsmedels- och näringsintag bland vuxna i Sverige.</w:t>
            </w:r>
            <w:r w:rsidR="00853B9E">
              <w:rPr>
                <w:rFonts w:ascii="Calibri" w:hAnsi="Calibri" w:cs="Calibri"/>
                <w:lang w:val="da-DK"/>
              </w:rPr>
              <w:t xml:space="preserve"> </w:t>
            </w:r>
            <w:r w:rsidR="00853B9E" w:rsidRPr="00853B9E">
              <w:rPr>
                <w:rFonts w:ascii="Calibri" w:hAnsi="Calibri" w:cs="Calibri"/>
                <w:lang w:val="da-DK"/>
              </w:rPr>
              <w:t xml:space="preserve">Livsmedelsverket, Uppsala </w:t>
            </w:r>
            <w:r w:rsidR="00853B9E">
              <w:rPr>
                <w:rFonts w:ascii="Calibri" w:hAnsi="Calibri" w:cs="Calibri"/>
                <w:lang w:val="da-DK"/>
              </w:rPr>
              <w:t>S</w:t>
            </w:r>
            <w:r w:rsidR="00853B9E" w:rsidRPr="00853B9E">
              <w:rPr>
                <w:rFonts w:ascii="Calibri" w:hAnsi="Calibri" w:cs="Calibri"/>
                <w:lang w:val="da-DK"/>
              </w:rPr>
              <w:t>eptember 2012</w:t>
            </w:r>
            <w:r w:rsidR="00853B9E">
              <w:rPr>
                <w:rFonts w:ascii="Calibri" w:hAnsi="Calibri" w:cs="Calibri"/>
                <w:lang w:val="da-DK"/>
              </w:rPr>
              <w:t>.</w:t>
            </w:r>
          </w:p>
        </w:tc>
      </w:tr>
      <w:tr w:rsidR="005B1A0B" w:rsidRPr="00A4272A" w14:paraId="7667CBA8"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bottom w:val="single" w:sz="12" w:space="0" w:color="666666" w:themeColor="text1" w:themeTint="99"/>
            </w:tcBorders>
            <w:shd w:val="clear" w:color="auto" w:fill="auto"/>
            <w:noWrap/>
          </w:tcPr>
          <w:p w14:paraId="4E04B073" w14:textId="0E1A1B16" w:rsidR="005B1A0B" w:rsidRDefault="005B1A0B" w:rsidP="00EC611C">
            <w:pPr>
              <w:spacing w:line="276" w:lineRule="auto"/>
              <w:rPr>
                <w:rFonts w:ascii="Calibri" w:hAnsi="Calibri" w:cs="Calibri"/>
                <w:b w:val="0"/>
                <w:bCs w:val="0"/>
              </w:rPr>
            </w:pPr>
            <w:r>
              <w:rPr>
                <w:rFonts w:ascii="Calibri" w:hAnsi="Calibri" w:cs="Calibri"/>
                <w:b w:val="0"/>
                <w:bCs w:val="0"/>
              </w:rPr>
              <w:t>Switzerland</w:t>
            </w:r>
          </w:p>
        </w:tc>
        <w:tc>
          <w:tcPr>
            <w:tcW w:w="2551" w:type="dxa"/>
            <w:tcBorders>
              <w:top w:val="single" w:sz="12" w:space="0" w:color="666666" w:themeColor="text1" w:themeTint="99"/>
              <w:bottom w:val="single" w:sz="12" w:space="0" w:color="666666" w:themeColor="text1" w:themeTint="99"/>
            </w:tcBorders>
            <w:shd w:val="clear" w:color="auto" w:fill="auto"/>
            <w:noWrap/>
          </w:tcPr>
          <w:p w14:paraId="24F1FEF3" w14:textId="1164CD7B"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ESAN questionnaire</w:t>
            </w:r>
          </w:p>
        </w:tc>
        <w:tc>
          <w:tcPr>
            <w:tcW w:w="10052" w:type="dxa"/>
            <w:tcBorders>
              <w:top w:val="single" w:sz="12" w:space="0" w:color="666666" w:themeColor="text1" w:themeTint="99"/>
              <w:bottom w:val="single" w:sz="12" w:space="0" w:color="666666" w:themeColor="text1" w:themeTint="99"/>
            </w:tcBorders>
            <w:shd w:val="clear" w:color="auto" w:fill="auto"/>
            <w:noWrap/>
          </w:tcPr>
          <w:p w14:paraId="72CE7B94" w14:textId="6DDDAFFA" w:rsidR="005B1A0B" w:rsidRPr="005F7BF0" w:rsidRDefault="005F7BF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da-DK"/>
              </w:rPr>
            </w:pPr>
            <w:r w:rsidRPr="005F7BF0">
              <w:rPr>
                <w:rFonts w:ascii="Calibri" w:hAnsi="Calibri" w:cs="Calibri"/>
              </w:rPr>
              <w:t xml:space="preserve">Chappuis A, Bochud M, Glatz N, et al. (2011) Swiss survey on salt intake: main results. </w:t>
            </w:r>
            <w:r w:rsidRPr="005F7BF0">
              <w:rPr>
                <w:rFonts w:ascii="Calibri" w:hAnsi="Calibri" w:cs="Calibri"/>
                <w:lang w:val="da-DK"/>
              </w:rPr>
              <w:t>Lausanne: Service de Néphrologie et Institut Universitaire de Médecine Sociale et Préventive Centre Hospitalier Universitaire Vaudois.</w:t>
            </w:r>
          </w:p>
        </w:tc>
      </w:tr>
      <w:tr w:rsidR="00AB3D9D" w:rsidRPr="00586532" w14:paraId="788F7E6C"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tcBorders>
            <w:shd w:val="clear" w:color="auto" w:fill="auto"/>
            <w:noWrap/>
          </w:tcPr>
          <w:p w14:paraId="3501C837" w14:textId="531082C0" w:rsidR="00AB3D9D" w:rsidRDefault="00AB3D9D" w:rsidP="00EC611C">
            <w:pPr>
              <w:spacing w:line="276" w:lineRule="auto"/>
              <w:rPr>
                <w:rFonts w:ascii="Calibri" w:hAnsi="Calibri" w:cs="Calibri"/>
                <w:b w:val="0"/>
                <w:bCs w:val="0"/>
              </w:rPr>
            </w:pPr>
            <w:r>
              <w:rPr>
                <w:rFonts w:ascii="Calibri" w:hAnsi="Calibri" w:cs="Calibri"/>
                <w:b w:val="0"/>
                <w:bCs w:val="0"/>
              </w:rPr>
              <w:t>Tajikistan</w:t>
            </w:r>
          </w:p>
        </w:tc>
        <w:tc>
          <w:tcPr>
            <w:tcW w:w="2551" w:type="dxa"/>
            <w:tcBorders>
              <w:top w:val="single" w:sz="12" w:space="0" w:color="666666" w:themeColor="text1" w:themeTint="99"/>
            </w:tcBorders>
            <w:shd w:val="clear" w:color="auto" w:fill="auto"/>
            <w:noWrap/>
          </w:tcPr>
          <w:p w14:paraId="206AB675" w14:textId="7385B2BF" w:rsidR="00AB3D9D" w:rsidRDefault="00AB3D9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tcBorders>
            <w:shd w:val="clear" w:color="auto" w:fill="auto"/>
            <w:noWrap/>
          </w:tcPr>
          <w:p w14:paraId="38E65D21" w14:textId="4B2448CA" w:rsidR="00AB3D9D"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4051">
              <w:rPr>
                <w:rFonts w:ascii="Calibri" w:hAnsi="Calibri" w:cs="Calibri"/>
              </w:rPr>
              <w:t>STEPS: распространённость факторов риска неинфекционных заболеваний в Республике Таджикистан, 2017 г. (STEPS: prevalence of noncommunicable disease risk factors in the Republic of Tajikistan 2017). Copenhagen: WHO Regional Office for Europe.</w:t>
            </w:r>
          </w:p>
        </w:tc>
      </w:tr>
      <w:tr w:rsidR="005B1A0B" w:rsidRPr="00586532" w14:paraId="3ED9D4BB"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tcBorders>
            <w:shd w:val="clear" w:color="auto" w:fill="auto"/>
            <w:noWrap/>
          </w:tcPr>
          <w:p w14:paraId="0C500E50" w14:textId="6FEF9B18" w:rsidR="005B1A0B" w:rsidRDefault="005B1A0B" w:rsidP="00EC611C">
            <w:pPr>
              <w:spacing w:line="276" w:lineRule="auto"/>
              <w:rPr>
                <w:rFonts w:ascii="Calibri" w:hAnsi="Calibri" w:cs="Calibri"/>
                <w:b w:val="0"/>
                <w:bCs w:val="0"/>
              </w:rPr>
            </w:pPr>
            <w:r>
              <w:rPr>
                <w:rFonts w:ascii="Calibri" w:hAnsi="Calibri" w:cs="Calibri"/>
                <w:b w:val="0"/>
                <w:bCs w:val="0"/>
              </w:rPr>
              <w:t>Turkmenistan</w:t>
            </w:r>
          </w:p>
        </w:tc>
        <w:tc>
          <w:tcPr>
            <w:tcW w:w="2551" w:type="dxa"/>
            <w:tcBorders>
              <w:top w:val="single" w:sz="12" w:space="0" w:color="666666" w:themeColor="text1" w:themeTint="99"/>
            </w:tcBorders>
            <w:shd w:val="clear" w:color="auto" w:fill="auto"/>
            <w:noWrap/>
          </w:tcPr>
          <w:p w14:paraId="7641D8BE" w14:textId="22A0D84C"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tcBorders>
            <w:shd w:val="clear" w:color="auto" w:fill="auto"/>
            <w:noWrap/>
          </w:tcPr>
          <w:p w14:paraId="5724EE61" w14:textId="30773108" w:rsidR="005B1A0B"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4051">
              <w:rPr>
                <w:rFonts w:ascii="Calibri" w:hAnsi="Calibri" w:cs="Calibri"/>
              </w:rPr>
              <w:t>STEPS: распространённость факторов риска неинфекционных заболеваний в Туркменистане, 2018 г. (STEPS: prevalence of noncommunicable disease risk factors in Turkmenistan 2018). Copenhagen: WHO Regional Office for Europe.</w:t>
            </w:r>
          </w:p>
        </w:tc>
      </w:tr>
      <w:tr w:rsidR="005B1A0B" w:rsidRPr="00586532" w14:paraId="19C616E4"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tcBorders>
            <w:shd w:val="clear" w:color="auto" w:fill="auto"/>
            <w:noWrap/>
          </w:tcPr>
          <w:p w14:paraId="75F9D1F8" w14:textId="572D07AA" w:rsidR="005B1A0B" w:rsidRDefault="005B1A0B" w:rsidP="00EC611C">
            <w:pPr>
              <w:spacing w:line="276" w:lineRule="auto"/>
              <w:rPr>
                <w:rFonts w:ascii="Calibri" w:hAnsi="Calibri" w:cs="Calibri"/>
                <w:b w:val="0"/>
                <w:bCs w:val="0"/>
              </w:rPr>
            </w:pPr>
            <w:r>
              <w:rPr>
                <w:rFonts w:ascii="Calibri" w:hAnsi="Calibri" w:cs="Calibri"/>
                <w:b w:val="0"/>
                <w:bCs w:val="0"/>
              </w:rPr>
              <w:t>Ukraine</w:t>
            </w:r>
          </w:p>
        </w:tc>
        <w:tc>
          <w:tcPr>
            <w:tcW w:w="2551" w:type="dxa"/>
            <w:tcBorders>
              <w:top w:val="single" w:sz="12" w:space="0" w:color="666666" w:themeColor="text1" w:themeTint="99"/>
            </w:tcBorders>
            <w:shd w:val="clear" w:color="auto" w:fill="auto"/>
            <w:noWrap/>
          </w:tcPr>
          <w:p w14:paraId="0BF91D25" w14:textId="63BBA798" w:rsidR="005B1A0B" w:rsidRDefault="00AB3D9D"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CCS</w:t>
            </w:r>
          </w:p>
        </w:tc>
        <w:tc>
          <w:tcPr>
            <w:tcW w:w="10052" w:type="dxa"/>
            <w:tcBorders>
              <w:top w:val="single" w:sz="12" w:space="0" w:color="666666" w:themeColor="text1" w:themeTint="99"/>
            </w:tcBorders>
            <w:shd w:val="clear" w:color="auto" w:fill="auto"/>
            <w:noWrap/>
          </w:tcPr>
          <w:p w14:paraId="6EDFC644" w14:textId="31B6BC33" w:rsidR="005B1A0B" w:rsidRDefault="00A44051"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4051">
              <w:rPr>
                <w:rFonts w:ascii="Calibri" w:hAnsi="Calibri" w:cs="Calibri"/>
              </w:rPr>
              <w:t>STEPS: prevalence of noncommunicable disease risk factors in Ukraine 2019. Copenhagen: WHO Regional Office for Europe.</w:t>
            </w:r>
          </w:p>
        </w:tc>
      </w:tr>
      <w:tr w:rsidR="00A44051" w:rsidRPr="00586532" w14:paraId="2B4DA510" w14:textId="77777777" w:rsidTr="00A55E0C">
        <w:trPr>
          <w:trHeight w:val="736"/>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tcBorders>
            <w:shd w:val="clear" w:color="auto" w:fill="auto"/>
            <w:noWrap/>
          </w:tcPr>
          <w:p w14:paraId="57703D98" w14:textId="25A5A2AB" w:rsidR="00A44051" w:rsidRDefault="00A44051" w:rsidP="00EC611C">
            <w:pPr>
              <w:spacing w:line="276" w:lineRule="auto"/>
              <w:rPr>
                <w:rFonts w:ascii="Calibri" w:hAnsi="Calibri" w:cs="Calibri"/>
                <w:b w:val="0"/>
                <w:bCs w:val="0"/>
              </w:rPr>
            </w:pPr>
            <w:r>
              <w:rPr>
                <w:rFonts w:ascii="Calibri" w:hAnsi="Calibri" w:cs="Calibri"/>
                <w:b w:val="0"/>
                <w:bCs w:val="0"/>
              </w:rPr>
              <w:t>United Kingdom</w:t>
            </w:r>
          </w:p>
        </w:tc>
        <w:tc>
          <w:tcPr>
            <w:tcW w:w="2551" w:type="dxa"/>
            <w:tcBorders>
              <w:top w:val="single" w:sz="12" w:space="0" w:color="666666" w:themeColor="text1" w:themeTint="99"/>
            </w:tcBorders>
            <w:shd w:val="clear" w:color="auto" w:fill="auto"/>
            <w:noWrap/>
          </w:tcPr>
          <w:p w14:paraId="07F7CD35" w14:textId="58F06FA6" w:rsidR="00A44051" w:rsidRDefault="00F1717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Personal communication</w:t>
            </w:r>
          </w:p>
        </w:tc>
        <w:tc>
          <w:tcPr>
            <w:tcW w:w="10052" w:type="dxa"/>
            <w:tcBorders>
              <w:top w:val="single" w:sz="12" w:space="0" w:color="666666" w:themeColor="text1" w:themeTint="99"/>
            </w:tcBorders>
            <w:shd w:val="clear" w:color="auto" w:fill="auto"/>
            <w:noWrap/>
          </w:tcPr>
          <w:p w14:paraId="48882DB0" w14:textId="360884C6" w:rsidR="00A44051" w:rsidRDefault="005F7BF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7BF0">
              <w:rPr>
                <w:rFonts w:ascii="Calibri" w:hAnsi="Calibri" w:cs="Calibri"/>
                <w:lang w:val="da-DK"/>
              </w:rPr>
              <w:t xml:space="preserve">Ashford R, Jones K, Collins D, et al. </w:t>
            </w:r>
            <w:r w:rsidRPr="005F7BF0">
              <w:rPr>
                <w:rFonts w:ascii="Calibri" w:hAnsi="Calibri" w:cs="Calibri"/>
              </w:rPr>
              <w:t>(2020) National Diet and Nutrition Survey - Assessment of salt intake from urinary sodium in adults (aged 19 to 64 years) in England, 2018 to 2019. London: Public Health England.</w:t>
            </w:r>
            <w:r w:rsidR="00ED7B0A">
              <w:rPr>
                <w:rFonts w:ascii="Calibri" w:hAnsi="Calibri" w:cs="Calibri"/>
              </w:rPr>
              <w:t xml:space="preserve"> Obtained report via staff at WHO NCD Office.</w:t>
            </w:r>
          </w:p>
        </w:tc>
      </w:tr>
      <w:tr w:rsidR="005B1A0B" w:rsidRPr="00586532" w14:paraId="2ECAD38B" w14:textId="77777777" w:rsidTr="00BC4198">
        <w:trPr>
          <w:trHeight w:val="29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666666" w:themeColor="text1" w:themeTint="99"/>
            </w:tcBorders>
            <w:shd w:val="clear" w:color="auto" w:fill="auto"/>
            <w:noWrap/>
          </w:tcPr>
          <w:p w14:paraId="29CA8914" w14:textId="3FD42B44" w:rsidR="005B1A0B" w:rsidRDefault="005B1A0B" w:rsidP="00EC611C">
            <w:pPr>
              <w:spacing w:line="276" w:lineRule="auto"/>
              <w:rPr>
                <w:rFonts w:ascii="Calibri" w:hAnsi="Calibri" w:cs="Calibri"/>
                <w:b w:val="0"/>
                <w:bCs w:val="0"/>
              </w:rPr>
            </w:pPr>
            <w:r>
              <w:rPr>
                <w:rFonts w:ascii="Calibri" w:hAnsi="Calibri" w:cs="Calibri"/>
                <w:b w:val="0"/>
                <w:bCs w:val="0"/>
              </w:rPr>
              <w:t>Uzbekistan</w:t>
            </w:r>
          </w:p>
        </w:tc>
        <w:tc>
          <w:tcPr>
            <w:tcW w:w="2551" w:type="dxa"/>
            <w:tcBorders>
              <w:top w:val="single" w:sz="12" w:space="0" w:color="666666" w:themeColor="text1" w:themeTint="99"/>
            </w:tcBorders>
            <w:shd w:val="clear" w:color="auto" w:fill="auto"/>
            <w:noWrap/>
          </w:tcPr>
          <w:p w14:paraId="59F97E42" w14:textId="21976285" w:rsidR="005B1A0B" w:rsidRDefault="005B1A0B"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WHO Country Office</w:t>
            </w:r>
          </w:p>
        </w:tc>
        <w:tc>
          <w:tcPr>
            <w:tcW w:w="10052" w:type="dxa"/>
            <w:tcBorders>
              <w:top w:val="single" w:sz="12" w:space="0" w:color="666666" w:themeColor="text1" w:themeTint="99"/>
            </w:tcBorders>
            <w:shd w:val="clear" w:color="auto" w:fill="auto"/>
            <w:noWrap/>
          </w:tcPr>
          <w:p w14:paraId="536D9A71" w14:textId="44312413" w:rsidR="005B1A0B" w:rsidRDefault="005F7BF0" w:rsidP="00EC611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F7BF0">
              <w:rPr>
                <w:rFonts w:ascii="Calibri" w:hAnsi="Calibri" w:cs="Calibri"/>
              </w:rPr>
              <w:t xml:space="preserve">Определение базового уровня потребления соли населением Узбекистана в возрасте 18-64 лет (Determination of basic level of salt consumption in the population of Uzbekistan aged 18-64). Tashkent: World Health Organization. </w:t>
            </w:r>
            <w:r w:rsidR="00ED7B0A">
              <w:rPr>
                <w:rFonts w:ascii="Calibri" w:hAnsi="Calibri" w:cs="Calibri"/>
              </w:rPr>
              <w:t>Unpublished report, obtained via staff at WHO Uzbekistan Country Office.</w:t>
            </w:r>
          </w:p>
        </w:tc>
      </w:tr>
    </w:tbl>
    <w:p w14:paraId="5EBCB9D2" w14:textId="77777777" w:rsidR="003C1363" w:rsidRPr="00586532" w:rsidRDefault="003C1363" w:rsidP="00586532">
      <w:pPr>
        <w:spacing w:line="276" w:lineRule="auto"/>
        <w:rPr>
          <w:rFonts w:ascii="Calibri" w:hAnsi="Calibri" w:cs="Calibri"/>
          <w:lang w:val="en-US"/>
        </w:rPr>
      </w:pPr>
    </w:p>
    <w:sectPr w:rsidR="003C1363" w:rsidRPr="00586532" w:rsidSect="00FD4860">
      <w:footerReference w:type="even"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FD19" w14:textId="77777777" w:rsidR="0070532A" w:rsidRDefault="0070532A" w:rsidP="00776F11">
      <w:pPr>
        <w:spacing w:after="0" w:line="240" w:lineRule="auto"/>
      </w:pPr>
      <w:r>
        <w:separator/>
      </w:r>
    </w:p>
  </w:endnote>
  <w:endnote w:type="continuationSeparator" w:id="0">
    <w:p w14:paraId="1FE9D67F" w14:textId="77777777" w:rsidR="0070532A" w:rsidRDefault="0070532A" w:rsidP="0077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772035"/>
      <w:docPartObj>
        <w:docPartGallery w:val="Page Numbers (Bottom of Page)"/>
        <w:docPartUnique/>
      </w:docPartObj>
    </w:sdtPr>
    <w:sdtEndPr>
      <w:rPr>
        <w:rStyle w:val="PageNumber"/>
      </w:rPr>
    </w:sdtEndPr>
    <w:sdtContent>
      <w:p w14:paraId="225AE4E3" w14:textId="1D713248" w:rsidR="00776F11" w:rsidRDefault="00776F11" w:rsidP="00733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7B301" w14:textId="77777777" w:rsidR="00776F11" w:rsidRDefault="0077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334479"/>
      <w:docPartObj>
        <w:docPartGallery w:val="Page Numbers (Bottom of Page)"/>
        <w:docPartUnique/>
      </w:docPartObj>
    </w:sdtPr>
    <w:sdtEndPr>
      <w:rPr>
        <w:rStyle w:val="PageNumber"/>
      </w:rPr>
    </w:sdtEndPr>
    <w:sdtContent>
      <w:p w14:paraId="4FE7FFF7" w14:textId="75F81D26" w:rsidR="00776F11" w:rsidRDefault="00776F11" w:rsidP="00733E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E658C2" w14:textId="77777777" w:rsidR="00776F11" w:rsidRDefault="0077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D8FE" w14:textId="77777777" w:rsidR="0070532A" w:rsidRDefault="0070532A" w:rsidP="00776F11">
      <w:pPr>
        <w:spacing w:after="0" w:line="240" w:lineRule="auto"/>
      </w:pPr>
      <w:r>
        <w:separator/>
      </w:r>
    </w:p>
  </w:footnote>
  <w:footnote w:type="continuationSeparator" w:id="0">
    <w:p w14:paraId="35342381" w14:textId="77777777" w:rsidR="0070532A" w:rsidRDefault="0070532A" w:rsidP="00776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B3826"/>
    <w:multiLevelType w:val="multilevel"/>
    <w:tmpl w:val="9B405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2063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60"/>
    <w:rsid w:val="002010AD"/>
    <w:rsid w:val="0028553E"/>
    <w:rsid w:val="003261CB"/>
    <w:rsid w:val="00393D82"/>
    <w:rsid w:val="003C1363"/>
    <w:rsid w:val="00403D9D"/>
    <w:rsid w:val="00475925"/>
    <w:rsid w:val="00494B86"/>
    <w:rsid w:val="00586532"/>
    <w:rsid w:val="005A04B9"/>
    <w:rsid w:val="005B1A0B"/>
    <w:rsid w:val="005B4B58"/>
    <w:rsid w:val="005F7BF0"/>
    <w:rsid w:val="006034FB"/>
    <w:rsid w:val="00633EC8"/>
    <w:rsid w:val="00655F19"/>
    <w:rsid w:val="006F20F9"/>
    <w:rsid w:val="0070532A"/>
    <w:rsid w:val="00776F11"/>
    <w:rsid w:val="007933F1"/>
    <w:rsid w:val="00806190"/>
    <w:rsid w:val="0082605F"/>
    <w:rsid w:val="00853B9E"/>
    <w:rsid w:val="009726E9"/>
    <w:rsid w:val="009E284C"/>
    <w:rsid w:val="00A4272A"/>
    <w:rsid w:val="00A44051"/>
    <w:rsid w:val="00A55CB6"/>
    <w:rsid w:val="00A55E0C"/>
    <w:rsid w:val="00A65712"/>
    <w:rsid w:val="00AB3D9D"/>
    <w:rsid w:val="00AF7839"/>
    <w:rsid w:val="00B72D34"/>
    <w:rsid w:val="00B83B76"/>
    <w:rsid w:val="00BC4198"/>
    <w:rsid w:val="00C86023"/>
    <w:rsid w:val="00CB7D38"/>
    <w:rsid w:val="00D029C1"/>
    <w:rsid w:val="00D25D75"/>
    <w:rsid w:val="00DA5733"/>
    <w:rsid w:val="00DE46B5"/>
    <w:rsid w:val="00DF1487"/>
    <w:rsid w:val="00E8278F"/>
    <w:rsid w:val="00E9089E"/>
    <w:rsid w:val="00ED7B0A"/>
    <w:rsid w:val="00EE0514"/>
    <w:rsid w:val="00F17170"/>
    <w:rsid w:val="00F42DDB"/>
    <w:rsid w:val="00F83B38"/>
    <w:rsid w:val="00FD48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03A"/>
  <w15:chartTrackingRefBased/>
  <w15:docId w15:val="{14458F53-85C0-4BEA-91F2-3E4E3181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60"/>
    <w:pPr>
      <w:ind w:left="720"/>
      <w:contextualSpacing/>
    </w:pPr>
  </w:style>
  <w:style w:type="table" w:styleId="TableGrid">
    <w:name w:val="Table Grid"/>
    <w:basedOn w:val="TableNormal"/>
    <w:uiPriority w:val="39"/>
    <w:rsid w:val="00FD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D48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42DDB"/>
    <w:rPr>
      <w:sz w:val="16"/>
      <w:szCs w:val="16"/>
    </w:rPr>
  </w:style>
  <w:style w:type="paragraph" w:styleId="CommentText">
    <w:name w:val="annotation text"/>
    <w:basedOn w:val="Normal"/>
    <w:link w:val="CommentTextChar"/>
    <w:uiPriority w:val="99"/>
    <w:semiHidden/>
    <w:unhideWhenUsed/>
    <w:rsid w:val="00F42DDB"/>
    <w:pPr>
      <w:spacing w:line="240" w:lineRule="auto"/>
    </w:pPr>
    <w:rPr>
      <w:sz w:val="20"/>
      <w:szCs w:val="20"/>
    </w:rPr>
  </w:style>
  <w:style w:type="character" w:customStyle="1" w:styleId="CommentTextChar">
    <w:name w:val="Comment Text Char"/>
    <w:basedOn w:val="DefaultParagraphFont"/>
    <w:link w:val="CommentText"/>
    <w:uiPriority w:val="99"/>
    <w:semiHidden/>
    <w:rsid w:val="00F42DDB"/>
    <w:rPr>
      <w:sz w:val="20"/>
      <w:szCs w:val="20"/>
      <w:lang w:val="en-GB"/>
    </w:rPr>
  </w:style>
  <w:style w:type="paragraph" w:styleId="CommentSubject">
    <w:name w:val="annotation subject"/>
    <w:basedOn w:val="CommentText"/>
    <w:next w:val="CommentText"/>
    <w:link w:val="CommentSubjectChar"/>
    <w:uiPriority w:val="99"/>
    <w:semiHidden/>
    <w:unhideWhenUsed/>
    <w:rsid w:val="00F42DDB"/>
    <w:rPr>
      <w:b/>
      <w:bCs/>
    </w:rPr>
  </w:style>
  <w:style w:type="character" w:customStyle="1" w:styleId="CommentSubjectChar">
    <w:name w:val="Comment Subject Char"/>
    <w:basedOn w:val="CommentTextChar"/>
    <w:link w:val="CommentSubject"/>
    <w:uiPriority w:val="99"/>
    <w:semiHidden/>
    <w:rsid w:val="00F42DDB"/>
    <w:rPr>
      <w:b/>
      <w:bCs/>
      <w:sz w:val="20"/>
      <w:szCs w:val="20"/>
      <w:lang w:val="en-GB"/>
    </w:rPr>
  </w:style>
  <w:style w:type="paragraph" w:styleId="BalloonText">
    <w:name w:val="Balloon Text"/>
    <w:basedOn w:val="Normal"/>
    <w:link w:val="BalloonTextChar"/>
    <w:uiPriority w:val="99"/>
    <w:semiHidden/>
    <w:unhideWhenUsed/>
    <w:rsid w:val="00F42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DDB"/>
    <w:rPr>
      <w:rFonts w:ascii="Segoe UI" w:hAnsi="Segoe UI" w:cs="Segoe UI"/>
      <w:sz w:val="18"/>
      <w:szCs w:val="18"/>
      <w:lang w:val="en-GB"/>
    </w:rPr>
  </w:style>
  <w:style w:type="character" w:styleId="Hyperlink">
    <w:name w:val="Hyperlink"/>
    <w:basedOn w:val="DefaultParagraphFont"/>
    <w:uiPriority w:val="99"/>
    <w:unhideWhenUsed/>
    <w:rsid w:val="00E9089E"/>
    <w:rPr>
      <w:color w:val="0563C1" w:themeColor="hyperlink"/>
      <w:u w:val="single"/>
    </w:rPr>
  </w:style>
  <w:style w:type="character" w:styleId="UnresolvedMention">
    <w:name w:val="Unresolved Mention"/>
    <w:basedOn w:val="DefaultParagraphFont"/>
    <w:uiPriority w:val="99"/>
    <w:semiHidden/>
    <w:unhideWhenUsed/>
    <w:rsid w:val="00E9089E"/>
    <w:rPr>
      <w:color w:val="605E5C"/>
      <w:shd w:val="clear" w:color="auto" w:fill="E1DFDD"/>
    </w:rPr>
  </w:style>
  <w:style w:type="paragraph" w:styleId="Footer">
    <w:name w:val="footer"/>
    <w:basedOn w:val="Normal"/>
    <w:link w:val="FooterChar"/>
    <w:uiPriority w:val="99"/>
    <w:unhideWhenUsed/>
    <w:rsid w:val="00776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11"/>
    <w:rPr>
      <w:lang w:val="en-GB"/>
    </w:rPr>
  </w:style>
  <w:style w:type="character" w:styleId="PageNumber">
    <w:name w:val="page number"/>
    <w:basedOn w:val="DefaultParagraphFont"/>
    <w:uiPriority w:val="99"/>
    <w:semiHidden/>
    <w:unhideWhenUsed/>
    <w:rsid w:val="0077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9295">
      <w:bodyDiv w:val="1"/>
      <w:marLeft w:val="0"/>
      <w:marRight w:val="0"/>
      <w:marTop w:val="0"/>
      <w:marBottom w:val="0"/>
      <w:divBdr>
        <w:top w:val="none" w:sz="0" w:space="0" w:color="auto"/>
        <w:left w:val="none" w:sz="0" w:space="0" w:color="auto"/>
        <w:bottom w:val="none" w:sz="0" w:space="0" w:color="auto"/>
        <w:right w:val="none" w:sz="0" w:space="0" w:color="auto"/>
      </w:divBdr>
      <w:divsChild>
        <w:div w:id="1643382421">
          <w:marLeft w:val="0"/>
          <w:marRight w:val="0"/>
          <w:marTop w:val="0"/>
          <w:marBottom w:val="0"/>
          <w:divBdr>
            <w:top w:val="none" w:sz="0" w:space="0" w:color="auto"/>
            <w:left w:val="none" w:sz="0" w:space="0" w:color="auto"/>
            <w:bottom w:val="none" w:sz="0" w:space="0" w:color="auto"/>
            <w:right w:val="none" w:sz="0" w:space="0" w:color="auto"/>
          </w:divBdr>
          <w:divsChild>
            <w:div w:id="405302579">
              <w:marLeft w:val="0"/>
              <w:marRight w:val="0"/>
              <w:marTop w:val="0"/>
              <w:marBottom w:val="0"/>
              <w:divBdr>
                <w:top w:val="none" w:sz="0" w:space="0" w:color="auto"/>
                <w:left w:val="none" w:sz="0" w:space="0" w:color="auto"/>
                <w:bottom w:val="none" w:sz="0" w:space="0" w:color="auto"/>
                <w:right w:val="none" w:sz="0" w:space="0" w:color="auto"/>
              </w:divBdr>
              <w:divsChild>
                <w:div w:id="16197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9533">
      <w:bodyDiv w:val="1"/>
      <w:marLeft w:val="0"/>
      <w:marRight w:val="0"/>
      <w:marTop w:val="0"/>
      <w:marBottom w:val="0"/>
      <w:divBdr>
        <w:top w:val="none" w:sz="0" w:space="0" w:color="auto"/>
        <w:left w:val="none" w:sz="0" w:space="0" w:color="auto"/>
        <w:bottom w:val="none" w:sz="0" w:space="0" w:color="auto"/>
        <w:right w:val="none" w:sz="0" w:space="0" w:color="auto"/>
      </w:divBdr>
    </w:div>
    <w:div w:id="387463924">
      <w:bodyDiv w:val="1"/>
      <w:marLeft w:val="0"/>
      <w:marRight w:val="0"/>
      <w:marTop w:val="0"/>
      <w:marBottom w:val="0"/>
      <w:divBdr>
        <w:top w:val="none" w:sz="0" w:space="0" w:color="auto"/>
        <w:left w:val="none" w:sz="0" w:space="0" w:color="auto"/>
        <w:bottom w:val="none" w:sz="0" w:space="0" w:color="auto"/>
        <w:right w:val="none" w:sz="0" w:space="0" w:color="auto"/>
      </w:divBdr>
    </w:div>
    <w:div w:id="945576483">
      <w:bodyDiv w:val="1"/>
      <w:marLeft w:val="0"/>
      <w:marRight w:val="0"/>
      <w:marTop w:val="0"/>
      <w:marBottom w:val="0"/>
      <w:divBdr>
        <w:top w:val="none" w:sz="0" w:space="0" w:color="auto"/>
        <w:left w:val="none" w:sz="0" w:space="0" w:color="auto"/>
        <w:bottom w:val="none" w:sz="0" w:space="0" w:color="auto"/>
        <w:right w:val="none" w:sz="0" w:space="0" w:color="auto"/>
      </w:divBdr>
    </w:div>
    <w:div w:id="1145314971">
      <w:bodyDiv w:val="1"/>
      <w:marLeft w:val="0"/>
      <w:marRight w:val="0"/>
      <w:marTop w:val="0"/>
      <w:marBottom w:val="0"/>
      <w:divBdr>
        <w:top w:val="none" w:sz="0" w:space="0" w:color="auto"/>
        <w:left w:val="none" w:sz="0" w:space="0" w:color="auto"/>
        <w:bottom w:val="none" w:sz="0" w:space="0" w:color="auto"/>
        <w:right w:val="none" w:sz="0" w:space="0" w:color="auto"/>
      </w:divBdr>
      <w:divsChild>
        <w:div w:id="446196161">
          <w:marLeft w:val="0"/>
          <w:marRight w:val="0"/>
          <w:marTop w:val="0"/>
          <w:marBottom w:val="0"/>
          <w:divBdr>
            <w:top w:val="none" w:sz="0" w:space="0" w:color="auto"/>
            <w:left w:val="none" w:sz="0" w:space="0" w:color="auto"/>
            <w:bottom w:val="none" w:sz="0" w:space="0" w:color="auto"/>
            <w:right w:val="none" w:sz="0" w:space="0" w:color="auto"/>
          </w:divBdr>
          <w:divsChild>
            <w:div w:id="325977876">
              <w:marLeft w:val="0"/>
              <w:marRight w:val="0"/>
              <w:marTop w:val="0"/>
              <w:marBottom w:val="0"/>
              <w:divBdr>
                <w:top w:val="none" w:sz="0" w:space="0" w:color="auto"/>
                <w:left w:val="none" w:sz="0" w:space="0" w:color="auto"/>
                <w:bottom w:val="none" w:sz="0" w:space="0" w:color="auto"/>
                <w:right w:val="none" w:sz="0" w:space="0" w:color="auto"/>
              </w:divBdr>
              <w:divsChild>
                <w:div w:id="1432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0154">
      <w:bodyDiv w:val="1"/>
      <w:marLeft w:val="0"/>
      <w:marRight w:val="0"/>
      <w:marTop w:val="0"/>
      <w:marBottom w:val="0"/>
      <w:divBdr>
        <w:top w:val="none" w:sz="0" w:space="0" w:color="auto"/>
        <w:left w:val="none" w:sz="0" w:space="0" w:color="auto"/>
        <w:bottom w:val="none" w:sz="0" w:space="0" w:color="auto"/>
        <w:right w:val="none" w:sz="0" w:space="0" w:color="auto"/>
      </w:divBdr>
      <w:divsChild>
        <w:div w:id="786704255">
          <w:marLeft w:val="0"/>
          <w:marRight w:val="0"/>
          <w:marTop w:val="0"/>
          <w:marBottom w:val="0"/>
          <w:divBdr>
            <w:top w:val="none" w:sz="0" w:space="0" w:color="auto"/>
            <w:left w:val="none" w:sz="0" w:space="0" w:color="auto"/>
            <w:bottom w:val="none" w:sz="0" w:space="0" w:color="auto"/>
            <w:right w:val="none" w:sz="0" w:space="0" w:color="auto"/>
          </w:divBdr>
          <w:divsChild>
            <w:div w:id="1178041581">
              <w:marLeft w:val="0"/>
              <w:marRight w:val="0"/>
              <w:marTop w:val="0"/>
              <w:marBottom w:val="0"/>
              <w:divBdr>
                <w:top w:val="none" w:sz="0" w:space="0" w:color="auto"/>
                <w:left w:val="none" w:sz="0" w:space="0" w:color="auto"/>
                <w:bottom w:val="none" w:sz="0" w:space="0" w:color="auto"/>
                <w:right w:val="none" w:sz="0" w:space="0" w:color="auto"/>
              </w:divBdr>
              <w:divsChild>
                <w:div w:id="6083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4006">
      <w:bodyDiv w:val="1"/>
      <w:marLeft w:val="0"/>
      <w:marRight w:val="0"/>
      <w:marTop w:val="0"/>
      <w:marBottom w:val="0"/>
      <w:divBdr>
        <w:top w:val="none" w:sz="0" w:space="0" w:color="auto"/>
        <w:left w:val="none" w:sz="0" w:space="0" w:color="auto"/>
        <w:bottom w:val="none" w:sz="0" w:space="0" w:color="auto"/>
        <w:right w:val="none" w:sz="0" w:space="0" w:color="auto"/>
      </w:divBdr>
      <w:divsChild>
        <w:div w:id="300959451">
          <w:marLeft w:val="0"/>
          <w:marRight w:val="0"/>
          <w:marTop w:val="0"/>
          <w:marBottom w:val="0"/>
          <w:divBdr>
            <w:top w:val="none" w:sz="0" w:space="0" w:color="auto"/>
            <w:left w:val="none" w:sz="0" w:space="0" w:color="auto"/>
            <w:bottom w:val="none" w:sz="0" w:space="0" w:color="auto"/>
            <w:right w:val="none" w:sz="0" w:space="0" w:color="auto"/>
          </w:divBdr>
          <w:divsChild>
            <w:div w:id="1665207621">
              <w:marLeft w:val="0"/>
              <w:marRight w:val="0"/>
              <w:marTop w:val="0"/>
              <w:marBottom w:val="0"/>
              <w:divBdr>
                <w:top w:val="none" w:sz="0" w:space="0" w:color="auto"/>
                <w:left w:val="none" w:sz="0" w:space="0" w:color="auto"/>
                <w:bottom w:val="none" w:sz="0" w:space="0" w:color="auto"/>
                <w:right w:val="none" w:sz="0" w:space="0" w:color="auto"/>
              </w:divBdr>
              <w:divsChild>
                <w:div w:id="1344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2165">
      <w:bodyDiv w:val="1"/>
      <w:marLeft w:val="0"/>
      <w:marRight w:val="0"/>
      <w:marTop w:val="0"/>
      <w:marBottom w:val="0"/>
      <w:divBdr>
        <w:top w:val="none" w:sz="0" w:space="0" w:color="auto"/>
        <w:left w:val="none" w:sz="0" w:space="0" w:color="auto"/>
        <w:bottom w:val="none" w:sz="0" w:space="0" w:color="auto"/>
        <w:right w:val="none" w:sz="0" w:space="0" w:color="auto"/>
      </w:divBdr>
      <w:divsChild>
        <w:div w:id="2100518918">
          <w:marLeft w:val="0"/>
          <w:marRight w:val="0"/>
          <w:marTop w:val="0"/>
          <w:marBottom w:val="0"/>
          <w:divBdr>
            <w:top w:val="none" w:sz="0" w:space="0" w:color="auto"/>
            <w:left w:val="none" w:sz="0" w:space="0" w:color="auto"/>
            <w:bottom w:val="none" w:sz="0" w:space="0" w:color="auto"/>
            <w:right w:val="none" w:sz="0" w:space="0" w:color="auto"/>
          </w:divBdr>
          <w:divsChild>
            <w:div w:id="244610493">
              <w:marLeft w:val="0"/>
              <w:marRight w:val="0"/>
              <w:marTop w:val="0"/>
              <w:marBottom w:val="0"/>
              <w:divBdr>
                <w:top w:val="none" w:sz="0" w:space="0" w:color="auto"/>
                <w:left w:val="none" w:sz="0" w:space="0" w:color="auto"/>
                <w:bottom w:val="none" w:sz="0" w:space="0" w:color="auto"/>
                <w:right w:val="none" w:sz="0" w:space="0" w:color="auto"/>
              </w:divBdr>
              <w:divsChild>
                <w:div w:id="12678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2204</Words>
  <Characters>12127</Characters>
  <Application>Microsoft Office Word</Application>
  <DocSecurity>0</DocSecurity>
  <Lines>346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Charlotte Bunge</dc:creator>
  <cp:keywords/>
  <dc:description/>
  <cp:lastModifiedBy>Edwin Kwong</cp:lastModifiedBy>
  <cp:revision>32</cp:revision>
  <dcterms:created xsi:type="dcterms:W3CDTF">2022-06-05T05:28:00Z</dcterms:created>
  <dcterms:modified xsi:type="dcterms:W3CDTF">2022-06-14T15:51:00Z</dcterms:modified>
</cp:coreProperties>
</file>