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5943" w14:textId="52FED8D1" w:rsidR="00FF3F99" w:rsidRPr="00E56FFE" w:rsidRDefault="00681CDB" w:rsidP="003863B6">
      <w:pPr>
        <w:jc w:val="center"/>
        <w:rPr>
          <w:b/>
          <w:bCs/>
        </w:rPr>
      </w:pPr>
      <w:bookmarkStart w:id="0" w:name="_Toc44680599"/>
      <w:r w:rsidRPr="00E56FFE">
        <w:rPr>
          <w:b/>
          <w:bCs/>
        </w:rPr>
        <w:t>SUPPLEMENTARY MATERIAL</w:t>
      </w:r>
    </w:p>
    <w:sdt>
      <w:sdtPr>
        <w:rPr>
          <w:rFonts w:asciiTheme="minorHAnsi" w:eastAsiaTheme="minorHAnsi" w:hAnsiTheme="minorHAnsi" w:cstheme="minorBidi"/>
          <w:i w:val="0"/>
          <w:iCs w:val="0"/>
          <w:color w:val="auto"/>
          <w:sz w:val="24"/>
          <w:szCs w:val="24"/>
        </w:rPr>
        <w:id w:val="-1914313686"/>
        <w:docPartObj>
          <w:docPartGallery w:val="Table of Contents"/>
          <w:docPartUnique/>
        </w:docPartObj>
      </w:sdtPr>
      <w:sdtEndPr>
        <w:rPr>
          <w:noProof/>
        </w:rPr>
      </w:sdtEndPr>
      <w:sdtContent>
        <w:p w14:paraId="4D7E092F" w14:textId="1D7259FD" w:rsidR="00FF3F99" w:rsidRDefault="00FF3F99">
          <w:pPr>
            <w:pStyle w:val="TOCHeading"/>
          </w:pPr>
          <w:r>
            <w:t>Table of Contents</w:t>
          </w:r>
        </w:p>
        <w:p w14:paraId="4EC5CE97" w14:textId="3E21AC76" w:rsidR="00FF3F99" w:rsidRPr="00FF3F99" w:rsidRDefault="00FF3F99">
          <w:pPr>
            <w:pStyle w:val="TOC1"/>
            <w:tabs>
              <w:tab w:val="right" w:leader="dot" w:pos="9350"/>
            </w:tabs>
            <w:rPr>
              <w:rFonts w:eastAsiaTheme="minorEastAsia" w:cstheme="minorBidi"/>
              <w:b w:val="0"/>
              <w:bCs w:val="0"/>
              <w:i w:val="0"/>
              <w:iCs w:val="0"/>
              <w:noProof/>
            </w:rPr>
          </w:pPr>
          <w:r w:rsidRPr="00FF3F99">
            <w:rPr>
              <w:b w:val="0"/>
              <w:bCs w:val="0"/>
            </w:rPr>
            <w:fldChar w:fldCharType="begin"/>
          </w:r>
          <w:r w:rsidRPr="00FF3F99">
            <w:rPr>
              <w:b w:val="0"/>
              <w:bCs w:val="0"/>
            </w:rPr>
            <w:instrText xml:space="preserve"> TOC \o "1-3" \h \z \u </w:instrText>
          </w:r>
          <w:r w:rsidRPr="00FF3F99">
            <w:rPr>
              <w:b w:val="0"/>
              <w:bCs w:val="0"/>
            </w:rPr>
            <w:fldChar w:fldCharType="separate"/>
          </w:r>
          <w:hyperlink w:anchor="_Toc76569015" w:history="1">
            <w:r w:rsidRPr="00FF3F99">
              <w:rPr>
                <w:rStyle w:val="Hyperlink"/>
                <w:b w:val="0"/>
                <w:bCs w:val="0"/>
                <w:noProof/>
              </w:rPr>
              <w:t>Table S1. Publications reviewed and the metrics reported</w:t>
            </w:r>
            <w:r w:rsidRPr="00FF3F99">
              <w:rPr>
                <w:b w:val="0"/>
                <w:bCs w:val="0"/>
                <w:noProof/>
                <w:webHidden/>
              </w:rPr>
              <w:tab/>
            </w:r>
            <w:r w:rsidRPr="00FF3F99">
              <w:rPr>
                <w:b w:val="0"/>
                <w:bCs w:val="0"/>
                <w:noProof/>
                <w:webHidden/>
              </w:rPr>
              <w:fldChar w:fldCharType="begin"/>
            </w:r>
            <w:r w:rsidRPr="00FF3F99">
              <w:rPr>
                <w:b w:val="0"/>
                <w:bCs w:val="0"/>
                <w:noProof/>
                <w:webHidden/>
              </w:rPr>
              <w:instrText xml:space="preserve"> PAGEREF _Toc76569015 \h </w:instrText>
            </w:r>
            <w:r w:rsidRPr="00FF3F99">
              <w:rPr>
                <w:b w:val="0"/>
                <w:bCs w:val="0"/>
                <w:noProof/>
                <w:webHidden/>
              </w:rPr>
            </w:r>
            <w:r w:rsidRPr="00FF3F99">
              <w:rPr>
                <w:b w:val="0"/>
                <w:bCs w:val="0"/>
                <w:noProof/>
                <w:webHidden/>
              </w:rPr>
              <w:fldChar w:fldCharType="separate"/>
            </w:r>
            <w:r w:rsidRPr="00FF3F99">
              <w:rPr>
                <w:b w:val="0"/>
                <w:bCs w:val="0"/>
                <w:noProof/>
                <w:webHidden/>
              </w:rPr>
              <w:t>2</w:t>
            </w:r>
            <w:r w:rsidRPr="00FF3F99">
              <w:rPr>
                <w:b w:val="0"/>
                <w:bCs w:val="0"/>
                <w:noProof/>
                <w:webHidden/>
              </w:rPr>
              <w:fldChar w:fldCharType="end"/>
            </w:r>
          </w:hyperlink>
        </w:p>
        <w:p w14:paraId="15934B14" w14:textId="42687461" w:rsidR="00FF3F99" w:rsidRPr="00FF3F99" w:rsidRDefault="004110BC">
          <w:pPr>
            <w:pStyle w:val="TOC1"/>
            <w:tabs>
              <w:tab w:val="right" w:leader="dot" w:pos="9350"/>
            </w:tabs>
            <w:rPr>
              <w:rFonts w:eastAsiaTheme="minorEastAsia" w:cstheme="minorBidi"/>
              <w:b w:val="0"/>
              <w:bCs w:val="0"/>
              <w:i w:val="0"/>
              <w:iCs w:val="0"/>
              <w:noProof/>
            </w:rPr>
          </w:pPr>
          <w:hyperlink w:anchor="_Toc76569016" w:history="1">
            <w:r w:rsidR="00FF3F99" w:rsidRPr="00FF3F99">
              <w:rPr>
                <w:rStyle w:val="Hyperlink"/>
                <w:b w:val="0"/>
                <w:bCs w:val="0"/>
                <w:noProof/>
              </w:rPr>
              <w:t>Table S2. Characteristics of Household Consumption &amp; Expenditure Survey (HCES) food consumption data used in the included publications</w:t>
            </w:r>
            <w:r w:rsidR="00FF3F99" w:rsidRPr="00FF3F99">
              <w:rPr>
                <w:b w:val="0"/>
                <w:bCs w:val="0"/>
                <w:noProof/>
                <w:webHidden/>
              </w:rPr>
              <w:tab/>
            </w:r>
            <w:r w:rsidR="00FF3F99" w:rsidRPr="00FF3F99">
              <w:rPr>
                <w:b w:val="0"/>
                <w:bCs w:val="0"/>
                <w:noProof/>
                <w:webHidden/>
              </w:rPr>
              <w:fldChar w:fldCharType="begin"/>
            </w:r>
            <w:r w:rsidR="00FF3F99" w:rsidRPr="00FF3F99">
              <w:rPr>
                <w:b w:val="0"/>
                <w:bCs w:val="0"/>
                <w:noProof/>
                <w:webHidden/>
              </w:rPr>
              <w:instrText xml:space="preserve"> PAGEREF _Toc76569016 \h </w:instrText>
            </w:r>
            <w:r w:rsidR="00FF3F99" w:rsidRPr="00FF3F99">
              <w:rPr>
                <w:b w:val="0"/>
                <w:bCs w:val="0"/>
                <w:noProof/>
                <w:webHidden/>
              </w:rPr>
            </w:r>
            <w:r w:rsidR="00FF3F99" w:rsidRPr="00FF3F99">
              <w:rPr>
                <w:b w:val="0"/>
                <w:bCs w:val="0"/>
                <w:noProof/>
                <w:webHidden/>
              </w:rPr>
              <w:fldChar w:fldCharType="separate"/>
            </w:r>
            <w:r w:rsidR="00FF3F99" w:rsidRPr="00FF3F99">
              <w:rPr>
                <w:b w:val="0"/>
                <w:bCs w:val="0"/>
                <w:noProof/>
                <w:webHidden/>
              </w:rPr>
              <w:t>4</w:t>
            </w:r>
            <w:r w:rsidR="00FF3F99" w:rsidRPr="00FF3F99">
              <w:rPr>
                <w:b w:val="0"/>
                <w:bCs w:val="0"/>
                <w:noProof/>
                <w:webHidden/>
              </w:rPr>
              <w:fldChar w:fldCharType="end"/>
            </w:r>
          </w:hyperlink>
        </w:p>
        <w:p w14:paraId="4EB3F809" w14:textId="3841A547" w:rsidR="00FF3F99" w:rsidRPr="00FF3F99" w:rsidRDefault="004110BC">
          <w:pPr>
            <w:pStyle w:val="TOC1"/>
            <w:tabs>
              <w:tab w:val="right" w:leader="dot" w:pos="9350"/>
            </w:tabs>
            <w:rPr>
              <w:rFonts w:eastAsiaTheme="minorEastAsia" w:cstheme="minorBidi"/>
              <w:b w:val="0"/>
              <w:bCs w:val="0"/>
              <w:i w:val="0"/>
              <w:iCs w:val="0"/>
              <w:noProof/>
            </w:rPr>
          </w:pPr>
          <w:hyperlink w:anchor="_Toc76569017" w:history="1">
            <w:r w:rsidR="00FF3F99" w:rsidRPr="00FF3F99">
              <w:rPr>
                <w:rStyle w:val="Hyperlink"/>
                <w:b w:val="0"/>
                <w:bCs w:val="0"/>
                <w:noProof/>
              </w:rPr>
              <w:t>Table S3. Publications comparing apparent nutrient or energy intake estimates using HCES adult male equivalent methods to intake estimates calculated using individual-level dietary intake data for total populations (expanded to include all reported nutrients)</w:t>
            </w:r>
            <w:r w:rsidR="00FF3F99" w:rsidRPr="00FF3F99">
              <w:rPr>
                <w:b w:val="0"/>
                <w:bCs w:val="0"/>
                <w:noProof/>
                <w:webHidden/>
              </w:rPr>
              <w:tab/>
            </w:r>
            <w:r w:rsidR="00FF3F99" w:rsidRPr="00FF3F99">
              <w:rPr>
                <w:b w:val="0"/>
                <w:bCs w:val="0"/>
                <w:noProof/>
                <w:webHidden/>
              </w:rPr>
              <w:fldChar w:fldCharType="begin"/>
            </w:r>
            <w:r w:rsidR="00FF3F99" w:rsidRPr="00FF3F99">
              <w:rPr>
                <w:b w:val="0"/>
                <w:bCs w:val="0"/>
                <w:noProof/>
                <w:webHidden/>
              </w:rPr>
              <w:instrText xml:space="preserve"> PAGEREF _Toc76569017 \h </w:instrText>
            </w:r>
            <w:r w:rsidR="00FF3F99" w:rsidRPr="00FF3F99">
              <w:rPr>
                <w:b w:val="0"/>
                <w:bCs w:val="0"/>
                <w:noProof/>
                <w:webHidden/>
              </w:rPr>
            </w:r>
            <w:r w:rsidR="00FF3F99" w:rsidRPr="00FF3F99">
              <w:rPr>
                <w:b w:val="0"/>
                <w:bCs w:val="0"/>
                <w:noProof/>
                <w:webHidden/>
              </w:rPr>
              <w:fldChar w:fldCharType="separate"/>
            </w:r>
            <w:r w:rsidR="00FF3F99" w:rsidRPr="00FF3F99">
              <w:rPr>
                <w:b w:val="0"/>
                <w:bCs w:val="0"/>
                <w:noProof/>
                <w:webHidden/>
              </w:rPr>
              <w:t>6</w:t>
            </w:r>
            <w:r w:rsidR="00FF3F99" w:rsidRPr="00FF3F99">
              <w:rPr>
                <w:b w:val="0"/>
                <w:bCs w:val="0"/>
                <w:noProof/>
                <w:webHidden/>
              </w:rPr>
              <w:fldChar w:fldCharType="end"/>
            </w:r>
          </w:hyperlink>
        </w:p>
        <w:p w14:paraId="693F4CD4" w14:textId="592BDDED" w:rsidR="00FF3F99" w:rsidRPr="00FF3F99" w:rsidRDefault="004110BC">
          <w:pPr>
            <w:pStyle w:val="TOC1"/>
            <w:tabs>
              <w:tab w:val="right" w:leader="dot" w:pos="9350"/>
            </w:tabs>
            <w:rPr>
              <w:rFonts w:eastAsiaTheme="minorEastAsia" w:cstheme="minorBidi"/>
              <w:b w:val="0"/>
              <w:bCs w:val="0"/>
              <w:i w:val="0"/>
              <w:iCs w:val="0"/>
              <w:noProof/>
            </w:rPr>
          </w:pPr>
          <w:hyperlink w:anchor="_Toc76569018" w:history="1">
            <w:r w:rsidR="00FF3F99" w:rsidRPr="00FF3F99">
              <w:rPr>
                <w:rStyle w:val="Hyperlink"/>
                <w:b w:val="0"/>
                <w:bCs w:val="0"/>
                <w:noProof/>
              </w:rPr>
              <w:t>Table S4. Publications comparing apparent nutrient, energy or fortifiable food item intake estimates using HCES adult male equivalent methods to intake estimates calculated using individual-level dietary intake data for infants and children where no studies adjusted for assumed or recommended breastmilk intake (expanded to include all reported nutrients and food items)</w:t>
            </w:r>
            <w:r w:rsidR="00FF3F99" w:rsidRPr="00FF3F99">
              <w:rPr>
                <w:b w:val="0"/>
                <w:bCs w:val="0"/>
                <w:noProof/>
                <w:webHidden/>
              </w:rPr>
              <w:tab/>
            </w:r>
            <w:r w:rsidR="00FF3F99" w:rsidRPr="00FF3F99">
              <w:rPr>
                <w:b w:val="0"/>
                <w:bCs w:val="0"/>
                <w:noProof/>
                <w:webHidden/>
              </w:rPr>
              <w:fldChar w:fldCharType="begin"/>
            </w:r>
            <w:r w:rsidR="00FF3F99" w:rsidRPr="00FF3F99">
              <w:rPr>
                <w:b w:val="0"/>
                <w:bCs w:val="0"/>
                <w:noProof/>
                <w:webHidden/>
              </w:rPr>
              <w:instrText xml:space="preserve"> PAGEREF _Toc76569018 \h </w:instrText>
            </w:r>
            <w:r w:rsidR="00FF3F99" w:rsidRPr="00FF3F99">
              <w:rPr>
                <w:b w:val="0"/>
                <w:bCs w:val="0"/>
                <w:noProof/>
                <w:webHidden/>
              </w:rPr>
            </w:r>
            <w:r w:rsidR="00FF3F99" w:rsidRPr="00FF3F99">
              <w:rPr>
                <w:b w:val="0"/>
                <w:bCs w:val="0"/>
                <w:noProof/>
                <w:webHidden/>
              </w:rPr>
              <w:fldChar w:fldCharType="separate"/>
            </w:r>
            <w:r w:rsidR="00FF3F99" w:rsidRPr="00FF3F99">
              <w:rPr>
                <w:b w:val="0"/>
                <w:bCs w:val="0"/>
                <w:noProof/>
                <w:webHidden/>
              </w:rPr>
              <w:t>8</w:t>
            </w:r>
            <w:r w:rsidR="00FF3F99" w:rsidRPr="00FF3F99">
              <w:rPr>
                <w:b w:val="0"/>
                <w:bCs w:val="0"/>
                <w:noProof/>
                <w:webHidden/>
              </w:rPr>
              <w:fldChar w:fldCharType="end"/>
            </w:r>
          </w:hyperlink>
        </w:p>
        <w:p w14:paraId="3C735FDF" w14:textId="7907E602" w:rsidR="00FF3F99" w:rsidRPr="00FF3F99" w:rsidRDefault="004110BC">
          <w:pPr>
            <w:pStyle w:val="TOC1"/>
            <w:tabs>
              <w:tab w:val="right" w:leader="dot" w:pos="9350"/>
            </w:tabs>
            <w:rPr>
              <w:rFonts w:eastAsiaTheme="minorEastAsia" w:cstheme="minorBidi"/>
              <w:b w:val="0"/>
              <w:bCs w:val="0"/>
              <w:i w:val="0"/>
              <w:iCs w:val="0"/>
              <w:noProof/>
            </w:rPr>
          </w:pPr>
          <w:hyperlink w:anchor="_Toc76569019" w:history="1">
            <w:r w:rsidR="00FF3F99" w:rsidRPr="00FF3F99">
              <w:rPr>
                <w:rStyle w:val="Hyperlink"/>
                <w:b w:val="0"/>
                <w:bCs w:val="0"/>
                <w:noProof/>
              </w:rPr>
              <w:t>Table S5. Publications comparing apparent nutrient, energy or fortifiable food item intake estimates using HCES adult male equivalent methods to intake estimates calculated using individual-level dietary intake data for women of reproductive age (WRA)</w:t>
            </w:r>
            <w:r w:rsidR="00FF3F99" w:rsidRPr="00FF3F99">
              <w:rPr>
                <w:b w:val="0"/>
                <w:bCs w:val="0"/>
                <w:noProof/>
                <w:webHidden/>
              </w:rPr>
              <w:tab/>
            </w:r>
            <w:r w:rsidR="00FF3F99" w:rsidRPr="00FF3F99">
              <w:rPr>
                <w:b w:val="0"/>
                <w:bCs w:val="0"/>
                <w:noProof/>
                <w:webHidden/>
              </w:rPr>
              <w:fldChar w:fldCharType="begin"/>
            </w:r>
            <w:r w:rsidR="00FF3F99" w:rsidRPr="00FF3F99">
              <w:rPr>
                <w:b w:val="0"/>
                <w:bCs w:val="0"/>
                <w:noProof/>
                <w:webHidden/>
              </w:rPr>
              <w:instrText xml:space="preserve"> PAGEREF _Toc76569019 \h </w:instrText>
            </w:r>
            <w:r w:rsidR="00FF3F99" w:rsidRPr="00FF3F99">
              <w:rPr>
                <w:b w:val="0"/>
                <w:bCs w:val="0"/>
                <w:noProof/>
                <w:webHidden/>
              </w:rPr>
            </w:r>
            <w:r w:rsidR="00FF3F99" w:rsidRPr="00FF3F99">
              <w:rPr>
                <w:b w:val="0"/>
                <w:bCs w:val="0"/>
                <w:noProof/>
                <w:webHidden/>
              </w:rPr>
              <w:fldChar w:fldCharType="separate"/>
            </w:r>
            <w:r w:rsidR="00FF3F99" w:rsidRPr="00FF3F99">
              <w:rPr>
                <w:b w:val="0"/>
                <w:bCs w:val="0"/>
                <w:noProof/>
                <w:webHidden/>
              </w:rPr>
              <w:t>11</w:t>
            </w:r>
            <w:r w:rsidR="00FF3F99" w:rsidRPr="00FF3F99">
              <w:rPr>
                <w:b w:val="0"/>
                <w:bCs w:val="0"/>
                <w:noProof/>
                <w:webHidden/>
              </w:rPr>
              <w:fldChar w:fldCharType="end"/>
            </w:r>
          </w:hyperlink>
        </w:p>
        <w:p w14:paraId="3131B558" w14:textId="09925D87" w:rsidR="00FF3F99" w:rsidRPr="00FF3F99" w:rsidRDefault="004110BC">
          <w:pPr>
            <w:pStyle w:val="TOC1"/>
            <w:tabs>
              <w:tab w:val="right" w:leader="dot" w:pos="9350"/>
            </w:tabs>
            <w:rPr>
              <w:rFonts w:eastAsiaTheme="minorEastAsia" w:cstheme="minorBidi"/>
              <w:b w:val="0"/>
              <w:bCs w:val="0"/>
              <w:i w:val="0"/>
              <w:iCs w:val="0"/>
              <w:noProof/>
            </w:rPr>
          </w:pPr>
          <w:hyperlink w:anchor="_Toc76569020" w:history="1">
            <w:r w:rsidR="00FF3F99" w:rsidRPr="00FF3F99">
              <w:rPr>
                <w:rStyle w:val="Hyperlink"/>
                <w:b w:val="0"/>
                <w:bCs w:val="0"/>
                <w:noProof/>
              </w:rPr>
              <w:t>Appendix 1. Original protocol of systematic review developed according to PRISMA guidelines</w:t>
            </w:r>
            <w:r w:rsidR="00FF3F99" w:rsidRPr="00FF3F99">
              <w:rPr>
                <w:b w:val="0"/>
                <w:bCs w:val="0"/>
                <w:noProof/>
                <w:webHidden/>
              </w:rPr>
              <w:tab/>
            </w:r>
            <w:r w:rsidR="00FF3F99" w:rsidRPr="00FF3F99">
              <w:rPr>
                <w:b w:val="0"/>
                <w:bCs w:val="0"/>
                <w:noProof/>
                <w:webHidden/>
              </w:rPr>
              <w:fldChar w:fldCharType="begin"/>
            </w:r>
            <w:r w:rsidR="00FF3F99" w:rsidRPr="00FF3F99">
              <w:rPr>
                <w:b w:val="0"/>
                <w:bCs w:val="0"/>
                <w:noProof/>
                <w:webHidden/>
              </w:rPr>
              <w:instrText xml:space="preserve"> PAGEREF _Toc76569020 \h </w:instrText>
            </w:r>
            <w:r w:rsidR="00FF3F99" w:rsidRPr="00FF3F99">
              <w:rPr>
                <w:b w:val="0"/>
                <w:bCs w:val="0"/>
                <w:noProof/>
                <w:webHidden/>
              </w:rPr>
            </w:r>
            <w:r w:rsidR="00FF3F99" w:rsidRPr="00FF3F99">
              <w:rPr>
                <w:b w:val="0"/>
                <w:bCs w:val="0"/>
                <w:noProof/>
                <w:webHidden/>
              </w:rPr>
              <w:fldChar w:fldCharType="separate"/>
            </w:r>
            <w:r w:rsidR="00FF3F99" w:rsidRPr="00FF3F99">
              <w:rPr>
                <w:b w:val="0"/>
                <w:bCs w:val="0"/>
                <w:noProof/>
                <w:webHidden/>
              </w:rPr>
              <w:t>13</w:t>
            </w:r>
            <w:r w:rsidR="00FF3F99" w:rsidRPr="00FF3F99">
              <w:rPr>
                <w:b w:val="0"/>
                <w:bCs w:val="0"/>
                <w:noProof/>
                <w:webHidden/>
              </w:rPr>
              <w:fldChar w:fldCharType="end"/>
            </w:r>
          </w:hyperlink>
        </w:p>
        <w:p w14:paraId="5B06C7CF" w14:textId="251C4410" w:rsidR="00FF3F99" w:rsidRPr="00FF3F99" w:rsidRDefault="004110BC">
          <w:pPr>
            <w:pStyle w:val="TOC1"/>
            <w:tabs>
              <w:tab w:val="right" w:leader="dot" w:pos="9350"/>
            </w:tabs>
            <w:rPr>
              <w:rFonts w:eastAsiaTheme="minorEastAsia" w:cstheme="minorBidi"/>
              <w:b w:val="0"/>
              <w:bCs w:val="0"/>
              <w:i w:val="0"/>
              <w:iCs w:val="0"/>
              <w:noProof/>
            </w:rPr>
          </w:pPr>
          <w:hyperlink w:anchor="_Toc76569021" w:history="1">
            <w:r w:rsidR="00FF3F99" w:rsidRPr="00FF3F99">
              <w:rPr>
                <w:rStyle w:val="Hyperlink"/>
                <w:b w:val="0"/>
                <w:bCs w:val="0"/>
                <w:noProof/>
              </w:rPr>
              <w:t>Appendix 2. Search algorithms returning publications in database search</w:t>
            </w:r>
            <w:r w:rsidR="00FF3F99" w:rsidRPr="00FF3F99">
              <w:rPr>
                <w:b w:val="0"/>
                <w:bCs w:val="0"/>
                <w:noProof/>
                <w:webHidden/>
              </w:rPr>
              <w:tab/>
            </w:r>
            <w:r w:rsidR="00FF3F99" w:rsidRPr="00FF3F99">
              <w:rPr>
                <w:b w:val="0"/>
                <w:bCs w:val="0"/>
                <w:noProof/>
                <w:webHidden/>
              </w:rPr>
              <w:fldChar w:fldCharType="begin"/>
            </w:r>
            <w:r w:rsidR="00FF3F99" w:rsidRPr="00FF3F99">
              <w:rPr>
                <w:b w:val="0"/>
                <w:bCs w:val="0"/>
                <w:noProof/>
                <w:webHidden/>
              </w:rPr>
              <w:instrText xml:space="preserve"> PAGEREF _Toc76569021 \h </w:instrText>
            </w:r>
            <w:r w:rsidR="00FF3F99" w:rsidRPr="00FF3F99">
              <w:rPr>
                <w:b w:val="0"/>
                <w:bCs w:val="0"/>
                <w:noProof/>
                <w:webHidden/>
              </w:rPr>
            </w:r>
            <w:r w:rsidR="00FF3F99" w:rsidRPr="00FF3F99">
              <w:rPr>
                <w:b w:val="0"/>
                <w:bCs w:val="0"/>
                <w:noProof/>
                <w:webHidden/>
              </w:rPr>
              <w:fldChar w:fldCharType="separate"/>
            </w:r>
            <w:r w:rsidR="00FF3F99" w:rsidRPr="00FF3F99">
              <w:rPr>
                <w:b w:val="0"/>
                <w:bCs w:val="0"/>
                <w:noProof/>
                <w:webHidden/>
              </w:rPr>
              <w:t>13</w:t>
            </w:r>
            <w:r w:rsidR="00FF3F99" w:rsidRPr="00FF3F99">
              <w:rPr>
                <w:b w:val="0"/>
                <w:bCs w:val="0"/>
                <w:noProof/>
                <w:webHidden/>
              </w:rPr>
              <w:fldChar w:fldCharType="end"/>
            </w:r>
          </w:hyperlink>
        </w:p>
        <w:p w14:paraId="2E2C3E0C" w14:textId="3B95F571" w:rsidR="00FF3F99" w:rsidRPr="00FF3F99" w:rsidRDefault="004110BC">
          <w:pPr>
            <w:pStyle w:val="TOC1"/>
            <w:tabs>
              <w:tab w:val="right" w:leader="dot" w:pos="9350"/>
            </w:tabs>
            <w:rPr>
              <w:rFonts w:eastAsiaTheme="minorEastAsia" w:cstheme="minorBidi"/>
              <w:b w:val="0"/>
              <w:bCs w:val="0"/>
              <w:i w:val="0"/>
              <w:iCs w:val="0"/>
              <w:noProof/>
            </w:rPr>
          </w:pPr>
          <w:hyperlink w:anchor="_Toc76569022" w:history="1">
            <w:r w:rsidR="00FF3F99" w:rsidRPr="00FF3F99">
              <w:rPr>
                <w:rStyle w:val="Hyperlink"/>
                <w:b w:val="0"/>
                <w:bCs w:val="0"/>
                <w:noProof/>
              </w:rPr>
              <w:t>Appendix 3. Information extracted from the included literature</w:t>
            </w:r>
            <w:r w:rsidR="00FF3F99" w:rsidRPr="00FF3F99">
              <w:rPr>
                <w:b w:val="0"/>
                <w:bCs w:val="0"/>
                <w:noProof/>
                <w:webHidden/>
              </w:rPr>
              <w:tab/>
            </w:r>
            <w:r w:rsidR="00FF3F99" w:rsidRPr="00FF3F99">
              <w:rPr>
                <w:b w:val="0"/>
                <w:bCs w:val="0"/>
                <w:noProof/>
                <w:webHidden/>
              </w:rPr>
              <w:fldChar w:fldCharType="begin"/>
            </w:r>
            <w:r w:rsidR="00FF3F99" w:rsidRPr="00FF3F99">
              <w:rPr>
                <w:b w:val="0"/>
                <w:bCs w:val="0"/>
                <w:noProof/>
                <w:webHidden/>
              </w:rPr>
              <w:instrText xml:space="preserve"> PAGEREF _Toc76569022 \h </w:instrText>
            </w:r>
            <w:r w:rsidR="00FF3F99" w:rsidRPr="00FF3F99">
              <w:rPr>
                <w:b w:val="0"/>
                <w:bCs w:val="0"/>
                <w:noProof/>
                <w:webHidden/>
              </w:rPr>
            </w:r>
            <w:r w:rsidR="00FF3F99" w:rsidRPr="00FF3F99">
              <w:rPr>
                <w:b w:val="0"/>
                <w:bCs w:val="0"/>
                <w:noProof/>
                <w:webHidden/>
              </w:rPr>
              <w:fldChar w:fldCharType="separate"/>
            </w:r>
            <w:r w:rsidR="00FF3F99" w:rsidRPr="00FF3F99">
              <w:rPr>
                <w:b w:val="0"/>
                <w:bCs w:val="0"/>
                <w:noProof/>
                <w:webHidden/>
              </w:rPr>
              <w:t>17</w:t>
            </w:r>
            <w:r w:rsidR="00FF3F99" w:rsidRPr="00FF3F99">
              <w:rPr>
                <w:b w:val="0"/>
                <w:bCs w:val="0"/>
                <w:noProof/>
                <w:webHidden/>
              </w:rPr>
              <w:fldChar w:fldCharType="end"/>
            </w:r>
          </w:hyperlink>
        </w:p>
        <w:p w14:paraId="77333BBE" w14:textId="725510C6" w:rsidR="00FF3F99" w:rsidRPr="00FF3F99" w:rsidRDefault="00FF3F99">
          <w:r w:rsidRPr="00FF3F99">
            <w:rPr>
              <w:noProof/>
            </w:rPr>
            <w:fldChar w:fldCharType="end"/>
          </w:r>
        </w:p>
      </w:sdtContent>
    </w:sdt>
    <w:p w14:paraId="0497993E" w14:textId="4F6AFE8D" w:rsidR="00FF3F99" w:rsidRPr="00FF3F99" w:rsidRDefault="00FF3F99" w:rsidP="00FF3F99">
      <w:pPr>
        <w:sectPr w:rsidR="00FF3F99" w:rsidRPr="00FF3F99" w:rsidSect="003863B6">
          <w:footerReference w:type="even" r:id="rId8"/>
          <w:footerReference w:type="default" r:id="rId9"/>
          <w:pgSz w:w="12240" w:h="15840"/>
          <w:pgMar w:top="1440" w:right="1440" w:bottom="1440" w:left="1440" w:header="720" w:footer="720" w:gutter="0"/>
          <w:cols w:space="720"/>
          <w:docGrid w:linePitch="360"/>
        </w:sectPr>
      </w:pPr>
    </w:p>
    <w:p w14:paraId="0391854C" w14:textId="1BC4C9BE" w:rsidR="00681CDB" w:rsidRPr="00FF3F99" w:rsidRDefault="00681CDB" w:rsidP="00FF3F99">
      <w:pPr>
        <w:pStyle w:val="Heading1"/>
      </w:pPr>
      <w:bookmarkStart w:id="1" w:name="_Toc76569015"/>
      <w:r w:rsidRPr="00FF3F99">
        <w:lastRenderedPageBreak/>
        <w:t>Table S1. Publications reviewed and the metrics reported</w:t>
      </w:r>
      <w:bookmarkEnd w:id="0"/>
      <w:bookmarkEnd w:id="1"/>
    </w:p>
    <w:tbl>
      <w:tblPr>
        <w:tblStyle w:val="TableGrid"/>
        <w:tblpPr w:leftFromText="180" w:rightFromText="180" w:vertAnchor="text" w:tblpY="1"/>
        <w:tblOverlap w:val="never"/>
        <w:tblW w:w="11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2098"/>
        <w:gridCol w:w="1531"/>
        <w:gridCol w:w="4291"/>
        <w:gridCol w:w="900"/>
        <w:gridCol w:w="180"/>
        <w:gridCol w:w="630"/>
        <w:gridCol w:w="810"/>
        <w:gridCol w:w="990"/>
      </w:tblGrid>
      <w:tr w:rsidR="00681CDB" w14:paraId="3CE58582" w14:textId="77777777" w:rsidTr="005B0D26">
        <w:tc>
          <w:tcPr>
            <w:tcW w:w="535" w:type="dxa"/>
            <w:tcBorders>
              <w:top w:val="single" w:sz="4" w:space="0" w:color="auto"/>
              <w:left w:val="single" w:sz="4" w:space="0" w:color="auto"/>
              <w:bottom w:val="single" w:sz="4" w:space="0" w:color="auto"/>
            </w:tcBorders>
            <w:shd w:val="clear" w:color="auto" w:fill="D9D9D9" w:themeFill="background1" w:themeFillShade="D9"/>
            <w:vAlign w:val="center"/>
          </w:tcPr>
          <w:p w14:paraId="00B3579B" w14:textId="77777777" w:rsidR="00681CDB" w:rsidRPr="00B4313E" w:rsidRDefault="00681CDB" w:rsidP="005B0D26">
            <w:pPr>
              <w:ind w:left="0"/>
              <w:rPr>
                <w:b/>
                <w:bCs/>
                <w:sz w:val="15"/>
                <w:szCs w:val="15"/>
              </w:rPr>
            </w:pPr>
            <w:r>
              <w:rPr>
                <w:b/>
                <w:bCs/>
                <w:sz w:val="15"/>
                <w:szCs w:val="15"/>
              </w:rPr>
              <w:t xml:space="preserve">Ref </w:t>
            </w:r>
            <w:r w:rsidRPr="00B4313E">
              <w:rPr>
                <w:b/>
                <w:bCs/>
                <w:sz w:val="15"/>
                <w:szCs w:val="15"/>
              </w:rPr>
              <w:t>#</w:t>
            </w:r>
          </w:p>
        </w:tc>
        <w:tc>
          <w:tcPr>
            <w:tcW w:w="2098" w:type="dxa"/>
            <w:tcBorders>
              <w:top w:val="single" w:sz="4" w:space="0" w:color="auto"/>
              <w:bottom w:val="single" w:sz="4" w:space="0" w:color="auto"/>
            </w:tcBorders>
            <w:shd w:val="clear" w:color="auto" w:fill="D9D9D9" w:themeFill="background1" w:themeFillShade="D9"/>
            <w:vAlign w:val="center"/>
          </w:tcPr>
          <w:p w14:paraId="7B34821D" w14:textId="77777777" w:rsidR="00681CDB" w:rsidRPr="00B4313E" w:rsidRDefault="00681CDB" w:rsidP="005B0D26">
            <w:pPr>
              <w:rPr>
                <w:b/>
                <w:bCs/>
                <w:sz w:val="15"/>
                <w:szCs w:val="15"/>
              </w:rPr>
            </w:pPr>
            <w:r w:rsidRPr="00B4313E">
              <w:rPr>
                <w:b/>
                <w:bCs/>
                <w:sz w:val="15"/>
                <w:szCs w:val="15"/>
              </w:rPr>
              <w:t>Reference</w:t>
            </w:r>
          </w:p>
        </w:tc>
        <w:tc>
          <w:tcPr>
            <w:tcW w:w="1531" w:type="dxa"/>
            <w:tcBorders>
              <w:top w:val="single" w:sz="4" w:space="0" w:color="auto"/>
              <w:bottom w:val="single" w:sz="4" w:space="0" w:color="auto"/>
            </w:tcBorders>
            <w:shd w:val="clear" w:color="auto" w:fill="D9D9D9" w:themeFill="background1" w:themeFillShade="D9"/>
            <w:vAlign w:val="center"/>
          </w:tcPr>
          <w:p w14:paraId="28708434" w14:textId="77777777" w:rsidR="00681CDB" w:rsidRPr="00B4313E" w:rsidRDefault="00681CDB" w:rsidP="005B0D26">
            <w:pPr>
              <w:ind w:left="0"/>
              <w:rPr>
                <w:b/>
                <w:bCs/>
                <w:sz w:val="15"/>
                <w:szCs w:val="15"/>
              </w:rPr>
            </w:pPr>
            <w:r w:rsidRPr="00B4313E">
              <w:rPr>
                <w:b/>
                <w:bCs/>
                <w:sz w:val="15"/>
                <w:szCs w:val="15"/>
              </w:rPr>
              <w:t>Country</w:t>
            </w:r>
          </w:p>
        </w:tc>
        <w:tc>
          <w:tcPr>
            <w:tcW w:w="4291" w:type="dxa"/>
            <w:tcBorders>
              <w:top w:val="single" w:sz="4" w:space="0" w:color="auto"/>
              <w:bottom w:val="single" w:sz="4" w:space="0" w:color="auto"/>
            </w:tcBorders>
            <w:shd w:val="clear" w:color="auto" w:fill="D9D9D9" w:themeFill="background1" w:themeFillShade="D9"/>
            <w:vAlign w:val="center"/>
          </w:tcPr>
          <w:p w14:paraId="7F8C9308" w14:textId="77777777" w:rsidR="00681CDB" w:rsidRPr="00B4313E" w:rsidRDefault="00681CDB" w:rsidP="005B0D26">
            <w:pPr>
              <w:ind w:left="0"/>
              <w:rPr>
                <w:b/>
                <w:bCs/>
                <w:sz w:val="15"/>
                <w:szCs w:val="15"/>
              </w:rPr>
            </w:pPr>
            <w:r w:rsidRPr="00B4313E">
              <w:rPr>
                <w:b/>
                <w:bCs/>
                <w:sz w:val="15"/>
                <w:szCs w:val="15"/>
              </w:rPr>
              <w:t>Household consumption &amp; expenditure data source</w:t>
            </w:r>
          </w:p>
        </w:tc>
        <w:tc>
          <w:tcPr>
            <w:tcW w:w="900" w:type="dxa"/>
            <w:tcBorders>
              <w:top w:val="single" w:sz="4" w:space="0" w:color="auto"/>
              <w:bottom w:val="single" w:sz="4" w:space="0" w:color="auto"/>
            </w:tcBorders>
            <w:shd w:val="clear" w:color="auto" w:fill="D9D9D9" w:themeFill="background1" w:themeFillShade="D9"/>
            <w:vAlign w:val="center"/>
          </w:tcPr>
          <w:p w14:paraId="4EF1996F" w14:textId="77777777" w:rsidR="00681CDB" w:rsidRDefault="00681CDB" w:rsidP="005B0D26">
            <w:pPr>
              <w:ind w:left="0"/>
              <w:rPr>
                <w:b/>
                <w:bCs/>
                <w:sz w:val="15"/>
                <w:szCs w:val="15"/>
              </w:rPr>
            </w:pPr>
            <w:r>
              <w:rPr>
                <w:b/>
                <w:bCs/>
                <w:sz w:val="15"/>
                <w:szCs w:val="15"/>
              </w:rPr>
              <w:t>Supply</w:t>
            </w:r>
            <w:r w:rsidRPr="00B4313E">
              <w:rPr>
                <w:b/>
                <w:bCs/>
                <w:sz w:val="15"/>
                <w:szCs w:val="15"/>
              </w:rPr>
              <w:t>/</w:t>
            </w:r>
          </w:p>
          <w:p w14:paraId="25981729" w14:textId="77777777" w:rsidR="00681CDB" w:rsidRPr="00B4313E" w:rsidRDefault="00681CDB" w:rsidP="005B0D26">
            <w:pPr>
              <w:ind w:left="0"/>
              <w:rPr>
                <w:b/>
                <w:bCs/>
                <w:sz w:val="15"/>
                <w:szCs w:val="15"/>
              </w:rPr>
            </w:pPr>
            <w:r w:rsidRPr="00B4313E">
              <w:rPr>
                <w:b/>
                <w:bCs/>
                <w:sz w:val="15"/>
                <w:szCs w:val="15"/>
              </w:rPr>
              <w:t>per</w:t>
            </w:r>
            <w:r>
              <w:rPr>
                <w:b/>
                <w:bCs/>
                <w:sz w:val="15"/>
                <w:szCs w:val="15"/>
              </w:rPr>
              <w:t xml:space="preserve"> </w:t>
            </w:r>
            <w:r w:rsidRPr="00B4313E">
              <w:rPr>
                <w:b/>
                <w:bCs/>
                <w:sz w:val="15"/>
                <w:szCs w:val="15"/>
              </w:rPr>
              <w:t>capita</w:t>
            </w:r>
            <w:r>
              <w:rPr>
                <w:b/>
                <w:bCs/>
                <w:sz w:val="15"/>
                <w:szCs w:val="15"/>
              </w:rPr>
              <w:t xml:space="preserve"> </w:t>
            </w:r>
            <w:r w:rsidRPr="00B4313E">
              <w:rPr>
                <w:b/>
                <w:bCs/>
                <w:sz w:val="15"/>
                <w:szCs w:val="15"/>
              </w:rPr>
              <w:t>/day</w:t>
            </w:r>
          </w:p>
        </w:tc>
        <w:tc>
          <w:tcPr>
            <w:tcW w:w="810" w:type="dxa"/>
            <w:gridSpan w:val="2"/>
            <w:tcBorders>
              <w:top w:val="single" w:sz="4" w:space="0" w:color="auto"/>
              <w:bottom w:val="single" w:sz="4" w:space="0" w:color="auto"/>
            </w:tcBorders>
            <w:shd w:val="clear" w:color="auto" w:fill="D9D9D9" w:themeFill="background1" w:themeFillShade="D9"/>
            <w:vAlign w:val="center"/>
          </w:tcPr>
          <w:p w14:paraId="56BD3F95" w14:textId="77777777" w:rsidR="00681CDB" w:rsidRPr="00B4313E" w:rsidRDefault="00681CDB" w:rsidP="005B0D26">
            <w:pPr>
              <w:ind w:left="0"/>
              <w:rPr>
                <w:b/>
                <w:bCs/>
                <w:sz w:val="15"/>
                <w:szCs w:val="15"/>
              </w:rPr>
            </w:pPr>
            <w:r>
              <w:rPr>
                <w:b/>
                <w:bCs/>
                <w:sz w:val="15"/>
                <w:szCs w:val="15"/>
              </w:rPr>
              <w:t>Supply</w:t>
            </w:r>
            <w:r w:rsidRPr="00B4313E">
              <w:rPr>
                <w:b/>
                <w:bCs/>
                <w:sz w:val="15"/>
                <w:szCs w:val="15"/>
              </w:rPr>
              <w:t>/</w:t>
            </w:r>
            <w:r>
              <w:rPr>
                <w:b/>
                <w:bCs/>
                <w:sz w:val="15"/>
                <w:szCs w:val="15"/>
              </w:rPr>
              <w:t xml:space="preserve"> </w:t>
            </w:r>
            <w:r w:rsidRPr="00B4313E">
              <w:rPr>
                <w:b/>
                <w:bCs/>
                <w:sz w:val="15"/>
                <w:szCs w:val="15"/>
              </w:rPr>
              <w:t>AME/day</w:t>
            </w:r>
          </w:p>
        </w:tc>
        <w:tc>
          <w:tcPr>
            <w:tcW w:w="810" w:type="dxa"/>
            <w:tcBorders>
              <w:top w:val="single" w:sz="4" w:space="0" w:color="auto"/>
              <w:bottom w:val="single" w:sz="4" w:space="0" w:color="auto"/>
            </w:tcBorders>
            <w:shd w:val="clear" w:color="auto" w:fill="D9D9D9" w:themeFill="background1" w:themeFillShade="D9"/>
            <w:vAlign w:val="center"/>
          </w:tcPr>
          <w:p w14:paraId="353D201B" w14:textId="77777777" w:rsidR="00681CDB" w:rsidRPr="00B4313E" w:rsidRDefault="00681CDB" w:rsidP="005B0D26">
            <w:pPr>
              <w:ind w:left="0"/>
              <w:rPr>
                <w:b/>
                <w:bCs/>
                <w:sz w:val="15"/>
                <w:szCs w:val="15"/>
              </w:rPr>
            </w:pPr>
            <w:r w:rsidRPr="00B4313E">
              <w:rPr>
                <w:b/>
                <w:bCs/>
                <w:sz w:val="15"/>
                <w:szCs w:val="15"/>
              </w:rPr>
              <w:t>Nutrient density</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050571A5" w14:textId="77777777" w:rsidR="00681CDB" w:rsidRPr="00B4313E" w:rsidRDefault="00681CDB" w:rsidP="005B0D26">
            <w:pPr>
              <w:autoSpaceDE w:val="0"/>
              <w:autoSpaceDN w:val="0"/>
              <w:adjustRightInd w:val="0"/>
              <w:ind w:left="0"/>
              <w:rPr>
                <w:rFonts w:cs="Times New Roman"/>
                <w:b/>
                <w:bCs/>
                <w:sz w:val="15"/>
                <w:szCs w:val="15"/>
                <w:vertAlign w:val="superscript"/>
              </w:rPr>
            </w:pPr>
            <w:r w:rsidRPr="00B4313E">
              <w:rPr>
                <w:rFonts w:cs="Times New Roman"/>
                <w:b/>
                <w:bCs/>
                <w:sz w:val="15"/>
                <w:szCs w:val="15"/>
              </w:rPr>
              <w:t xml:space="preserve">Estimated </w:t>
            </w:r>
            <w:r>
              <w:rPr>
                <w:rFonts w:cs="Times New Roman"/>
                <w:b/>
                <w:bCs/>
                <w:sz w:val="15"/>
                <w:szCs w:val="15"/>
              </w:rPr>
              <w:t>in</w:t>
            </w:r>
            <w:r w:rsidRPr="00B4313E">
              <w:rPr>
                <w:rFonts w:cs="Times New Roman"/>
                <w:b/>
                <w:bCs/>
                <w:sz w:val="15"/>
                <w:szCs w:val="15"/>
              </w:rPr>
              <w:t>adequacy</w:t>
            </w:r>
          </w:p>
        </w:tc>
      </w:tr>
      <w:tr w:rsidR="00681CDB" w:rsidRPr="00151FCF" w14:paraId="3A0C432D" w14:textId="77777777" w:rsidTr="005B0D26">
        <w:tc>
          <w:tcPr>
            <w:tcW w:w="535" w:type="dxa"/>
            <w:tcBorders>
              <w:top w:val="single" w:sz="4" w:space="0" w:color="auto"/>
              <w:left w:val="single" w:sz="4" w:space="0" w:color="auto"/>
            </w:tcBorders>
            <w:shd w:val="clear" w:color="auto" w:fill="FFFFFF" w:themeFill="background1"/>
          </w:tcPr>
          <w:p w14:paraId="4C3F9967" w14:textId="7992A366" w:rsidR="00681CDB" w:rsidRPr="003A0C17" w:rsidRDefault="00681CDB" w:rsidP="005B0D26">
            <w:pPr>
              <w:ind w:left="0"/>
              <w:rPr>
                <w:sz w:val="15"/>
                <w:szCs w:val="15"/>
                <w:lang w:val="fr-FR"/>
              </w:rPr>
            </w:pPr>
            <w:r>
              <w:rPr>
                <w:sz w:val="15"/>
                <w:szCs w:val="15"/>
              </w:rPr>
              <w:fldChar w:fldCharType="begin" w:fldLock="1"/>
            </w:r>
            <w:r w:rsidR="005B0D26">
              <w:rPr>
                <w:sz w:val="15"/>
                <w:szCs w:val="15"/>
              </w:rPr>
              <w:instrText>ADDIN CSL_CITATION {"citationItems":[{"id":"ITEM-1","itemData":{"abstract":"Pour élaborer les politiques nationales de sécurité alimentaire, il faudrait comprendre comment évoluent les consommations alimentaires. Les données de disponibilités alimentaires de la FAO sont généralement utilisées comme des “proxy” de ces consommations alimentaires. Elles montrent qu’au Cameroun, la disponibilité calorique s’est continuellement accrue depuis 1990 et se situe depuis 2001 au-dessus du seuil calorique moyen nécessaire pour couvrir les besoins quotidiens en calories et de la moyenne des calories disponibles dans les pays d’Afrique Subsaharienne. Cependant, les limites inhérentes aux approches de la FAO pour mesurer la consommation alimentaire, basées sur les bilans alimentaires conduisent à s’interroger sur la traduction de ces tendances nationales au niveau des ménages. L’objectif de cet article est d’analyser les évolutions de la consommation alimentaire à l’échelle du ménage en les mettant en rapport avec les évolutions des disponibilités alimentaires au niveau national. Nous utilisons pour cela, les données de disponibilités alimentaires de la FAO issues des bilans alimentaires et des enquêtes de niveau de vie des ménages réalisées par l’Institut National de la Statistique du Cameroun en 2001 et en 2007. Nous montrons que: (i) l’estimation des disponibilités caloriques à partir d’enquêtes ménages, représentatives au niveau national (ECAM) ou à partir des bilans alimentaires (FAO), donne des résultats proches en valeur agrégée, mais l’enquête ECAM montre une distribution entre les ménages beaucoup plus hétérogène que celle qui est utilisée par la FAO. (ii) Cette différence de distribution explique que la prévalence de la sous-alimentation calculée à partir des données d’enquêtes ECAM est plus élevée que celle calculée à partir des bilans alimentaires. Les politiques de sécurité alimentaire pour être efficaces devrai</w:instrText>
            </w:r>
            <w:r w:rsidR="005B0D26" w:rsidRPr="005B0D26">
              <w:rPr>
                <w:sz w:val="15"/>
                <w:szCs w:val="15"/>
                <w:lang w:val="fr-FR"/>
              </w:rPr>
              <w:instrText>ent s’appuyer non pas sur l’évolution de la disponibilité alimentaire à l’échelle nationale mais sur celle de la consommation alimentaire à l’échelle des ménages, qui donne une meilleure lecture des évolutions et de la localisation de la sous-alimentation. L’hétérogénéité de la distribution des calories traduit l’accroissement des inégalités de consommation entre 2001 et 2007 et induit la nécessité de réorienter les politiques de sécurité alimentaire basées sur l’accroissement de la production agricole vers des politiques qui faciliteraient l’accès des pauvres et des ruraux à une alimentation suffisante.","author":[{"dropping-particle":"","family":"Ambagna","given":"Jean Joël","non-dropping-particle":"","parse-names":false,"suffix":""},{"dropping-particle":"","family":"Dury","given":"Sandrine","non-dropping-particle":"","parse-names":false,"suffix":""}],"container-title":"10 èmes Journées de Recherches en Sciences Sociales","id":"ITEM-1","issued":{"date-parts":[["2016"]]},"title":"De la disponibilité à la consommation alimentaire: analyse des évolutions de la consommation alimentaire à l’échelle nationale et des ménages au Cameroun","type":"article"},"uris":["http://www.mendeley.com/documents/?uuid=04e0c991-ba94-4fb7-bfbc-3ba34410ff7d"]}],"mendeley":{"formattedCitation":"&lt;sup&gt;(1)&lt;/sup&gt;","plainTextFormattedCitation":"(1)","previouslyFormattedCitation":"[1]"},"properties":{"noteIndex":0},"schema":"https://github.com/citation-style-language/schema/raw/master/csl-citation.json"}</w:instrText>
            </w:r>
            <w:r>
              <w:rPr>
                <w:sz w:val="15"/>
                <w:szCs w:val="15"/>
              </w:rPr>
              <w:fldChar w:fldCharType="separate"/>
            </w:r>
            <w:r w:rsidR="005B0D26" w:rsidRPr="005B0D26">
              <w:rPr>
                <w:noProof/>
                <w:sz w:val="15"/>
                <w:szCs w:val="15"/>
                <w:vertAlign w:val="superscript"/>
                <w:lang w:val="fr-FR"/>
              </w:rPr>
              <w:t>(1)</w:t>
            </w:r>
            <w:r>
              <w:rPr>
                <w:sz w:val="15"/>
                <w:szCs w:val="15"/>
              </w:rPr>
              <w:fldChar w:fldCharType="end"/>
            </w:r>
          </w:p>
        </w:tc>
        <w:tc>
          <w:tcPr>
            <w:tcW w:w="2098" w:type="dxa"/>
            <w:tcBorders>
              <w:top w:val="single" w:sz="4" w:space="0" w:color="auto"/>
            </w:tcBorders>
            <w:shd w:val="clear" w:color="auto" w:fill="FFFFFF" w:themeFill="background1"/>
          </w:tcPr>
          <w:p w14:paraId="3EECE1B4" w14:textId="77777777" w:rsidR="00681CDB" w:rsidRPr="003A0C17" w:rsidRDefault="00681CDB" w:rsidP="005B0D26">
            <w:pPr>
              <w:ind w:left="0"/>
              <w:rPr>
                <w:sz w:val="15"/>
                <w:szCs w:val="15"/>
                <w:lang w:val="fr-FR"/>
              </w:rPr>
            </w:pPr>
            <w:proofErr w:type="spellStart"/>
            <w:r w:rsidRPr="003A0C17">
              <w:rPr>
                <w:sz w:val="15"/>
                <w:szCs w:val="15"/>
                <w:lang w:val="fr-FR"/>
              </w:rPr>
              <w:t>Ambagna</w:t>
            </w:r>
            <w:proofErr w:type="spellEnd"/>
            <w:r w:rsidRPr="003A0C17">
              <w:rPr>
                <w:sz w:val="15"/>
                <w:szCs w:val="15"/>
                <w:lang w:val="fr-FR"/>
              </w:rPr>
              <w:t xml:space="preserve"> &amp; </w:t>
            </w:r>
            <w:proofErr w:type="spellStart"/>
            <w:r w:rsidRPr="003A0C17">
              <w:rPr>
                <w:sz w:val="15"/>
                <w:szCs w:val="15"/>
                <w:lang w:val="fr-FR"/>
              </w:rPr>
              <w:t>Dury</w:t>
            </w:r>
            <w:proofErr w:type="spellEnd"/>
            <w:r w:rsidRPr="003A0C17">
              <w:rPr>
                <w:sz w:val="15"/>
                <w:szCs w:val="15"/>
                <w:lang w:val="fr-FR"/>
              </w:rPr>
              <w:t xml:space="preserve"> (2016)</w:t>
            </w:r>
          </w:p>
        </w:tc>
        <w:tc>
          <w:tcPr>
            <w:tcW w:w="1531" w:type="dxa"/>
            <w:tcBorders>
              <w:top w:val="single" w:sz="4" w:space="0" w:color="auto"/>
            </w:tcBorders>
            <w:shd w:val="clear" w:color="auto" w:fill="FFFFFF" w:themeFill="background1"/>
          </w:tcPr>
          <w:p w14:paraId="209B95B4" w14:textId="77777777" w:rsidR="00681CDB" w:rsidRPr="003A0C17" w:rsidRDefault="00681CDB" w:rsidP="005B0D26">
            <w:pPr>
              <w:ind w:left="0"/>
              <w:rPr>
                <w:sz w:val="15"/>
                <w:szCs w:val="15"/>
                <w:lang w:val="fr-FR"/>
              </w:rPr>
            </w:pPr>
            <w:proofErr w:type="spellStart"/>
            <w:r w:rsidRPr="003A0C17">
              <w:rPr>
                <w:sz w:val="15"/>
                <w:szCs w:val="15"/>
                <w:lang w:val="fr-FR"/>
              </w:rPr>
              <w:t>Cameroon</w:t>
            </w:r>
            <w:proofErr w:type="spellEnd"/>
          </w:p>
        </w:tc>
        <w:tc>
          <w:tcPr>
            <w:tcW w:w="4291" w:type="dxa"/>
            <w:tcBorders>
              <w:top w:val="single" w:sz="4" w:space="0" w:color="auto"/>
            </w:tcBorders>
            <w:shd w:val="clear" w:color="auto" w:fill="FFFFFF" w:themeFill="background1"/>
          </w:tcPr>
          <w:p w14:paraId="0BCACFAB" w14:textId="77777777" w:rsidR="00681CDB" w:rsidRPr="003A0C17" w:rsidRDefault="00681CDB" w:rsidP="005B0D26">
            <w:pPr>
              <w:ind w:left="0"/>
              <w:rPr>
                <w:sz w:val="15"/>
                <w:szCs w:val="15"/>
                <w:lang w:val="fr-FR"/>
              </w:rPr>
            </w:pPr>
            <w:r w:rsidRPr="003A0C17">
              <w:rPr>
                <w:sz w:val="15"/>
                <w:szCs w:val="15"/>
                <w:lang w:val="fr-FR"/>
              </w:rPr>
              <w:t>Deuxième/Troisième Enquête Camerounaise auprès des Ménages</w:t>
            </w:r>
          </w:p>
        </w:tc>
        <w:tc>
          <w:tcPr>
            <w:tcW w:w="1080" w:type="dxa"/>
            <w:gridSpan w:val="2"/>
            <w:tcBorders>
              <w:top w:val="single" w:sz="4" w:space="0" w:color="auto"/>
            </w:tcBorders>
            <w:shd w:val="clear" w:color="auto" w:fill="FFFFFF" w:themeFill="background1"/>
            <w:vAlign w:val="center"/>
          </w:tcPr>
          <w:p w14:paraId="7E8D8C37" w14:textId="77777777" w:rsidR="00681CDB" w:rsidRPr="003A0C17" w:rsidRDefault="00681CDB" w:rsidP="005B0D26">
            <w:pPr>
              <w:ind w:left="0"/>
              <w:jc w:val="center"/>
              <w:rPr>
                <w:sz w:val="15"/>
                <w:szCs w:val="15"/>
                <w:lang w:val="fr-FR"/>
              </w:rPr>
            </w:pPr>
          </w:p>
        </w:tc>
        <w:tc>
          <w:tcPr>
            <w:tcW w:w="630" w:type="dxa"/>
            <w:tcBorders>
              <w:top w:val="single" w:sz="4" w:space="0" w:color="auto"/>
            </w:tcBorders>
            <w:shd w:val="clear" w:color="auto" w:fill="FFFFFF" w:themeFill="background1"/>
            <w:vAlign w:val="center"/>
          </w:tcPr>
          <w:p w14:paraId="1749038F" w14:textId="77777777" w:rsidR="00681CDB" w:rsidRPr="003A0C17" w:rsidRDefault="00681CDB" w:rsidP="005B0D26">
            <w:pPr>
              <w:ind w:left="0"/>
              <w:jc w:val="center"/>
              <w:rPr>
                <w:sz w:val="15"/>
                <w:szCs w:val="15"/>
                <w:lang w:val="fr-FR"/>
              </w:rPr>
            </w:pPr>
            <w:r w:rsidRPr="003A0C17">
              <w:rPr>
                <w:sz w:val="15"/>
                <w:szCs w:val="15"/>
                <w:lang w:val="fr-FR"/>
              </w:rPr>
              <w:t>X</w:t>
            </w:r>
          </w:p>
        </w:tc>
        <w:tc>
          <w:tcPr>
            <w:tcW w:w="810" w:type="dxa"/>
            <w:tcBorders>
              <w:top w:val="single" w:sz="4" w:space="0" w:color="auto"/>
            </w:tcBorders>
            <w:shd w:val="clear" w:color="auto" w:fill="FFFFFF" w:themeFill="background1"/>
            <w:vAlign w:val="center"/>
          </w:tcPr>
          <w:p w14:paraId="671A35E0" w14:textId="77777777" w:rsidR="00681CDB" w:rsidRPr="003A0C17" w:rsidRDefault="00681CDB" w:rsidP="005B0D26">
            <w:pPr>
              <w:ind w:left="0"/>
              <w:jc w:val="center"/>
              <w:rPr>
                <w:sz w:val="15"/>
                <w:szCs w:val="15"/>
                <w:lang w:val="fr-FR"/>
              </w:rPr>
            </w:pPr>
          </w:p>
        </w:tc>
        <w:tc>
          <w:tcPr>
            <w:tcW w:w="990" w:type="dxa"/>
            <w:tcBorders>
              <w:top w:val="single" w:sz="4" w:space="0" w:color="auto"/>
              <w:right w:val="single" w:sz="4" w:space="0" w:color="auto"/>
            </w:tcBorders>
            <w:shd w:val="clear" w:color="auto" w:fill="FFFFFF" w:themeFill="background1"/>
            <w:vAlign w:val="center"/>
          </w:tcPr>
          <w:p w14:paraId="7391C3AA" w14:textId="77777777" w:rsidR="00681CDB" w:rsidRPr="003A0C17" w:rsidRDefault="00681CDB" w:rsidP="005B0D26">
            <w:pPr>
              <w:ind w:left="0"/>
              <w:jc w:val="center"/>
              <w:rPr>
                <w:sz w:val="15"/>
                <w:szCs w:val="15"/>
                <w:lang w:val="fr-FR"/>
              </w:rPr>
            </w:pPr>
            <w:r w:rsidRPr="003A0C17">
              <w:rPr>
                <w:sz w:val="15"/>
                <w:szCs w:val="15"/>
                <w:lang w:val="fr-FR"/>
              </w:rPr>
              <w:t>X</w:t>
            </w:r>
          </w:p>
        </w:tc>
      </w:tr>
      <w:tr w:rsidR="00681CDB" w14:paraId="6A0E1E05" w14:textId="77777777" w:rsidTr="005B0D26">
        <w:tc>
          <w:tcPr>
            <w:tcW w:w="535" w:type="dxa"/>
            <w:tcBorders>
              <w:left w:val="single" w:sz="4" w:space="0" w:color="auto"/>
            </w:tcBorders>
            <w:shd w:val="clear" w:color="auto" w:fill="D9D9D9" w:themeFill="background1" w:themeFillShade="D9"/>
          </w:tcPr>
          <w:p w14:paraId="0379D6EA" w14:textId="45F5E994" w:rsidR="00681CDB" w:rsidRPr="00F02986" w:rsidRDefault="00681CDB" w:rsidP="005B0D26">
            <w:pPr>
              <w:ind w:left="0"/>
              <w:rPr>
                <w:sz w:val="15"/>
                <w:szCs w:val="15"/>
              </w:rPr>
            </w:pPr>
            <w:r>
              <w:rPr>
                <w:sz w:val="15"/>
                <w:szCs w:val="15"/>
              </w:rPr>
              <w:fldChar w:fldCharType="begin" w:fldLock="1"/>
            </w:r>
            <w:r w:rsidR="005B0D26">
              <w:rPr>
                <w:sz w:val="15"/>
                <w:szCs w:val="15"/>
                <w:lang w:val="fr-FR"/>
              </w:rPr>
              <w:instrText>ADDIN CSL_CITATION {"citationItems":[{"id":"ITEM-1","itemData":{"DOI":"10.1016/j.jdeveco.2011.11.001","ISSN":"03043878","abstract":"Surveys of consumption expenditure vary widely across many dimensions, including the level of reporting, the length of the reference period, and the degree of commodity detail. These variations occur both across countries and also over time within countries, with little current understanding of the implications of such changes for spatially and temporally consistent measurement of household consumption and poverty. A field experiment in Tanzania tests eight alternative methods of measuring household consumption, finding significant differences between consumption reported by the benchmark personal diary and other diary and recall formats. Under-reporting is particularly apparent for illiterate households and for urban respondents completing household diaries; recall modules measure lower consumption than a personal diary, with larger gaps among poorer households and for households with more adult members. Variations in reporting accuracy by household characteristics are also discussed and differences in measured poverty as a result of survey design are explored. © 2011 Elsevier B.V.","author":[{"dropping-particle":"","family":"Beegle","given":"Kathleen","non-dropping-particle":"","parse-names":false,"suffix":""},{"dropping-particle":"","family":"Weerdt","given":"Joachim","non-dropping-particle":"De","parse-names":false,"suffix":""},{"dropping-particle":"","family":"Friedman","given":"Jed","non-dropping-particle":"","parse-names":false,"suffix":""},{"dropping-particle":"","family":"Gibson","given":"John","non-dropping-particle":"","parse-names":false,"suffix":""}],"container-title":"Journal of Development Economics","id":"ITEM-1","issue":"1","issued":{"date-parts":[["2012"]]},"note":"Abstract exclusion","page":"3-18","title":"Methods of household consumption measurement through surveys: Experimental results from Tanzania","type":"article-journal","volume":"98"},"uris":["http://www.mendeley.com/documents/?uuid=97efd56f-4331-4083-b415-1ac06d277a72"]}],"mendeley":{"formattedCitation":"&lt;sup&gt;(2)&lt;/sup&gt;","plainTextFormattedCitation":"(2)","previouslyFormattedCitation":"[2]"},"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w:t>
            </w:r>
            <w:r>
              <w:rPr>
                <w:sz w:val="15"/>
                <w:szCs w:val="15"/>
              </w:rPr>
              <w:fldChar w:fldCharType="end"/>
            </w:r>
          </w:p>
        </w:tc>
        <w:tc>
          <w:tcPr>
            <w:tcW w:w="2098" w:type="dxa"/>
            <w:shd w:val="clear" w:color="auto" w:fill="D9D9D9" w:themeFill="background1" w:themeFillShade="D9"/>
          </w:tcPr>
          <w:p w14:paraId="74368002" w14:textId="77777777" w:rsidR="00681CDB" w:rsidRPr="00F02986" w:rsidRDefault="00681CDB" w:rsidP="005B0D26">
            <w:pPr>
              <w:ind w:left="0"/>
              <w:rPr>
                <w:sz w:val="15"/>
                <w:szCs w:val="15"/>
              </w:rPr>
            </w:pPr>
            <w:r w:rsidRPr="00F02986">
              <w:rPr>
                <w:sz w:val="15"/>
                <w:szCs w:val="15"/>
              </w:rPr>
              <w:t>Beegle et al. (2010)</w:t>
            </w:r>
          </w:p>
        </w:tc>
        <w:tc>
          <w:tcPr>
            <w:tcW w:w="1531" w:type="dxa"/>
            <w:shd w:val="clear" w:color="auto" w:fill="D9D9D9" w:themeFill="background1" w:themeFillShade="D9"/>
          </w:tcPr>
          <w:p w14:paraId="69D9C4FC" w14:textId="77777777" w:rsidR="00681CDB" w:rsidRPr="00F02986" w:rsidRDefault="00681CDB" w:rsidP="005B0D26">
            <w:pPr>
              <w:ind w:left="0"/>
              <w:rPr>
                <w:sz w:val="15"/>
                <w:szCs w:val="15"/>
              </w:rPr>
            </w:pPr>
            <w:r w:rsidRPr="00F02986">
              <w:rPr>
                <w:sz w:val="15"/>
                <w:szCs w:val="15"/>
              </w:rPr>
              <w:t>Tanzania</w:t>
            </w:r>
          </w:p>
        </w:tc>
        <w:tc>
          <w:tcPr>
            <w:tcW w:w="4291" w:type="dxa"/>
            <w:shd w:val="clear" w:color="auto" w:fill="D9D9D9" w:themeFill="background1" w:themeFillShade="D9"/>
          </w:tcPr>
          <w:p w14:paraId="6266E5EA" w14:textId="77777777" w:rsidR="00681CDB" w:rsidRPr="00F03BC0" w:rsidRDefault="00681CDB" w:rsidP="005B0D26">
            <w:pPr>
              <w:ind w:left="0"/>
              <w:rPr>
                <w:sz w:val="15"/>
                <w:szCs w:val="15"/>
              </w:rPr>
            </w:pPr>
            <w:r w:rsidRPr="00F03BC0">
              <w:rPr>
                <w:sz w:val="15"/>
                <w:szCs w:val="15"/>
              </w:rPr>
              <w:t>Survey modelled after Household Budget Survey (2006/07)</w:t>
            </w:r>
          </w:p>
        </w:tc>
        <w:tc>
          <w:tcPr>
            <w:tcW w:w="1080" w:type="dxa"/>
            <w:gridSpan w:val="2"/>
            <w:shd w:val="clear" w:color="auto" w:fill="D9D9D9" w:themeFill="background1" w:themeFillShade="D9"/>
            <w:vAlign w:val="center"/>
          </w:tcPr>
          <w:p w14:paraId="208F3134" w14:textId="77777777" w:rsidR="00681CDB" w:rsidRPr="00F02986" w:rsidRDefault="00681CDB" w:rsidP="005B0D26">
            <w:pPr>
              <w:ind w:left="0"/>
              <w:jc w:val="center"/>
              <w:rPr>
                <w:sz w:val="15"/>
                <w:szCs w:val="15"/>
              </w:rPr>
            </w:pPr>
            <w:r>
              <w:rPr>
                <w:sz w:val="15"/>
                <w:szCs w:val="15"/>
              </w:rPr>
              <w:t>X</w:t>
            </w:r>
          </w:p>
        </w:tc>
        <w:tc>
          <w:tcPr>
            <w:tcW w:w="630" w:type="dxa"/>
            <w:shd w:val="clear" w:color="auto" w:fill="D9D9D9" w:themeFill="background1" w:themeFillShade="D9"/>
            <w:vAlign w:val="center"/>
          </w:tcPr>
          <w:p w14:paraId="305F60A6"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560B8217"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128A98A1" w14:textId="77777777" w:rsidR="00681CDB" w:rsidRPr="00F02986" w:rsidRDefault="00681CDB" w:rsidP="005B0D26">
            <w:pPr>
              <w:ind w:left="0"/>
              <w:jc w:val="center"/>
              <w:rPr>
                <w:sz w:val="15"/>
                <w:szCs w:val="15"/>
              </w:rPr>
            </w:pPr>
          </w:p>
        </w:tc>
      </w:tr>
      <w:tr w:rsidR="00681CDB" w14:paraId="0BDD52DC" w14:textId="77777777" w:rsidTr="005B0D26">
        <w:tc>
          <w:tcPr>
            <w:tcW w:w="535" w:type="dxa"/>
            <w:tcBorders>
              <w:left w:val="single" w:sz="4" w:space="0" w:color="auto"/>
            </w:tcBorders>
            <w:shd w:val="clear" w:color="auto" w:fill="FFFFFF" w:themeFill="background1"/>
          </w:tcPr>
          <w:p w14:paraId="3AA2953C" w14:textId="5AA9EC1F"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{"citationItems":[{"id":"ITEM-1","itemData":{"DOI":"10.1017/S1368980018002847","ISSN":"14752727","abstract":"Objective The present paper aimed to demonstrate how 24 h dietary recall data can be used to generate a nutrition-relevant food list for household consumption and expenditure surveys (HCES) using contribution analysis and stepwise regression.Design The analysis used data from the 2011/12 Bangladesh Integrated Household Survey (BIHS), which is nationally representative of rural Bangladesh. A total of 325 primary sampling units (PSU=village) were surveyed through a two-stage stratified sampling approach. The household food consumption module used for the analysis consisted of a 24 h open dietary recall in which the female member in charge of preparing and serving food was asked about foods and quantities consumed by the whole household.Setting Rural Bangladesh.Participants A total of 6500 households.Results The original 24 h open dietary recall data in the BIHS were comprised of 288 individual foods that were grouped into ninety-four similar food groups. Contribution analysis and stepwise regression were based on nutrients of public health interest in Bangladesh (energy, protein, fat, Fe, Zn, vitamin A). These steps revealed that a list of fifty-nine food items captures approximately 90 % of the total intake and up to 90 % of the between-person variation for the key nutrients based on the diets of the population.Conclusions The study illustrates how 24 h open dietary recall data can be used to generate a country-specific nutrition-relevant food list that could be integrated into an HCES consumption module to enable more accurate and comprehensive household-level food and nutrient analyses.","author":[{"dropping-particle":"","family":"Bell","given":"Winnie","non-dropping-particle":"","parse-names":false,"suffix":""},{"dropping-particle":"","family":"Coates","given":"Jennifer C.","non-dropping-particle":"","parse-names":false,"suffix":""},{"dropping-particle":"","family":"Rogers","given":"Beatrice L.","non-dropping-particle":"","parse-names":false,"suffix":""},{"dropping-particle":"","family":"Bermudez","given":"Odilia I.","non-dropping-particle":"","parse-names":false,"suffix":""}],"container-title":"Public Health Nutrition","id":"ITEM-1","issue":"2","issued":{"date-parts":[["2019"]]},"page":"246-256","title":"Getting the food list 'right': An approach for the development of nutrition-relevant food lists for household consumption and expenditure surveys","type":"article-journal","volume":"22"},"uris":["http://www.mendeley.com/documents/?uuid=4ad5bd02-df25-42ab-a937-fb82de146c35"]}],"mendeley":{"formattedCitation":"&lt;sup&gt;(3)&lt;/sup&gt;","plainTextFormattedCitation":"(3)","previouslyFormattedCitation":"[3]"},"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w:t>
            </w:r>
            <w:r>
              <w:rPr>
                <w:sz w:val="15"/>
                <w:szCs w:val="15"/>
              </w:rPr>
              <w:fldChar w:fldCharType="end"/>
            </w:r>
          </w:p>
        </w:tc>
        <w:tc>
          <w:tcPr>
            <w:tcW w:w="2098" w:type="dxa"/>
            <w:shd w:val="clear" w:color="auto" w:fill="FFFFFF" w:themeFill="background1"/>
          </w:tcPr>
          <w:p w14:paraId="0A43FC76" w14:textId="77777777" w:rsidR="00681CDB" w:rsidRPr="00ED4732" w:rsidRDefault="00681CDB" w:rsidP="005B0D26">
            <w:pPr>
              <w:ind w:left="0"/>
              <w:rPr>
                <w:sz w:val="15"/>
                <w:szCs w:val="15"/>
              </w:rPr>
            </w:pPr>
            <w:r w:rsidRPr="00ED4732">
              <w:rPr>
                <w:sz w:val="15"/>
                <w:szCs w:val="15"/>
              </w:rPr>
              <w:t>Bell et al. (2019)</w:t>
            </w:r>
          </w:p>
        </w:tc>
        <w:tc>
          <w:tcPr>
            <w:tcW w:w="1531" w:type="dxa"/>
            <w:shd w:val="clear" w:color="auto" w:fill="FFFFFF" w:themeFill="background1"/>
          </w:tcPr>
          <w:p w14:paraId="6D38F04A" w14:textId="77777777" w:rsidR="00681CDB" w:rsidRPr="00F02986" w:rsidRDefault="00681CDB" w:rsidP="005B0D26">
            <w:pPr>
              <w:ind w:left="0"/>
              <w:rPr>
                <w:sz w:val="15"/>
                <w:szCs w:val="15"/>
              </w:rPr>
            </w:pPr>
            <w:r w:rsidRPr="00F02986">
              <w:rPr>
                <w:sz w:val="15"/>
                <w:szCs w:val="15"/>
              </w:rPr>
              <w:t>Bangladesh</w:t>
            </w:r>
          </w:p>
        </w:tc>
        <w:tc>
          <w:tcPr>
            <w:tcW w:w="4291" w:type="dxa"/>
            <w:shd w:val="clear" w:color="auto" w:fill="FFFFFF" w:themeFill="background1"/>
          </w:tcPr>
          <w:p w14:paraId="3C673447" w14:textId="77777777" w:rsidR="00681CDB" w:rsidRPr="00F03BC0" w:rsidRDefault="00681CDB" w:rsidP="005B0D26">
            <w:pPr>
              <w:ind w:left="0"/>
              <w:rPr>
                <w:sz w:val="15"/>
                <w:szCs w:val="15"/>
              </w:rPr>
            </w:pPr>
            <w:r w:rsidRPr="00F03BC0">
              <w:rPr>
                <w:sz w:val="15"/>
                <w:szCs w:val="15"/>
              </w:rPr>
              <w:t>Bangladesh Integrated Household Survey (2011/12)</w:t>
            </w:r>
          </w:p>
        </w:tc>
        <w:tc>
          <w:tcPr>
            <w:tcW w:w="1080" w:type="dxa"/>
            <w:gridSpan w:val="2"/>
            <w:shd w:val="clear" w:color="auto" w:fill="FFFFFF" w:themeFill="background1"/>
            <w:vAlign w:val="center"/>
          </w:tcPr>
          <w:p w14:paraId="5E4D6920" w14:textId="77777777" w:rsidR="00681CDB" w:rsidRPr="00F02986" w:rsidRDefault="00681CDB" w:rsidP="005B0D26">
            <w:pPr>
              <w:ind w:left="0"/>
              <w:jc w:val="center"/>
              <w:rPr>
                <w:sz w:val="15"/>
                <w:szCs w:val="15"/>
              </w:rPr>
            </w:pPr>
          </w:p>
        </w:tc>
        <w:tc>
          <w:tcPr>
            <w:tcW w:w="630" w:type="dxa"/>
            <w:shd w:val="clear" w:color="auto" w:fill="FFFFFF" w:themeFill="background1"/>
            <w:vAlign w:val="center"/>
          </w:tcPr>
          <w:p w14:paraId="5AC6C897" w14:textId="77777777" w:rsidR="00681CDB" w:rsidRPr="00F02986" w:rsidRDefault="00681CDB" w:rsidP="005B0D26">
            <w:pPr>
              <w:ind w:left="0"/>
              <w:jc w:val="center"/>
              <w:rPr>
                <w:sz w:val="15"/>
                <w:szCs w:val="15"/>
              </w:rPr>
            </w:pPr>
          </w:p>
        </w:tc>
        <w:tc>
          <w:tcPr>
            <w:tcW w:w="810" w:type="dxa"/>
            <w:shd w:val="clear" w:color="auto" w:fill="FFFFFF" w:themeFill="background1"/>
            <w:vAlign w:val="center"/>
          </w:tcPr>
          <w:p w14:paraId="170A2C23"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FFFFFF" w:themeFill="background1"/>
            <w:vAlign w:val="center"/>
          </w:tcPr>
          <w:p w14:paraId="7C4C080A" w14:textId="77777777" w:rsidR="00681CDB" w:rsidRPr="00F02986" w:rsidRDefault="00681CDB" w:rsidP="005B0D26">
            <w:pPr>
              <w:ind w:left="0"/>
              <w:jc w:val="center"/>
              <w:rPr>
                <w:sz w:val="15"/>
                <w:szCs w:val="15"/>
              </w:rPr>
            </w:pPr>
          </w:p>
        </w:tc>
      </w:tr>
      <w:tr w:rsidR="00681CDB" w14:paraId="4B8858DA" w14:textId="77777777" w:rsidTr="005B0D26">
        <w:tc>
          <w:tcPr>
            <w:tcW w:w="535" w:type="dxa"/>
            <w:tcBorders>
              <w:left w:val="single" w:sz="4" w:space="0" w:color="auto"/>
            </w:tcBorders>
            <w:shd w:val="clear" w:color="auto" w:fill="D9D9D9" w:themeFill="background1" w:themeFillShade="D9"/>
          </w:tcPr>
          <w:p w14:paraId="44C072B3" w14:textId="69E1AE6E"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{"citationItems":[{"id":"ITEM-1","itemData":{"DOI":"10.1177/15648265120333s209","ISSN":"03795721","PMID":"23193772","abstract":"Globally, there is a scarcity of national food consumption data that could help to assess food patterns and nutrient intakes of population groups. Estimates of food consumption patterns and apparent intakes of energy and nutrients could be obtained from national Household Consumption and Expenditures Surveys (HCES). To use the HCES conducted in Bangladesh in 2005 (HIES2005) to estimate apparent intakes of vitamin A, iron, and zinc. Food acquisition data from HIES2005, which surveyed 10,080 households, were transformed into standard measurement units. Intrahousehold food and nutrient distribution was estimated with Adult Male Equivalent (AME) units. Adequacy of intake was assessed by comparing individual nutrient intakes with requirements and was then aggregated by households. The weighted mean energy intake for the population was 2,151 kcal/person/day, with a range among divisions from 1,950 in Barisal to 2,195 in Dhaka division. The apparent intakes of vitamin A and iron were insufficient to satisfy the recommended intakes for more than 80% of the population in Bangladesh, while apparent intakes of zinc, adjusted by bioavailability, satisfied the requirements of approximately 60% of the population. Using the HIES2005, we were able to produce estimates of apparent food consumption and intakes of some key micronutrients for the Bangladeshi population and observed wide differences among divisions. However, the methodological approaches reported here, although feasible and promising, need to be validated with other dietary intake methods.","author":[{"dropping-particle":"","family":"Bermudez","given":"Odilia I.","non-dropping-particle":"","parse-names":false,"suffix":""},{"dropping-particle":"","family":"Lividini","given":"Keith","non-dropping-particle":"","parse-names":false,"suffix":""},{"dropping-particle":"","family":"Smitz","given":"Marc Francois","non-dropping-particle":"","parse-names":false,"suffix":""},{"dropping-particle":"","family":"Fiedler","given":"John L.","non-dropping-particle":"","parse-names":false,"suffix":""}],"container-title":"Food and nutrition bulletin","id":"ITEM-1","issue":"3 Suppl","issued":{"date-parts":[["2012"]]},"page":"S208-13","title":"Estimating micronutrient intakes from Household Consumption and Expenditures Surveys (HCES): an example from Bangladesh.","type":"article-journal","volume":"33"},"uris":["http://www.mendeley.com/documents/?uuid=5f0607cd-9d90-4eeb-84ee-0777d82e1f28"]}],"mendeley":{"formattedCitation":"&lt;sup&gt;(4)&lt;/sup&gt;","plainTextFormattedCitation":"(4)","previouslyFormattedCitation":"[4]"},"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w:t>
            </w:r>
            <w:r>
              <w:rPr>
                <w:sz w:val="15"/>
                <w:szCs w:val="15"/>
              </w:rPr>
              <w:fldChar w:fldCharType="end"/>
            </w:r>
          </w:p>
        </w:tc>
        <w:tc>
          <w:tcPr>
            <w:tcW w:w="2098" w:type="dxa"/>
            <w:shd w:val="clear" w:color="auto" w:fill="D9D9D9" w:themeFill="background1" w:themeFillShade="D9"/>
          </w:tcPr>
          <w:p w14:paraId="25FD2062" w14:textId="77777777" w:rsidR="00681CDB" w:rsidRPr="00F02986" w:rsidRDefault="00681CDB" w:rsidP="005B0D26">
            <w:pPr>
              <w:ind w:left="0"/>
              <w:rPr>
                <w:sz w:val="15"/>
                <w:szCs w:val="15"/>
              </w:rPr>
            </w:pPr>
            <w:r w:rsidRPr="00F02986">
              <w:rPr>
                <w:sz w:val="15"/>
                <w:szCs w:val="15"/>
              </w:rPr>
              <w:t>Bermudez et al. (2012)</w:t>
            </w:r>
          </w:p>
        </w:tc>
        <w:tc>
          <w:tcPr>
            <w:tcW w:w="1531" w:type="dxa"/>
            <w:shd w:val="clear" w:color="auto" w:fill="D9D9D9" w:themeFill="background1" w:themeFillShade="D9"/>
          </w:tcPr>
          <w:p w14:paraId="7AD023E5" w14:textId="77777777" w:rsidR="00681CDB" w:rsidRPr="00F02986" w:rsidRDefault="00681CDB" w:rsidP="005B0D26">
            <w:pPr>
              <w:ind w:left="0"/>
              <w:rPr>
                <w:sz w:val="15"/>
                <w:szCs w:val="15"/>
              </w:rPr>
            </w:pPr>
            <w:r w:rsidRPr="00F02986">
              <w:rPr>
                <w:sz w:val="15"/>
                <w:szCs w:val="15"/>
              </w:rPr>
              <w:t>Bangladesh</w:t>
            </w:r>
          </w:p>
        </w:tc>
        <w:tc>
          <w:tcPr>
            <w:tcW w:w="4291" w:type="dxa"/>
            <w:shd w:val="clear" w:color="auto" w:fill="D9D9D9" w:themeFill="background1" w:themeFillShade="D9"/>
          </w:tcPr>
          <w:p w14:paraId="1DFDEF4C" w14:textId="77777777" w:rsidR="00681CDB" w:rsidRPr="00F03BC0" w:rsidRDefault="00681CDB" w:rsidP="005B0D26">
            <w:pPr>
              <w:ind w:left="0"/>
              <w:rPr>
                <w:sz w:val="15"/>
                <w:szCs w:val="15"/>
              </w:rPr>
            </w:pPr>
            <w:r w:rsidRPr="00F03BC0">
              <w:rPr>
                <w:sz w:val="15"/>
                <w:szCs w:val="15"/>
              </w:rPr>
              <w:t>﻿Bangladesh Household Income and Expenditure Survey (2005)</w:t>
            </w:r>
          </w:p>
        </w:tc>
        <w:tc>
          <w:tcPr>
            <w:tcW w:w="1080" w:type="dxa"/>
            <w:gridSpan w:val="2"/>
            <w:shd w:val="clear" w:color="auto" w:fill="D9D9D9" w:themeFill="background1" w:themeFillShade="D9"/>
            <w:vAlign w:val="center"/>
          </w:tcPr>
          <w:p w14:paraId="31D1E7B0"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5CB223CD"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391459A6"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5CBFF78A" w14:textId="77777777" w:rsidR="00681CDB" w:rsidRPr="00F02986" w:rsidRDefault="00681CDB" w:rsidP="005B0D26">
            <w:pPr>
              <w:ind w:left="0"/>
              <w:jc w:val="center"/>
              <w:rPr>
                <w:sz w:val="15"/>
                <w:szCs w:val="15"/>
              </w:rPr>
            </w:pPr>
            <w:r>
              <w:rPr>
                <w:sz w:val="15"/>
                <w:szCs w:val="15"/>
              </w:rPr>
              <w:t>X</w:t>
            </w:r>
          </w:p>
        </w:tc>
      </w:tr>
      <w:tr w:rsidR="00681CDB" w14:paraId="6A931B13" w14:textId="77777777" w:rsidTr="005B0D26">
        <w:tc>
          <w:tcPr>
            <w:tcW w:w="535" w:type="dxa"/>
            <w:tcBorders>
              <w:left w:val="single" w:sz="4" w:space="0" w:color="auto"/>
            </w:tcBorders>
            <w:shd w:val="clear" w:color="auto" w:fill="FFFFFF" w:themeFill="background1"/>
          </w:tcPr>
          <w:p w14:paraId="48C5765E" w14:textId="1772932E"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{"citationItems":[{"id":"ITEM-1","itemData":{"DOI":"10.1017/S1368980016002615","ISSN":"14752727","abstract":"Objective Fish is the most important animal-source food (ASF) in Bangladesh, produced from capture fisheries (non-farmed) and aquaculture (farmed) sub-sectors. Large differences in micronutrient content of fish species from these sub-sectors exist. The importance of fish in diets of vulnerable groups compared with other ASF; contribution from non-farmed and farmed species to nutrient intakes; and differences in fish consumption among age, gender, wealth groups and geographic regions were analysed, using quantitative intra-household fish consumption data, focusing on the first 1000 d of life. Design Two-stage stratified sample. Setting Nationally representative of rural Bangladesh. Subjects Households (n 5503) and individuals (n 24 198). Results Fish consumption in poor households was almost half that in wealthiest households; and lower in females than males in all groups, except the wealthiest, and for those aged ≥15 years (P&lt;0·01). In infants of complementary feeding age, 56 % did not consume ASF on the survey day, despite 78 % of mothers knowing this was recommended. Non-farmed fish made a larger contribution to Fe, Zn, Ca, vitamin A and vitamin B12 intakes than farmed fish (P&lt;0·0001). Conclusions Policies and programmes aimed to increase fish consumption as a means to improve nutrition in rural Bangladesh should focus on women and young children, and on the poorest households. Aquaculture plays an important role in increasing availability and affordability of fish; however, non-farmed fish species are better placed to contribute to greater micronutrient intakes. This presents an opportunity for aquaculture to contribute to improved nutrition, utilising diverse production technologies and fish species, including small fish.","author":[{"dropping-particle":"","family":"Bogard","given":"Jessica R.","non-dropping-particle":"","parse-names":false,"suffix":""},{"dropping-particle":"","family":"Marks","given":"Geoffrey C.","non-dropping-particle":"","parse-names":false,"suffix":""},{"dropping-particle":"","family":"Mamun","given":"Abdullah","non-dropping-particle":"","parse-names":false,"suffix":""},{"dropping-particle":"","family":"Thilsted","given":"Shakuntala H.","non-dropping-particle":"","parse-names":false,"suffix":""}],"container-title":"Public Health Nutrition","id":"ITEM-1","issue":"4","issued":{"date-parts":[["2017"]]},"page":"702-711","title":"Non-farmed fish contribute to greater micronutrient intakes than farmed fish: Results from an intra-household survey in rural Bangladesh","type":"article-journal","volume":"20"},"uris":["http://www.mendeley.com/documents/?uuid=209940d3-8b0d-47e9-b334-fa27f82c949d"]}],"mendeley":{"formattedCitation":"&lt;sup&gt;(5)&lt;/sup&gt;","plainTextFormattedCitation":"(5)","previouslyFormattedCitation":"[5]"},"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w:t>
            </w:r>
            <w:r>
              <w:rPr>
                <w:sz w:val="15"/>
                <w:szCs w:val="15"/>
              </w:rPr>
              <w:fldChar w:fldCharType="end"/>
            </w:r>
          </w:p>
        </w:tc>
        <w:tc>
          <w:tcPr>
            <w:tcW w:w="2098" w:type="dxa"/>
            <w:shd w:val="clear" w:color="auto" w:fill="FFFFFF" w:themeFill="background1"/>
          </w:tcPr>
          <w:p w14:paraId="5A5ABF73" w14:textId="77777777" w:rsidR="00681CDB" w:rsidRPr="00F02986" w:rsidRDefault="00681CDB" w:rsidP="005B0D26">
            <w:pPr>
              <w:ind w:left="0"/>
              <w:rPr>
                <w:sz w:val="15"/>
                <w:szCs w:val="15"/>
              </w:rPr>
            </w:pPr>
            <w:proofErr w:type="spellStart"/>
            <w:r w:rsidRPr="00F02986">
              <w:rPr>
                <w:sz w:val="15"/>
                <w:szCs w:val="15"/>
              </w:rPr>
              <w:t>Bogard</w:t>
            </w:r>
            <w:proofErr w:type="spellEnd"/>
            <w:r w:rsidRPr="00F02986">
              <w:rPr>
                <w:sz w:val="15"/>
                <w:szCs w:val="15"/>
              </w:rPr>
              <w:t xml:space="preserve"> &amp; Mamun (2016)</w:t>
            </w:r>
          </w:p>
        </w:tc>
        <w:tc>
          <w:tcPr>
            <w:tcW w:w="1531" w:type="dxa"/>
            <w:shd w:val="clear" w:color="auto" w:fill="FFFFFF" w:themeFill="background1"/>
          </w:tcPr>
          <w:p w14:paraId="666F8DAB" w14:textId="77777777" w:rsidR="00681CDB" w:rsidRPr="00F02986" w:rsidRDefault="00681CDB" w:rsidP="005B0D26">
            <w:pPr>
              <w:ind w:left="0"/>
              <w:rPr>
                <w:sz w:val="15"/>
                <w:szCs w:val="15"/>
              </w:rPr>
            </w:pPr>
            <w:r w:rsidRPr="00F02986">
              <w:rPr>
                <w:sz w:val="15"/>
                <w:szCs w:val="15"/>
              </w:rPr>
              <w:t>Bangladesh</w:t>
            </w:r>
          </w:p>
        </w:tc>
        <w:tc>
          <w:tcPr>
            <w:tcW w:w="4291" w:type="dxa"/>
            <w:shd w:val="clear" w:color="auto" w:fill="FFFFFF" w:themeFill="background1"/>
          </w:tcPr>
          <w:p w14:paraId="609AD2BA" w14:textId="77777777" w:rsidR="00681CDB" w:rsidRPr="00F03BC0" w:rsidRDefault="00681CDB" w:rsidP="005B0D26">
            <w:pPr>
              <w:ind w:left="0"/>
              <w:rPr>
                <w:sz w:val="15"/>
                <w:szCs w:val="15"/>
              </w:rPr>
            </w:pPr>
            <w:r w:rsidRPr="00F03BC0">
              <w:rPr>
                <w:sz w:val="15"/>
                <w:szCs w:val="15"/>
              </w:rPr>
              <w:t>Bangladesh Integrated Household Survey (2011/12)</w:t>
            </w:r>
          </w:p>
        </w:tc>
        <w:tc>
          <w:tcPr>
            <w:tcW w:w="1080" w:type="dxa"/>
            <w:gridSpan w:val="2"/>
            <w:shd w:val="clear" w:color="auto" w:fill="FFFFFF" w:themeFill="background1"/>
            <w:vAlign w:val="center"/>
          </w:tcPr>
          <w:p w14:paraId="2E932235" w14:textId="77777777" w:rsidR="00681CDB" w:rsidRPr="00F02986" w:rsidRDefault="00681CDB" w:rsidP="005B0D26">
            <w:pPr>
              <w:ind w:left="0"/>
              <w:jc w:val="center"/>
              <w:rPr>
                <w:sz w:val="15"/>
                <w:szCs w:val="15"/>
              </w:rPr>
            </w:pPr>
          </w:p>
        </w:tc>
        <w:tc>
          <w:tcPr>
            <w:tcW w:w="630" w:type="dxa"/>
            <w:shd w:val="clear" w:color="auto" w:fill="FFFFFF" w:themeFill="background1"/>
            <w:vAlign w:val="center"/>
          </w:tcPr>
          <w:p w14:paraId="5D940FA9" w14:textId="77777777" w:rsidR="00681CDB" w:rsidRPr="00F02986" w:rsidRDefault="00681CDB" w:rsidP="005B0D26">
            <w:pPr>
              <w:ind w:left="0"/>
              <w:jc w:val="center"/>
              <w:rPr>
                <w:sz w:val="15"/>
                <w:szCs w:val="15"/>
              </w:rPr>
            </w:pPr>
          </w:p>
        </w:tc>
        <w:tc>
          <w:tcPr>
            <w:tcW w:w="810" w:type="dxa"/>
            <w:shd w:val="clear" w:color="auto" w:fill="FFFFFF" w:themeFill="background1"/>
            <w:vAlign w:val="center"/>
          </w:tcPr>
          <w:p w14:paraId="1429C061"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FFFFFF" w:themeFill="background1"/>
            <w:vAlign w:val="center"/>
          </w:tcPr>
          <w:p w14:paraId="20C617FD" w14:textId="77777777" w:rsidR="00681CDB" w:rsidRPr="00F02986" w:rsidRDefault="00681CDB" w:rsidP="005B0D26">
            <w:pPr>
              <w:ind w:left="0"/>
              <w:jc w:val="center"/>
              <w:rPr>
                <w:sz w:val="15"/>
                <w:szCs w:val="15"/>
              </w:rPr>
            </w:pPr>
          </w:p>
        </w:tc>
      </w:tr>
      <w:tr w:rsidR="00681CDB" w14:paraId="57643521" w14:textId="77777777" w:rsidTr="005B0D26">
        <w:tc>
          <w:tcPr>
            <w:tcW w:w="535" w:type="dxa"/>
            <w:tcBorders>
              <w:left w:val="single" w:sz="4" w:space="0" w:color="auto"/>
            </w:tcBorders>
            <w:shd w:val="clear" w:color="auto" w:fill="D9D9D9" w:themeFill="background1" w:themeFillShade="D9"/>
          </w:tcPr>
          <w:p w14:paraId="2882A3C3" w14:textId="372E9466"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{"citationItems":[{"id":"ITEM-1","itemData":{"DOI":"10.1371/journal.pone.0175098","ISSN":"19326203","abstract":"Malnutrition is one of the biggest challenges of the 21st century, with one in three people in the world malnourished, combined with poor diets being the leading cause of the global burden of disease. Fish is an under-recognised and undervalued source of micronutrients, which could play a more significant role in addressing this global challenge. With rising pressures on capture fisheries, demand is increasingly being met from aquaculture. However, aquaculture systems are designed to maximise productivity, with little consideration for nutritional quality of fish produced. A global shift away from diverse capture species towards consumption of few farmed species, has implications for diet quality that are yet to be fully explored. Bangladesh provides a useful case study of this transition, as fish is the most important animal-source food in diets, and is increasingly supplied from aquaculture. We conducted a temporal analysis of fish consumption and nutrient intakes from fish in Bangladesh, using nationally representative household expenditure surveys from 1991, 2000 and 2010 (n = 25,425 households), combined with detailed species-level nutrient composition data. Fish consumption increased by 30% from 1991-2010. Consumption of non-farmed species declined by 33% over this period, compensated (in terms of quantity) by large increases in consumption of farmed species. Despite increased total fish consumption, there were significant decreases in iron and calcium intakes from fish (P&lt;0.01); and no significant change in intakes of zinc, vitamin A and vitamin B12 from fish, reflecting lower overall nutritional quality of fish available for consumption over time. Our results challenge the conventional narrative that increases in food supply lead to improvements in diet and nutrition. As aquaculture becomes an increasingly important food source, it must embrace a nutrition-sensitive approach, moving beyond maximising productivity to also consider nutritional quality. Doing so will optimise the complementary role that aquaculture and capture fisheries play in improving nutrition and health.","author":[{"dropping-particle":"","family":"Bogard","given":"Jessica R.","non-dropping-particle":"","parse-names":false,"suffix":""},{"dropping-particle":"","family":"Farook","given":"Sami","non-dropping-particle":"","parse-names":false,"suffix":""},{"dropping-particle":"","family":"Marks","given":"Geoffrey C.","non-dropping-particle":"","parse-names":false,"suffix":""},{"dropping-particle":"","family":"Waid","given":"Jillian","non-dropping-particle":"","parse-names":false,"suffix":""},{"dropping-particle":"","family":"Belton","given":"Ben","non-dropping-particle":"","parse-names":false,"suffix":""},{"dropping-particle":"","family":"Ali","given":"Masum","non-dropping-particle":"","parse-names":false,"suffix":""},{"dropping-particle":"","family":"Toufique","given":"Kazi","non-dropping-particle":"","parse-names":false,"suffix":""},{"dropping-particle":"","family":"Mamun","given":"Abdulla","non-dropping-particle":"","parse-names":false,"suffix":""},{"dropping-particle":"","family":"Thilsted","given":"Shakuntala H.","non-dropping-particle":"","parse-names":false,"suffix":""}],"container-title":"PLoS ONE","id":"ITEM-1","issue":"4","issued":{"date-parts":[["2017"]]},"page":"e0175098","title":"Higher fish but lower micronutrient intakes: Temporal changes in fish consumption from capture fisheries and aquaculture in Bangladesh","type":"article-journal","volume":"12"},"uris":["http://www.mendeley.com/documents/?uuid=c2f471f8-b75e-453d-abc3-5ac74119bc05"]}],"mendeley":{"formattedCitation":"&lt;sup&gt;(6)&lt;/sup&gt;","plainTextFormattedCitation":"(6)","previouslyFormattedCitation":"[6]"},"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(6)</w:t>
            </w:r>
            <w:r>
              <w:rPr>
                <w:sz w:val="15"/>
                <w:szCs w:val="15"/>
              </w:rPr>
              <w:fldChar w:fldCharType="end"/>
            </w:r>
          </w:p>
        </w:tc>
        <w:tc>
          <w:tcPr>
            <w:tcW w:w="2098" w:type="dxa"/>
            <w:shd w:val="clear" w:color="auto" w:fill="D9D9D9" w:themeFill="background1" w:themeFillShade="D9"/>
          </w:tcPr>
          <w:p w14:paraId="36D12CFB" w14:textId="77777777" w:rsidR="00681CDB" w:rsidRPr="00F02986" w:rsidRDefault="00681CDB" w:rsidP="005B0D26">
            <w:pPr>
              <w:ind w:left="0"/>
              <w:rPr>
                <w:sz w:val="15"/>
                <w:szCs w:val="15"/>
              </w:rPr>
            </w:pPr>
            <w:proofErr w:type="spellStart"/>
            <w:r w:rsidRPr="00F02986">
              <w:rPr>
                <w:sz w:val="15"/>
                <w:szCs w:val="15"/>
              </w:rPr>
              <w:t>Bogard</w:t>
            </w:r>
            <w:proofErr w:type="spellEnd"/>
            <w:r w:rsidRPr="00F02986">
              <w:rPr>
                <w:sz w:val="15"/>
                <w:szCs w:val="15"/>
              </w:rPr>
              <w:t xml:space="preserve"> et al. (2017)</w:t>
            </w:r>
          </w:p>
        </w:tc>
        <w:tc>
          <w:tcPr>
            <w:tcW w:w="1531" w:type="dxa"/>
            <w:shd w:val="clear" w:color="auto" w:fill="D9D9D9" w:themeFill="background1" w:themeFillShade="D9"/>
          </w:tcPr>
          <w:p w14:paraId="11B77B6B" w14:textId="77777777" w:rsidR="00681CDB" w:rsidRPr="00F02986" w:rsidRDefault="00681CDB" w:rsidP="005B0D26">
            <w:pPr>
              <w:ind w:left="0"/>
              <w:rPr>
                <w:sz w:val="15"/>
                <w:szCs w:val="15"/>
              </w:rPr>
            </w:pPr>
            <w:r w:rsidRPr="00F02986">
              <w:rPr>
                <w:sz w:val="15"/>
                <w:szCs w:val="15"/>
              </w:rPr>
              <w:t>Bangladesh</w:t>
            </w:r>
          </w:p>
        </w:tc>
        <w:tc>
          <w:tcPr>
            <w:tcW w:w="4291" w:type="dxa"/>
            <w:shd w:val="clear" w:color="auto" w:fill="D9D9D9" w:themeFill="background1" w:themeFillShade="D9"/>
          </w:tcPr>
          <w:p w14:paraId="4706705E" w14:textId="77777777" w:rsidR="00681CDB" w:rsidRPr="00F03BC0" w:rsidRDefault="00681CDB" w:rsidP="005B0D26">
            <w:pPr>
              <w:ind w:left="0"/>
              <w:rPr>
                <w:sz w:val="15"/>
                <w:szCs w:val="15"/>
              </w:rPr>
            </w:pPr>
            <w:r w:rsidRPr="00F03BC0">
              <w:rPr>
                <w:sz w:val="15"/>
                <w:szCs w:val="15"/>
              </w:rPr>
              <w:t>Household Income and Expenditure Survey (1991, 2000, 2010)</w:t>
            </w:r>
          </w:p>
        </w:tc>
        <w:tc>
          <w:tcPr>
            <w:tcW w:w="1080" w:type="dxa"/>
            <w:gridSpan w:val="2"/>
            <w:shd w:val="clear" w:color="auto" w:fill="D9D9D9" w:themeFill="background1" w:themeFillShade="D9"/>
            <w:vAlign w:val="center"/>
          </w:tcPr>
          <w:p w14:paraId="5D119E56"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07F4416E"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407ED9ED"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5D7B1F14" w14:textId="77777777" w:rsidR="00681CDB" w:rsidRPr="00F02986" w:rsidRDefault="00681CDB" w:rsidP="005B0D26">
            <w:pPr>
              <w:ind w:left="0"/>
              <w:jc w:val="center"/>
              <w:rPr>
                <w:sz w:val="15"/>
                <w:szCs w:val="15"/>
              </w:rPr>
            </w:pPr>
          </w:p>
        </w:tc>
      </w:tr>
      <w:tr w:rsidR="00681CDB" w14:paraId="69CB0437" w14:textId="77777777" w:rsidTr="005B0D26">
        <w:tc>
          <w:tcPr>
            <w:tcW w:w="535" w:type="dxa"/>
            <w:tcBorders>
              <w:left w:val="single" w:sz="4" w:space="0" w:color="auto"/>
            </w:tcBorders>
            <w:shd w:val="clear" w:color="auto" w:fill="FFFFFF" w:themeFill="background1"/>
          </w:tcPr>
          <w:p w14:paraId="3A571E49" w14:textId="26D40429"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{"citationItems":[{"id":"ITEM-1","itemData":{"DOI":"10.3390/nu10060703","ISSN":"20726643","abstract":"Household consumption and expenditure surveys are frequently conducted around the world and they usually include data on household food consumption, but their applicability to nutrition research is limited by their collection at the household level. Using data from Mongolia, this study evaluated four approaches for estimating diet from household surveys: direct inference from per-capita household consumption; disaggregation of household consumption using a statistical method and the “adult male equivalent” method, and direct prediction of dietary intake. Per-capita household consumption overestimated dietary energy in single- and multi-person households by factors of 2.63 and 1.89, respectively. Performance of disaggregation methods was variable across two household surveys analyzed, while the statistical method exhibited less bias in estimating intake densities (per 100 kcal) of most dietary components in both of the surveys. Increasingly complex prediction models explained 54% to 72% of in-sample variation in dietary energy, with consistent benefits incurred by inclusion of basic dietary measurements. In conclusion, in Mongolia and elsewhere, differences in how household and dietary measurements are recorded make their comparison challenging. Validity of disaggregation methods depends on household survey characteristics and the dietary components that are considered. Relatively precise prediction models of dietary intake can be achieved by integrating basic dietary assessment into household surveys.","author":[{"dropping-particle":"","family":"Bromage","given":"Sabri","non-dropping-particle":"","parse-names":false,"suffix":""},{"dropping-particle":"","family":"Rosner","given":"Bernard","non-dropping-particle":"","parse-names":false,"suffix":""},{"dropping-particle":"","family":"Rich-Edwards","given":"Janet W.","non-dropping-particle":"","parse-names":false,"suffix":""},{"dropping-particle":"","family":"Ganmaa","given":"Davaasambuu","non-dropping-particle":"","parse-names":false,"suffix":""},{"dropping-particle":"","family":"Tsolmon","given":"Soninkhishig","non-dropping-particle":"","parse-names":false,"suffix":""},{"dropping-particle":"","family":"Tserendejid","given":"Zuunnast","non-dropping-particle":"","parse-names":false,"suffix":""},{"dropping-particle":"","family":"Odbayar","given":"Tseye Oidov","non-dropping-particle":"","parse-names":false,"suffix":""},{"dropping-particle":"","family":"Traeger","given":"Margaret","non-dropping-particle":"","parse-names":false,"suffix":""},{"dropping-particle":"","family":"Fawzi","given":"Wafaie W.","non-dropping-particle":"","parse-names":false,"suffix":""}],"container-title":"Nutrients","id":"ITEM-1","issue":"6","issued":{"date-parts":[["2018"]]},"page":"703","title":"Comparison of methods for estimating dietary food and nutrient intakes and intake densities from household consumption and expenditure data in Mongolia","type":"article-journal","volume":"10"},"uris":["http://www.mendeley.com/documents/?uuid=337c4197-a54b-47b1-9e2a-a328cd26acb1"]}],"mendeley":{"formattedCitation":"&lt;sup&gt;(7)&lt;/sup&gt;","plainTextFormattedCitation":"(7)","previouslyFormattedCitation":"[7]"},"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(7)</w:t>
            </w:r>
            <w:r>
              <w:rPr>
                <w:sz w:val="15"/>
                <w:szCs w:val="15"/>
              </w:rPr>
              <w:fldChar w:fldCharType="end"/>
            </w:r>
          </w:p>
        </w:tc>
        <w:tc>
          <w:tcPr>
            <w:tcW w:w="2098" w:type="dxa"/>
            <w:shd w:val="clear" w:color="auto" w:fill="FFFFFF" w:themeFill="background1"/>
          </w:tcPr>
          <w:p w14:paraId="3B31B48E" w14:textId="77777777" w:rsidR="00681CDB" w:rsidRPr="00F02986" w:rsidRDefault="00681CDB" w:rsidP="005B0D26">
            <w:pPr>
              <w:ind w:left="0"/>
              <w:rPr>
                <w:sz w:val="15"/>
                <w:szCs w:val="15"/>
              </w:rPr>
            </w:pPr>
            <w:proofErr w:type="spellStart"/>
            <w:r w:rsidRPr="00F02986">
              <w:rPr>
                <w:sz w:val="15"/>
                <w:szCs w:val="15"/>
              </w:rPr>
              <w:t>Bromage</w:t>
            </w:r>
            <w:proofErr w:type="spellEnd"/>
            <w:r w:rsidRPr="00F02986">
              <w:rPr>
                <w:sz w:val="15"/>
                <w:szCs w:val="15"/>
              </w:rPr>
              <w:t xml:space="preserve"> et al. (2018)</w:t>
            </w:r>
          </w:p>
        </w:tc>
        <w:tc>
          <w:tcPr>
            <w:tcW w:w="1531" w:type="dxa"/>
            <w:shd w:val="clear" w:color="auto" w:fill="FFFFFF" w:themeFill="background1"/>
          </w:tcPr>
          <w:p w14:paraId="7CE883D9" w14:textId="77777777" w:rsidR="00681CDB" w:rsidRPr="00F02986" w:rsidRDefault="00681CDB" w:rsidP="005B0D26">
            <w:pPr>
              <w:ind w:left="0"/>
              <w:rPr>
                <w:sz w:val="15"/>
                <w:szCs w:val="15"/>
              </w:rPr>
            </w:pPr>
            <w:r w:rsidRPr="00F02986">
              <w:rPr>
                <w:sz w:val="15"/>
                <w:szCs w:val="15"/>
              </w:rPr>
              <w:t>Mongolia</w:t>
            </w:r>
          </w:p>
        </w:tc>
        <w:tc>
          <w:tcPr>
            <w:tcW w:w="4291" w:type="dxa"/>
            <w:shd w:val="clear" w:color="auto" w:fill="FFFFFF" w:themeFill="background1"/>
          </w:tcPr>
          <w:p w14:paraId="7F171AFB" w14:textId="77777777" w:rsidR="00681CDB" w:rsidRPr="00F03BC0" w:rsidRDefault="00681CDB" w:rsidP="005B0D26">
            <w:pPr>
              <w:ind w:left="0"/>
              <w:rPr>
                <w:sz w:val="15"/>
                <w:szCs w:val="15"/>
              </w:rPr>
            </w:pPr>
            <w:r w:rsidRPr="00F03BC0">
              <w:rPr>
                <w:sz w:val="15"/>
                <w:szCs w:val="15"/>
              </w:rPr>
              <w:t>Mongolian Household Socio-Economic Survey (2012, 2014)</w:t>
            </w:r>
          </w:p>
        </w:tc>
        <w:tc>
          <w:tcPr>
            <w:tcW w:w="1080" w:type="dxa"/>
            <w:gridSpan w:val="2"/>
            <w:shd w:val="clear" w:color="auto" w:fill="FFFFFF" w:themeFill="background1"/>
            <w:vAlign w:val="center"/>
          </w:tcPr>
          <w:p w14:paraId="347318D4" w14:textId="77777777" w:rsidR="00681CDB" w:rsidRPr="00F02986" w:rsidRDefault="00681CDB" w:rsidP="005B0D26">
            <w:pPr>
              <w:ind w:left="0"/>
              <w:jc w:val="center"/>
              <w:rPr>
                <w:sz w:val="15"/>
                <w:szCs w:val="15"/>
              </w:rPr>
            </w:pPr>
            <w:r>
              <w:rPr>
                <w:sz w:val="15"/>
                <w:szCs w:val="15"/>
              </w:rPr>
              <w:t>X</w:t>
            </w:r>
          </w:p>
        </w:tc>
        <w:tc>
          <w:tcPr>
            <w:tcW w:w="630" w:type="dxa"/>
            <w:shd w:val="clear" w:color="auto" w:fill="FFFFFF" w:themeFill="background1"/>
            <w:vAlign w:val="center"/>
          </w:tcPr>
          <w:p w14:paraId="3E8C4A6B" w14:textId="77777777" w:rsidR="00681CDB" w:rsidRPr="00F02986" w:rsidRDefault="00681CDB" w:rsidP="005B0D26">
            <w:pPr>
              <w:ind w:left="0"/>
              <w:jc w:val="center"/>
              <w:rPr>
                <w:sz w:val="15"/>
                <w:szCs w:val="15"/>
              </w:rPr>
            </w:pPr>
            <w:r>
              <w:rPr>
                <w:sz w:val="15"/>
                <w:szCs w:val="15"/>
              </w:rPr>
              <w:t>X</w:t>
            </w:r>
          </w:p>
        </w:tc>
        <w:tc>
          <w:tcPr>
            <w:tcW w:w="810" w:type="dxa"/>
            <w:shd w:val="clear" w:color="auto" w:fill="FFFFFF" w:themeFill="background1"/>
            <w:vAlign w:val="center"/>
          </w:tcPr>
          <w:p w14:paraId="270FB6B3" w14:textId="77777777" w:rsidR="00681CDB" w:rsidRPr="00F02986" w:rsidRDefault="00681CDB" w:rsidP="005B0D26">
            <w:pPr>
              <w:ind w:left="0"/>
              <w:jc w:val="center"/>
              <w:rPr>
                <w:sz w:val="15"/>
                <w:szCs w:val="15"/>
              </w:rPr>
            </w:pPr>
            <w:r>
              <w:rPr>
                <w:sz w:val="15"/>
                <w:szCs w:val="15"/>
              </w:rPr>
              <w:t>X</w:t>
            </w:r>
          </w:p>
        </w:tc>
        <w:tc>
          <w:tcPr>
            <w:tcW w:w="990" w:type="dxa"/>
            <w:tcBorders>
              <w:right w:val="single" w:sz="4" w:space="0" w:color="auto"/>
            </w:tcBorders>
            <w:shd w:val="clear" w:color="auto" w:fill="FFFFFF" w:themeFill="background1"/>
            <w:vAlign w:val="center"/>
          </w:tcPr>
          <w:p w14:paraId="20E0C3FA" w14:textId="77777777" w:rsidR="00681CDB" w:rsidRPr="00F02986" w:rsidRDefault="00681CDB" w:rsidP="005B0D26">
            <w:pPr>
              <w:ind w:left="0"/>
              <w:jc w:val="center"/>
              <w:rPr>
                <w:sz w:val="15"/>
                <w:szCs w:val="15"/>
              </w:rPr>
            </w:pPr>
          </w:p>
        </w:tc>
      </w:tr>
      <w:tr w:rsidR="00681CDB" w14:paraId="48C61D46" w14:textId="77777777" w:rsidTr="005B0D26">
        <w:tc>
          <w:tcPr>
            <w:tcW w:w="535" w:type="dxa"/>
            <w:tcBorders>
              <w:left w:val="single" w:sz="4" w:space="0" w:color="auto"/>
            </w:tcBorders>
            <w:shd w:val="clear" w:color="auto" w:fill="D9D9D9" w:themeFill="background1" w:themeFillShade="D9"/>
          </w:tcPr>
          <w:p w14:paraId="2C6DAD3D" w14:textId="75D24734"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{"citationItems":[{"id":"ITEM-1","itemData":{"DOI":"10.1017/S1368980018000903","ISSN":"14752727","abstract":"Objective Anaemia is a major contributor to the global disease burden and half of pregnant women in India were anaemic in 2016. The aetiology of anaemia is complex, yet anaemia determinants are frequently examined in isolation. We sought to explore how shifts in sociodemographic (wealth, age at pregnancy, education, open defecation, cooking fuel type, household size), programmatic (iron-folic acid tablet consumption, antenatal care visits) and dietary factors (intake of Fe, folic acid, vitamin B12, phytate) predicted changes in anaemia prevalence.Design Nutrient levels for eighty-eight food items were multiplied by household consumption of these foods to estimate household-level nutrient supply. A synthetic panel data set was created from two rounds of the District Level Household and Facility Survey (2002-04 and 2012-13) and Household Consumer Expenditures Survey (2004-05 and 2011-12). Ordinary least-squares multivariate regression models were used.Setting Districts (n 446) spanning north, north-east, central and south India.Subjects Pregnant women aged 15-49 years (n 17 138).Results In the model accounting for both non-dietary and dietary factors, increased age at pregnancy (P&lt;0·001), reduced village-level open defecation (P=0·001), consuming more Fe (P&lt;0·001) and folic acid (P=0·018) and less phytate (P=0·002), and urbanization (P=0·015) were associated with anaemia reductions. A 10 mg increase in daily household Fe supply from 2012 levels was associated with a 10 % reduction in anaemia.Conclusions Public health interventions to combat anaemia in pregnant women should use a holistic approach, including promotion of delayed marriage, construction and use of toilets, and measures that facilitate adoption of nutrient-rich diets.","author":[{"dropping-particle":"","family":"Chakrabarti","given":"Suman","non-dropping-particle":"","parse-names":false,"suffix":""},{"dropping-particle":"","family":"George","given":"Nitya","non-dropping-particle":"","parse-names":false,"suffix":""},{"dropping-particle":"","family":"Majumder","given":"Moutushi","non-dropping-particle":"","parse-names":false,"suffix":""},{"dropping-particle":"","family":"Raykar","given":"Neha","non-dropping-particle":"","parse-names":false,"suffix":""},{"dropping-particle":"","family":"Scott","given":"Samuel","non-dropping-particle":"","parse-names":false,"suffix":""}],"container-title":"Public Health Nutrition","id":"ITEM-1","issue":"13","issued":{"date-parts":[["2018"]]},"page":"2424-2433","title":"Identifying sociodemographic, programmatic and dietary drivers of anaemia reduction in pregnant Indian women over 10 years","type":"article-journal","volume":"21"},"uris":["http://www.mendeley.com/documents/?uuid=eae1b190-d86e-42db-bc3a-9029de841bbf"]}],"mendeley":{"formattedCitation":"&lt;sup&gt;(8)&lt;/sup&gt;","plainTextFormattedCitation":"(8)","previouslyFormattedCitation":"[8]"},"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(8)</w:t>
            </w:r>
            <w:r>
              <w:rPr>
                <w:sz w:val="15"/>
                <w:szCs w:val="15"/>
              </w:rPr>
              <w:fldChar w:fldCharType="end"/>
            </w:r>
          </w:p>
        </w:tc>
        <w:tc>
          <w:tcPr>
            <w:tcW w:w="2098" w:type="dxa"/>
            <w:shd w:val="clear" w:color="auto" w:fill="D9D9D9" w:themeFill="background1" w:themeFillShade="D9"/>
          </w:tcPr>
          <w:p w14:paraId="069BCF49" w14:textId="77777777" w:rsidR="00681CDB" w:rsidRPr="00F02986" w:rsidRDefault="00681CDB" w:rsidP="005B0D26">
            <w:pPr>
              <w:ind w:left="0"/>
              <w:rPr>
                <w:sz w:val="15"/>
                <w:szCs w:val="15"/>
              </w:rPr>
            </w:pPr>
            <w:r w:rsidRPr="00F02986">
              <w:rPr>
                <w:sz w:val="15"/>
                <w:szCs w:val="15"/>
              </w:rPr>
              <w:t>Chakrabarti et al. (2018)</w:t>
            </w:r>
          </w:p>
        </w:tc>
        <w:tc>
          <w:tcPr>
            <w:tcW w:w="1531" w:type="dxa"/>
            <w:shd w:val="clear" w:color="auto" w:fill="D9D9D9" w:themeFill="background1" w:themeFillShade="D9"/>
          </w:tcPr>
          <w:p w14:paraId="226BD9FF" w14:textId="77777777" w:rsidR="00681CDB" w:rsidRPr="00F02986" w:rsidRDefault="00681CDB" w:rsidP="005B0D26">
            <w:pPr>
              <w:ind w:left="0"/>
              <w:rPr>
                <w:sz w:val="15"/>
                <w:szCs w:val="15"/>
              </w:rPr>
            </w:pPr>
            <w:r w:rsidRPr="00F02986">
              <w:rPr>
                <w:sz w:val="15"/>
                <w:szCs w:val="15"/>
              </w:rPr>
              <w:t>India</w:t>
            </w:r>
          </w:p>
        </w:tc>
        <w:tc>
          <w:tcPr>
            <w:tcW w:w="4291" w:type="dxa"/>
            <w:shd w:val="clear" w:color="auto" w:fill="D9D9D9" w:themeFill="background1" w:themeFillShade="D9"/>
          </w:tcPr>
          <w:p w14:paraId="1E96C123" w14:textId="77777777" w:rsidR="00681CDB" w:rsidRPr="00F03BC0" w:rsidRDefault="00681CDB" w:rsidP="005B0D26">
            <w:pPr>
              <w:ind w:left="0"/>
              <w:rPr>
                <w:sz w:val="15"/>
                <w:szCs w:val="15"/>
              </w:rPr>
            </w:pPr>
            <w:r w:rsidRPr="00F03BC0">
              <w:rPr>
                <w:sz w:val="15"/>
                <w:szCs w:val="15"/>
              </w:rPr>
              <w:t>﻿61</w:t>
            </w:r>
            <w:r w:rsidRPr="00F03BC0">
              <w:rPr>
                <w:sz w:val="15"/>
                <w:szCs w:val="15"/>
                <w:vertAlign w:val="superscript"/>
              </w:rPr>
              <w:t>st</w:t>
            </w:r>
            <w:r w:rsidRPr="00F03BC0">
              <w:rPr>
                <w:sz w:val="15"/>
                <w:szCs w:val="15"/>
              </w:rPr>
              <w:t>/68</w:t>
            </w:r>
            <w:r w:rsidRPr="00F03BC0">
              <w:rPr>
                <w:sz w:val="15"/>
                <w:szCs w:val="15"/>
                <w:vertAlign w:val="superscript"/>
              </w:rPr>
              <w:t>th</w:t>
            </w:r>
            <w:r w:rsidRPr="00F03BC0">
              <w:rPr>
                <w:sz w:val="15"/>
                <w:szCs w:val="15"/>
              </w:rPr>
              <w:t xml:space="preserve"> round of the ﻿National Sample Survey (2004/05, 2011/12)</w:t>
            </w:r>
          </w:p>
        </w:tc>
        <w:tc>
          <w:tcPr>
            <w:tcW w:w="1080" w:type="dxa"/>
            <w:gridSpan w:val="2"/>
            <w:shd w:val="clear" w:color="auto" w:fill="D9D9D9" w:themeFill="background1" w:themeFillShade="D9"/>
            <w:vAlign w:val="center"/>
          </w:tcPr>
          <w:p w14:paraId="187C29B8"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6E592EB0"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6E6114A4"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1D61B76A" w14:textId="77777777" w:rsidR="00681CDB" w:rsidRPr="00F02986" w:rsidRDefault="00681CDB" w:rsidP="005B0D26">
            <w:pPr>
              <w:ind w:left="0"/>
              <w:jc w:val="center"/>
              <w:rPr>
                <w:sz w:val="15"/>
                <w:szCs w:val="15"/>
              </w:rPr>
            </w:pPr>
          </w:p>
        </w:tc>
      </w:tr>
      <w:tr w:rsidR="00681CDB" w14:paraId="27A9181F" w14:textId="77777777" w:rsidTr="005B0D26">
        <w:tc>
          <w:tcPr>
            <w:tcW w:w="535" w:type="dxa"/>
            <w:tcBorders>
              <w:left w:val="single" w:sz="4" w:space="0" w:color="auto"/>
            </w:tcBorders>
            <w:shd w:val="clear" w:color="auto" w:fill="FFFFFF" w:themeFill="background1"/>
          </w:tcPr>
          <w:p w14:paraId="735DD002" w14:textId="68CCEAF8"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{"citationItems":[{"id":"ITEM-1","itemData":{"DOI":"10.1016/j.worlddev.2015.03.016","ISSN":"18735991","abstract":"Many developing countries experience a food system transformation with a rapid growth of supermarkets. We analyze impacts of supermarkets on farm household nutrition with survey data from Kenya. Participation in supermarket channels is associated with significantly higher calorie, vitamin A, iron, and zinc consumption. We use simultaneous equation models to analyze impact pathways. Supermarket-supplying households have higher incomes, a higher share of land under vegetables, and a higher likelihood of male control of revenues. Furthermore, income and the share of land under vegetables have positive impacts, while male control of revenues has negative impacts on dietary quality. Policy and further research implications are discussed.","author":[{"dropping-particle":"","family":"Chege","given":"Christine G.K.","non-dropping-particle":"","parse-names":false,"suffix":""},{"dropping-particle":"","family":"Andersson","given":"Camilla I.M.","non-dropping-particle":"","parse-names":false,"suffix":""},{"dropping-particle":"","family":"Qaim","given":"Matin","non-dropping-particle":"","parse-names":false,"suffix":""}],"container-title":"World Development","id":"ITEM-1","issued":{"date-parts":[["2015"]]},"page":"394-407","title":"Impacts of Supermarkets on Farm Household Nutrition in Kenya","type":"article-journal","volume":"72"},"uris":["http://www.mendeley.com/documents/?uuid=bfedbce1-f305-44b6-862a-1873fb4bf2d7"]}],"mendeley":{"formattedCitation":"&lt;sup&gt;(9)&lt;/sup&gt;","plainTextFormattedCitation":"(9)","previouslyFormattedCitation":"[9]"},"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(9)</w:t>
            </w:r>
            <w:r>
              <w:rPr>
                <w:sz w:val="15"/>
                <w:szCs w:val="15"/>
              </w:rPr>
              <w:fldChar w:fldCharType="end"/>
            </w:r>
          </w:p>
        </w:tc>
        <w:tc>
          <w:tcPr>
            <w:tcW w:w="2098" w:type="dxa"/>
            <w:shd w:val="clear" w:color="auto" w:fill="FFFFFF" w:themeFill="background1"/>
          </w:tcPr>
          <w:p w14:paraId="7101C4CD" w14:textId="77777777" w:rsidR="00681CDB" w:rsidRPr="00F02986" w:rsidRDefault="00681CDB" w:rsidP="005B0D26">
            <w:pPr>
              <w:ind w:left="0"/>
              <w:rPr>
                <w:sz w:val="15"/>
                <w:szCs w:val="15"/>
              </w:rPr>
            </w:pPr>
            <w:proofErr w:type="spellStart"/>
            <w:r w:rsidRPr="00F02986">
              <w:rPr>
                <w:sz w:val="15"/>
                <w:szCs w:val="15"/>
              </w:rPr>
              <w:t>Chege</w:t>
            </w:r>
            <w:proofErr w:type="spellEnd"/>
            <w:r w:rsidRPr="00F02986">
              <w:rPr>
                <w:sz w:val="15"/>
                <w:szCs w:val="15"/>
              </w:rPr>
              <w:t xml:space="preserve"> et al. (2015)</w:t>
            </w:r>
          </w:p>
        </w:tc>
        <w:tc>
          <w:tcPr>
            <w:tcW w:w="1531" w:type="dxa"/>
            <w:shd w:val="clear" w:color="auto" w:fill="FFFFFF" w:themeFill="background1"/>
          </w:tcPr>
          <w:p w14:paraId="6BE7D1D9" w14:textId="77777777" w:rsidR="00681CDB" w:rsidRPr="00F02986" w:rsidRDefault="00681CDB" w:rsidP="005B0D26">
            <w:pPr>
              <w:ind w:left="0"/>
              <w:rPr>
                <w:sz w:val="15"/>
                <w:szCs w:val="15"/>
              </w:rPr>
            </w:pPr>
            <w:r w:rsidRPr="00F02986">
              <w:rPr>
                <w:sz w:val="15"/>
                <w:szCs w:val="15"/>
              </w:rPr>
              <w:t>Kenya</w:t>
            </w:r>
          </w:p>
        </w:tc>
        <w:tc>
          <w:tcPr>
            <w:tcW w:w="4291" w:type="dxa"/>
            <w:shd w:val="clear" w:color="auto" w:fill="FFFFFF" w:themeFill="background1"/>
          </w:tcPr>
          <w:p w14:paraId="376A68E5" w14:textId="77777777" w:rsidR="00681CDB" w:rsidRPr="00F03BC0" w:rsidRDefault="00681CDB" w:rsidP="005B0D26">
            <w:pPr>
              <w:ind w:left="0"/>
              <w:rPr>
                <w:sz w:val="15"/>
                <w:szCs w:val="15"/>
              </w:rPr>
            </w:pPr>
            <w:r>
              <w:rPr>
                <w:sz w:val="15"/>
                <w:szCs w:val="15"/>
              </w:rPr>
              <w:t>Survey modelled after standard HCES food consumption module</w:t>
            </w:r>
          </w:p>
        </w:tc>
        <w:tc>
          <w:tcPr>
            <w:tcW w:w="1080" w:type="dxa"/>
            <w:gridSpan w:val="2"/>
            <w:shd w:val="clear" w:color="auto" w:fill="FFFFFF" w:themeFill="background1"/>
            <w:vAlign w:val="center"/>
          </w:tcPr>
          <w:p w14:paraId="0846E4CC" w14:textId="77777777" w:rsidR="00681CDB" w:rsidRPr="00F02986" w:rsidRDefault="00681CDB" w:rsidP="005B0D26">
            <w:pPr>
              <w:ind w:left="0"/>
              <w:jc w:val="center"/>
              <w:rPr>
                <w:sz w:val="15"/>
                <w:szCs w:val="15"/>
              </w:rPr>
            </w:pPr>
          </w:p>
        </w:tc>
        <w:tc>
          <w:tcPr>
            <w:tcW w:w="630" w:type="dxa"/>
            <w:shd w:val="clear" w:color="auto" w:fill="FFFFFF" w:themeFill="background1"/>
            <w:vAlign w:val="center"/>
          </w:tcPr>
          <w:p w14:paraId="22C42427" w14:textId="77777777" w:rsidR="00681CDB" w:rsidRPr="00F02986" w:rsidRDefault="00681CDB" w:rsidP="005B0D26">
            <w:pPr>
              <w:ind w:left="0"/>
              <w:jc w:val="center"/>
              <w:rPr>
                <w:sz w:val="15"/>
                <w:szCs w:val="15"/>
              </w:rPr>
            </w:pPr>
            <w:r>
              <w:rPr>
                <w:sz w:val="15"/>
                <w:szCs w:val="15"/>
              </w:rPr>
              <w:t>X</w:t>
            </w:r>
          </w:p>
        </w:tc>
        <w:tc>
          <w:tcPr>
            <w:tcW w:w="810" w:type="dxa"/>
            <w:shd w:val="clear" w:color="auto" w:fill="FFFFFF" w:themeFill="background1"/>
            <w:vAlign w:val="center"/>
          </w:tcPr>
          <w:p w14:paraId="59ABAEEE"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FFFFFF" w:themeFill="background1"/>
            <w:vAlign w:val="center"/>
          </w:tcPr>
          <w:p w14:paraId="2A62B43B" w14:textId="77777777" w:rsidR="00681CDB" w:rsidRPr="00F02986" w:rsidRDefault="00681CDB" w:rsidP="005B0D26">
            <w:pPr>
              <w:ind w:left="0"/>
              <w:jc w:val="center"/>
              <w:rPr>
                <w:sz w:val="15"/>
                <w:szCs w:val="15"/>
              </w:rPr>
            </w:pPr>
            <w:r>
              <w:rPr>
                <w:sz w:val="15"/>
                <w:szCs w:val="15"/>
              </w:rPr>
              <w:t>X</w:t>
            </w:r>
          </w:p>
        </w:tc>
      </w:tr>
      <w:tr w:rsidR="00681CDB" w14:paraId="73834DF2" w14:textId="77777777" w:rsidTr="005B0D26">
        <w:tc>
          <w:tcPr>
            <w:tcW w:w="535" w:type="dxa"/>
            <w:tcBorders>
              <w:left w:val="single" w:sz="4" w:space="0" w:color="auto"/>
            </w:tcBorders>
            <w:shd w:val="clear" w:color="auto" w:fill="D9D9D9" w:themeFill="background1" w:themeFillShade="D9"/>
          </w:tcPr>
          <w:p w14:paraId="103FF311" w14:textId="585C9CE4"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{"citationItems":[{"id":"ITEM-1","itemData":{"DOI":"10.1086/698311","ISSN":"00130079","abstract":"I. Introduction Despite substantial improvements in nutrition and health over the past few decades, high levels of undernourishment and malnourishment persist in Bangladesh (Headey et al. 2015). Inequities in household consumption are particularly important to policymakers and researchers. Although undernourishment is a characteristic of the individual, much of its measurement has centered on national-level and, more recently, household-level statistics (FAO 2013; Rosen et al. 2014). The absence of individual-level food consumption data necessitates the identification of undernourished and food-insecure populations using aggregate data (i.e., household or national). These types of assessments have difficulty in precisely estimating how total available calories are distributed across individuals and subsequently can provide misleading assessments of undernourishment (Barrett 2010). In particular, assessments based on household-level consumption data make strict assumptions about the division of calories within a household such that all members share the same food security classification. Such assumptions can make it difficult to effectively target aid programs at populations that most need assistance. In this article, we use data from the Bangladesh Integrated Household Survey (BIHS) to explore the intrahousehold allocation of food. First, we examine potential inequities in consumption between household members. Second, we examine how inequities in consumption are related to household characteristics, such as women’s empowerment and economic well-being.","author":[{"dropping-particle":"","family":"D’Souza","given":"Anna","non-dropping-particle":"","parse-names":false,"suffix":""},{"dropping-particle":"","family":"Tandon","given":"Sharad","non-dropping-particle":"","parse-names":false,"suffix":""}],"container-title":"ERR-190","id":"ITEM-1","issued":{"date-parts":[["2015"]]},"publisher-place":"Washington, D.C.","title":"Using Household and Intrahousehold Data To Assess Food Insecurity: Evidence From Bangladesh","type":"report"},"uris":["http://www.mendeley.com/documents/?uuid=7c9327fb-d670-437f-adc0-b9ca1009cab3"]}],"mendeley":{"formattedCitation":"&lt;sup&gt;(10)&lt;/sup&gt;","plainTextFormattedCitation":"(10)","previouslyFormattedCitation":"[10]"},"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(10)</w:t>
            </w:r>
            <w:r>
              <w:rPr>
                <w:sz w:val="15"/>
                <w:szCs w:val="15"/>
              </w:rPr>
              <w:fldChar w:fldCharType="end"/>
            </w:r>
          </w:p>
        </w:tc>
        <w:tc>
          <w:tcPr>
            <w:tcW w:w="2098" w:type="dxa"/>
            <w:shd w:val="clear" w:color="auto" w:fill="D9D9D9" w:themeFill="background1" w:themeFillShade="D9"/>
          </w:tcPr>
          <w:p w14:paraId="005C86CE" w14:textId="77777777" w:rsidR="00681CDB" w:rsidRPr="00F02986" w:rsidRDefault="00681CDB" w:rsidP="005B0D26">
            <w:pPr>
              <w:ind w:left="0"/>
              <w:rPr>
                <w:sz w:val="15"/>
                <w:szCs w:val="15"/>
              </w:rPr>
            </w:pPr>
            <w:r w:rsidRPr="00F02986">
              <w:rPr>
                <w:sz w:val="15"/>
                <w:szCs w:val="15"/>
              </w:rPr>
              <w:t>D’Souza &amp; Tandon (2019)</w:t>
            </w:r>
          </w:p>
        </w:tc>
        <w:tc>
          <w:tcPr>
            <w:tcW w:w="1531" w:type="dxa"/>
            <w:shd w:val="clear" w:color="auto" w:fill="D9D9D9" w:themeFill="background1" w:themeFillShade="D9"/>
          </w:tcPr>
          <w:p w14:paraId="78AC4614" w14:textId="77777777" w:rsidR="00681CDB" w:rsidRPr="00F02986" w:rsidRDefault="00681CDB" w:rsidP="005B0D26">
            <w:pPr>
              <w:ind w:left="0"/>
              <w:rPr>
                <w:sz w:val="15"/>
                <w:szCs w:val="15"/>
              </w:rPr>
            </w:pPr>
            <w:r w:rsidRPr="00F02986">
              <w:rPr>
                <w:sz w:val="15"/>
                <w:szCs w:val="15"/>
              </w:rPr>
              <w:t>Bangladesh</w:t>
            </w:r>
          </w:p>
        </w:tc>
        <w:tc>
          <w:tcPr>
            <w:tcW w:w="4291" w:type="dxa"/>
            <w:shd w:val="clear" w:color="auto" w:fill="D9D9D9" w:themeFill="background1" w:themeFillShade="D9"/>
          </w:tcPr>
          <w:p w14:paraId="040964C8" w14:textId="77777777" w:rsidR="00681CDB" w:rsidRPr="00F03BC0" w:rsidRDefault="00681CDB" w:rsidP="005B0D26">
            <w:pPr>
              <w:ind w:left="0"/>
              <w:rPr>
                <w:sz w:val="15"/>
                <w:szCs w:val="15"/>
              </w:rPr>
            </w:pPr>
            <w:r w:rsidRPr="00F03BC0">
              <w:rPr>
                <w:sz w:val="15"/>
                <w:szCs w:val="15"/>
              </w:rPr>
              <w:t>Bangladesh Integrated Household Survey (2011/12)</w:t>
            </w:r>
          </w:p>
        </w:tc>
        <w:tc>
          <w:tcPr>
            <w:tcW w:w="1080" w:type="dxa"/>
            <w:gridSpan w:val="2"/>
            <w:shd w:val="clear" w:color="auto" w:fill="D9D9D9" w:themeFill="background1" w:themeFillShade="D9"/>
            <w:vAlign w:val="center"/>
          </w:tcPr>
          <w:p w14:paraId="776C03BA"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05D7E3D2"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464B9C79"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5DBE95BD" w14:textId="77777777" w:rsidR="00681CDB" w:rsidRPr="00F02986" w:rsidRDefault="00681CDB" w:rsidP="005B0D26">
            <w:pPr>
              <w:ind w:left="0"/>
              <w:jc w:val="center"/>
              <w:rPr>
                <w:sz w:val="15"/>
                <w:szCs w:val="15"/>
              </w:rPr>
            </w:pPr>
            <w:r>
              <w:rPr>
                <w:sz w:val="15"/>
                <w:szCs w:val="15"/>
              </w:rPr>
              <w:t>X</w:t>
            </w:r>
          </w:p>
        </w:tc>
      </w:tr>
      <w:tr w:rsidR="00681CDB" w14:paraId="56E5F707" w14:textId="77777777" w:rsidTr="005B0D26">
        <w:tc>
          <w:tcPr>
            <w:tcW w:w="535" w:type="dxa"/>
            <w:tcBorders>
              <w:left w:val="single" w:sz="4" w:space="0" w:color="auto"/>
            </w:tcBorders>
          </w:tcPr>
          <w:p w14:paraId="0F523866" w14:textId="289DE78F"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(11)</w:t>
            </w:r>
            <w:r>
              <w:rPr>
                <w:sz w:val="15"/>
                <w:szCs w:val="15"/>
              </w:rPr>
              <w:fldChar w:fldCharType="end"/>
            </w:r>
          </w:p>
        </w:tc>
        <w:tc>
          <w:tcPr>
            <w:tcW w:w="2098" w:type="dxa"/>
          </w:tcPr>
          <w:p w14:paraId="604A61B7" w14:textId="77777777" w:rsidR="00681CDB" w:rsidRPr="00F02986" w:rsidRDefault="00681CDB" w:rsidP="005B0D26">
            <w:pPr>
              <w:ind w:left="0"/>
              <w:rPr>
                <w:sz w:val="15"/>
                <w:szCs w:val="15"/>
              </w:rPr>
            </w:pPr>
            <w:proofErr w:type="spellStart"/>
            <w:r w:rsidRPr="00F02986">
              <w:rPr>
                <w:sz w:val="15"/>
                <w:szCs w:val="15"/>
              </w:rPr>
              <w:t>Dary</w:t>
            </w:r>
            <w:proofErr w:type="spellEnd"/>
            <w:r w:rsidRPr="00F02986">
              <w:rPr>
                <w:sz w:val="15"/>
                <w:szCs w:val="15"/>
              </w:rPr>
              <w:t xml:space="preserve"> &amp; </w:t>
            </w:r>
            <w:proofErr w:type="spellStart"/>
            <w:r w:rsidRPr="00F02986">
              <w:rPr>
                <w:sz w:val="15"/>
                <w:szCs w:val="15"/>
              </w:rPr>
              <w:t>Jariseta</w:t>
            </w:r>
            <w:proofErr w:type="spellEnd"/>
            <w:r w:rsidRPr="00F02986">
              <w:rPr>
                <w:sz w:val="15"/>
                <w:szCs w:val="15"/>
              </w:rPr>
              <w:t xml:space="preserve"> (2012)</w:t>
            </w:r>
          </w:p>
        </w:tc>
        <w:tc>
          <w:tcPr>
            <w:tcW w:w="1531" w:type="dxa"/>
          </w:tcPr>
          <w:p w14:paraId="2093A052" w14:textId="77777777" w:rsidR="00681CDB" w:rsidRPr="00F02986" w:rsidRDefault="00681CDB" w:rsidP="005B0D26">
            <w:pPr>
              <w:ind w:left="0"/>
              <w:rPr>
                <w:sz w:val="15"/>
                <w:szCs w:val="15"/>
              </w:rPr>
            </w:pPr>
            <w:r w:rsidRPr="00F02986">
              <w:rPr>
                <w:sz w:val="15"/>
                <w:szCs w:val="15"/>
              </w:rPr>
              <w:t>Uganda</w:t>
            </w:r>
          </w:p>
        </w:tc>
        <w:tc>
          <w:tcPr>
            <w:tcW w:w="4291" w:type="dxa"/>
          </w:tcPr>
          <w:p w14:paraId="5A7A2069" w14:textId="77777777" w:rsidR="00681CDB" w:rsidRPr="00F03BC0" w:rsidRDefault="00681CDB" w:rsidP="005B0D26">
            <w:pPr>
              <w:ind w:left="0"/>
              <w:rPr>
                <w:sz w:val="15"/>
                <w:szCs w:val="15"/>
              </w:rPr>
            </w:pPr>
            <w:r w:rsidRPr="00F03BC0">
              <w:rPr>
                <w:sz w:val="15"/>
                <w:szCs w:val="15"/>
              </w:rPr>
              <w:t>National Household Survey (2005/06)</w:t>
            </w:r>
          </w:p>
        </w:tc>
        <w:tc>
          <w:tcPr>
            <w:tcW w:w="1080" w:type="dxa"/>
            <w:gridSpan w:val="2"/>
            <w:vAlign w:val="center"/>
          </w:tcPr>
          <w:p w14:paraId="1A3A45F2" w14:textId="77777777" w:rsidR="00681CDB" w:rsidRPr="00F02986" w:rsidRDefault="00681CDB" w:rsidP="005B0D26">
            <w:pPr>
              <w:ind w:left="0"/>
              <w:jc w:val="center"/>
              <w:rPr>
                <w:sz w:val="15"/>
                <w:szCs w:val="15"/>
              </w:rPr>
            </w:pPr>
          </w:p>
        </w:tc>
        <w:tc>
          <w:tcPr>
            <w:tcW w:w="630" w:type="dxa"/>
            <w:vAlign w:val="center"/>
          </w:tcPr>
          <w:p w14:paraId="489A1AAC" w14:textId="77777777" w:rsidR="00681CDB" w:rsidRPr="00F02986" w:rsidRDefault="00681CDB" w:rsidP="005B0D26">
            <w:pPr>
              <w:ind w:left="0"/>
              <w:jc w:val="center"/>
              <w:rPr>
                <w:sz w:val="15"/>
                <w:szCs w:val="15"/>
              </w:rPr>
            </w:pPr>
            <w:r>
              <w:rPr>
                <w:sz w:val="15"/>
                <w:szCs w:val="15"/>
              </w:rPr>
              <w:t>X</w:t>
            </w:r>
          </w:p>
        </w:tc>
        <w:tc>
          <w:tcPr>
            <w:tcW w:w="810" w:type="dxa"/>
            <w:vAlign w:val="center"/>
          </w:tcPr>
          <w:p w14:paraId="5AFE1671"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60AFE4B6" w14:textId="77777777" w:rsidR="00681CDB" w:rsidRPr="00F02986" w:rsidRDefault="00681CDB" w:rsidP="005B0D26">
            <w:pPr>
              <w:ind w:left="0"/>
              <w:jc w:val="center"/>
              <w:rPr>
                <w:sz w:val="15"/>
                <w:szCs w:val="15"/>
              </w:rPr>
            </w:pPr>
          </w:p>
        </w:tc>
      </w:tr>
      <w:tr w:rsidR="00681CDB" w14:paraId="63BAAACB" w14:textId="77777777" w:rsidTr="005B0D26">
        <w:tc>
          <w:tcPr>
            <w:tcW w:w="535" w:type="dxa"/>
            <w:tcBorders>
              <w:left w:val="single" w:sz="4" w:space="0" w:color="auto"/>
            </w:tcBorders>
            <w:shd w:val="clear" w:color="auto" w:fill="D9D9D9" w:themeFill="background1" w:themeFillShade="D9"/>
          </w:tcPr>
          <w:p w14:paraId="4F42AA5F" w14:textId="25BF96FF"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{"citationItems":[{"id":"ITEM-1","itemData":{"DOI":"10.1086/686669","ISSN":"0013-0079","abstract":"There is widespread interest in the number of hungry people in the world and trends in hunger. Current global counts rely on combining each country's total food balance with information on distribution patterns from household consumption expenditure surveys. Recent research has advocated for calculating hunger numbers directly from these same surveys. For either approach, embedded in this effort are a number of important details about how household surveys are designed and how these data are then used. Using a survey experiment in Tanzania, this study finds great fragility in hunger counts stemming from alternative survey designs. As a consequence, comparable and valid hunger numbers will be lacking until more effort is made to either harmonize survey designs or better understand the consequences of survey design variation.","author":[{"dropping-particle":"","family":"Weerdt","given":"Joachim","non-dropping-particle":"De","parse-names":false,"suffix":""},{"dropping-particle":"","family":"Beegle","given":"Kathleen","non-dropping-particle":"","parse-names":false,"suffix":""},{"dropping-particle":"","family":"Friedman","given":"Jed","non-dropping-particle":"","parse-names":false,"suffix":""},{"dropping-particle":"","family":"Gibson","given":"John","non-dropping-particle":"","parse-names":false,"suffix":""},{"dropping-particle":"","family":"Bank.","given":"World","non-dropping-particle":"","parse-names":false,"suffix":""}],"container-title":"Policy Research Working Paper","id":"ITEM-1","issued":{"date-parts":[["2014"]]},"number":"6736","publisher-place":"Washington, DC","title":"The Challenge of Measuring Hunger","type":"report"},"uris":["http://www.mendeley.com/documents/?uuid=fc51208a-f627-4981-b786-4c389a72d7da"]}],"mendeley":{"formattedCitation":"&lt;sup&gt;(12)&lt;/sup&gt;","plainTextFormattedCitation":"(12)","previouslyFormattedCitation":"[12]"},"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(12)</w:t>
            </w:r>
            <w:r>
              <w:rPr>
                <w:sz w:val="15"/>
                <w:szCs w:val="15"/>
              </w:rPr>
              <w:fldChar w:fldCharType="end"/>
            </w:r>
          </w:p>
        </w:tc>
        <w:tc>
          <w:tcPr>
            <w:tcW w:w="2098" w:type="dxa"/>
            <w:shd w:val="clear" w:color="auto" w:fill="D9D9D9" w:themeFill="background1" w:themeFillShade="D9"/>
          </w:tcPr>
          <w:p w14:paraId="4B8EEEC1" w14:textId="77777777" w:rsidR="00681CDB" w:rsidRPr="00F02986" w:rsidRDefault="00681CDB" w:rsidP="005B0D26">
            <w:pPr>
              <w:ind w:left="0"/>
              <w:rPr>
                <w:sz w:val="15"/>
                <w:szCs w:val="15"/>
              </w:rPr>
            </w:pPr>
            <w:r w:rsidRPr="00F02986">
              <w:rPr>
                <w:sz w:val="15"/>
                <w:szCs w:val="15"/>
              </w:rPr>
              <w:t xml:space="preserve">de </w:t>
            </w:r>
            <w:proofErr w:type="spellStart"/>
            <w:r w:rsidRPr="00F02986">
              <w:rPr>
                <w:sz w:val="15"/>
                <w:szCs w:val="15"/>
              </w:rPr>
              <w:t>Weerdt</w:t>
            </w:r>
            <w:proofErr w:type="spellEnd"/>
            <w:r w:rsidRPr="00F02986">
              <w:rPr>
                <w:sz w:val="15"/>
                <w:szCs w:val="15"/>
              </w:rPr>
              <w:t xml:space="preserve"> et al. (2014)</w:t>
            </w:r>
          </w:p>
        </w:tc>
        <w:tc>
          <w:tcPr>
            <w:tcW w:w="1531" w:type="dxa"/>
            <w:shd w:val="clear" w:color="auto" w:fill="D9D9D9" w:themeFill="background1" w:themeFillShade="D9"/>
          </w:tcPr>
          <w:p w14:paraId="456A3FB3" w14:textId="77777777" w:rsidR="00681CDB" w:rsidRPr="00F02986" w:rsidRDefault="00681CDB" w:rsidP="005B0D26">
            <w:pPr>
              <w:ind w:left="0"/>
              <w:rPr>
                <w:sz w:val="15"/>
                <w:szCs w:val="15"/>
              </w:rPr>
            </w:pPr>
            <w:r w:rsidRPr="00F02986">
              <w:rPr>
                <w:sz w:val="15"/>
                <w:szCs w:val="15"/>
              </w:rPr>
              <w:t>Tanzania</w:t>
            </w:r>
          </w:p>
        </w:tc>
        <w:tc>
          <w:tcPr>
            <w:tcW w:w="4291" w:type="dxa"/>
            <w:shd w:val="clear" w:color="auto" w:fill="D9D9D9" w:themeFill="background1" w:themeFillShade="D9"/>
          </w:tcPr>
          <w:p w14:paraId="181A8AD9" w14:textId="77777777" w:rsidR="00681CDB" w:rsidRPr="00F03BC0" w:rsidRDefault="00681CDB" w:rsidP="005B0D26">
            <w:pPr>
              <w:ind w:left="0"/>
              <w:rPr>
                <w:sz w:val="15"/>
                <w:szCs w:val="15"/>
              </w:rPr>
            </w:pPr>
            <w:r w:rsidRPr="00F03BC0">
              <w:rPr>
                <w:sz w:val="15"/>
                <w:szCs w:val="15"/>
              </w:rPr>
              <w:t>Survey modelled after Household Budget Survey (2006/07)</w:t>
            </w:r>
          </w:p>
        </w:tc>
        <w:tc>
          <w:tcPr>
            <w:tcW w:w="1080" w:type="dxa"/>
            <w:gridSpan w:val="2"/>
            <w:shd w:val="clear" w:color="auto" w:fill="D9D9D9" w:themeFill="background1" w:themeFillShade="D9"/>
            <w:vAlign w:val="center"/>
          </w:tcPr>
          <w:p w14:paraId="4D4D71FC" w14:textId="77777777" w:rsidR="00681CDB" w:rsidRPr="00F02986" w:rsidRDefault="00681CDB" w:rsidP="005B0D26">
            <w:pPr>
              <w:ind w:left="0"/>
              <w:jc w:val="center"/>
              <w:rPr>
                <w:sz w:val="15"/>
                <w:szCs w:val="15"/>
              </w:rPr>
            </w:pPr>
            <w:r>
              <w:rPr>
                <w:sz w:val="15"/>
                <w:szCs w:val="15"/>
              </w:rPr>
              <w:t>X</w:t>
            </w:r>
          </w:p>
        </w:tc>
        <w:tc>
          <w:tcPr>
            <w:tcW w:w="630" w:type="dxa"/>
            <w:shd w:val="clear" w:color="auto" w:fill="D9D9D9" w:themeFill="background1" w:themeFillShade="D9"/>
            <w:vAlign w:val="center"/>
          </w:tcPr>
          <w:p w14:paraId="2F1AB181"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2E187D5A"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7C8DB737" w14:textId="77777777" w:rsidR="00681CDB" w:rsidRPr="00F02986" w:rsidRDefault="00681CDB" w:rsidP="005B0D26">
            <w:pPr>
              <w:ind w:left="0"/>
              <w:jc w:val="center"/>
              <w:rPr>
                <w:sz w:val="15"/>
                <w:szCs w:val="15"/>
              </w:rPr>
            </w:pPr>
            <w:r>
              <w:rPr>
                <w:sz w:val="15"/>
                <w:szCs w:val="15"/>
              </w:rPr>
              <w:t>X</w:t>
            </w:r>
          </w:p>
        </w:tc>
      </w:tr>
      <w:tr w:rsidR="00681CDB" w14:paraId="41073325" w14:textId="77777777" w:rsidTr="005B0D26">
        <w:tc>
          <w:tcPr>
            <w:tcW w:w="535" w:type="dxa"/>
            <w:tcBorders>
              <w:left w:val="single" w:sz="4" w:space="0" w:color="auto"/>
            </w:tcBorders>
          </w:tcPr>
          <w:p w14:paraId="0B372AA8" w14:textId="49979DA1"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{"citationItems":[{"id":"ITEM-1","itemData":{"DOI":"10.1177/0379572118783492","ISSN":"03795721","PMID":"30068220","abstract":"Background: Production of rice and wheat increased dramatically in India over the past decades, with reduced proportion of coarse cereals in the food supply. Objective: We assess impacts of changes in cereal consumption in India on intake of iron and other micronutrients and whether increased consumption of coarse cereals could help alleviate anemia prevalence. Methods: With consumption data from over 800 000 households, we calculate intake of iron and other micronutrients from 84 food items from 1983 to 2011. We use mixed-effect models to relate state-level anemia prevalence in women and children to micronutrient consumption and household characteristics. Results: Coarse cereals reduced from 23% to 6% of calories from cereals in rural households (10% to 3% in urban households) between 1983 and 2011, with wide variations across states. Loss of iron from coarse cereals was only partially compensated by increased iron from other cereals and food groups, with a 21% (rural) and 11% (urban) net loss of total iron intake. Models indicate negative association between iron from cereals and anemia prevalence in women. The benefit from increased iron from coarse cereals is partially offset by the adverse effects from antinutrients. For children, anemia was negatively associated with heme–iron consumption but not with iron from cereals. Conclusions: Loss of coarse cereals in the Indian diet has substantially reduced iron intake without compensation from other food groups, particularly in states where rice rather than wheat replaced coarse cereals. Increased consumption of coarse cereals could reduce anemia prevalence in Indian women along with other interventions.","author":[{"dropping-particle":"","family":"DeFries","given":"Ruth","non-dropping-particle":"","parse-names":false,"suffix":""},{"dropping-particle":"","family":"Chhatre","given":"Ashwini","non-dropping-particle":"","parse-names":false,"suffix":""},{"dropping-particle":"","family":"Davis","given":"Kyle Frankel","non-dropping-particle":"","parse-names":false,"suffix":""},{"dropping-particle":"","family":"Dutta","given":"Arnab","non-dropping-particle":"","parse-names":false,"suffix":""},{"dropping-particle":"","family":"Fanzo","given":"Jessica","non-dropping-particle":"","parse-names":false,"suffix":""},{"dropping-particle":"","family":"Ghosh-Jerath","given":"Suparna","non-dropping-particle":"","parse-names":false,"suffix":""},{"dropping-particle":"","family":"Myers","given":"Samuel","non-dropping-particle":"","parse-names":false,"suffix":""},{"dropping-particle":"","family":"Rao","given":"Narasimha D.","non-dropping-particle":"","parse-names":false,"suffix":""},{"dropping-particle":"","family":"Smith","given":"Matthew R.","non-dropping-particle":"","parse-names":false,"suffix":""}],"container-title":"Food and Nutrition Bulletin","id":"ITEM-1","issue":"3","issued":{"date-parts":[["2018"]]},"page":"377-392","title":"Impact of Historical Changes in Coarse Cereals Consumption in India on Micronutrient Intake and Anemia Prevalence","type":"article-journal","volume":"39"},"uris":["http://www.mendeley.com/documents/?uuid=f41b0412-09df-4829-a060-7f2295fd9025"]}],"mendeley":{"formattedCitation":"&lt;sup&gt;(13)&lt;/sup&gt;","plainTextFormattedCitation":"(13)","previouslyFormattedCitation":"[13]"},"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(13)</w:t>
            </w:r>
            <w:r>
              <w:rPr>
                <w:sz w:val="15"/>
                <w:szCs w:val="15"/>
              </w:rPr>
              <w:fldChar w:fldCharType="end"/>
            </w:r>
          </w:p>
        </w:tc>
        <w:tc>
          <w:tcPr>
            <w:tcW w:w="2098" w:type="dxa"/>
          </w:tcPr>
          <w:p w14:paraId="5E6C1AA3" w14:textId="77777777" w:rsidR="00681CDB" w:rsidRPr="00F02986" w:rsidRDefault="00681CDB" w:rsidP="005B0D26">
            <w:pPr>
              <w:ind w:left="0"/>
              <w:rPr>
                <w:sz w:val="15"/>
                <w:szCs w:val="15"/>
              </w:rPr>
            </w:pPr>
            <w:proofErr w:type="spellStart"/>
            <w:r w:rsidRPr="00F02986">
              <w:rPr>
                <w:sz w:val="15"/>
                <w:szCs w:val="15"/>
              </w:rPr>
              <w:t>DeFries</w:t>
            </w:r>
            <w:proofErr w:type="spellEnd"/>
            <w:r w:rsidRPr="00F02986">
              <w:rPr>
                <w:sz w:val="15"/>
                <w:szCs w:val="15"/>
              </w:rPr>
              <w:t xml:space="preserve"> et al. (2018)</w:t>
            </w:r>
          </w:p>
        </w:tc>
        <w:tc>
          <w:tcPr>
            <w:tcW w:w="1531" w:type="dxa"/>
          </w:tcPr>
          <w:p w14:paraId="7446D47A" w14:textId="77777777" w:rsidR="00681CDB" w:rsidRPr="00F02986" w:rsidRDefault="00681CDB" w:rsidP="005B0D26">
            <w:pPr>
              <w:ind w:left="0"/>
              <w:rPr>
                <w:sz w:val="15"/>
                <w:szCs w:val="15"/>
              </w:rPr>
            </w:pPr>
            <w:r w:rsidRPr="00F02986">
              <w:rPr>
                <w:sz w:val="15"/>
                <w:szCs w:val="15"/>
              </w:rPr>
              <w:t>India</w:t>
            </w:r>
          </w:p>
        </w:tc>
        <w:tc>
          <w:tcPr>
            <w:tcW w:w="4291" w:type="dxa"/>
          </w:tcPr>
          <w:p w14:paraId="5C52306C" w14:textId="77777777" w:rsidR="00681CDB" w:rsidRPr="00F03BC0" w:rsidRDefault="00681CDB" w:rsidP="005B0D26">
            <w:pPr>
              <w:ind w:left="0"/>
              <w:rPr>
                <w:sz w:val="15"/>
                <w:szCs w:val="15"/>
              </w:rPr>
            </w:pPr>
            <w:r w:rsidRPr="00F03BC0">
              <w:rPr>
                <w:sz w:val="15"/>
                <w:szCs w:val="15"/>
              </w:rPr>
              <w:t>7 rounds of the National Sample Survey</w:t>
            </w:r>
          </w:p>
        </w:tc>
        <w:tc>
          <w:tcPr>
            <w:tcW w:w="1080" w:type="dxa"/>
            <w:gridSpan w:val="2"/>
            <w:vAlign w:val="center"/>
          </w:tcPr>
          <w:p w14:paraId="581892D9" w14:textId="77777777" w:rsidR="00681CDB" w:rsidRPr="00F02986" w:rsidRDefault="00681CDB" w:rsidP="005B0D26">
            <w:pPr>
              <w:ind w:left="0"/>
              <w:jc w:val="center"/>
              <w:rPr>
                <w:sz w:val="15"/>
                <w:szCs w:val="15"/>
              </w:rPr>
            </w:pPr>
            <w:r>
              <w:rPr>
                <w:sz w:val="15"/>
                <w:szCs w:val="15"/>
              </w:rPr>
              <w:t>X</w:t>
            </w:r>
          </w:p>
        </w:tc>
        <w:tc>
          <w:tcPr>
            <w:tcW w:w="630" w:type="dxa"/>
            <w:vAlign w:val="center"/>
          </w:tcPr>
          <w:p w14:paraId="41C67316" w14:textId="77777777" w:rsidR="00681CDB" w:rsidRPr="00F02986" w:rsidRDefault="00681CDB" w:rsidP="005B0D26">
            <w:pPr>
              <w:ind w:left="0"/>
              <w:jc w:val="center"/>
              <w:rPr>
                <w:sz w:val="15"/>
                <w:szCs w:val="15"/>
              </w:rPr>
            </w:pPr>
          </w:p>
        </w:tc>
        <w:tc>
          <w:tcPr>
            <w:tcW w:w="810" w:type="dxa"/>
            <w:vAlign w:val="center"/>
          </w:tcPr>
          <w:p w14:paraId="7539EE2D"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4A7336B9" w14:textId="77777777" w:rsidR="00681CDB" w:rsidRPr="00F02986" w:rsidRDefault="00681CDB" w:rsidP="005B0D26">
            <w:pPr>
              <w:ind w:left="0"/>
              <w:jc w:val="center"/>
              <w:rPr>
                <w:sz w:val="15"/>
                <w:szCs w:val="15"/>
              </w:rPr>
            </w:pPr>
            <w:r>
              <w:rPr>
                <w:sz w:val="15"/>
                <w:szCs w:val="15"/>
              </w:rPr>
              <w:t>X</w:t>
            </w:r>
          </w:p>
        </w:tc>
      </w:tr>
      <w:tr w:rsidR="00681CDB" w14:paraId="304EC4D9" w14:textId="77777777" w:rsidTr="005B0D26">
        <w:tc>
          <w:tcPr>
            <w:tcW w:w="535" w:type="dxa"/>
            <w:tcBorders>
              <w:left w:val="single" w:sz="4" w:space="0" w:color="auto"/>
            </w:tcBorders>
            <w:shd w:val="clear" w:color="auto" w:fill="D9D9D9" w:themeFill="background1" w:themeFillShade="D9"/>
          </w:tcPr>
          <w:p w14:paraId="4C41E769" w14:textId="40626C58"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{"citationItems":[{"id":"ITEM-1","itemData":{"DOI":"10.1177/15648265070282s212","ISSN":"03795721","abstract":"Background. As the public sector and civil society develop intervention programs to deal with the HIV/AIDS epidemic, there has been an increasing emphasis on the relationship between nutrition and the disease. Drug interventions may be ineffective, and the progression from HIV infection to full-blown AIDS may be accelerated without adequate nutrition. Mozambique is still fighting an increasing prevalence rate of HIV, including in rural areas. Rural households in Mozambique rely heavily on their own agricultural production for the basic macronutrients. Objectives. To evaluate the extent to which household agricultural production of basic staples meets overall household needs for major macronutrients, comparing households affected and not directly affected by HIV/AIDS and other major illnesses over two time periods. Methods. This research analyzes nationally representative panel data from rural household surveys conducted in 2002 and 2005 to evaluate whether households that have suffered the chronic illness or illness-related death of prime-age adult members (15 to 49 years of age) are more vulnerable to macronutrient gaps. Results. Households in the South and in the North with a male illness or death in 2002 produced significantly less macronutrients from crops in 2005 than nonaffected households. These households also had significantly lower income per adult equivalent. Conclusions. Mortality or illness from HIV/AIDS affects the ability of agricultural households dependent on own-food production to produce macronutrients. Interventions to improve access to food may be needed for affected households, particularly in light of their inability to recover over time. More analysis is needed to understand income sources, crop diversification, and access to macronutrients through the market. © 2007, The United Nations University.","author":[{"dropping-particle":"","family":"Donovan","given":"Cynthia","non-dropping-particle":"","parse-names":false,"suffix":""},{"dropping-particle":"","family":"Massingue","given":"Jaquelino","non-dropping-particle":"","parse-names":false,"suffix":""}],"container-title":"Food and Nutrition Bulletin","id":"ITEM-1","issue":"2 Suppl","issued":{"date-parts":[["2007"]]},"page":"S331-8","title":"Illness, death, and macronutrients: Adequacy of rural Mozambican household production of macronutrients in the face of HIV/AIDS","type":"article-journal","volume":"28"},"uris":["http://www.mendeley.com/documents/?uuid=89d294c4-9234-4e36-8ec6-43fd2b86fec4"]}],"mendeley":{"formattedCitation":"&lt;sup&gt;(14)&lt;/sup&gt;","plainTextFormattedCitation":"(14)","previouslyFormattedCitation":"[14]"},"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(14)</w:t>
            </w:r>
            <w:r>
              <w:rPr>
                <w:sz w:val="15"/>
                <w:szCs w:val="15"/>
              </w:rPr>
              <w:fldChar w:fldCharType="end"/>
            </w:r>
          </w:p>
        </w:tc>
        <w:tc>
          <w:tcPr>
            <w:tcW w:w="2098" w:type="dxa"/>
            <w:shd w:val="clear" w:color="auto" w:fill="D9D9D9" w:themeFill="background1" w:themeFillShade="D9"/>
          </w:tcPr>
          <w:p w14:paraId="1757803D" w14:textId="77777777" w:rsidR="00681CDB" w:rsidRPr="00F02986" w:rsidRDefault="00681CDB" w:rsidP="005B0D26">
            <w:pPr>
              <w:ind w:left="0"/>
              <w:rPr>
                <w:sz w:val="15"/>
                <w:szCs w:val="15"/>
              </w:rPr>
            </w:pPr>
            <w:r w:rsidRPr="00F02986">
              <w:rPr>
                <w:sz w:val="15"/>
                <w:szCs w:val="15"/>
              </w:rPr>
              <w:t xml:space="preserve">Donovan &amp; </w:t>
            </w:r>
            <w:proofErr w:type="spellStart"/>
            <w:r w:rsidRPr="00F02986">
              <w:rPr>
                <w:sz w:val="15"/>
                <w:szCs w:val="15"/>
              </w:rPr>
              <w:t>Massingue</w:t>
            </w:r>
            <w:proofErr w:type="spellEnd"/>
            <w:r w:rsidRPr="00F02986">
              <w:rPr>
                <w:sz w:val="15"/>
                <w:szCs w:val="15"/>
              </w:rPr>
              <w:t xml:space="preserve"> (2007)</w:t>
            </w:r>
          </w:p>
        </w:tc>
        <w:tc>
          <w:tcPr>
            <w:tcW w:w="1531" w:type="dxa"/>
            <w:shd w:val="clear" w:color="auto" w:fill="D9D9D9" w:themeFill="background1" w:themeFillShade="D9"/>
          </w:tcPr>
          <w:p w14:paraId="12DF5684" w14:textId="77777777" w:rsidR="00681CDB" w:rsidRPr="00F02986" w:rsidRDefault="00681CDB" w:rsidP="005B0D26">
            <w:pPr>
              <w:ind w:left="0"/>
              <w:rPr>
                <w:sz w:val="15"/>
                <w:szCs w:val="15"/>
              </w:rPr>
            </w:pPr>
            <w:r w:rsidRPr="00F02986">
              <w:rPr>
                <w:sz w:val="15"/>
                <w:szCs w:val="15"/>
              </w:rPr>
              <w:t>Mozambique</w:t>
            </w:r>
          </w:p>
        </w:tc>
        <w:tc>
          <w:tcPr>
            <w:tcW w:w="4291" w:type="dxa"/>
            <w:shd w:val="clear" w:color="auto" w:fill="D9D9D9" w:themeFill="background1" w:themeFillShade="D9"/>
          </w:tcPr>
          <w:p w14:paraId="1D06BBD4" w14:textId="77777777" w:rsidR="00681CDB" w:rsidRPr="00F03BC0" w:rsidRDefault="00681CDB" w:rsidP="005B0D26">
            <w:pPr>
              <w:ind w:left="0"/>
              <w:rPr>
                <w:sz w:val="15"/>
                <w:szCs w:val="15"/>
              </w:rPr>
            </w:pPr>
            <w:proofErr w:type="spellStart"/>
            <w:r w:rsidRPr="00F03BC0">
              <w:rPr>
                <w:sz w:val="15"/>
                <w:szCs w:val="15"/>
              </w:rPr>
              <w:t>Trabalho</w:t>
            </w:r>
            <w:proofErr w:type="spellEnd"/>
            <w:r w:rsidRPr="00F03BC0">
              <w:rPr>
                <w:sz w:val="15"/>
                <w:szCs w:val="15"/>
              </w:rPr>
              <w:t xml:space="preserve"> de </w:t>
            </w:r>
            <w:proofErr w:type="spellStart"/>
            <w:r w:rsidRPr="00F03BC0">
              <w:rPr>
                <w:sz w:val="15"/>
                <w:szCs w:val="15"/>
              </w:rPr>
              <w:t>Inquérito</w:t>
            </w:r>
            <w:proofErr w:type="spellEnd"/>
            <w:r w:rsidRPr="00F03BC0">
              <w:rPr>
                <w:sz w:val="15"/>
                <w:szCs w:val="15"/>
              </w:rPr>
              <w:t xml:space="preserve"> Agricola (2002, 2005)</w:t>
            </w:r>
          </w:p>
        </w:tc>
        <w:tc>
          <w:tcPr>
            <w:tcW w:w="1080" w:type="dxa"/>
            <w:gridSpan w:val="2"/>
            <w:shd w:val="clear" w:color="auto" w:fill="D9D9D9" w:themeFill="background1" w:themeFillShade="D9"/>
            <w:vAlign w:val="center"/>
          </w:tcPr>
          <w:p w14:paraId="26607E7F"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5EE196BE"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0F60D13E"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1047DF50" w14:textId="77777777" w:rsidR="00681CDB" w:rsidRPr="00F02986" w:rsidRDefault="00681CDB" w:rsidP="005B0D26">
            <w:pPr>
              <w:ind w:left="0"/>
              <w:jc w:val="center"/>
              <w:rPr>
                <w:sz w:val="15"/>
                <w:szCs w:val="15"/>
              </w:rPr>
            </w:pPr>
          </w:p>
        </w:tc>
      </w:tr>
      <w:tr w:rsidR="00681CDB" w:rsidRPr="00151FCF" w14:paraId="72E970E0" w14:textId="77777777" w:rsidTr="005B0D26">
        <w:tc>
          <w:tcPr>
            <w:tcW w:w="535" w:type="dxa"/>
            <w:tcBorders>
              <w:left w:val="single" w:sz="4" w:space="0" w:color="auto"/>
            </w:tcBorders>
          </w:tcPr>
          <w:p w14:paraId="58E288EE" w14:textId="2B85D564" w:rsidR="00681CDB" w:rsidRPr="003A0C17" w:rsidRDefault="00681CDB" w:rsidP="005B0D26">
            <w:pPr>
              <w:ind w:left="0"/>
              <w:rPr>
                <w:sz w:val="15"/>
                <w:szCs w:val="15"/>
                <w:lang w:val="fr-FR"/>
              </w:rPr>
            </w:pPr>
            <w:r>
              <w:rPr>
                <w:sz w:val="15"/>
                <w:szCs w:val="15"/>
              </w:rPr>
              <w:fldChar w:fldCharType="begin" w:fldLock="1"/>
            </w:r>
            <w:r w:rsidR="005B0D26">
              <w:rPr>
                <w:sz w:val="15"/>
                <w:szCs w:val="15"/>
              </w:rPr>
              <w:instrText>ADDIN CSL_CITATION {"citationItems":[{"id":"ITEM-1","itemData":{"DOI":"10.1177/15648265120333s211","ISSN":"03795721","PMID":"23193774","abstract":"Few surveys of food and nutrient intakes are conducted at the individual level in low- and middle-income countries, whereas Household Consumption and Expenditures Surveys (HCES) are regularly carried out to monitor economic conditions. Because of the paucity of individual-level data, there is interest in using HCES to aid in the design of food and nutrition policies. Data from the 2001/02 HCES from Cape Verde were used to assess household dietary intakes in the context of the country's nutrition transition. The survey included weighed measurements of household food intake and measurements of the weight and height of all household members. Households were classified as \"underweight\" if they had at least one underweight member, \"overweight\" if they had at least one overweight member, and \"dual burden\" if they had at least one underweight and one overweight member. The proportion of households classified as underweight, overweight, and dual burden was 18%, 41%, and 14%, respectively. Household food and nutrient intakes were higher in the overweight households (particularly protein, vitamin A, and calcium) and lower in the underweight households, while there was no clear pattern of intakes in the dual burden group. Overweight households consumed more animal food groups than other households. Intakes of fruits and vegetables were low in all groups. The HCES data for Cape Verde were useful for assessing the extent of the nutrition transition and characterizing dietary intakes by anthropometric classification. Analysis of nutrient and food intakes showed that</w:instrText>
            </w:r>
            <w:r w:rsidR="005B0D26" w:rsidRPr="005B0D26">
              <w:rPr>
                <w:sz w:val="15"/>
                <w:szCs w:val="15"/>
                <w:lang w:val="fr-FR"/>
              </w:rPr>
              <w:instrText xml:space="preserve"> ensuring sufficient energy availability is no longer the most important issue for Cape Verde, but that ensuring dietary quality is equally crucial, in particular increasing access to fruits and vegetables.","author":[{"dropping-particle":"","family":"Dop","given":"Marie Claude","non-dropping-particle":"","parse-names":false,"suffix":""},{"dropping-particle":"","family":"Pereira","given":"Clodomir","non-dropping-particle":"","parse-names":false,"suffix":""},{"dropping-particle":"","family":"Mistura","given":"Lorenza","non-dropping-particle":"","parse-names":false,"suffix":""},{"dropping-particle":"","family":"Martinez","given":"Claudio","non-dropping-particle":"","parse-names":false,"suffix":""},{"dropping-particle":"","family":"Cardoso","given":"Edith","non-dropping-particle":"","parse-names":false,"suffix":""}],"container-title":"Food and nutrition bulletin","id":"ITEM-1","issue":"3 Suppl","issued":{"date-parts":[["2012"]]},"page":"S221-7","title":"Using Household Consumption and Expenditures Survey (HCES) data to assess dietary intake in relation to the nutrition transition: a case study from Cape Verde.","type":"article-journal","volume":"33"},"uris":["http://www.mendeley.com/documents/?uuid=2a99d64a-d28e-45b5-8a68-85958572d579"]}],"mendeley":{"formattedCitation":"&lt;sup&gt;(15)&lt;/sup&gt;","plainTextFormattedCitation":"(15)","previouslyFormattedCitation":"[15]"},"properties":{"noteIndex":0},"schema":"https://github.com/citation-style-language/schema/raw/master/csl-citation.json"}</w:instrText>
            </w:r>
            <w:r>
              <w:rPr>
                <w:sz w:val="15"/>
                <w:szCs w:val="15"/>
              </w:rPr>
              <w:fldChar w:fldCharType="separate"/>
            </w:r>
            <w:r w:rsidR="005B0D26" w:rsidRPr="005B0D26">
              <w:rPr>
                <w:noProof/>
                <w:sz w:val="15"/>
                <w:szCs w:val="15"/>
                <w:vertAlign w:val="superscript"/>
                <w:lang w:val="fr-FR"/>
              </w:rPr>
              <w:t>(15)</w:t>
            </w:r>
            <w:r>
              <w:rPr>
                <w:sz w:val="15"/>
                <w:szCs w:val="15"/>
              </w:rPr>
              <w:fldChar w:fldCharType="end"/>
            </w:r>
          </w:p>
        </w:tc>
        <w:tc>
          <w:tcPr>
            <w:tcW w:w="2098" w:type="dxa"/>
          </w:tcPr>
          <w:p w14:paraId="05ABF2F9" w14:textId="77777777" w:rsidR="00681CDB" w:rsidRPr="003A0C17" w:rsidRDefault="00681CDB" w:rsidP="005B0D26">
            <w:pPr>
              <w:ind w:left="0"/>
              <w:rPr>
                <w:sz w:val="15"/>
                <w:szCs w:val="15"/>
                <w:lang w:val="fr-FR"/>
              </w:rPr>
            </w:pPr>
            <w:r w:rsidRPr="003A0C17">
              <w:rPr>
                <w:sz w:val="15"/>
                <w:szCs w:val="15"/>
                <w:lang w:val="fr-FR"/>
              </w:rPr>
              <w:t>Dop et al. (2012)</w:t>
            </w:r>
          </w:p>
        </w:tc>
        <w:tc>
          <w:tcPr>
            <w:tcW w:w="1531" w:type="dxa"/>
          </w:tcPr>
          <w:p w14:paraId="3094EC23" w14:textId="77777777" w:rsidR="00681CDB" w:rsidRPr="003A0C17" w:rsidRDefault="00681CDB" w:rsidP="005B0D26">
            <w:pPr>
              <w:ind w:left="0"/>
              <w:rPr>
                <w:sz w:val="15"/>
                <w:szCs w:val="15"/>
                <w:lang w:val="fr-FR"/>
              </w:rPr>
            </w:pPr>
            <w:r w:rsidRPr="003A0C17">
              <w:rPr>
                <w:sz w:val="15"/>
                <w:szCs w:val="15"/>
                <w:lang w:val="fr-FR"/>
              </w:rPr>
              <w:t>Cape Verde</w:t>
            </w:r>
          </w:p>
        </w:tc>
        <w:tc>
          <w:tcPr>
            <w:tcW w:w="4291" w:type="dxa"/>
          </w:tcPr>
          <w:p w14:paraId="5C33BE99" w14:textId="77777777" w:rsidR="00681CDB" w:rsidRPr="003A0C17" w:rsidRDefault="00681CDB" w:rsidP="005B0D26">
            <w:pPr>
              <w:ind w:left="0"/>
              <w:rPr>
                <w:sz w:val="15"/>
                <w:szCs w:val="15"/>
                <w:lang w:val="fr-FR"/>
              </w:rPr>
            </w:pPr>
            <w:r w:rsidRPr="003A0C17">
              <w:rPr>
                <w:sz w:val="15"/>
                <w:szCs w:val="15"/>
                <w:lang w:val="fr-FR"/>
              </w:rPr>
              <w:t>I</w:t>
            </w:r>
            <w:r w:rsidRPr="00F03BC0">
              <w:rPr>
                <w:sz w:val="15"/>
                <w:szCs w:val="15"/>
              </w:rPr>
              <w:t>﻿</w:t>
            </w:r>
            <w:proofErr w:type="spellStart"/>
            <w:r w:rsidRPr="003A0C17">
              <w:rPr>
                <w:sz w:val="15"/>
                <w:szCs w:val="15"/>
                <w:lang w:val="fr-FR"/>
              </w:rPr>
              <w:t>nquérito</w:t>
            </w:r>
            <w:proofErr w:type="spellEnd"/>
            <w:r w:rsidRPr="003A0C17">
              <w:rPr>
                <w:sz w:val="15"/>
                <w:szCs w:val="15"/>
                <w:lang w:val="fr-FR"/>
              </w:rPr>
              <w:t xml:space="preserve"> </w:t>
            </w:r>
            <w:proofErr w:type="spellStart"/>
            <w:r w:rsidRPr="003A0C17">
              <w:rPr>
                <w:sz w:val="15"/>
                <w:szCs w:val="15"/>
                <w:lang w:val="fr-FR"/>
              </w:rPr>
              <w:t>às</w:t>
            </w:r>
            <w:proofErr w:type="spellEnd"/>
            <w:r w:rsidRPr="003A0C17">
              <w:rPr>
                <w:sz w:val="15"/>
                <w:szCs w:val="15"/>
                <w:lang w:val="fr-FR"/>
              </w:rPr>
              <w:t xml:space="preserve"> </w:t>
            </w:r>
            <w:proofErr w:type="spellStart"/>
            <w:r w:rsidRPr="003A0C17">
              <w:rPr>
                <w:sz w:val="15"/>
                <w:szCs w:val="15"/>
                <w:lang w:val="fr-FR"/>
              </w:rPr>
              <w:t>Despesas</w:t>
            </w:r>
            <w:proofErr w:type="spellEnd"/>
            <w:r w:rsidRPr="003A0C17">
              <w:rPr>
                <w:sz w:val="15"/>
                <w:szCs w:val="15"/>
                <w:lang w:val="fr-FR"/>
              </w:rPr>
              <w:t xml:space="preserve"> e </w:t>
            </w:r>
            <w:proofErr w:type="spellStart"/>
            <w:r w:rsidRPr="003A0C17">
              <w:rPr>
                <w:sz w:val="15"/>
                <w:szCs w:val="15"/>
                <w:lang w:val="fr-FR"/>
              </w:rPr>
              <w:t>Receitas</w:t>
            </w:r>
            <w:proofErr w:type="spellEnd"/>
            <w:r w:rsidRPr="003A0C17">
              <w:rPr>
                <w:sz w:val="15"/>
                <w:szCs w:val="15"/>
                <w:lang w:val="fr-FR"/>
              </w:rPr>
              <w:t xml:space="preserve"> </w:t>
            </w:r>
            <w:proofErr w:type="spellStart"/>
            <w:r w:rsidRPr="003A0C17">
              <w:rPr>
                <w:sz w:val="15"/>
                <w:szCs w:val="15"/>
                <w:lang w:val="fr-FR"/>
              </w:rPr>
              <w:t>Famílias</w:t>
            </w:r>
            <w:proofErr w:type="spellEnd"/>
            <w:r w:rsidRPr="003A0C17">
              <w:rPr>
                <w:sz w:val="15"/>
                <w:szCs w:val="15"/>
                <w:lang w:val="fr-FR"/>
              </w:rPr>
              <w:t xml:space="preserve"> (2001/02)</w:t>
            </w:r>
          </w:p>
        </w:tc>
        <w:tc>
          <w:tcPr>
            <w:tcW w:w="1080" w:type="dxa"/>
            <w:gridSpan w:val="2"/>
            <w:vAlign w:val="center"/>
          </w:tcPr>
          <w:p w14:paraId="4823E326" w14:textId="77777777" w:rsidR="00681CDB" w:rsidRPr="003A0C17" w:rsidRDefault="00681CDB" w:rsidP="005B0D26">
            <w:pPr>
              <w:ind w:left="0"/>
              <w:jc w:val="center"/>
              <w:rPr>
                <w:sz w:val="15"/>
                <w:szCs w:val="15"/>
                <w:lang w:val="fr-FR"/>
              </w:rPr>
            </w:pPr>
          </w:p>
        </w:tc>
        <w:tc>
          <w:tcPr>
            <w:tcW w:w="630" w:type="dxa"/>
            <w:vAlign w:val="center"/>
          </w:tcPr>
          <w:p w14:paraId="23CE1467" w14:textId="77777777" w:rsidR="00681CDB" w:rsidRPr="003A0C17" w:rsidRDefault="00681CDB" w:rsidP="005B0D26">
            <w:pPr>
              <w:ind w:left="0"/>
              <w:jc w:val="center"/>
              <w:rPr>
                <w:sz w:val="15"/>
                <w:szCs w:val="15"/>
                <w:lang w:val="fr-FR"/>
              </w:rPr>
            </w:pPr>
            <w:r w:rsidRPr="003A0C17">
              <w:rPr>
                <w:sz w:val="15"/>
                <w:szCs w:val="15"/>
                <w:lang w:val="fr-FR"/>
              </w:rPr>
              <w:t>X</w:t>
            </w:r>
          </w:p>
        </w:tc>
        <w:tc>
          <w:tcPr>
            <w:tcW w:w="810" w:type="dxa"/>
            <w:vAlign w:val="center"/>
          </w:tcPr>
          <w:p w14:paraId="33F186F7" w14:textId="77777777" w:rsidR="00681CDB" w:rsidRPr="003A0C17" w:rsidRDefault="00681CDB" w:rsidP="005B0D26">
            <w:pPr>
              <w:ind w:left="0"/>
              <w:jc w:val="center"/>
              <w:rPr>
                <w:sz w:val="15"/>
                <w:szCs w:val="15"/>
                <w:lang w:val="fr-FR"/>
              </w:rPr>
            </w:pPr>
            <w:r w:rsidRPr="003A0C17">
              <w:rPr>
                <w:sz w:val="15"/>
                <w:szCs w:val="15"/>
                <w:lang w:val="fr-FR"/>
              </w:rPr>
              <w:t>X</w:t>
            </w:r>
          </w:p>
        </w:tc>
        <w:tc>
          <w:tcPr>
            <w:tcW w:w="990" w:type="dxa"/>
            <w:tcBorders>
              <w:right w:val="single" w:sz="4" w:space="0" w:color="auto"/>
            </w:tcBorders>
            <w:vAlign w:val="center"/>
          </w:tcPr>
          <w:p w14:paraId="53D37983" w14:textId="77777777" w:rsidR="00681CDB" w:rsidRPr="003A0C17" w:rsidRDefault="00681CDB" w:rsidP="005B0D26">
            <w:pPr>
              <w:ind w:left="0"/>
              <w:jc w:val="center"/>
              <w:rPr>
                <w:sz w:val="15"/>
                <w:szCs w:val="15"/>
                <w:lang w:val="fr-FR"/>
              </w:rPr>
            </w:pPr>
          </w:p>
        </w:tc>
      </w:tr>
      <w:tr w:rsidR="00681CDB" w14:paraId="6819527F" w14:textId="77777777" w:rsidTr="005B0D26">
        <w:trPr>
          <w:trHeight w:val="126"/>
        </w:trPr>
        <w:tc>
          <w:tcPr>
            <w:tcW w:w="535" w:type="dxa"/>
            <w:tcBorders>
              <w:left w:val="single" w:sz="4" w:space="0" w:color="auto"/>
            </w:tcBorders>
            <w:shd w:val="clear" w:color="auto" w:fill="D9D9D9" w:themeFill="background1" w:themeFillShade="D9"/>
          </w:tcPr>
          <w:p w14:paraId="009C3CDC" w14:textId="4CDE55FF" w:rsidR="00681CDB" w:rsidRPr="00F02986" w:rsidRDefault="00681CDB" w:rsidP="005B0D26">
            <w:pPr>
              <w:ind w:left="0"/>
              <w:rPr>
                <w:sz w:val="15"/>
                <w:szCs w:val="15"/>
              </w:rPr>
            </w:pPr>
            <w:r>
              <w:rPr>
                <w:sz w:val="15"/>
                <w:szCs w:val="15"/>
              </w:rPr>
              <w:fldChar w:fldCharType="begin" w:fldLock="1"/>
            </w:r>
            <w:r w:rsidR="005B0D26">
              <w:rPr>
                <w:sz w:val="15"/>
                <w:szCs w:val="15"/>
                <w:lang w:val="fr-FR"/>
              </w:rPr>
              <w:instrText>ADDIN CSL_CITATION {"citationItems":[{"id":"ITEM-1","itemData":{"DOI":"10.1016/j.worlddev.2010.08.002","ISSN":"0305750X","abstract":"Widespread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Development","id":"ITEM-1","issue":"3","issued":{"date-parts":[["2011"]]},"page":"412-428","title":"Analyzing Nutritional Impacts of Policies: An Empirical Study for Malawi","type":"article-journal","volume":"39"},"uris":["http://www.mendeley.com/documents/?uuid=7892bf86-385a-43cd-9418-78b8111b4c77"]}],"mendeley":{"formattedCitation":"&lt;sup&gt;(16)&lt;/sup&gt;","plainTextFormattedCitation":"(16)","previouslyFormattedCitation":"[16]"},"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(16)</w:t>
            </w:r>
            <w:r>
              <w:rPr>
                <w:sz w:val="15"/>
                <w:szCs w:val="15"/>
              </w:rPr>
              <w:fldChar w:fldCharType="end"/>
            </w:r>
          </w:p>
        </w:tc>
        <w:tc>
          <w:tcPr>
            <w:tcW w:w="2098" w:type="dxa"/>
            <w:shd w:val="clear" w:color="auto" w:fill="D9D9D9" w:themeFill="background1" w:themeFillShade="D9"/>
          </w:tcPr>
          <w:p w14:paraId="04D78497" w14:textId="77777777" w:rsidR="00681CDB" w:rsidRPr="00F02986" w:rsidRDefault="00681CDB" w:rsidP="005B0D26">
            <w:pPr>
              <w:ind w:left="0"/>
              <w:rPr>
                <w:sz w:val="15"/>
                <w:szCs w:val="15"/>
              </w:rPr>
            </w:pPr>
            <w:r w:rsidRPr="00F02986">
              <w:rPr>
                <w:sz w:val="15"/>
                <w:szCs w:val="15"/>
              </w:rPr>
              <w:t xml:space="preserve">Ecker &amp; </w:t>
            </w:r>
            <w:proofErr w:type="spellStart"/>
            <w:r w:rsidRPr="00F02986">
              <w:rPr>
                <w:sz w:val="15"/>
                <w:szCs w:val="15"/>
              </w:rPr>
              <w:t>Qaim</w:t>
            </w:r>
            <w:proofErr w:type="spellEnd"/>
            <w:r w:rsidRPr="00F02986">
              <w:rPr>
                <w:sz w:val="15"/>
                <w:szCs w:val="15"/>
              </w:rPr>
              <w:t xml:space="preserve"> (201</w:t>
            </w:r>
            <w:r>
              <w:rPr>
                <w:sz w:val="15"/>
                <w:szCs w:val="15"/>
              </w:rPr>
              <w:t>1</w:t>
            </w:r>
            <w:r w:rsidRPr="00F02986">
              <w:rPr>
                <w:sz w:val="15"/>
                <w:szCs w:val="15"/>
              </w:rPr>
              <w:t>)</w:t>
            </w:r>
          </w:p>
        </w:tc>
        <w:tc>
          <w:tcPr>
            <w:tcW w:w="1531" w:type="dxa"/>
            <w:shd w:val="clear" w:color="auto" w:fill="D9D9D9" w:themeFill="background1" w:themeFillShade="D9"/>
          </w:tcPr>
          <w:p w14:paraId="5B063EF7" w14:textId="77777777" w:rsidR="00681CDB" w:rsidRPr="00F02986" w:rsidRDefault="00681CDB" w:rsidP="005B0D26">
            <w:pPr>
              <w:ind w:left="0"/>
              <w:rPr>
                <w:sz w:val="15"/>
                <w:szCs w:val="15"/>
              </w:rPr>
            </w:pPr>
            <w:r w:rsidRPr="00F02986">
              <w:rPr>
                <w:sz w:val="15"/>
                <w:szCs w:val="15"/>
              </w:rPr>
              <w:t>Malawi</w:t>
            </w:r>
          </w:p>
        </w:tc>
        <w:tc>
          <w:tcPr>
            <w:tcW w:w="4291" w:type="dxa"/>
            <w:shd w:val="clear" w:color="auto" w:fill="D9D9D9" w:themeFill="background1" w:themeFillShade="D9"/>
          </w:tcPr>
          <w:p w14:paraId="19AA7237" w14:textId="77777777" w:rsidR="00681CDB" w:rsidRPr="00F03BC0" w:rsidRDefault="00681CDB" w:rsidP="005B0D26">
            <w:pPr>
              <w:ind w:left="0"/>
              <w:rPr>
                <w:sz w:val="15"/>
                <w:szCs w:val="15"/>
              </w:rPr>
            </w:pPr>
            <w:r>
              <w:rPr>
                <w:sz w:val="15"/>
                <w:szCs w:val="15"/>
              </w:rPr>
              <w:t xml:space="preserve">Second </w:t>
            </w:r>
            <w:r w:rsidRPr="00F03BC0">
              <w:rPr>
                <w:sz w:val="15"/>
                <w:szCs w:val="15"/>
              </w:rPr>
              <w:t xml:space="preserve">Integrated Household Survey </w:t>
            </w:r>
            <w:r>
              <w:rPr>
                <w:sz w:val="15"/>
                <w:szCs w:val="15"/>
              </w:rPr>
              <w:t>(2004/05)</w:t>
            </w:r>
          </w:p>
        </w:tc>
        <w:tc>
          <w:tcPr>
            <w:tcW w:w="1080" w:type="dxa"/>
            <w:gridSpan w:val="2"/>
            <w:shd w:val="clear" w:color="auto" w:fill="D9D9D9" w:themeFill="background1" w:themeFillShade="D9"/>
            <w:vAlign w:val="center"/>
          </w:tcPr>
          <w:p w14:paraId="3AEC7276" w14:textId="77777777" w:rsidR="00681CDB" w:rsidRPr="00F02986" w:rsidRDefault="00681CDB" w:rsidP="005B0D26">
            <w:pPr>
              <w:ind w:left="0"/>
              <w:jc w:val="center"/>
              <w:rPr>
                <w:sz w:val="15"/>
                <w:szCs w:val="15"/>
              </w:rPr>
            </w:pPr>
            <w:r>
              <w:rPr>
                <w:sz w:val="15"/>
                <w:szCs w:val="15"/>
              </w:rPr>
              <w:t>X</w:t>
            </w:r>
          </w:p>
        </w:tc>
        <w:tc>
          <w:tcPr>
            <w:tcW w:w="630" w:type="dxa"/>
            <w:shd w:val="clear" w:color="auto" w:fill="D9D9D9" w:themeFill="background1" w:themeFillShade="D9"/>
            <w:vAlign w:val="center"/>
          </w:tcPr>
          <w:p w14:paraId="1BEFE17A"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5CA9B92B"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76319B22" w14:textId="77777777" w:rsidR="00681CDB" w:rsidRPr="00F02986" w:rsidRDefault="00681CDB" w:rsidP="005B0D26">
            <w:pPr>
              <w:ind w:left="0"/>
              <w:jc w:val="center"/>
              <w:rPr>
                <w:sz w:val="15"/>
                <w:szCs w:val="15"/>
              </w:rPr>
            </w:pPr>
            <w:r>
              <w:rPr>
                <w:sz w:val="15"/>
                <w:szCs w:val="15"/>
              </w:rPr>
              <w:t>X</w:t>
            </w:r>
          </w:p>
        </w:tc>
      </w:tr>
      <w:tr w:rsidR="00681CDB" w14:paraId="28128F05" w14:textId="77777777" w:rsidTr="005B0D26">
        <w:tc>
          <w:tcPr>
            <w:tcW w:w="535" w:type="dxa"/>
            <w:tcBorders>
              <w:left w:val="single" w:sz="4" w:space="0" w:color="auto"/>
            </w:tcBorders>
          </w:tcPr>
          <w:p w14:paraId="2E7EC8C0" w14:textId="47F0CC88"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{"citationItems":[{"id":"ITEM-1","itemData":{"abstract":"Widespread malnutrition in developing countries calls for appropriate interventions, presupposing good knowledge about the nutritional impacts of policies. Little previous work has been carried out in this direction. We present a comprehensive analytical framework, which we apply for Malawi. Using household data and a demand systems approach, we estimate income and price elasticities of food, calorie, and micronutrient consumption. These estimates are used for policy simulations. Given multiple nutrient deficiencies, income-related policies are better suited than price policies to improve nutrition. While consumer subsidies for maize increase calorie and mineral consumption, they contribute to a higher prevalence of vitamin deficiencies.","author":[{"dropping-particle":"","family":"Ecker","given":"Olivier","non-dropping-particle":"","parse-names":false,"suffix":""},{"dropping-particle":"","family":"Qaim","given":"M","non-dropping-particle":"","parse-names":false,"suffix":""}],"container-title":"American Agricultural Economics Association Annual Meeting","id":"ITEM-1","issued":{"date-parts":[["2008"]]},"page":"6349","publisher":"American Agricultural Economics Association","publisher-place":"Orlando, Florida","title":"Income and Price Elasticities of Food Demand and Nutrient Consumption in Malawi","type":"paper-conference"},"uris":["http://www.mendeley.com/documents/?uuid=df94cf7e-ba11-467a-804b-864cc5b217a3"]}],"mendeley":{"formattedCitation":"&lt;sup&gt;(17)&lt;/sup&gt;","plainTextFormattedCitation":"(17)","previouslyFormattedCitation":"[17]"},"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(17)</w:t>
            </w:r>
            <w:r>
              <w:rPr>
                <w:sz w:val="15"/>
                <w:szCs w:val="15"/>
              </w:rPr>
              <w:fldChar w:fldCharType="end"/>
            </w:r>
          </w:p>
        </w:tc>
        <w:tc>
          <w:tcPr>
            <w:tcW w:w="2098" w:type="dxa"/>
          </w:tcPr>
          <w:p w14:paraId="50E835D5" w14:textId="77777777" w:rsidR="00681CDB" w:rsidRPr="00F02986" w:rsidRDefault="00681CDB" w:rsidP="005B0D26">
            <w:pPr>
              <w:ind w:left="0"/>
              <w:rPr>
                <w:sz w:val="15"/>
                <w:szCs w:val="15"/>
              </w:rPr>
            </w:pPr>
            <w:r w:rsidRPr="00F02986">
              <w:rPr>
                <w:sz w:val="15"/>
                <w:szCs w:val="15"/>
              </w:rPr>
              <w:t xml:space="preserve">Ecker &amp; </w:t>
            </w:r>
            <w:proofErr w:type="spellStart"/>
            <w:r w:rsidRPr="00F02986">
              <w:rPr>
                <w:sz w:val="15"/>
                <w:szCs w:val="15"/>
              </w:rPr>
              <w:t>Qaim</w:t>
            </w:r>
            <w:proofErr w:type="spellEnd"/>
            <w:r w:rsidRPr="00F02986">
              <w:rPr>
                <w:sz w:val="15"/>
                <w:szCs w:val="15"/>
              </w:rPr>
              <w:t xml:space="preserve"> (2008)</w:t>
            </w:r>
          </w:p>
        </w:tc>
        <w:tc>
          <w:tcPr>
            <w:tcW w:w="1531" w:type="dxa"/>
          </w:tcPr>
          <w:p w14:paraId="7765FC2D" w14:textId="77777777" w:rsidR="00681CDB" w:rsidRPr="00F02986" w:rsidRDefault="00681CDB" w:rsidP="005B0D26">
            <w:pPr>
              <w:ind w:left="0"/>
              <w:rPr>
                <w:sz w:val="15"/>
                <w:szCs w:val="15"/>
              </w:rPr>
            </w:pPr>
            <w:r w:rsidRPr="00F02986">
              <w:rPr>
                <w:sz w:val="15"/>
                <w:szCs w:val="15"/>
              </w:rPr>
              <w:t>Malawi</w:t>
            </w:r>
          </w:p>
        </w:tc>
        <w:tc>
          <w:tcPr>
            <w:tcW w:w="4291" w:type="dxa"/>
          </w:tcPr>
          <w:p w14:paraId="1E883559" w14:textId="77777777" w:rsidR="00681CDB" w:rsidRPr="00F03BC0" w:rsidRDefault="00681CDB" w:rsidP="005B0D26">
            <w:pPr>
              <w:ind w:left="0"/>
              <w:rPr>
                <w:sz w:val="15"/>
                <w:szCs w:val="15"/>
              </w:rPr>
            </w:pPr>
            <w:r>
              <w:rPr>
                <w:sz w:val="15"/>
                <w:szCs w:val="15"/>
              </w:rPr>
              <w:t xml:space="preserve">Second </w:t>
            </w:r>
            <w:r w:rsidRPr="00F03BC0">
              <w:rPr>
                <w:sz w:val="15"/>
                <w:szCs w:val="15"/>
              </w:rPr>
              <w:t xml:space="preserve">Integrated Household Survey </w:t>
            </w:r>
            <w:r>
              <w:rPr>
                <w:sz w:val="15"/>
                <w:szCs w:val="15"/>
              </w:rPr>
              <w:t>(2004/05)</w:t>
            </w:r>
          </w:p>
        </w:tc>
        <w:tc>
          <w:tcPr>
            <w:tcW w:w="1080" w:type="dxa"/>
            <w:gridSpan w:val="2"/>
            <w:vAlign w:val="center"/>
          </w:tcPr>
          <w:p w14:paraId="6A73597E" w14:textId="77777777" w:rsidR="00681CDB" w:rsidRPr="00F02986" w:rsidRDefault="00681CDB" w:rsidP="005B0D26">
            <w:pPr>
              <w:ind w:left="0"/>
              <w:jc w:val="center"/>
              <w:rPr>
                <w:sz w:val="15"/>
                <w:szCs w:val="15"/>
              </w:rPr>
            </w:pPr>
            <w:r>
              <w:rPr>
                <w:sz w:val="15"/>
                <w:szCs w:val="15"/>
              </w:rPr>
              <w:t>X</w:t>
            </w:r>
          </w:p>
        </w:tc>
        <w:tc>
          <w:tcPr>
            <w:tcW w:w="630" w:type="dxa"/>
            <w:vAlign w:val="center"/>
          </w:tcPr>
          <w:p w14:paraId="663D1F85" w14:textId="77777777" w:rsidR="00681CDB" w:rsidRPr="00F02986" w:rsidRDefault="00681CDB" w:rsidP="005B0D26">
            <w:pPr>
              <w:ind w:left="0"/>
              <w:jc w:val="center"/>
              <w:rPr>
                <w:sz w:val="15"/>
                <w:szCs w:val="15"/>
              </w:rPr>
            </w:pPr>
          </w:p>
        </w:tc>
        <w:tc>
          <w:tcPr>
            <w:tcW w:w="810" w:type="dxa"/>
            <w:vAlign w:val="center"/>
          </w:tcPr>
          <w:p w14:paraId="51EF2EF8"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5FE9D162" w14:textId="77777777" w:rsidR="00681CDB" w:rsidRPr="00F02986" w:rsidRDefault="00681CDB" w:rsidP="005B0D26">
            <w:pPr>
              <w:ind w:left="0"/>
              <w:jc w:val="center"/>
              <w:rPr>
                <w:sz w:val="15"/>
                <w:szCs w:val="15"/>
              </w:rPr>
            </w:pPr>
            <w:r>
              <w:rPr>
                <w:sz w:val="15"/>
                <w:szCs w:val="15"/>
              </w:rPr>
              <w:t>X</w:t>
            </w:r>
          </w:p>
        </w:tc>
      </w:tr>
      <w:tr w:rsidR="00681CDB" w14:paraId="36C2FDF1" w14:textId="77777777" w:rsidTr="005B0D26">
        <w:tc>
          <w:tcPr>
            <w:tcW w:w="535" w:type="dxa"/>
            <w:tcBorders>
              <w:left w:val="single" w:sz="4" w:space="0" w:color="auto"/>
            </w:tcBorders>
            <w:shd w:val="clear" w:color="auto" w:fill="D9D9D9" w:themeFill="background1" w:themeFillShade="D9"/>
          </w:tcPr>
          <w:p w14:paraId="6B05744D" w14:textId="07691DD0"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{"citationItems":[{"id":"ITEM-1","itemData":{"DOI":"10.1177/0379572115587272","ISSN":"03795721","abstract":"Background: Household Consumption and Expenditures Surveys (HCES) are potential sources of data on dietary patterns for planning fortification programs, but they rarely have been compared with individual-level dietary assessment methods. Objective: To compare apparent consumption of fortifiable foods estimated from the Third Cameroon Household Survey (ECAM3) with the results of a national dietary survey using food frequency questionnaire (FFQ) and 24-hour recall (24HR) methods among women aged 15 to 49 years and children aged 12 to 59 months. Methods: We estimated coverage and frequency of consumption in the previous week (ECAM3 and FFQ) and coverage and amount consumed on the previous day (ECAM3 and 24HR) of refined vegetable oil, wheat flour, sugar, and bouillon cubes. Results: Coverage in the past week as measured by the ECAM3 and FFQ, respectively, was 64% vs. 54% for oil, 60% vs. 92% for flour, 69% vs. 78% for sugar, and 85% vs. 96% for bouillon cubes. The different methods identified similar patterns of coverage among subgroups for oil, but patterns for other foods were variable. Frequency of consumption and previous-day coverage were lower with the ECAM3 than with the FFQ and 24HR, likely reflecting infrequent acquisition relative to intake. For women, the mean amounts consumed on the previous day (among consumers) were 43 vs. 29 g of oil, 71 vs. 83 g of flour, 42 vs. 32 g of sugar, and 5.0 vs. 2.4 g of bouillon cubes (ECAM and 24HR, respectively). Conclusions: HCES provide useful information on patterns of food access but inadequate information on individual consumption amounts to estimate appropriate food fortification levels.","author":[{"dropping-particle":"","family":"Engle-Stone","given":"Reina","non-dropping-particle":"","parse-names":false,"suffix":""},{"dropping-particle":"","family":"Brown","given":"Kenneth H.","non-dropping-particle":"","parse-names":false,"suffix":""}],"container-title":"Food and Nutrition Bulletin","id":"ITEM-1","issue":"2","issued":{"date-parts":[["2015"]]},"page":"211-30","title":"Comparison of a household consumption and expenditures survey with nationally representative food frequency questionnaire and 24-hour dietary recall data for assessing consumption of fortifiable foods by women and young children in Cameroon","type":"article-journal","volume":"36"},"uris":["http://www.mendeley.com/documents/?uuid=a0fa259a-1290-4768-953d-777a1601ee29"]}],"mendeley":{"formattedCitation":"&lt;sup&gt;(18)&lt;/sup&gt;","plainTextFormattedCitation":"(18)","previouslyFormattedCitation":"[18]"},"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(18)</w:t>
            </w:r>
            <w:r>
              <w:rPr>
                <w:sz w:val="15"/>
                <w:szCs w:val="15"/>
              </w:rPr>
              <w:fldChar w:fldCharType="end"/>
            </w:r>
          </w:p>
        </w:tc>
        <w:tc>
          <w:tcPr>
            <w:tcW w:w="2098" w:type="dxa"/>
            <w:shd w:val="clear" w:color="auto" w:fill="D9D9D9" w:themeFill="background1" w:themeFillShade="D9"/>
          </w:tcPr>
          <w:p w14:paraId="4B4BA4BC" w14:textId="77777777" w:rsidR="00681CDB" w:rsidRPr="00F02986" w:rsidRDefault="00681CDB" w:rsidP="005B0D26">
            <w:pPr>
              <w:ind w:left="0"/>
              <w:rPr>
                <w:sz w:val="15"/>
                <w:szCs w:val="15"/>
              </w:rPr>
            </w:pPr>
            <w:r w:rsidRPr="00F02986">
              <w:rPr>
                <w:sz w:val="15"/>
                <w:szCs w:val="15"/>
              </w:rPr>
              <w:t>Engle-Stone &amp; Brown (2015)</w:t>
            </w:r>
          </w:p>
        </w:tc>
        <w:tc>
          <w:tcPr>
            <w:tcW w:w="1531" w:type="dxa"/>
            <w:shd w:val="clear" w:color="auto" w:fill="D9D9D9" w:themeFill="background1" w:themeFillShade="D9"/>
          </w:tcPr>
          <w:p w14:paraId="2FFB9664" w14:textId="77777777" w:rsidR="00681CDB" w:rsidRPr="00F02986" w:rsidRDefault="00681CDB" w:rsidP="005B0D26">
            <w:pPr>
              <w:ind w:left="0"/>
              <w:rPr>
                <w:sz w:val="15"/>
                <w:szCs w:val="15"/>
              </w:rPr>
            </w:pPr>
            <w:r w:rsidRPr="00F02986">
              <w:rPr>
                <w:sz w:val="15"/>
                <w:szCs w:val="15"/>
              </w:rPr>
              <w:t>Cameroon</w:t>
            </w:r>
          </w:p>
        </w:tc>
        <w:tc>
          <w:tcPr>
            <w:tcW w:w="4291" w:type="dxa"/>
            <w:shd w:val="clear" w:color="auto" w:fill="D9D9D9" w:themeFill="background1" w:themeFillShade="D9"/>
          </w:tcPr>
          <w:p w14:paraId="61C548DA" w14:textId="77777777" w:rsidR="00681CDB" w:rsidRPr="00F03BC0" w:rsidRDefault="00681CDB" w:rsidP="005B0D26">
            <w:pPr>
              <w:ind w:left="0"/>
              <w:rPr>
                <w:sz w:val="15"/>
                <w:szCs w:val="15"/>
                <w:lang w:val="fr-FR"/>
              </w:rPr>
            </w:pPr>
            <w:r w:rsidRPr="00F03BC0">
              <w:rPr>
                <w:sz w:val="15"/>
                <w:szCs w:val="15"/>
                <w:lang w:val="fr-FR"/>
              </w:rPr>
              <w:t>Troisième Enquête Camerounaise auprès des Ménages</w:t>
            </w:r>
          </w:p>
        </w:tc>
        <w:tc>
          <w:tcPr>
            <w:tcW w:w="1080" w:type="dxa"/>
            <w:gridSpan w:val="2"/>
            <w:shd w:val="clear" w:color="auto" w:fill="D9D9D9" w:themeFill="background1" w:themeFillShade="D9"/>
            <w:vAlign w:val="center"/>
          </w:tcPr>
          <w:p w14:paraId="6888BAD2" w14:textId="77777777" w:rsidR="00681CDB" w:rsidRPr="0027201E" w:rsidRDefault="00681CDB" w:rsidP="005B0D26">
            <w:pPr>
              <w:ind w:left="0"/>
              <w:jc w:val="center"/>
              <w:rPr>
                <w:sz w:val="15"/>
                <w:szCs w:val="15"/>
                <w:lang w:val="fr-FR"/>
              </w:rPr>
            </w:pPr>
          </w:p>
        </w:tc>
        <w:tc>
          <w:tcPr>
            <w:tcW w:w="630" w:type="dxa"/>
            <w:shd w:val="clear" w:color="auto" w:fill="D9D9D9" w:themeFill="background1" w:themeFillShade="D9"/>
            <w:vAlign w:val="center"/>
          </w:tcPr>
          <w:p w14:paraId="6073EC25"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5A3729D2"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114C4A17" w14:textId="77777777" w:rsidR="00681CDB" w:rsidRPr="00F02986" w:rsidRDefault="00681CDB" w:rsidP="005B0D26">
            <w:pPr>
              <w:ind w:left="0"/>
              <w:jc w:val="center"/>
              <w:rPr>
                <w:sz w:val="15"/>
                <w:szCs w:val="15"/>
              </w:rPr>
            </w:pPr>
          </w:p>
        </w:tc>
      </w:tr>
      <w:tr w:rsidR="00681CDB" w14:paraId="1590623D" w14:textId="77777777" w:rsidTr="005B0D26">
        <w:tc>
          <w:tcPr>
            <w:tcW w:w="535" w:type="dxa"/>
            <w:tcBorders>
              <w:left w:val="single" w:sz="4" w:space="0" w:color="auto"/>
            </w:tcBorders>
          </w:tcPr>
          <w:p w14:paraId="7194D91E" w14:textId="6E4C8CDC"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{"citationItems":[{"id":"ITEM-1","itemData":{"DOI":"10.1016/j.foodpol.2017.08.014","ISSN":"03069192","abstract":"Efforts to improve the use of Household Income and Expenditure Surveys (HIES) for nutrition policy decisions face numerous methodological issues. Our objective was to explore how nutrition indicators vary by data collection period (number of days of household consumption data available) using the 2010 Bangladesh HIES. Household availability and individual apparent consumption of nutrients, foods, and food groups were estimated for each of 7 consecutive 2-day recall periods, both separately and in combinations representing 2, 4, 6, 8, 10, 12, or 14 days of data. Differences among cumulative data collection periods in mean apparent nutrient consumption and proportion with low values were statistically significant but small (&lt;4 percentage points), suggesting that a data collection period of one week or less would yield the same conclusions as a longer (and more costly) data collection period of 14 days for these outcomes if the recall period were held constant. For all food groups except staple foods, the proportion of households consuming food groups and selected potentially fortified foods increased, and the mean amount consumed among consumers (the ‘conditional mean’) decreased with longer data collection periods; this observation is likely related to frequency of consumption and suggests that the choice of data collection period for these items will be determined by the intended application. Additional research is necessary to confirm the external validity of these findings.","author":[{"dropping-particle":"","family":"Engle-Stone","given":"Reina","non-dropping-particle":"","parse-names":false,"suffix":""},{"dropping-particle":"","family":"Sununtnasuk","given":"Celeste","non-dropping-particle":"","parse-names":false,"suffix":""},{"dropping-particle":"","family":"Fiedler","given":"John L.","non-dropping-particle":"","parse-names":false,"suffix":""}],"container-title":"Food Policy","id":"ITEM-1","issued":{"date-parts":[["2017"]]},"page":"72-80","title":"Investigating the significance of the data collection period of household consumption and expenditures surveys for food and nutrition policymaking: Analysis of the 2010 Bangladesh household income and expenditure survey","type":"article-journal","volume":"72"},"uris":["http://www.mendeley.com/documents/?uuid=2b76baf4-1151-49de-8118-1075b73ae1e7"]}],"mendeley":{"formattedCitation":"&lt;sup&gt;(19)&lt;/sup&gt;","plainTextFormattedCitation":"(19)","previouslyFormattedCitation":"[19]"},"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(19)</w:t>
            </w:r>
            <w:r>
              <w:rPr>
                <w:sz w:val="15"/>
                <w:szCs w:val="15"/>
              </w:rPr>
              <w:fldChar w:fldCharType="end"/>
            </w:r>
          </w:p>
        </w:tc>
        <w:tc>
          <w:tcPr>
            <w:tcW w:w="2098" w:type="dxa"/>
          </w:tcPr>
          <w:p w14:paraId="765A5A8B" w14:textId="77777777" w:rsidR="00681CDB" w:rsidRPr="00F02986" w:rsidRDefault="00681CDB" w:rsidP="005B0D26">
            <w:pPr>
              <w:ind w:left="0"/>
              <w:rPr>
                <w:sz w:val="15"/>
                <w:szCs w:val="15"/>
              </w:rPr>
            </w:pPr>
            <w:r w:rsidRPr="00F02986">
              <w:rPr>
                <w:sz w:val="15"/>
                <w:szCs w:val="15"/>
              </w:rPr>
              <w:t>Engle-Stone et al. (2017)</w:t>
            </w:r>
          </w:p>
        </w:tc>
        <w:tc>
          <w:tcPr>
            <w:tcW w:w="1531" w:type="dxa"/>
          </w:tcPr>
          <w:p w14:paraId="03507013" w14:textId="77777777" w:rsidR="00681CDB" w:rsidRPr="00F02986" w:rsidRDefault="00681CDB" w:rsidP="005B0D26">
            <w:pPr>
              <w:ind w:left="0"/>
              <w:rPr>
                <w:sz w:val="15"/>
                <w:szCs w:val="15"/>
              </w:rPr>
            </w:pPr>
            <w:r w:rsidRPr="00F02986">
              <w:rPr>
                <w:sz w:val="15"/>
                <w:szCs w:val="15"/>
              </w:rPr>
              <w:t>Bangladesh</w:t>
            </w:r>
          </w:p>
        </w:tc>
        <w:tc>
          <w:tcPr>
            <w:tcW w:w="4291" w:type="dxa"/>
          </w:tcPr>
          <w:p w14:paraId="3FE839D5" w14:textId="77777777" w:rsidR="00681CDB" w:rsidRPr="00F03BC0" w:rsidRDefault="00681CDB" w:rsidP="005B0D26">
            <w:pPr>
              <w:ind w:left="0"/>
              <w:rPr>
                <w:sz w:val="15"/>
                <w:szCs w:val="15"/>
              </w:rPr>
            </w:pPr>
            <w:r w:rsidRPr="00F03BC0">
              <w:rPr>
                <w:sz w:val="15"/>
                <w:szCs w:val="15"/>
              </w:rPr>
              <w:t>﻿Bangladesh Household Income and Expenditure Survey (2010)</w:t>
            </w:r>
          </w:p>
        </w:tc>
        <w:tc>
          <w:tcPr>
            <w:tcW w:w="1080" w:type="dxa"/>
            <w:gridSpan w:val="2"/>
            <w:vAlign w:val="center"/>
          </w:tcPr>
          <w:p w14:paraId="4AFF6B4F" w14:textId="77777777" w:rsidR="00681CDB" w:rsidRPr="00F02986" w:rsidRDefault="00681CDB" w:rsidP="005B0D26">
            <w:pPr>
              <w:ind w:left="0"/>
              <w:jc w:val="center"/>
              <w:rPr>
                <w:sz w:val="15"/>
                <w:szCs w:val="15"/>
              </w:rPr>
            </w:pPr>
          </w:p>
        </w:tc>
        <w:tc>
          <w:tcPr>
            <w:tcW w:w="630" w:type="dxa"/>
            <w:vAlign w:val="center"/>
          </w:tcPr>
          <w:p w14:paraId="43C498C1" w14:textId="77777777" w:rsidR="00681CDB" w:rsidRPr="00F02986" w:rsidRDefault="00681CDB" w:rsidP="005B0D26">
            <w:pPr>
              <w:ind w:left="0"/>
              <w:jc w:val="center"/>
              <w:rPr>
                <w:sz w:val="15"/>
                <w:szCs w:val="15"/>
              </w:rPr>
            </w:pPr>
            <w:r>
              <w:rPr>
                <w:sz w:val="15"/>
                <w:szCs w:val="15"/>
              </w:rPr>
              <w:t>X</w:t>
            </w:r>
          </w:p>
        </w:tc>
        <w:tc>
          <w:tcPr>
            <w:tcW w:w="810" w:type="dxa"/>
            <w:vAlign w:val="center"/>
          </w:tcPr>
          <w:p w14:paraId="682502E5"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6EED02C6" w14:textId="77777777" w:rsidR="00681CDB" w:rsidRPr="00F02986" w:rsidRDefault="00681CDB" w:rsidP="005B0D26">
            <w:pPr>
              <w:ind w:left="0"/>
              <w:jc w:val="center"/>
              <w:rPr>
                <w:sz w:val="15"/>
                <w:szCs w:val="15"/>
              </w:rPr>
            </w:pPr>
            <w:r>
              <w:rPr>
                <w:sz w:val="15"/>
                <w:szCs w:val="15"/>
              </w:rPr>
              <w:t>X</w:t>
            </w:r>
          </w:p>
        </w:tc>
      </w:tr>
      <w:tr w:rsidR="00681CDB" w14:paraId="50F1C05A" w14:textId="77777777" w:rsidTr="005B0D26">
        <w:tc>
          <w:tcPr>
            <w:tcW w:w="535" w:type="dxa"/>
            <w:tcBorders>
              <w:left w:val="single" w:sz="4" w:space="0" w:color="auto"/>
            </w:tcBorders>
            <w:shd w:val="clear" w:color="auto" w:fill="D9D9D9" w:themeFill="background1" w:themeFillShade="D9"/>
          </w:tcPr>
          <w:p w14:paraId="5F157ED2" w14:textId="34611DA3"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{"citationItems":[{"id":"ITEM-1","itemData":{"DOI":"10.1016/j.worlddev.2016.12.019","ISSN":"18735991","abstract":"Oil palm is one of the most rapidly expanding crops throughout the humid tropics. In Indonesia, the expansion is largely driven by smallholder farmers. While recent research has studied effects for the environment and climate change, socioeconomic impacts in the small farm sector have hardly been analyzed. Here, we address this research gap by analyzing effects of oil palm adoption on farm household living standards and nutrition in Sumatra. Using survey data and econometric models, we estimate average impacts, impact pathways, and impact heterogeneity. Results show that oil palm adoption improves household living standards and nutrition. Mean impacts on food and non-food expenditures, as well as on calorie consumption and dietary quality, are all positive and significant. A sizeable part of the total effects is attributable to oil palm adopters expanding their farm size rather than realizing higher profits per hectare. Oil palm has lower labor requirements than alternative crops (especially rubber), so that adopting farmers are able to manage larger land areas. Labor saved through switching from rubber to oil palm is also used to increase off-farm incomes. Impact heterogeneity is analyzed with quantile regressions. We find positive effects of oil palm adoption across the entire expenditure distribution. However, the absolute gains in total expenditures and non-food expenditures are larger for the better-off, suggesting that oil palm may contribute to rising inequality.","author":[{"dropping-particle":"","family":"Euler","given":"Michael","non-dropping-particle":"","parse-names":false,"suffix":""},{"dropping-particle":"","family":"Krishna","given":"Vijesh","non-dropping-particle":"","parse-names":false,"suffix":""},{"dropping-particle":"","family":"Schwarze","given":"Stefan","non-dropping-particle":"","parse-names":false,"suffix":""},{"dropping-particle":"","family":"Siregar","given":"Hermanto","non-dropping-particle":"","parse-names":false,"suffix":""},{"dropping-particle":"","family":"Qaim","given":"Matin","non-dropping-particle":"","parse-names":false,"suffix":""}],"container-title":"World Development","id":"ITEM-1","issued":{"date-parts":[["2017"]]},"page":"219-235","title":"Oil Palm Adoption, Household Welfare, and Nutrition Among Smallholder Farmers in Indonesia","type":"article-journal","volume":"93"},"uris":["http://www.mendeley.com/documents/?uuid=e712391a-aaa6-4293-b91b-6a24392032e6"]}],"mendeley":{"formattedCitation":"&lt;sup&gt;(20)&lt;/sup&gt;","plainTextFormattedCitation":"(20)","previouslyFormattedCitation":"[20]"},"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(20)</w:t>
            </w:r>
            <w:r>
              <w:rPr>
                <w:sz w:val="15"/>
                <w:szCs w:val="15"/>
              </w:rPr>
              <w:fldChar w:fldCharType="end"/>
            </w:r>
          </w:p>
        </w:tc>
        <w:tc>
          <w:tcPr>
            <w:tcW w:w="2098" w:type="dxa"/>
            <w:shd w:val="clear" w:color="auto" w:fill="D9D9D9" w:themeFill="background1" w:themeFillShade="D9"/>
          </w:tcPr>
          <w:p w14:paraId="56AF3520" w14:textId="77777777" w:rsidR="00681CDB" w:rsidRPr="00F02986" w:rsidRDefault="00681CDB" w:rsidP="005B0D26">
            <w:pPr>
              <w:ind w:left="0"/>
              <w:rPr>
                <w:sz w:val="15"/>
                <w:szCs w:val="15"/>
              </w:rPr>
            </w:pPr>
            <w:r w:rsidRPr="00F02986">
              <w:rPr>
                <w:sz w:val="15"/>
                <w:szCs w:val="15"/>
              </w:rPr>
              <w:t>Euler et al. (2017)</w:t>
            </w:r>
          </w:p>
        </w:tc>
        <w:tc>
          <w:tcPr>
            <w:tcW w:w="1531" w:type="dxa"/>
            <w:shd w:val="clear" w:color="auto" w:fill="D9D9D9" w:themeFill="background1" w:themeFillShade="D9"/>
          </w:tcPr>
          <w:p w14:paraId="1A95E99D" w14:textId="77777777" w:rsidR="00681CDB" w:rsidRPr="00F02986" w:rsidRDefault="00681CDB" w:rsidP="005B0D26">
            <w:pPr>
              <w:ind w:left="0"/>
              <w:rPr>
                <w:sz w:val="15"/>
                <w:szCs w:val="15"/>
              </w:rPr>
            </w:pPr>
            <w:r w:rsidRPr="00F02986">
              <w:rPr>
                <w:sz w:val="15"/>
                <w:szCs w:val="15"/>
              </w:rPr>
              <w:t>Indonesia</w:t>
            </w:r>
          </w:p>
        </w:tc>
        <w:tc>
          <w:tcPr>
            <w:tcW w:w="4291" w:type="dxa"/>
            <w:shd w:val="clear" w:color="auto" w:fill="D9D9D9" w:themeFill="background1" w:themeFillShade="D9"/>
          </w:tcPr>
          <w:p w14:paraId="042FEF79" w14:textId="77777777" w:rsidR="00681CDB" w:rsidRPr="00F03BC0" w:rsidRDefault="00681CDB" w:rsidP="005B0D26">
            <w:pPr>
              <w:ind w:left="0"/>
              <w:rPr>
                <w:sz w:val="15"/>
                <w:szCs w:val="15"/>
              </w:rPr>
            </w:pPr>
            <w:r w:rsidRPr="00F03BC0">
              <w:rPr>
                <w:sz w:val="15"/>
                <w:szCs w:val="15"/>
              </w:rPr>
              <w:t>Survey modelled after Household Socio-Economic Survey</w:t>
            </w:r>
          </w:p>
        </w:tc>
        <w:tc>
          <w:tcPr>
            <w:tcW w:w="1080" w:type="dxa"/>
            <w:gridSpan w:val="2"/>
            <w:shd w:val="clear" w:color="auto" w:fill="D9D9D9" w:themeFill="background1" w:themeFillShade="D9"/>
            <w:vAlign w:val="center"/>
          </w:tcPr>
          <w:p w14:paraId="3E02BAB7"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09C1DC72"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6D32AC58"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4C0AAF3E" w14:textId="77777777" w:rsidR="00681CDB" w:rsidRPr="00F02986" w:rsidRDefault="00681CDB" w:rsidP="005B0D26">
            <w:pPr>
              <w:ind w:left="0"/>
              <w:jc w:val="center"/>
              <w:rPr>
                <w:sz w:val="15"/>
                <w:szCs w:val="15"/>
              </w:rPr>
            </w:pPr>
            <w:r>
              <w:rPr>
                <w:sz w:val="15"/>
                <w:szCs w:val="15"/>
              </w:rPr>
              <w:t>X</w:t>
            </w:r>
          </w:p>
        </w:tc>
      </w:tr>
      <w:tr w:rsidR="00681CDB" w14:paraId="12115807" w14:textId="77777777" w:rsidTr="005B0D26">
        <w:tc>
          <w:tcPr>
            <w:tcW w:w="535" w:type="dxa"/>
            <w:tcBorders>
              <w:left w:val="single" w:sz="4" w:space="0" w:color="auto"/>
            </w:tcBorders>
          </w:tcPr>
          <w:p w14:paraId="656D2CF0" w14:textId="3DEE5D78"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{"citationItems":[{"id":"ITEM-1","itemData":{"DOI":"10.1177/156482651403500410","ISSN":"03795721","abstract":"Background. Systematic collection of national agricultural data has been neglected in many low- and middleincome countries for the past 20 years. Commonly conducted nationally representative household surveys collect substantial quantities of highly underutilized food crop production data. Objective. To demonstrate the potential usefulness of commonly available household survey databases for analyzing the agriculture-nutrition nexus. Methods. Using household data from the 2010 Bangladesh Household Income and Expenditure Survey, the role and significance of crop selection, area planted, yield, nutrient production, and the disposition of 34 food crops in affecting the adequacy of farming households' nutrient availability and nutrient intake status are explored. The adequacy of each farming household's available energy, Vitamin A, calcium, iron, and zinc and households' apparent intakes and intake adequacies are estimated. Each household's total apparent nutrient intake adequacies are estimated, taking into account the amount of each crop that households consume from their own production, together with food purchased or obtained from other sources. Results. Even though rice contains relatively small amounts of micronutrients, has relatively low nutrient density, and is a relatively poor source of nutrients compared with what other crops can produce on a given tract of land, because so much rice is produced in Bangladesh, it is the source of 90% of the total available energy, 85% of the zinc, 67% of the calcium, and 55% of the iron produced by the agricultural sector. The domination of agriculture and diet by rice is a major constraint to improving nutrition in Bangladesh. Simple examples of how minor changes in the five most common cropping patterns could improve farming households' nutritional status are provided. Conclusions. Household surveys' agricultural modules can provide a useful tool for better understanding national nutrient production realities and possibilities.","author":[{"dropping-particle":"","family":"Fiedler","given":"John L.","non-dropping-particle":"","parse-names":false,"suffix":""}],"container-title":"Food and Nutrition Bulletin","id":"ITEM-1","issue":"4","issued":{"date-parts":[["2014"]]},"page":"487-508","title":"Food crop production, nutrient availability, and nutrient intakes in Bangladesh: Exploring the agriculture-nutrition nexus with the 2010 Household Income and Expenditure Survey","type":"article-journal","volume":"35"},"uris":["http://www.mendeley.com/documents/?uuid=3f52de82-6262-486a-adf8-721a9b1a37af"]}],"mendeley":{"formattedCitation":"&lt;sup&gt;(21)&lt;/sup&gt;","plainTextFormattedCitation":"(21)","previouslyFormattedCitation":"[21]"},"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(21)</w:t>
            </w:r>
            <w:r>
              <w:rPr>
                <w:sz w:val="15"/>
                <w:szCs w:val="15"/>
              </w:rPr>
              <w:fldChar w:fldCharType="end"/>
            </w:r>
          </w:p>
        </w:tc>
        <w:tc>
          <w:tcPr>
            <w:tcW w:w="2098" w:type="dxa"/>
          </w:tcPr>
          <w:p w14:paraId="2861D0C6" w14:textId="77777777" w:rsidR="00681CDB" w:rsidRPr="00F02986" w:rsidRDefault="00681CDB" w:rsidP="005B0D26">
            <w:pPr>
              <w:ind w:left="0"/>
              <w:rPr>
                <w:sz w:val="15"/>
                <w:szCs w:val="15"/>
              </w:rPr>
            </w:pPr>
            <w:r w:rsidRPr="00F02986">
              <w:rPr>
                <w:sz w:val="15"/>
                <w:szCs w:val="15"/>
              </w:rPr>
              <w:t>Fiedler (2014)</w:t>
            </w:r>
          </w:p>
        </w:tc>
        <w:tc>
          <w:tcPr>
            <w:tcW w:w="1531" w:type="dxa"/>
          </w:tcPr>
          <w:p w14:paraId="4B9310C0" w14:textId="77777777" w:rsidR="00681CDB" w:rsidRPr="00F02986" w:rsidRDefault="00681CDB" w:rsidP="005B0D26">
            <w:pPr>
              <w:ind w:left="0"/>
              <w:rPr>
                <w:sz w:val="15"/>
                <w:szCs w:val="15"/>
              </w:rPr>
            </w:pPr>
            <w:r w:rsidRPr="00F02986">
              <w:rPr>
                <w:sz w:val="15"/>
                <w:szCs w:val="15"/>
              </w:rPr>
              <w:t>Bangladesh</w:t>
            </w:r>
          </w:p>
        </w:tc>
        <w:tc>
          <w:tcPr>
            <w:tcW w:w="4291" w:type="dxa"/>
          </w:tcPr>
          <w:p w14:paraId="63F660E7" w14:textId="77777777" w:rsidR="00681CDB" w:rsidRPr="00F03BC0" w:rsidRDefault="00681CDB" w:rsidP="005B0D26">
            <w:pPr>
              <w:ind w:left="0"/>
              <w:rPr>
                <w:sz w:val="15"/>
                <w:szCs w:val="15"/>
              </w:rPr>
            </w:pPr>
            <w:r w:rsidRPr="00F03BC0">
              <w:rPr>
                <w:sz w:val="15"/>
                <w:szCs w:val="15"/>
              </w:rPr>
              <w:t>﻿Bangladesh Household Income and Expenditure Survey (2010)</w:t>
            </w:r>
          </w:p>
        </w:tc>
        <w:tc>
          <w:tcPr>
            <w:tcW w:w="1080" w:type="dxa"/>
            <w:gridSpan w:val="2"/>
            <w:vAlign w:val="center"/>
          </w:tcPr>
          <w:p w14:paraId="7DF05EDF" w14:textId="77777777" w:rsidR="00681CDB" w:rsidRPr="00F02986" w:rsidRDefault="00681CDB" w:rsidP="005B0D26">
            <w:pPr>
              <w:ind w:left="0"/>
              <w:jc w:val="center"/>
              <w:rPr>
                <w:sz w:val="15"/>
                <w:szCs w:val="15"/>
              </w:rPr>
            </w:pPr>
          </w:p>
        </w:tc>
        <w:tc>
          <w:tcPr>
            <w:tcW w:w="630" w:type="dxa"/>
            <w:vAlign w:val="center"/>
          </w:tcPr>
          <w:p w14:paraId="097492DE" w14:textId="77777777" w:rsidR="00681CDB" w:rsidRPr="00F02986" w:rsidRDefault="00681CDB" w:rsidP="005B0D26">
            <w:pPr>
              <w:ind w:left="0"/>
              <w:jc w:val="center"/>
              <w:rPr>
                <w:sz w:val="15"/>
                <w:szCs w:val="15"/>
              </w:rPr>
            </w:pPr>
            <w:r>
              <w:rPr>
                <w:sz w:val="15"/>
                <w:szCs w:val="15"/>
              </w:rPr>
              <w:t>X</w:t>
            </w:r>
          </w:p>
        </w:tc>
        <w:tc>
          <w:tcPr>
            <w:tcW w:w="810" w:type="dxa"/>
            <w:vAlign w:val="center"/>
          </w:tcPr>
          <w:p w14:paraId="5832F9E2" w14:textId="77777777" w:rsidR="00681CDB" w:rsidRPr="00F02986" w:rsidRDefault="00681CDB" w:rsidP="005B0D26">
            <w:pPr>
              <w:ind w:left="0"/>
              <w:jc w:val="center"/>
              <w:rPr>
                <w:sz w:val="15"/>
                <w:szCs w:val="15"/>
              </w:rPr>
            </w:pPr>
            <w:r>
              <w:rPr>
                <w:sz w:val="15"/>
                <w:szCs w:val="15"/>
              </w:rPr>
              <w:t>X</w:t>
            </w:r>
          </w:p>
        </w:tc>
        <w:tc>
          <w:tcPr>
            <w:tcW w:w="990" w:type="dxa"/>
            <w:tcBorders>
              <w:right w:val="single" w:sz="4" w:space="0" w:color="auto"/>
            </w:tcBorders>
            <w:vAlign w:val="center"/>
          </w:tcPr>
          <w:p w14:paraId="36A92586" w14:textId="77777777" w:rsidR="00681CDB" w:rsidRPr="00F02986" w:rsidRDefault="00681CDB" w:rsidP="005B0D26">
            <w:pPr>
              <w:ind w:left="0"/>
              <w:jc w:val="center"/>
              <w:rPr>
                <w:sz w:val="15"/>
                <w:szCs w:val="15"/>
              </w:rPr>
            </w:pPr>
            <w:r>
              <w:rPr>
                <w:sz w:val="15"/>
                <w:szCs w:val="15"/>
              </w:rPr>
              <w:t>X</w:t>
            </w:r>
          </w:p>
        </w:tc>
      </w:tr>
      <w:tr w:rsidR="00681CDB" w14:paraId="34D938A6" w14:textId="77777777" w:rsidTr="005B0D26">
        <w:tc>
          <w:tcPr>
            <w:tcW w:w="535" w:type="dxa"/>
            <w:tcBorders>
              <w:left w:val="single" w:sz="4" w:space="0" w:color="auto"/>
            </w:tcBorders>
            <w:shd w:val="clear" w:color="auto" w:fill="D9D9D9" w:themeFill="background1" w:themeFillShade="D9"/>
          </w:tcPr>
          <w:p w14:paraId="3E6ACFEC" w14:textId="3FFE315C"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{"citationItems":[{"id":"ITEM-1","itemData":{"DOI":"10.1177/156482651203300102","ISSN":"03795721","PMID":"22624295","abstract":"Background. Micronutrient deficiencies exact an enormous health burden on India. The release of the National Family Health Survey results-showing the relatively wealthy state of Gujarat having deficiency levels exceeding national averages-prompted Gujarat officials to introduce fortified wheat flour in their social safety net programs (SSNPs). Objective. To provide a case study of the introduction of fortified wheat flour in Gujarat's Public Distribution System (PDS), Integrated Child Development Scheme (ICDS), and Mid-Day Meal (MDM) Programme to assess the coverage, costs, impact, and cost-effectiveness of the initiative. Methods. India's 2004/05 National Sample Survey data were used to identify beneficiaries of each of Gujarat's three SSNPs and to estimate usual intake levels of vitamin A, iron, and zinc. Comparing age- and sex-specific usual intakes to Estimated Average Requirements, the proportion of the population with inadequate intakes was estimated. Postfortification intake levels and reductions in inadequate intake were estimated. The incremental cost of fortifying wheat flour and the costeffectiveness of each program were estimated. Results. When each program was assessed independently, the proportion of the population with inadequate vitamin A intakes was reduced by 34% and 74% among MDM and ICDS beneficiaries, respectively. Both programs effectively eliminated inadequate intakes of both iron and zinc. Among PDS beneficiaries, the proportion with inadequate iron intakes was reduced by 94%. Conclusions. Gujarat's substitution of fortified wheat flour for wheat grain is dramatically increasing the intake of micronutrients among its SSNP beneficiaries. The incremental cost of introducing fortification in each of the programs is low, and, according to World Health Organization criteria, each program is \"highly costeffective.\"The introduction of similar reforms throughout India would largely eliminate the inadequate iron intake among persons participating in any of the three SSNPs and would have a significant impact on the global prevalence rate of inadequate iron intake. © 2012, The United Nations University.","author":[{"dropping-particle":"","family":"Fiedler","given":"John L.","non-dropping-particle":"","parse-names":false,"suffix":""},{"dropping-particle":"","family":"Babu","given":"Sunil","non-dropping-particle":"","parse-names":false,"suffix":""},{"dropping-particle":"","family":"Smitz","given":"Marc Francois","non-dropping-particle":"","parse-names":false,"suffix":""},{"dropping-particle":"","family":"Lividini","given":"Keith","non-dropping-particle":"","parse-names":false,"suffix":""},{"dropping-particle":"","family":"Bermudez","given":"Odilia","non-dropping-particle":"","parse-names":false,"suffix":""}],"container-title":"Food and Nutrition Bulletin","id":"ITEM-1","issue":"1","issued":{"date-parts":[["2012"]]},"page":"11-30","title":"Indian social safety net programs as platforms for introducing wheat flour fortification: A case study of Gujarat, India","type":"article-journal","volume":"33"},"uris":["http://www.mendeley.com/documents/?uuid=e58755bf-fc96-4984-87a9-a20be9b192d9"]}],"mendeley":{"formattedCitation":"&lt;sup&gt;(22)&lt;/sup&gt;","plainTextFormattedCitation":"(22)","previouslyFormattedCitation":"[22]"},"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(22)</w:t>
            </w:r>
            <w:r>
              <w:rPr>
                <w:sz w:val="15"/>
                <w:szCs w:val="15"/>
              </w:rPr>
              <w:fldChar w:fldCharType="end"/>
            </w:r>
          </w:p>
        </w:tc>
        <w:tc>
          <w:tcPr>
            <w:tcW w:w="2098" w:type="dxa"/>
            <w:shd w:val="clear" w:color="auto" w:fill="D9D9D9" w:themeFill="background1" w:themeFillShade="D9"/>
          </w:tcPr>
          <w:p w14:paraId="22B7603C" w14:textId="77777777" w:rsidR="00681CDB" w:rsidRPr="00F02986" w:rsidRDefault="00681CDB" w:rsidP="005B0D26">
            <w:pPr>
              <w:ind w:left="0"/>
              <w:rPr>
                <w:sz w:val="15"/>
                <w:szCs w:val="15"/>
              </w:rPr>
            </w:pPr>
            <w:r w:rsidRPr="00F02986">
              <w:rPr>
                <w:sz w:val="15"/>
                <w:szCs w:val="15"/>
              </w:rPr>
              <w:t>Fiedler et al. (2012)</w:t>
            </w:r>
          </w:p>
        </w:tc>
        <w:tc>
          <w:tcPr>
            <w:tcW w:w="1531" w:type="dxa"/>
            <w:shd w:val="clear" w:color="auto" w:fill="D9D9D9" w:themeFill="background1" w:themeFillShade="D9"/>
          </w:tcPr>
          <w:p w14:paraId="6FF3ACEB" w14:textId="77777777" w:rsidR="00681CDB" w:rsidRPr="00F02986" w:rsidRDefault="00681CDB" w:rsidP="005B0D26">
            <w:pPr>
              <w:ind w:left="0"/>
              <w:rPr>
                <w:sz w:val="15"/>
                <w:szCs w:val="15"/>
              </w:rPr>
            </w:pPr>
            <w:r w:rsidRPr="00F02986">
              <w:rPr>
                <w:sz w:val="15"/>
                <w:szCs w:val="15"/>
              </w:rPr>
              <w:t>India</w:t>
            </w:r>
          </w:p>
        </w:tc>
        <w:tc>
          <w:tcPr>
            <w:tcW w:w="4291" w:type="dxa"/>
            <w:shd w:val="clear" w:color="auto" w:fill="D9D9D9" w:themeFill="background1" w:themeFillShade="D9"/>
          </w:tcPr>
          <w:p w14:paraId="723DAC61" w14:textId="77777777" w:rsidR="00681CDB" w:rsidRPr="00F03BC0" w:rsidRDefault="00681CDB" w:rsidP="005B0D26">
            <w:pPr>
              <w:ind w:left="0"/>
              <w:rPr>
                <w:sz w:val="15"/>
                <w:szCs w:val="15"/>
              </w:rPr>
            </w:pPr>
            <w:r w:rsidRPr="00F03BC0">
              <w:rPr>
                <w:sz w:val="15"/>
                <w:szCs w:val="15"/>
              </w:rPr>
              <w:t>﻿61st round of the ﻿National Sample Survey (2004/05)</w:t>
            </w:r>
          </w:p>
        </w:tc>
        <w:tc>
          <w:tcPr>
            <w:tcW w:w="1080" w:type="dxa"/>
            <w:gridSpan w:val="2"/>
            <w:shd w:val="clear" w:color="auto" w:fill="D9D9D9" w:themeFill="background1" w:themeFillShade="D9"/>
            <w:vAlign w:val="center"/>
          </w:tcPr>
          <w:p w14:paraId="430AEC91"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15223CBD"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5D80CBC4"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31160561" w14:textId="77777777" w:rsidR="00681CDB" w:rsidRPr="00F02986" w:rsidRDefault="00681CDB" w:rsidP="005B0D26">
            <w:pPr>
              <w:ind w:left="0"/>
              <w:jc w:val="center"/>
              <w:rPr>
                <w:sz w:val="15"/>
                <w:szCs w:val="15"/>
              </w:rPr>
            </w:pPr>
            <w:r>
              <w:rPr>
                <w:sz w:val="15"/>
                <w:szCs w:val="15"/>
              </w:rPr>
              <w:t>X</w:t>
            </w:r>
          </w:p>
        </w:tc>
      </w:tr>
      <w:tr w:rsidR="00681CDB" w14:paraId="3E545B71" w14:textId="77777777" w:rsidTr="005B0D26">
        <w:tc>
          <w:tcPr>
            <w:tcW w:w="535" w:type="dxa"/>
            <w:tcBorders>
              <w:left w:val="single" w:sz="4" w:space="0" w:color="auto"/>
            </w:tcBorders>
          </w:tcPr>
          <w:p w14:paraId="0C5F0D0D" w14:textId="6DEC021E"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{"citationItems":[{"id":"ITEM-1","itemData":{"DOI":"10.1177/156482651403500112","ISSN":"03795721","abstract":"Background. Micronutrient deficiencies continue to constitute a major burden of disease, particularly in Africa and South Asia. Programs to address micronutrient deficiencies have been increasing in number, type, and scale in recent years, creating an ever-growing need to understand their combined coverage levels, costs, and impacts so as to more effectively combat deficiencies, avoid putting individuals at risk for excess intakes, and ensure the efficient use of public health resources. Objective. To analyze combinations of the two current programs - sugar fortification and Child Health Week (CHW) - together with four prospective programs - vegetable oil fortification, wheat flour fortification, maize meal fortification, and biofortified vitamin A maize - to identify Zambia's optimal vitamin A portfolio. Methods. Combining program cost estimates and 30-year Zambian food demand projections, together with the Zambian 2005 Living Conditions Monitoring Survey, the annual costs, coverage, impact, and cost-effectiveness of 62 Zambian portfolios were modeled for the period from 2013 to 2042. Results. Optimal portfolios are identified for each of five alternative criteria: average cost-effectiveness, incremental cost-effectiveness, coverage maximization, health impact maximization, and affordability. The most likely scenario is identified to be one that starts with the current portfolio and takes into account all five criteria. Starting with CHW and sugar fortification, it phases in vitamin A maize, oil, wheat flour, and maize meal (in that order) to eventually include all six individual interventions. Conclusions. Combining cost and Household Consumption and Expenditure Survey (HCES) data provides a powerful evidence-generating tool with which to understand how individual micronutrient programs interact and to quantify the tradeoffs involved in selecting alternative program portfolios.","author":[{"dropping-particle":"","family":"Fiedler","given":"John L.","non-dropping-particle":"","parse-names":false,"suffix":""},{"dropping-particle":"","family":"Lividini","given":"Keith","non-dropping-particle":"","parse-names":false,"suffix":""}],"container-title":"Food and Nutrition Bulletin","id":"ITEM-1","issue":"1","issued":{"date-parts":[["2014"]]},"page":"105-25","title":"Managing the vitamin A program portfolio: A case study of Zambia, 2013-2042","type":"article-journal","volume":"35"},"uris":["http://www.mendeley.com/documents/?uuid=cad65294-e2ff-4a0a-af0b-eae956c0be91"]}],"mendeley":{"formattedCitation":"&lt;sup&gt;(23)&lt;/sup&gt;","plainTextFormattedCitation":"(23)","previouslyFormattedCitation":"[23]"},"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(23)</w:t>
            </w:r>
            <w:r>
              <w:rPr>
                <w:sz w:val="15"/>
                <w:szCs w:val="15"/>
              </w:rPr>
              <w:fldChar w:fldCharType="end"/>
            </w:r>
          </w:p>
        </w:tc>
        <w:tc>
          <w:tcPr>
            <w:tcW w:w="2098" w:type="dxa"/>
          </w:tcPr>
          <w:p w14:paraId="35846FE9" w14:textId="77777777" w:rsidR="00681CDB" w:rsidRPr="00F02986" w:rsidRDefault="00681CDB" w:rsidP="005B0D26">
            <w:pPr>
              <w:ind w:left="0"/>
              <w:rPr>
                <w:sz w:val="15"/>
                <w:szCs w:val="15"/>
              </w:rPr>
            </w:pPr>
            <w:r w:rsidRPr="00F02986">
              <w:rPr>
                <w:sz w:val="15"/>
                <w:szCs w:val="15"/>
              </w:rPr>
              <w:t xml:space="preserve">Fiedler &amp; </w:t>
            </w:r>
            <w:proofErr w:type="spellStart"/>
            <w:r w:rsidRPr="00F02986">
              <w:rPr>
                <w:sz w:val="15"/>
                <w:szCs w:val="15"/>
              </w:rPr>
              <w:t>Lividini</w:t>
            </w:r>
            <w:proofErr w:type="spellEnd"/>
            <w:r w:rsidRPr="00F02986">
              <w:rPr>
                <w:sz w:val="15"/>
                <w:szCs w:val="15"/>
              </w:rPr>
              <w:t xml:space="preserve"> (2014)</w:t>
            </w:r>
          </w:p>
        </w:tc>
        <w:tc>
          <w:tcPr>
            <w:tcW w:w="1531" w:type="dxa"/>
          </w:tcPr>
          <w:p w14:paraId="34C5FC5C" w14:textId="77777777" w:rsidR="00681CDB" w:rsidRPr="00F02986" w:rsidRDefault="00681CDB" w:rsidP="005B0D26">
            <w:pPr>
              <w:ind w:left="0"/>
              <w:rPr>
                <w:sz w:val="15"/>
                <w:szCs w:val="15"/>
              </w:rPr>
            </w:pPr>
            <w:r w:rsidRPr="00F02986">
              <w:rPr>
                <w:sz w:val="15"/>
                <w:szCs w:val="15"/>
              </w:rPr>
              <w:t>Zambia</w:t>
            </w:r>
          </w:p>
        </w:tc>
        <w:tc>
          <w:tcPr>
            <w:tcW w:w="4291" w:type="dxa"/>
          </w:tcPr>
          <w:p w14:paraId="2A6F3089" w14:textId="77777777" w:rsidR="00681CDB" w:rsidRPr="00F03BC0" w:rsidRDefault="00681CDB" w:rsidP="005B0D26">
            <w:pPr>
              <w:ind w:left="0"/>
              <w:rPr>
                <w:sz w:val="15"/>
                <w:szCs w:val="15"/>
              </w:rPr>
            </w:pPr>
            <w:r w:rsidRPr="00F03BC0">
              <w:rPr>
                <w:sz w:val="15"/>
                <w:szCs w:val="15"/>
              </w:rPr>
              <w:t>Living Conditions Monitoring Survey V (2006)</w:t>
            </w:r>
          </w:p>
        </w:tc>
        <w:tc>
          <w:tcPr>
            <w:tcW w:w="1080" w:type="dxa"/>
            <w:gridSpan w:val="2"/>
            <w:vAlign w:val="center"/>
          </w:tcPr>
          <w:p w14:paraId="06A5CCD1" w14:textId="77777777" w:rsidR="00681CDB" w:rsidRPr="00F02986" w:rsidRDefault="00681CDB" w:rsidP="005B0D26">
            <w:pPr>
              <w:ind w:left="0"/>
              <w:jc w:val="center"/>
              <w:rPr>
                <w:sz w:val="15"/>
                <w:szCs w:val="15"/>
              </w:rPr>
            </w:pPr>
          </w:p>
        </w:tc>
        <w:tc>
          <w:tcPr>
            <w:tcW w:w="630" w:type="dxa"/>
            <w:vAlign w:val="center"/>
          </w:tcPr>
          <w:p w14:paraId="21AF279F" w14:textId="77777777" w:rsidR="00681CDB" w:rsidRPr="00F02986" w:rsidRDefault="00681CDB" w:rsidP="005B0D26">
            <w:pPr>
              <w:ind w:left="0"/>
              <w:jc w:val="center"/>
              <w:rPr>
                <w:sz w:val="15"/>
                <w:szCs w:val="15"/>
              </w:rPr>
            </w:pPr>
            <w:r>
              <w:rPr>
                <w:sz w:val="15"/>
                <w:szCs w:val="15"/>
              </w:rPr>
              <w:t>X</w:t>
            </w:r>
          </w:p>
        </w:tc>
        <w:tc>
          <w:tcPr>
            <w:tcW w:w="810" w:type="dxa"/>
            <w:vAlign w:val="center"/>
          </w:tcPr>
          <w:p w14:paraId="578FD35B"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43AC26AC" w14:textId="77777777" w:rsidR="00681CDB" w:rsidRPr="00F02986" w:rsidRDefault="00681CDB" w:rsidP="005B0D26">
            <w:pPr>
              <w:ind w:left="0"/>
              <w:jc w:val="center"/>
              <w:rPr>
                <w:sz w:val="15"/>
                <w:szCs w:val="15"/>
              </w:rPr>
            </w:pPr>
            <w:r>
              <w:rPr>
                <w:sz w:val="15"/>
                <w:szCs w:val="15"/>
              </w:rPr>
              <w:t>X</w:t>
            </w:r>
          </w:p>
        </w:tc>
      </w:tr>
      <w:tr w:rsidR="00681CDB" w14:paraId="694D3366" w14:textId="77777777" w:rsidTr="005B0D26">
        <w:tc>
          <w:tcPr>
            <w:tcW w:w="535" w:type="dxa"/>
            <w:tcBorders>
              <w:left w:val="single" w:sz="4" w:space="0" w:color="auto"/>
            </w:tcBorders>
            <w:shd w:val="clear" w:color="auto" w:fill="D9D9D9" w:themeFill="background1" w:themeFillShade="D9"/>
          </w:tcPr>
          <w:p w14:paraId="4544D86A" w14:textId="4D0DDDCC"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{"citationItems":[{"id":"ITEM-1","itemData":{"DOI":"10.1017/S1368980014000640","ISSN":"14752727","abstract":"Objective: Vitamin A deficiency is a serious health problem in Bangladesh. The 2011-12 Bangladesh Micronutrient Survey found 76·8 % of children of pre-school age were vitamin A deficient. In the absence of nationally representative, individual dietary assessment data, we use an alternative - household income and expenditure survey data - to estimate the potential impact of the introduction of vitamin A-fortified vegetable oil in Bangladesh. Design: Items in the household income and expenditure survey were matched to food composition tables to estimate households' usual vitamin A intakes. Then, assuming (i) the intra-household distribution of food is in direct proportion to household members' share of the household's total adult male consumption equivalents, (ii) all vegetable oil that is made from other-than mustard seed and that is purchased is fortifiable and (iii) oil fortification standards are implemented, we modelled the additional vitamin A intake due to the new fortification initiative. Setting: Nationwide in Bangladesh. Subjects: A weighted sample of 12240 households comprised of 55580 individuals. Results: Ninety-nine per cent of the Bangladesh population consumes vegetable oil. The quantities consumed are sufficiently large and, varying little by socio-economic status, are able to provide an important, large-scale impact. At full implementation, vegetable oil fortification will reduce the number of persons with inadequate vitamin A intake from 115 million to 86 million and decrease the prevalence of inadequate vitamin A intake from 80 % to 60 %. Conclusions: Vegetable oil is an ideal fortification vehicle in Bangladesh. Its fortification with vitamin A is an important public health intervention.","author":[{"dropping-particle":"","family":"Fiedler","given":"John L.","non-dropping-particle":"","parse-names":false,"suffix":""},{"dropping-particle":"","family":"Lividini","given":"Keith","non-dropping-particle":"","parse-names":false,"suffix":""},{"dropping-particle":"","family":"Bermudez","given":"Odilia I.","non-dropping-particle":"","parse-names":false,"suffix":""}],"container-title":"Public Health Nutrition","id":"ITEM-1","issue":"3","issued":{"date-parts":[["2015"]]},"page":"414-20","title":"Estimating the impact of vitamin A-fortified vegetable oil in Bangladesh in the absence of dietary assessment data","type":"article-journal","volume":"18"},"uris":["http://www.mendeley.com/documents/?uuid=a2de9bb0-f2a5-48ab-a0d4-ad853277cfeb"]}],"mendeley":{"formattedCitation":"&lt;sup&gt;(24)&lt;/sup&gt;","plainTextFormattedCitation":"(24)","previouslyFormattedCitation":"[24]"},"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(24)</w:t>
            </w:r>
            <w:r>
              <w:rPr>
                <w:sz w:val="15"/>
                <w:szCs w:val="15"/>
              </w:rPr>
              <w:fldChar w:fldCharType="end"/>
            </w:r>
          </w:p>
        </w:tc>
        <w:tc>
          <w:tcPr>
            <w:tcW w:w="2098" w:type="dxa"/>
            <w:shd w:val="clear" w:color="auto" w:fill="D9D9D9" w:themeFill="background1" w:themeFillShade="D9"/>
          </w:tcPr>
          <w:p w14:paraId="7D2F3697" w14:textId="77777777" w:rsidR="00681CDB" w:rsidRPr="00F02986" w:rsidRDefault="00681CDB" w:rsidP="005B0D26">
            <w:pPr>
              <w:ind w:left="0"/>
              <w:rPr>
                <w:sz w:val="15"/>
                <w:szCs w:val="15"/>
              </w:rPr>
            </w:pPr>
            <w:r w:rsidRPr="00F02986">
              <w:rPr>
                <w:sz w:val="15"/>
                <w:szCs w:val="15"/>
              </w:rPr>
              <w:t>Fiedler et al. (2015)</w:t>
            </w:r>
          </w:p>
        </w:tc>
        <w:tc>
          <w:tcPr>
            <w:tcW w:w="1531" w:type="dxa"/>
            <w:shd w:val="clear" w:color="auto" w:fill="D9D9D9" w:themeFill="background1" w:themeFillShade="D9"/>
          </w:tcPr>
          <w:p w14:paraId="174E4820" w14:textId="77777777" w:rsidR="00681CDB" w:rsidRPr="00F02986" w:rsidRDefault="00681CDB" w:rsidP="005B0D26">
            <w:pPr>
              <w:ind w:left="0"/>
              <w:rPr>
                <w:sz w:val="15"/>
                <w:szCs w:val="15"/>
              </w:rPr>
            </w:pPr>
            <w:r w:rsidRPr="00F02986">
              <w:rPr>
                <w:sz w:val="15"/>
                <w:szCs w:val="15"/>
              </w:rPr>
              <w:t>Bangladesh</w:t>
            </w:r>
          </w:p>
        </w:tc>
        <w:tc>
          <w:tcPr>
            <w:tcW w:w="4291" w:type="dxa"/>
            <w:shd w:val="clear" w:color="auto" w:fill="D9D9D9" w:themeFill="background1" w:themeFillShade="D9"/>
          </w:tcPr>
          <w:p w14:paraId="3131C479" w14:textId="77777777" w:rsidR="00681CDB" w:rsidRPr="00F03BC0" w:rsidRDefault="00681CDB" w:rsidP="005B0D26">
            <w:pPr>
              <w:ind w:left="0"/>
              <w:rPr>
                <w:sz w:val="15"/>
                <w:szCs w:val="15"/>
              </w:rPr>
            </w:pPr>
            <w:r w:rsidRPr="00F03BC0">
              <w:rPr>
                <w:sz w:val="15"/>
                <w:szCs w:val="15"/>
              </w:rPr>
              <w:t>﻿Bangladesh Household Income and Expenditure Survey (2010)</w:t>
            </w:r>
          </w:p>
        </w:tc>
        <w:tc>
          <w:tcPr>
            <w:tcW w:w="1080" w:type="dxa"/>
            <w:gridSpan w:val="2"/>
            <w:shd w:val="clear" w:color="auto" w:fill="D9D9D9" w:themeFill="background1" w:themeFillShade="D9"/>
            <w:vAlign w:val="center"/>
          </w:tcPr>
          <w:p w14:paraId="5D4B2F6C"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2867176E"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15FA9E98"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4AA2F992" w14:textId="77777777" w:rsidR="00681CDB" w:rsidRPr="00F02986" w:rsidRDefault="00681CDB" w:rsidP="005B0D26">
            <w:pPr>
              <w:ind w:left="0"/>
              <w:jc w:val="center"/>
              <w:rPr>
                <w:sz w:val="15"/>
                <w:szCs w:val="15"/>
              </w:rPr>
            </w:pPr>
            <w:r>
              <w:rPr>
                <w:sz w:val="15"/>
                <w:szCs w:val="15"/>
              </w:rPr>
              <w:t>X</w:t>
            </w:r>
          </w:p>
        </w:tc>
      </w:tr>
      <w:tr w:rsidR="00681CDB" w14:paraId="1304B7C2" w14:textId="77777777" w:rsidTr="005B0D26">
        <w:tc>
          <w:tcPr>
            <w:tcW w:w="535" w:type="dxa"/>
            <w:tcBorders>
              <w:left w:val="single" w:sz="4" w:space="0" w:color="auto"/>
            </w:tcBorders>
          </w:tcPr>
          <w:p w14:paraId="51B9B655" w14:textId="1455F464"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{"citationItems":[{"id":"ITEM-1","itemData":{"DOI":"10.1016/j.aquaculture.2015.11.004","ISSN":"00448486","abstract":"Background: Since 1961, global per capita fish consumption has nearly doubled. Much of the increase has been due to aquaculture. Bangladesh, the world's eighth largest fish producing country, has been part of this transformation. Despite having vitamin A supplementation and fortification programs, the prevalence of inadequate vitamin A intake (IVAI) in Bangladesh is very high, estimated to be 60%. The promotion of a small indigenous fish, high in vitamin A - mola carplet - offers a promising food-based approach to improving vitamin A status of the 98% of Bangladeshis who eat fish. The objective of this paper was to conduct a benefit-cost analysis of a national household pond Mola Promotion Program (MPP) in Bangladesh. Methods: Using the 2005 Bangladesh Household Income and Expenditure Survey (HIES) and nutrition and health statistics, we developed baseline estimates of usual vitamin A intake, the prevalence of IVAI and disability-adjusted life years (DALYs) attributable to vitamin A deficiency (VAD). Drawing on a WorldFish project and HIES data, we designed and modeled the implementation of a MPP, and calculated the additional vitamin A intake it would provide, calculated new incidence rates of VAD-related health outcomes and estimated MPP-attributable annual changes in DALYs. The MPP's total health benefits were calculated over the program's 11-year phase-in as the annual sum of DALYs saved. The MPP's costs were estimated as the sum of the costs of a small fish program of the Fisheries Development Program plus the costs of mola brood stock, other inputs and additional farmer training-related costs. Program costs and benefits were combined to produce estimates of the cost-effectiveness of the program. Results: An 11-year, $23 million project would increase average daily vitamin A intakes by 7. μg retinol activity equivalent (RAE), reduce the prevalence of IVAI by 1.1 percentage points, and save 3000 lives and 100,000 DALYs, at a cost of $194 per DALY saved. The MPP's impact would be concentrated among homestead pond-fishing households that would consume 60% of the additional mola produced. Among these, it would reduce IVAI prevalence by 7 percentage points. If the MPP was implemented for at least 20. years, it would dominate - have higher health benefits and lower total costs - than a national vitamin A wheat flour fortification program. Conclusion: By World Bank and World Health Organization criteria, the MPP is a cost-effective approach to reduce the …","author":[{"dropping-particle":"","family":"Fiedler","given":"John L.","non-dropping-particle":"","parse-names":false,"suffix":""},{"dropping-particle":"","family":"Lividini","given":"Keith","non-dropping-particle":"","parse-names":false,"suffix":""},{"dropping-particle":"","family":"Drummond","given":"Elizabeth","non-dropping-particle":"","parse-names":false,"suffix":""},{"dropping-particle":"","family":"Thilsted","given":"Shakuntala H.","non-dropping-particle":"","parse-names":false,"suffix":""}],"container-title":"Aquaculture","id":"ITEM-1","issued":{"date-parts":[["2016"]]},"page":"291-303","title":"Strengthening the contribution of aquaculture to food and nutrition security: The potential of a vitamin A-rich, small fish in Bangladesh","type":"article-journal","volume":"452"},"uris":["http://www.mendeley.com/documents/?uuid=2261737a-851e-4947-8733-1a25bd8563b9"]}],"mendeley":{"formattedCitation":"&lt;sup&gt;(25)&lt;/sup&gt;","plainTextFormattedCitation":"(25)","previouslyFormattedCitation":"[25]"},"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(25)</w:t>
            </w:r>
            <w:r>
              <w:rPr>
                <w:sz w:val="15"/>
                <w:szCs w:val="15"/>
              </w:rPr>
              <w:fldChar w:fldCharType="end"/>
            </w:r>
          </w:p>
        </w:tc>
        <w:tc>
          <w:tcPr>
            <w:tcW w:w="2098" w:type="dxa"/>
          </w:tcPr>
          <w:p w14:paraId="5C94B265" w14:textId="77777777" w:rsidR="00681CDB" w:rsidRPr="00F02986" w:rsidRDefault="00681CDB" w:rsidP="005B0D26">
            <w:pPr>
              <w:ind w:left="0"/>
              <w:rPr>
                <w:sz w:val="15"/>
                <w:szCs w:val="15"/>
              </w:rPr>
            </w:pPr>
            <w:r w:rsidRPr="00F02986">
              <w:rPr>
                <w:sz w:val="15"/>
                <w:szCs w:val="15"/>
              </w:rPr>
              <w:t>Fiedler et al. (2016)</w:t>
            </w:r>
          </w:p>
        </w:tc>
        <w:tc>
          <w:tcPr>
            <w:tcW w:w="1531" w:type="dxa"/>
          </w:tcPr>
          <w:p w14:paraId="4F8CAC86" w14:textId="77777777" w:rsidR="00681CDB" w:rsidRPr="00F02986" w:rsidRDefault="00681CDB" w:rsidP="005B0D26">
            <w:pPr>
              <w:ind w:left="0"/>
              <w:rPr>
                <w:sz w:val="15"/>
                <w:szCs w:val="15"/>
              </w:rPr>
            </w:pPr>
            <w:r w:rsidRPr="00F02986">
              <w:rPr>
                <w:sz w:val="15"/>
                <w:szCs w:val="15"/>
              </w:rPr>
              <w:t>Bangladesh</w:t>
            </w:r>
          </w:p>
        </w:tc>
        <w:tc>
          <w:tcPr>
            <w:tcW w:w="4291" w:type="dxa"/>
          </w:tcPr>
          <w:p w14:paraId="62C376BB" w14:textId="77777777" w:rsidR="00681CDB" w:rsidRPr="00F03BC0" w:rsidRDefault="00681CDB" w:rsidP="005B0D26">
            <w:pPr>
              <w:ind w:left="0"/>
              <w:rPr>
                <w:sz w:val="15"/>
                <w:szCs w:val="15"/>
              </w:rPr>
            </w:pPr>
            <w:r w:rsidRPr="00F03BC0">
              <w:rPr>
                <w:sz w:val="15"/>
                <w:szCs w:val="15"/>
              </w:rPr>
              <w:t>Bangladesh Household Income and Expenditure Survey (2005)</w:t>
            </w:r>
          </w:p>
        </w:tc>
        <w:tc>
          <w:tcPr>
            <w:tcW w:w="1080" w:type="dxa"/>
            <w:gridSpan w:val="2"/>
            <w:vAlign w:val="center"/>
          </w:tcPr>
          <w:p w14:paraId="7FAECCE8" w14:textId="77777777" w:rsidR="00681CDB" w:rsidRPr="00F02986" w:rsidRDefault="00681CDB" w:rsidP="005B0D26">
            <w:pPr>
              <w:ind w:left="0"/>
              <w:jc w:val="center"/>
              <w:rPr>
                <w:sz w:val="15"/>
                <w:szCs w:val="15"/>
              </w:rPr>
            </w:pPr>
          </w:p>
        </w:tc>
        <w:tc>
          <w:tcPr>
            <w:tcW w:w="630" w:type="dxa"/>
            <w:vAlign w:val="center"/>
          </w:tcPr>
          <w:p w14:paraId="6FF7CC7A" w14:textId="77777777" w:rsidR="00681CDB" w:rsidRDefault="00681CDB" w:rsidP="005B0D26">
            <w:pPr>
              <w:ind w:left="0"/>
              <w:jc w:val="center"/>
              <w:rPr>
                <w:sz w:val="15"/>
                <w:szCs w:val="15"/>
              </w:rPr>
            </w:pPr>
            <w:r>
              <w:rPr>
                <w:sz w:val="15"/>
                <w:szCs w:val="15"/>
              </w:rPr>
              <w:t>X</w:t>
            </w:r>
          </w:p>
        </w:tc>
        <w:tc>
          <w:tcPr>
            <w:tcW w:w="810" w:type="dxa"/>
            <w:vAlign w:val="center"/>
          </w:tcPr>
          <w:p w14:paraId="106C4941"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2542E981" w14:textId="77777777" w:rsidR="00681CDB" w:rsidRDefault="00681CDB" w:rsidP="005B0D26">
            <w:pPr>
              <w:ind w:left="0"/>
              <w:jc w:val="center"/>
              <w:rPr>
                <w:sz w:val="15"/>
                <w:szCs w:val="15"/>
              </w:rPr>
            </w:pPr>
            <w:r>
              <w:rPr>
                <w:sz w:val="15"/>
                <w:szCs w:val="15"/>
              </w:rPr>
              <w:t>X</w:t>
            </w:r>
          </w:p>
        </w:tc>
      </w:tr>
      <w:tr w:rsidR="00681CDB" w14:paraId="09A7A63E" w14:textId="77777777" w:rsidTr="005B0D26">
        <w:tc>
          <w:tcPr>
            <w:tcW w:w="535" w:type="dxa"/>
            <w:tcBorders>
              <w:left w:val="single" w:sz="4" w:space="0" w:color="auto"/>
            </w:tcBorders>
            <w:shd w:val="clear" w:color="auto" w:fill="D9D9D9" w:themeFill="background1" w:themeFillShade="D9"/>
          </w:tcPr>
          <w:p w14:paraId="370A424D" w14:textId="1F74B659"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{"citationItems":[{"id":"ITEM-1","itemData":{"DOI":"10.1177/156482651303400413","ISSN":"03795721","abstract":"Background. Since fortification of sugar with vitamin A was mandated in 1998, Zambia's fortification program has not changed, while the country remains plagued by high rates of micronutrient deficiencies. Objective. To provide evidence-based fortification options with the hope of reinvigorating the Zambian fortification program. Methods. Zambia's 2006 Living Conditions Monitoring Survey is used to estimate the apparent intakes of vitamin A, iron, and zinc, as well as the apparent consumption levels and coverage of four fortification vehicles. Fourteen alternative food fortification portfolios are modeled, and their costs, impacts, average cost-effectiveness, and incremental cost-effectiveness are calculated using three alternative impact measures. Results. Alternative impact measures result in different rank orderings of the portfolios. The most costeffective portfolio is vegetable oil, which has a cost per disability-adjusted life-year (DALY) saved ranging from 12% to 25% of that of sugar, depending on the impact measure used. The public health impact of fortified vegetable oil, however, is relatively modest. Additional criteria beyond cost-effectiveness are introduced and used to rank order the portfolios. The size of the public health impact, the total cost, and the incremental cost-effectiveness of phasing in multiple vehicle portfolios over time are analyzed. Conclusions. Assessing fortification portfolios by measuring changes in the prevalence of inadequate intakes underestimates impact. A more sensitive measure, which also takes into account change in the Estimated Average Requirement (EAR) gap, is provided by a dose-response-based approach to estimating the number of DALYs saved. There exist highly cost-effective fortification intervention portfolios with substantial public health impacts and variable price tags that could help improve Zambians' nutrition status. © 2013, The Nevin Scrimshaw International Nutrition Foundation.","author":[{"dropping-particle":"","family":"Fiedler","given":"John L.","non-dropping-particle":"","parse-names":false,"suffix":""},{"dropping-particle":"","family":"Lividini","given":"Keith","non-dropping-particle":"","parse-names":false,"suffix":""},{"dropping-particle":"","family":"Kabaghe","given":"Gladys","non-dropping-particle":"","parse-names":false,"suffix":""},{"dropping-particle":"","family":"Zulu","given":"Rodah","non-dropping-particle":"","parse-names":false,"suffix":""},{"dropping-particle":"","family":"Tehinse","given":"John","non-dropping-particle":"","parse-names":false,"suffix":""},{"dropping-particle":"","family":"Bermudez","given":"Odilia I.","non-dropping-particle":"","parse-names":false,"suffix":""},{"dropping-particle":"","family":"Jallier","given":"Vincent","non-dropping-particle":"","parse-names":false,"suffix":""},{"dropping-particle":"","family":"Guyondet","given":"Christophe","non-dropping-particle":"","parse-names":false,"suffix":""}],"container-title":"Food and Nutrition Bulletin","id":"ITEM-1","issue":"4","issued":{"date-parts":[["2013"]]},"page":"501-19","title":"Assessing Zambia's industrial fortification options: Getting beyond changes in prevalence and cost-effectiveness","type":"article-journal","volume":"34"},"uris":["http://www.mendeley.com/documents/?uuid=113b401e-e9da-4043-91da-6bb73ee32c1f"]}],"mendeley":{"formattedCitation":"&lt;sup&gt;(26)&lt;/sup&gt;","plainTextFormattedCitation":"(26)","previouslyFormattedCitation":"[26]"},"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(26)</w:t>
            </w:r>
            <w:r>
              <w:rPr>
                <w:sz w:val="15"/>
                <w:szCs w:val="15"/>
              </w:rPr>
              <w:fldChar w:fldCharType="end"/>
            </w:r>
          </w:p>
        </w:tc>
        <w:tc>
          <w:tcPr>
            <w:tcW w:w="2098" w:type="dxa"/>
            <w:shd w:val="clear" w:color="auto" w:fill="D9D9D9" w:themeFill="background1" w:themeFillShade="D9"/>
          </w:tcPr>
          <w:p w14:paraId="1F9E5FFD" w14:textId="77777777" w:rsidR="00681CDB" w:rsidRPr="00F02986" w:rsidRDefault="00681CDB" w:rsidP="005B0D26">
            <w:pPr>
              <w:ind w:left="0"/>
              <w:rPr>
                <w:sz w:val="15"/>
                <w:szCs w:val="15"/>
              </w:rPr>
            </w:pPr>
            <w:r w:rsidRPr="00F02986">
              <w:rPr>
                <w:sz w:val="15"/>
                <w:szCs w:val="15"/>
              </w:rPr>
              <w:t>Fiedler et al. (2015)</w:t>
            </w:r>
          </w:p>
        </w:tc>
        <w:tc>
          <w:tcPr>
            <w:tcW w:w="1531" w:type="dxa"/>
            <w:shd w:val="clear" w:color="auto" w:fill="D9D9D9" w:themeFill="background1" w:themeFillShade="D9"/>
          </w:tcPr>
          <w:p w14:paraId="19D5227D" w14:textId="77777777" w:rsidR="00681CDB" w:rsidRPr="00F02986" w:rsidRDefault="00681CDB" w:rsidP="005B0D26">
            <w:pPr>
              <w:ind w:left="0"/>
              <w:rPr>
                <w:sz w:val="15"/>
                <w:szCs w:val="15"/>
              </w:rPr>
            </w:pPr>
            <w:r w:rsidRPr="00F02986">
              <w:rPr>
                <w:sz w:val="15"/>
                <w:szCs w:val="15"/>
              </w:rPr>
              <w:t>Bangladesh</w:t>
            </w:r>
          </w:p>
        </w:tc>
        <w:tc>
          <w:tcPr>
            <w:tcW w:w="4291" w:type="dxa"/>
            <w:shd w:val="clear" w:color="auto" w:fill="D9D9D9" w:themeFill="background1" w:themeFillShade="D9"/>
          </w:tcPr>
          <w:p w14:paraId="2098C405" w14:textId="77777777" w:rsidR="00681CDB" w:rsidRPr="00F03BC0" w:rsidRDefault="00681CDB" w:rsidP="005B0D26">
            <w:pPr>
              <w:ind w:left="0"/>
              <w:rPr>
                <w:sz w:val="15"/>
                <w:szCs w:val="15"/>
              </w:rPr>
            </w:pPr>
            <w:r w:rsidRPr="00F03BC0">
              <w:rPr>
                <w:sz w:val="15"/>
                <w:szCs w:val="15"/>
              </w:rPr>
              <w:t>Bangladesh Household Income and Expenditure Survey (2005)</w:t>
            </w:r>
          </w:p>
        </w:tc>
        <w:tc>
          <w:tcPr>
            <w:tcW w:w="1080" w:type="dxa"/>
            <w:gridSpan w:val="2"/>
            <w:shd w:val="clear" w:color="auto" w:fill="D9D9D9" w:themeFill="background1" w:themeFillShade="D9"/>
            <w:vAlign w:val="center"/>
          </w:tcPr>
          <w:p w14:paraId="1FA4A68C"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0A95FB37" w14:textId="77777777" w:rsidR="00681CDB"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36D322DB"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5CECF609" w14:textId="77777777" w:rsidR="00681CDB" w:rsidRDefault="00681CDB" w:rsidP="005B0D26">
            <w:pPr>
              <w:ind w:left="0"/>
              <w:jc w:val="center"/>
              <w:rPr>
                <w:sz w:val="15"/>
                <w:szCs w:val="15"/>
              </w:rPr>
            </w:pPr>
            <w:r>
              <w:rPr>
                <w:sz w:val="15"/>
                <w:szCs w:val="15"/>
              </w:rPr>
              <w:t>X</w:t>
            </w:r>
          </w:p>
        </w:tc>
      </w:tr>
      <w:tr w:rsidR="00681CDB" w14:paraId="38C27C4F" w14:textId="77777777" w:rsidTr="005B0D26">
        <w:tc>
          <w:tcPr>
            <w:tcW w:w="535" w:type="dxa"/>
            <w:tcBorders>
              <w:left w:val="single" w:sz="4" w:space="0" w:color="auto"/>
            </w:tcBorders>
          </w:tcPr>
          <w:p w14:paraId="7FA14C5F" w14:textId="682D2254"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{"citationItems":[{"id":"ITEM-1","itemData":{"DOI":"10.1177/156482651303400413","ISSN":"03795721","abstract":"Background. Since fortification of sugar with vitamin A was mandated in 1998, Zambia's fortification program has not changed, while the country remains plagued by high rates of micronutrient deficiencies. Objective. To provide evidence-based fortification options with the hope of reinvigorating the Zambian fortification program. Methods. Zambia's 2006 Living Conditions Monitoring Survey is used to estimate the apparent intakes of vitamin A, iron, and zinc, as well as the apparent consumption levels and coverage of four fortification vehicles. Fourteen alternative food fortification portfolios are modeled, and their costs, impacts, average cost-effectiveness, and incremental cost-effectiveness are calculated using three alternative impact measures. Results. Alternative impact measures result in different rank orderings of the portfolios. The most costeffective portfolio is vegetable oil, which has a cost per disability-adjusted life-year (DALY) saved ranging from 12% to 25% of that of sugar, depending on the impact measure used. The public health impact of fortified vegetable oil, however, is relatively modest. Additional criteria beyond cost-effectiveness are introduced and used to rank order the portfolios. The size of the public health impact, the total cost, and the incremental cost-effectiveness of phasing in multiple vehicle portfolios over time are analyzed. Conclusions. Assessing fortification portfolios by measuring changes in the prevalence of inadequate intakes underestimates impact. A more sensitive measure, which also takes into account change in the Estimated Average Requirement (EAR) gap, is provided by a dose-response-based approach to estimating the number of DALYs saved. There exist highly cost-effective fortification intervention portfolios with substantial public health impacts and variable price tags that could help improve Zambians' nutrition status. © 2013, The Nevin Scrimshaw International Nutrition Foundation.","author":[{"dropping-particle":"","family":"Fiedler","given":"John L.","non-dropping-particle":"","parse-names":false,"suffix":""},{"dropping-particle":"","family":"Lividini","given":"Keith","non-dropping-particle":"","parse-names":false,"suffix":""},{"dropping-particle":"","family":"Kabaghe","given":"Gladys","non-dropping-particle":"","parse-names":false,"suffix":""},{"dropping-particle":"","family":"Zulu","given":"Rodah","non-dropping-particle":"","parse-names":false,"suffix":""},{"dropping-particle":"","family":"Tehinse","given":"John","non-dropping-particle":"","parse-names":false,"suffix":""},{"dropping-particle":"","family":"Bermudez","given":"Odilia I.","non-dropping-particle":"","parse-names":false,"suffix":""},{"dropping-particle":"","family":"Jallier","given":"Vincent","non-dropping-particle":"","parse-names":false,"suffix":""},{"dropping-particle":"","family":"Guyondet","given":"Christophe","non-dropping-particle":"","parse-names":false,"suffix":""}],"container-title":"Food and Nutrition Bulletin","id":"ITEM-1","issue":"4","issued":{"date-parts":[["2013"]]},"page":"501-19","title":"Assessing Zambia's industrial fortification options: Getting beyond changes in prevalence and cost-effectiveness","type":"article-journal","volume":"34"},"uris":["http://www.mendeley.com/documents/?uuid=113b401e-e9da-4043-91da-6bb73ee32c1f"]}],"mendeley":{"formattedCitation":"&lt;sup&gt;(26)&lt;/sup&gt;","plainTextFormattedCitation":"(26)","previouslyFormattedCitation":"[26]"},"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(26)</w:t>
            </w:r>
            <w:r>
              <w:rPr>
                <w:sz w:val="15"/>
                <w:szCs w:val="15"/>
              </w:rPr>
              <w:fldChar w:fldCharType="end"/>
            </w:r>
          </w:p>
        </w:tc>
        <w:tc>
          <w:tcPr>
            <w:tcW w:w="2098" w:type="dxa"/>
          </w:tcPr>
          <w:p w14:paraId="69FBCD06" w14:textId="77777777" w:rsidR="00681CDB" w:rsidRPr="00F02986" w:rsidRDefault="00681CDB" w:rsidP="005B0D26">
            <w:pPr>
              <w:ind w:left="0"/>
              <w:rPr>
                <w:sz w:val="15"/>
                <w:szCs w:val="15"/>
              </w:rPr>
            </w:pPr>
            <w:r w:rsidRPr="00F02986">
              <w:rPr>
                <w:sz w:val="15"/>
                <w:szCs w:val="15"/>
              </w:rPr>
              <w:t>Fiedler et al. (2013)</w:t>
            </w:r>
          </w:p>
        </w:tc>
        <w:tc>
          <w:tcPr>
            <w:tcW w:w="1531" w:type="dxa"/>
          </w:tcPr>
          <w:p w14:paraId="7BF54A66" w14:textId="77777777" w:rsidR="00681CDB" w:rsidRPr="00F02986" w:rsidRDefault="00681CDB" w:rsidP="005B0D26">
            <w:pPr>
              <w:ind w:left="0"/>
              <w:rPr>
                <w:sz w:val="15"/>
                <w:szCs w:val="15"/>
              </w:rPr>
            </w:pPr>
            <w:r w:rsidRPr="00F02986">
              <w:rPr>
                <w:sz w:val="15"/>
                <w:szCs w:val="15"/>
              </w:rPr>
              <w:t>Zambia</w:t>
            </w:r>
          </w:p>
        </w:tc>
        <w:tc>
          <w:tcPr>
            <w:tcW w:w="4291" w:type="dxa"/>
          </w:tcPr>
          <w:p w14:paraId="0C34287D" w14:textId="77777777" w:rsidR="00681CDB" w:rsidRPr="00F03BC0" w:rsidRDefault="00681CDB" w:rsidP="005B0D26">
            <w:pPr>
              <w:ind w:left="0"/>
              <w:rPr>
                <w:sz w:val="15"/>
                <w:szCs w:val="15"/>
              </w:rPr>
            </w:pPr>
            <w:r w:rsidRPr="00F03BC0">
              <w:rPr>
                <w:sz w:val="15"/>
                <w:szCs w:val="15"/>
              </w:rPr>
              <w:t>Living Conditions Monitoring Survey V (2006)</w:t>
            </w:r>
          </w:p>
        </w:tc>
        <w:tc>
          <w:tcPr>
            <w:tcW w:w="1080" w:type="dxa"/>
            <w:gridSpan w:val="2"/>
            <w:vAlign w:val="center"/>
          </w:tcPr>
          <w:p w14:paraId="4801F995" w14:textId="77777777" w:rsidR="00681CDB" w:rsidRPr="00F02986" w:rsidRDefault="00681CDB" w:rsidP="005B0D26">
            <w:pPr>
              <w:ind w:left="0"/>
              <w:jc w:val="center"/>
              <w:rPr>
                <w:sz w:val="15"/>
                <w:szCs w:val="15"/>
              </w:rPr>
            </w:pPr>
          </w:p>
        </w:tc>
        <w:tc>
          <w:tcPr>
            <w:tcW w:w="630" w:type="dxa"/>
            <w:vAlign w:val="center"/>
          </w:tcPr>
          <w:p w14:paraId="0ED0AF7C" w14:textId="77777777" w:rsidR="00681CDB" w:rsidRDefault="00681CDB" w:rsidP="005B0D26">
            <w:pPr>
              <w:ind w:left="0"/>
              <w:jc w:val="center"/>
              <w:rPr>
                <w:sz w:val="15"/>
                <w:szCs w:val="15"/>
              </w:rPr>
            </w:pPr>
            <w:r>
              <w:rPr>
                <w:sz w:val="15"/>
                <w:szCs w:val="15"/>
              </w:rPr>
              <w:t>X</w:t>
            </w:r>
          </w:p>
        </w:tc>
        <w:tc>
          <w:tcPr>
            <w:tcW w:w="810" w:type="dxa"/>
            <w:vAlign w:val="center"/>
          </w:tcPr>
          <w:p w14:paraId="76E8E02A"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5EECAD55" w14:textId="77777777" w:rsidR="00681CDB" w:rsidRDefault="00681CDB" w:rsidP="005B0D26">
            <w:pPr>
              <w:ind w:left="0"/>
              <w:jc w:val="center"/>
              <w:rPr>
                <w:sz w:val="15"/>
                <w:szCs w:val="15"/>
              </w:rPr>
            </w:pPr>
            <w:r>
              <w:rPr>
                <w:sz w:val="15"/>
                <w:szCs w:val="15"/>
              </w:rPr>
              <w:t>X</w:t>
            </w:r>
          </w:p>
        </w:tc>
      </w:tr>
      <w:tr w:rsidR="00681CDB" w14:paraId="6E8A5163" w14:textId="77777777" w:rsidTr="005B0D26">
        <w:tc>
          <w:tcPr>
            <w:tcW w:w="535" w:type="dxa"/>
            <w:tcBorders>
              <w:left w:val="single" w:sz="4" w:space="0" w:color="auto"/>
            </w:tcBorders>
            <w:shd w:val="clear" w:color="auto" w:fill="D9D9D9" w:themeFill="background1" w:themeFillShade="D9"/>
          </w:tcPr>
          <w:p w14:paraId="1827A1CB" w14:textId="49D1727D"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{"citationItems":[{"id":"ITEM-1","itemData":{"DOI":"10.1177/156482651303400412","ISSN":"03795721","abstract":"Background. Zambia was a pioneer when it started fortifying sugar with vitamin A in 1998. Micronutrient deficiencies-especially among young children-have changed little over the past decade. In 2008 an initiative to introduce fortified flours was halted when last-hour questions about the program could not be answered. Objective. To provide information about the need, coverage, and impact of alternative fortification portfolio options to help Zambia overcome its fortification impasse. Methods. Using household data from the 2006 Living Conditions Monitoring Survey, apparent micronutrient intake levels and apparent consumption levels of sugar, vegetable oil, wheat flour and maize meal were estimated. The household level data were used to estimate individual intakes by assuming that food was distributed among household members in direct proportion to their share of the household's total adult consumption equivalent. Intake adequacy was measured relative to age- and gender-specific Estimated Average Requirements. Combining information on the industrial structure and estimated fortifiable quantities consumed of each food, and assuming the nutrient content is that specified in official regulations, simulations were conducted of the coverage and impact of 14 fortification portfolios. Results. Maize, the most commonly consumed food, is consumed in a fortifiable form by only 23% of the population. Sugar fortification is estimated to have reduced inadequate intake of vitamin A from 87% to 79%. Introducing oil fortification could reduce the prevalence of inadequate vitamin A intake to 61%, and fortifying roller and breakfast maize meal would further reduce it to 57%, and reduce inadequate iron and zinc intakes by 2.2% and 5.5%, respectively. Implementing WHO flour guidelines would triple the potential iron and zinc impacts. Conclusion. Analysis of LCMS apparent consumption data have helped address important information gaps and provide better understanding of the coverage and impacts of alternative fortification portfolios. © 2013, The Nevin Scrimshaw International Nutrition Foundation.","author":[{"dropping-particle":"","family":"Fiedler","given":"John L.","non-dropping-particle":"","parse-names":false,"suffix":""},{"dropping-particle":"","family":"Lividini","given":"Keith","non-dropping-particle":"","parse-names":false,"suffix":""},{"dropping-particle":"","family":"Zulu","given":"Rodah","non-dropping-particle":"","parse-names":false,"suffix":""},{"dropping-particle":"","family":"Kabaghe","given":"Gladys","non-dropping-particle":"","parse-names":false,"suffix":""},{"dropping-particle":"","family":"Tehinse","given":"John","non-dropping-particle":"","parse-names":false,"suffix":""},{"dropping-particle":"","family":"Bermudez","given":"Odilia I.","non-dropping-particle":"","parse-names":false,"suffix":""}],"container-title":"Food and Nutrition Bulletin","id":"ITEM-1","issue":"4","issued":{"date-parts":[["2013"]]},"page":"480-500","title":"Identifying Zambia's industrial fortification options: Toward overcoming the food and nutrition information gap-induced impasse","type":"article-journal","volume":"34"},"uris":["http://www.mendeley.com/documents/?uuid=969d6584-966d-4bce-8f6e-93feefebf16c"]}],"mendeley":{"formattedCitation":"&lt;sup&gt;(27)&lt;/sup&gt;","plainTextFormattedCitation":"(27)","previouslyFormattedCitation":"[27]"},"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(27)</w:t>
            </w:r>
            <w:r>
              <w:rPr>
                <w:sz w:val="15"/>
                <w:szCs w:val="15"/>
              </w:rPr>
              <w:fldChar w:fldCharType="end"/>
            </w:r>
          </w:p>
        </w:tc>
        <w:tc>
          <w:tcPr>
            <w:tcW w:w="2098" w:type="dxa"/>
            <w:shd w:val="clear" w:color="auto" w:fill="D9D9D9" w:themeFill="background1" w:themeFillShade="D9"/>
          </w:tcPr>
          <w:p w14:paraId="437699F9" w14:textId="77777777" w:rsidR="00681CDB" w:rsidRPr="00F02986" w:rsidRDefault="00681CDB" w:rsidP="005B0D26">
            <w:pPr>
              <w:ind w:left="0"/>
              <w:rPr>
                <w:sz w:val="15"/>
                <w:szCs w:val="15"/>
              </w:rPr>
            </w:pPr>
            <w:r w:rsidRPr="00F02986">
              <w:rPr>
                <w:sz w:val="15"/>
                <w:szCs w:val="15"/>
              </w:rPr>
              <w:t>Fiedler et al. (2013)</w:t>
            </w:r>
          </w:p>
        </w:tc>
        <w:tc>
          <w:tcPr>
            <w:tcW w:w="1531" w:type="dxa"/>
            <w:shd w:val="clear" w:color="auto" w:fill="D9D9D9" w:themeFill="background1" w:themeFillShade="D9"/>
          </w:tcPr>
          <w:p w14:paraId="37FDCC42" w14:textId="77777777" w:rsidR="00681CDB" w:rsidRPr="00F02986" w:rsidRDefault="00681CDB" w:rsidP="005B0D26">
            <w:pPr>
              <w:ind w:left="0"/>
              <w:rPr>
                <w:sz w:val="15"/>
                <w:szCs w:val="15"/>
              </w:rPr>
            </w:pPr>
            <w:r w:rsidRPr="00F02986">
              <w:rPr>
                <w:sz w:val="15"/>
                <w:szCs w:val="15"/>
              </w:rPr>
              <w:t>Zambia</w:t>
            </w:r>
          </w:p>
        </w:tc>
        <w:tc>
          <w:tcPr>
            <w:tcW w:w="4291" w:type="dxa"/>
            <w:shd w:val="clear" w:color="auto" w:fill="D9D9D9" w:themeFill="background1" w:themeFillShade="D9"/>
          </w:tcPr>
          <w:p w14:paraId="1E91E1E9" w14:textId="77777777" w:rsidR="00681CDB" w:rsidRPr="00F03BC0" w:rsidRDefault="00681CDB" w:rsidP="005B0D26">
            <w:pPr>
              <w:ind w:left="0"/>
              <w:rPr>
                <w:sz w:val="15"/>
                <w:szCs w:val="15"/>
              </w:rPr>
            </w:pPr>
            <w:r w:rsidRPr="00F03BC0">
              <w:rPr>
                <w:sz w:val="15"/>
                <w:szCs w:val="15"/>
              </w:rPr>
              <w:t>Living Conditions Monitoring Survey V (2006)</w:t>
            </w:r>
          </w:p>
        </w:tc>
        <w:tc>
          <w:tcPr>
            <w:tcW w:w="1080" w:type="dxa"/>
            <w:gridSpan w:val="2"/>
            <w:shd w:val="clear" w:color="auto" w:fill="D9D9D9" w:themeFill="background1" w:themeFillShade="D9"/>
            <w:vAlign w:val="center"/>
          </w:tcPr>
          <w:p w14:paraId="5D946AA1" w14:textId="77777777" w:rsidR="00681CDB" w:rsidRPr="00F02986" w:rsidRDefault="00681CDB" w:rsidP="005B0D26">
            <w:pPr>
              <w:ind w:left="0"/>
              <w:jc w:val="center"/>
              <w:rPr>
                <w:sz w:val="15"/>
                <w:szCs w:val="15"/>
              </w:rPr>
            </w:pPr>
          </w:p>
        </w:tc>
        <w:tc>
          <w:tcPr>
            <w:tcW w:w="630" w:type="dxa"/>
            <w:shd w:val="clear" w:color="auto" w:fill="D9D9D9" w:themeFill="background1" w:themeFillShade="D9"/>
            <w:vAlign w:val="center"/>
          </w:tcPr>
          <w:p w14:paraId="21CB8B2A" w14:textId="77777777" w:rsidR="00681CDB"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18A69A95"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4A85152E" w14:textId="77777777" w:rsidR="00681CDB" w:rsidRDefault="00681CDB" w:rsidP="005B0D26">
            <w:pPr>
              <w:ind w:left="0"/>
              <w:jc w:val="center"/>
              <w:rPr>
                <w:sz w:val="15"/>
                <w:szCs w:val="15"/>
              </w:rPr>
            </w:pPr>
            <w:r>
              <w:rPr>
                <w:sz w:val="15"/>
                <w:szCs w:val="15"/>
              </w:rPr>
              <w:t>X</w:t>
            </w:r>
          </w:p>
        </w:tc>
      </w:tr>
      <w:tr w:rsidR="00681CDB" w14:paraId="4C036B98" w14:textId="77777777" w:rsidTr="005B0D26">
        <w:tc>
          <w:tcPr>
            <w:tcW w:w="535" w:type="dxa"/>
            <w:tcBorders>
              <w:left w:val="single" w:sz="4" w:space="0" w:color="auto"/>
            </w:tcBorders>
          </w:tcPr>
          <w:p w14:paraId="4B612E56" w14:textId="11F82DE9"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{"citationItems":[{"id":"ITEM-1","itemData":{"DOI":"10.2499/p15738coll2.133522","abstract":"This paper provides an updated analysis of the dietary patterns of Malawian households and their consumption of select nutrients - calories, protein, iron, vitamin A, zinc, and folate - using data from the third (2010/11) and fourth (2016/17) rounds of the Malawi Integrated Household Survey (IHS). Changes in food and nutrient consumption patterns between the two survey periods are examined across household wealth categories and across regions. Dietary diversity and patterns of food and nutrient consumption are found to differ significantly between rural and urban areas. Whereas urban households largely saw slightly increased or stable nutrient consumption between 2010/11 and 2016/17, most households in rural areas saw declines over this period. We also document small shifts in the relative amounts of foods consumed over this six-year period in both rural and urban households, with increased consumption of fish and pulses, legumes, and nuts, and decreases in meat, fruit, dairy, and root and tuber consumption. The contribution of animal-source foods as a share of total protein consumption remains low at between 10 and 20 percent, depending on the region, with the overall share of protein from animal-source foods falling slightly between the two surveys. With regards to adequacy of household diets for meeting nutrient requirements, in the absence of nutrient supplementation, many individuals will be subject to iron, vitamin A, and folate inadequacies. Of particular concern, the poorest households have very low nutrient consumption per person and have diets that rely on only a few foods from a small number of food groups. For all six nutrients, nationally just over half of the total amount of nutrient consumed came from food that was purchased. While we would expect this for urban households, even for rural households more than half of all calories and protein consumed came from foods that were purchased. For micronutrients consumed by rural households, between 40 and 50 percent came from purchased foods. While in the past, own production of food may have provided most Malawian households with most of the nutrients they consumed, this is no longer the case. For most Malawian households, including in rural communities, their food security and dietary nutritional needs now are equally tied to the market as to their own farming, if not more so. Drawing lessons from the analysis here for improving the food consumption data collected in the IHS surveys, more det…","author":[{"dropping-particle":"","family":"Gilbert","given":"Rachel","non-dropping-particle":"","parse-names":false,"suffix":""},{"dropping-particle":"","family":"Benson","given":"Todd","non-dropping-particle":"","parse-names":false,"suffix":""},{"dropping-particle":"","family":"Ecker","given":"Olivier","non-dropping-particle":"","parse-names":false,"suffix":""}],"container-title":"MaSSP Working Paper 30","id":"ITEM-1","issued":{"date-parts":[["2019"]]},"publisher-place":"Washington, DC","title":"Are Malawian diets changing? An assessment of nutrient consumption and dietary patterns using household-level evidence from 2010/11 and 2016/17","type":"report"},"uris":["http://www.mendeley.com/documents/?uuid=25752f21-9add-42fa-8bb9-270c5cee35d2"]}],"mendeley":{"formattedCitation":"&lt;sup&gt;(28)&lt;/sup&gt;","plainTextFormattedCitation":"(28)","previouslyFormattedCitation":"[28]"},"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(28)</w:t>
            </w:r>
            <w:r>
              <w:rPr>
                <w:sz w:val="15"/>
                <w:szCs w:val="15"/>
              </w:rPr>
              <w:fldChar w:fldCharType="end"/>
            </w:r>
          </w:p>
        </w:tc>
        <w:tc>
          <w:tcPr>
            <w:tcW w:w="2098" w:type="dxa"/>
          </w:tcPr>
          <w:p w14:paraId="6A3B7E51" w14:textId="77777777" w:rsidR="00681CDB" w:rsidRPr="00F02986" w:rsidRDefault="00681CDB" w:rsidP="005B0D26">
            <w:pPr>
              <w:ind w:left="0"/>
              <w:rPr>
                <w:sz w:val="15"/>
                <w:szCs w:val="15"/>
              </w:rPr>
            </w:pPr>
            <w:r w:rsidRPr="00F02986">
              <w:rPr>
                <w:sz w:val="15"/>
                <w:szCs w:val="15"/>
              </w:rPr>
              <w:t>Gilbert et al. (2019)</w:t>
            </w:r>
          </w:p>
        </w:tc>
        <w:tc>
          <w:tcPr>
            <w:tcW w:w="1531" w:type="dxa"/>
          </w:tcPr>
          <w:p w14:paraId="0769EAE8" w14:textId="77777777" w:rsidR="00681CDB" w:rsidRPr="00F02986" w:rsidRDefault="00681CDB" w:rsidP="005B0D26">
            <w:pPr>
              <w:ind w:left="0"/>
              <w:rPr>
                <w:sz w:val="15"/>
                <w:szCs w:val="15"/>
              </w:rPr>
            </w:pPr>
            <w:r w:rsidRPr="00F02986">
              <w:rPr>
                <w:sz w:val="15"/>
                <w:szCs w:val="15"/>
              </w:rPr>
              <w:t>Malawi</w:t>
            </w:r>
          </w:p>
        </w:tc>
        <w:tc>
          <w:tcPr>
            <w:tcW w:w="4291" w:type="dxa"/>
          </w:tcPr>
          <w:p w14:paraId="056574F7" w14:textId="77777777" w:rsidR="00681CDB" w:rsidRPr="00F03BC0" w:rsidRDefault="00681CDB" w:rsidP="005B0D26">
            <w:pPr>
              <w:ind w:left="0"/>
              <w:rPr>
                <w:sz w:val="15"/>
                <w:szCs w:val="15"/>
              </w:rPr>
            </w:pPr>
            <w:r>
              <w:rPr>
                <w:sz w:val="15"/>
                <w:szCs w:val="15"/>
              </w:rPr>
              <w:t>Third/Fourth</w:t>
            </w:r>
            <w:r w:rsidRPr="00F03BC0">
              <w:rPr>
                <w:sz w:val="15"/>
                <w:szCs w:val="15"/>
              </w:rPr>
              <w:t xml:space="preserve"> Integrated Household Survey </w:t>
            </w:r>
            <w:r>
              <w:rPr>
                <w:sz w:val="15"/>
                <w:szCs w:val="15"/>
              </w:rPr>
              <w:t>(2010/11, 2016/17)</w:t>
            </w:r>
          </w:p>
        </w:tc>
        <w:tc>
          <w:tcPr>
            <w:tcW w:w="1080" w:type="dxa"/>
            <w:gridSpan w:val="2"/>
            <w:vAlign w:val="center"/>
          </w:tcPr>
          <w:p w14:paraId="2044E16D" w14:textId="77777777" w:rsidR="00681CDB" w:rsidRPr="00F02986" w:rsidRDefault="00681CDB" w:rsidP="005B0D26">
            <w:pPr>
              <w:ind w:left="0"/>
              <w:jc w:val="center"/>
              <w:rPr>
                <w:sz w:val="15"/>
                <w:szCs w:val="15"/>
              </w:rPr>
            </w:pPr>
            <w:r>
              <w:rPr>
                <w:sz w:val="15"/>
                <w:szCs w:val="15"/>
              </w:rPr>
              <w:t>X</w:t>
            </w:r>
          </w:p>
        </w:tc>
        <w:tc>
          <w:tcPr>
            <w:tcW w:w="630" w:type="dxa"/>
            <w:vAlign w:val="center"/>
          </w:tcPr>
          <w:p w14:paraId="0D88E732" w14:textId="77777777" w:rsidR="00681CDB" w:rsidRDefault="00681CDB" w:rsidP="005B0D26">
            <w:pPr>
              <w:ind w:left="0"/>
              <w:jc w:val="center"/>
              <w:rPr>
                <w:sz w:val="15"/>
                <w:szCs w:val="15"/>
              </w:rPr>
            </w:pPr>
          </w:p>
        </w:tc>
        <w:tc>
          <w:tcPr>
            <w:tcW w:w="810" w:type="dxa"/>
            <w:vAlign w:val="center"/>
          </w:tcPr>
          <w:p w14:paraId="581A1F69"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7D33EC76" w14:textId="77777777" w:rsidR="00681CDB" w:rsidRDefault="00681CDB" w:rsidP="005B0D26">
            <w:pPr>
              <w:ind w:left="0"/>
              <w:jc w:val="center"/>
              <w:rPr>
                <w:sz w:val="15"/>
                <w:szCs w:val="15"/>
              </w:rPr>
            </w:pPr>
            <w:r>
              <w:rPr>
                <w:sz w:val="15"/>
                <w:szCs w:val="15"/>
              </w:rPr>
              <w:t>X</w:t>
            </w:r>
          </w:p>
        </w:tc>
      </w:tr>
      <w:tr w:rsidR="00681CDB" w14:paraId="685EAF63" w14:textId="77777777" w:rsidTr="005B0D26">
        <w:tc>
          <w:tcPr>
            <w:tcW w:w="535" w:type="dxa"/>
            <w:tcBorders>
              <w:left w:val="single" w:sz="4" w:space="0" w:color="auto"/>
            </w:tcBorders>
            <w:shd w:val="clear" w:color="auto" w:fill="D9D9D9" w:themeFill="background1" w:themeFillShade="D9"/>
          </w:tcPr>
          <w:p w14:paraId="3A438275" w14:textId="28998982"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{"citationItems":[{"id":"ITEM-1","itemData":{"DOI":"10.1007/s12571-019-00923-0","ISSN":"18764525","abstract":"The importance of forests in supporting the well-being of poor rural communities cannot be overstated, not only for improving food security but also for biodiversity conservation. For many people living in developing regions of the world, forests provide healthy and nutrient-dense foods which can improve overall diet quality and act as a safety net during times of hardship. Forests can also provide a source of income and facilitate certain agricultural practices, potentially allowing for poverty alleviation and mitigation. This study examined whether there was a relationship between forest cover and diet quality at the household level in rural southern Malawi. Nutrition data for 2084 households, collected as part of the 2010/11 Third Integrated Household Survey for Malawi (IHS3), were compared with a satellite-based land-cover map of Malawi. Households located in areas with a high percentage forest cover had significantly improved vitamin A adequacy compared to households in less forested areas. Also, vitamin A intake was significantly improved by consumption of wild plant foods. Forest cover was not associated with any other indicators of diet quality, but a number of social and demographic factors were significant determinants, including household size, education and access to markets. Further investigation of these associations is imperative at a time when forests are being cleared at an alarming rate to make way for agricultural production.","author":[{"dropping-particle":"","family":"Hall","given":"C.","non-dropping-particle":"","parse-names":false,"suffix":""},{"dropping-particle":"","family":"Macdiarmid","given":"J. I.","non-dropping-particle":"","parse-names":false,"suffix":""},{"dropping-particle":"","family":"Matthews","given":"R. B.","non-dropping-particle":"","parse-names":false,"suffix":""},{"dropping-particle":"","family":"Smith","given":"P.","non-dropping-particle":"","parse-names":false,"suffix":""},{"dropping-particle":"","family":"Hubbard","given":"S. F.","non-dropping-particle":"","parse-names":false,"suffix":""},{"dropping-particle":"","family":"Dawson","given":"T. P.","non-dropping-particle":"","parse-names":false,"suffix":""}],"container-title":"Food Security","id":"ITEM-1","issue":"3","issued":{"date-parts":[["2019"]]},"page":"635-650","title":"The relationship between forest cover and diet quality: a case study of rural southern Malawi","type":"article-journal","volume":"11"},"uris":["http://www.mendeley.com/documents/?uuid=decf7c62-f69e-485b-8dd4-0bf009339ee4"]}],"mendeley":{"formattedCitation":"&lt;sup&gt;(29)&lt;/sup&gt;","plainTextFormattedCitation":"(29)","previouslyFormattedCitation":"[29]"},"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(29)</w:t>
            </w:r>
            <w:r>
              <w:rPr>
                <w:sz w:val="15"/>
                <w:szCs w:val="15"/>
              </w:rPr>
              <w:fldChar w:fldCharType="end"/>
            </w:r>
          </w:p>
        </w:tc>
        <w:tc>
          <w:tcPr>
            <w:tcW w:w="2098" w:type="dxa"/>
            <w:shd w:val="clear" w:color="auto" w:fill="D9D9D9" w:themeFill="background1" w:themeFillShade="D9"/>
          </w:tcPr>
          <w:p w14:paraId="4AF08CFB" w14:textId="77777777" w:rsidR="00681CDB" w:rsidRPr="00F02986" w:rsidRDefault="00681CDB" w:rsidP="005B0D26">
            <w:pPr>
              <w:ind w:left="0"/>
              <w:rPr>
                <w:sz w:val="15"/>
                <w:szCs w:val="15"/>
              </w:rPr>
            </w:pPr>
            <w:r w:rsidRPr="00F02986">
              <w:rPr>
                <w:sz w:val="15"/>
                <w:szCs w:val="15"/>
              </w:rPr>
              <w:t>Hall et al. (2019)</w:t>
            </w:r>
          </w:p>
        </w:tc>
        <w:tc>
          <w:tcPr>
            <w:tcW w:w="1531" w:type="dxa"/>
            <w:shd w:val="clear" w:color="auto" w:fill="D9D9D9" w:themeFill="background1" w:themeFillShade="D9"/>
          </w:tcPr>
          <w:p w14:paraId="095D6828" w14:textId="77777777" w:rsidR="00681CDB" w:rsidRPr="00F02986" w:rsidRDefault="00681CDB" w:rsidP="005B0D26">
            <w:pPr>
              <w:ind w:left="0"/>
              <w:rPr>
                <w:sz w:val="15"/>
                <w:szCs w:val="15"/>
              </w:rPr>
            </w:pPr>
            <w:r w:rsidRPr="00F02986">
              <w:rPr>
                <w:sz w:val="15"/>
                <w:szCs w:val="15"/>
              </w:rPr>
              <w:t>Malawi</w:t>
            </w:r>
          </w:p>
        </w:tc>
        <w:tc>
          <w:tcPr>
            <w:tcW w:w="4291" w:type="dxa"/>
            <w:shd w:val="clear" w:color="auto" w:fill="D9D9D9" w:themeFill="background1" w:themeFillShade="D9"/>
          </w:tcPr>
          <w:p w14:paraId="5F717A61" w14:textId="77777777" w:rsidR="00681CDB" w:rsidRDefault="00681CDB" w:rsidP="005B0D26">
            <w:pPr>
              <w:ind w:left="0"/>
              <w:rPr>
                <w:sz w:val="15"/>
                <w:szCs w:val="15"/>
              </w:rPr>
            </w:pPr>
            <w:r>
              <w:rPr>
                <w:sz w:val="15"/>
                <w:szCs w:val="15"/>
              </w:rPr>
              <w:t xml:space="preserve">Third </w:t>
            </w:r>
            <w:r w:rsidRPr="00F03BC0">
              <w:rPr>
                <w:sz w:val="15"/>
                <w:szCs w:val="15"/>
              </w:rPr>
              <w:t xml:space="preserve">Integrated Household Survey </w:t>
            </w:r>
            <w:r>
              <w:rPr>
                <w:sz w:val="15"/>
                <w:szCs w:val="15"/>
              </w:rPr>
              <w:t>(2010/11)</w:t>
            </w:r>
          </w:p>
        </w:tc>
        <w:tc>
          <w:tcPr>
            <w:tcW w:w="1080" w:type="dxa"/>
            <w:gridSpan w:val="2"/>
            <w:shd w:val="clear" w:color="auto" w:fill="D9D9D9" w:themeFill="background1" w:themeFillShade="D9"/>
            <w:vAlign w:val="center"/>
          </w:tcPr>
          <w:p w14:paraId="1F70CFC1" w14:textId="77777777" w:rsidR="00681CDB" w:rsidRDefault="00681CDB" w:rsidP="005B0D26">
            <w:pPr>
              <w:ind w:left="0"/>
              <w:jc w:val="center"/>
              <w:rPr>
                <w:sz w:val="15"/>
                <w:szCs w:val="15"/>
              </w:rPr>
            </w:pPr>
          </w:p>
        </w:tc>
        <w:tc>
          <w:tcPr>
            <w:tcW w:w="630" w:type="dxa"/>
            <w:shd w:val="clear" w:color="auto" w:fill="D9D9D9" w:themeFill="background1" w:themeFillShade="D9"/>
            <w:vAlign w:val="center"/>
          </w:tcPr>
          <w:p w14:paraId="45DEE3E6" w14:textId="77777777" w:rsidR="00681CDB"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12D9BEA8" w14:textId="77777777" w:rsidR="00681CDB" w:rsidRPr="00F02986" w:rsidRDefault="00681CDB" w:rsidP="005B0D26">
            <w:pPr>
              <w:ind w:left="0"/>
              <w:jc w:val="center"/>
              <w:rPr>
                <w:sz w:val="15"/>
                <w:szCs w:val="15"/>
              </w:rPr>
            </w:pPr>
          </w:p>
        </w:tc>
        <w:tc>
          <w:tcPr>
            <w:tcW w:w="990" w:type="dxa"/>
            <w:tcBorders>
              <w:right w:val="single" w:sz="4" w:space="0" w:color="auto"/>
            </w:tcBorders>
            <w:shd w:val="clear" w:color="auto" w:fill="D9D9D9" w:themeFill="background1" w:themeFillShade="D9"/>
            <w:vAlign w:val="center"/>
          </w:tcPr>
          <w:p w14:paraId="4673ED2D" w14:textId="77777777" w:rsidR="00681CDB" w:rsidRDefault="00681CDB" w:rsidP="005B0D26">
            <w:pPr>
              <w:ind w:left="0"/>
              <w:jc w:val="center"/>
              <w:rPr>
                <w:sz w:val="15"/>
                <w:szCs w:val="15"/>
              </w:rPr>
            </w:pPr>
            <w:r>
              <w:rPr>
                <w:sz w:val="15"/>
                <w:szCs w:val="15"/>
              </w:rPr>
              <w:t>X</w:t>
            </w:r>
          </w:p>
        </w:tc>
      </w:tr>
      <w:tr w:rsidR="00681CDB" w14:paraId="32042DB4" w14:textId="77777777" w:rsidTr="005B0D26">
        <w:tc>
          <w:tcPr>
            <w:tcW w:w="535" w:type="dxa"/>
            <w:tcBorders>
              <w:left w:val="single" w:sz="4" w:space="0" w:color="auto"/>
            </w:tcBorders>
          </w:tcPr>
          <w:p w14:paraId="137B5337" w14:textId="192A8CF6"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{"citationItems":[{"id":"ITEM-1","itemData":{"DOI":"10.1017/S1368980015003237","ISSN":"14752727","abstract":"Objective To revisit seasonality by assessing how household diets vary across agricultural seasons in rural and urban Ethiopia. The role of seasonality on the sources and intake of energy (per capita) and household dietary diversity score (HDDS) was analysed. Design The use of nationally representative household-level data collected each month over one year to study the seasonal changes in the sources and intake of energy and HDDS. Setting Eleven regions of Ethiopia, including rural and urban settings. Subjects Total of 27 835 households were interviewed between July 2010 and July 2011 in all eleven regions of the country. On average each month saw 2300 household interviews, yielding nationally representative data for each calendar month. Results For rural households, the mean daily per capita energy intake was 10 288 kJ (2459 kcal) in February (post-harvest period) and lower in the lean season: 9703 kJ (2319 kcal) in June (P&lt;0·05) and 9552 kJ (2283 kcal) in July (P&lt;0·001). HDDS for rural households was highest in February (6·73) and lowest in June (5·98; P&lt;0·001) but high again in July (6·57). Urban energy intake was also lower in the lean season but HDDS varied less by season. Considerable seasonal variation was also found in energy sources in rural areas, less so in urban areas. Conclusions Household diets in Ethiopia remain subjected to significant seasonal stress. HDDS and food security measured using energy intake do not always agree. Preferably, HDDS and energy intake data should be used together to assess food security.","author":[{"dropping-particle":"","family":"Hirvonen","given":"Kalle","non-dropping-particle":"","parse-names":false,"suffix":""},{"dropping-particle":"","family":"Taffesse","given":"Alemayehu Seyoum","non-dropping-particle":"","parse-names":false,"suffix":""},{"dropping-particle":"","family":"Worku Hassen","given":"Ibrahim","non-dropping-particle":"","parse-names":false,"suffix":""}],"container-title":"Public Health Nutrition","id":"ITEM-1","issue":"10","issued":{"date-parts":[["2016"]]},"page":"1723-1730","title":"Seasonality and household diets in Ethiopia","type":"article-journal","volume":"19"},"uris":["http://www.mendeley.com/documents/?uuid=ca7001f0-feff-4b8c-a2e9-a7b953668e7a"]}],"mendeley":{"formattedCitation":"&lt;sup&gt;(30)&lt;/sup&gt;","plainTextFormattedCitation":"(30)","previouslyFormattedCitation":"[30]"},"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(30)</w:t>
            </w:r>
            <w:r>
              <w:rPr>
                <w:sz w:val="15"/>
                <w:szCs w:val="15"/>
              </w:rPr>
              <w:fldChar w:fldCharType="end"/>
            </w:r>
          </w:p>
        </w:tc>
        <w:tc>
          <w:tcPr>
            <w:tcW w:w="2098" w:type="dxa"/>
          </w:tcPr>
          <w:p w14:paraId="7D342E2F" w14:textId="77777777" w:rsidR="00681CDB" w:rsidRPr="00F02986" w:rsidRDefault="00681CDB" w:rsidP="005B0D26">
            <w:pPr>
              <w:ind w:left="0"/>
              <w:rPr>
                <w:sz w:val="15"/>
                <w:szCs w:val="15"/>
              </w:rPr>
            </w:pPr>
            <w:proofErr w:type="spellStart"/>
            <w:r w:rsidRPr="00F02986">
              <w:rPr>
                <w:sz w:val="15"/>
                <w:szCs w:val="15"/>
              </w:rPr>
              <w:t>Hirvonen</w:t>
            </w:r>
            <w:proofErr w:type="spellEnd"/>
            <w:r w:rsidRPr="00F02986">
              <w:rPr>
                <w:sz w:val="15"/>
                <w:szCs w:val="15"/>
              </w:rPr>
              <w:t xml:space="preserve"> et al. (2016)</w:t>
            </w:r>
          </w:p>
        </w:tc>
        <w:tc>
          <w:tcPr>
            <w:tcW w:w="1531" w:type="dxa"/>
          </w:tcPr>
          <w:p w14:paraId="55DCACAC" w14:textId="77777777" w:rsidR="00681CDB" w:rsidRPr="00F02986" w:rsidRDefault="00681CDB" w:rsidP="005B0D26">
            <w:pPr>
              <w:ind w:left="0"/>
              <w:rPr>
                <w:sz w:val="15"/>
                <w:szCs w:val="15"/>
              </w:rPr>
            </w:pPr>
            <w:r w:rsidRPr="00F02986">
              <w:rPr>
                <w:sz w:val="15"/>
                <w:szCs w:val="15"/>
              </w:rPr>
              <w:t>Ethiopia</w:t>
            </w:r>
          </w:p>
        </w:tc>
        <w:tc>
          <w:tcPr>
            <w:tcW w:w="4291" w:type="dxa"/>
          </w:tcPr>
          <w:p w14:paraId="0DD91608" w14:textId="77777777" w:rsidR="00681CDB" w:rsidRDefault="00681CDB" w:rsidP="005B0D26">
            <w:pPr>
              <w:ind w:left="0"/>
              <w:rPr>
                <w:sz w:val="15"/>
                <w:szCs w:val="15"/>
              </w:rPr>
            </w:pPr>
            <w:r w:rsidRPr="00F03BC0">
              <w:rPr>
                <w:sz w:val="15"/>
                <w:szCs w:val="15"/>
              </w:rPr>
              <w:t>﻿Household Consumption Expenditure Survey (2010/11)</w:t>
            </w:r>
          </w:p>
        </w:tc>
        <w:tc>
          <w:tcPr>
            <w:tcW w:w="1080" w:type="dxa"/>
            <w:gridSpan w:val="2"/>
            <w:vAlign w:val="center"/>
          </w:tcPr>
          <w:p w14:paraId="5C2EF8B0" w14:textId="77777777" w:rsidR="00681CDB" w:rsidRDefault="00681CDB" w:rsidP="005B0D26">
            <w:pPr>
              <w:ind w:left="0"/>
              <w:jc w:val="center"/>
              <w:rPr>
                <w:sz w:val="15"/>
                <w:szCs w:val="15"/>
              </w:rPr>
            </w:pPr>
            <w:r>
              <w:rPr>
                <w:sz w:val="15"/>
                <w:szCs w:val="15"/>
              </w:rPr>
              <w:t>X</w:t>
            </w:r>
          </w:p>
        </w:tc>
        <w:tc>
          <w:tcPr>
            <w:tcW w:w="630" w:type="dxa"/>
            <w:vAlign w:val="center"/>
          </w:tcPr>
          <w:p w14:paraId="1107523B" w14:textId="77777777" w:rsidR="00681CDB" w:rsidRDefault="00681CDB" w:rsidP="005B0D26">
            <w:pPr>
              <w:ind w:left="0"/>
              <w:jc w:val="center"/>
              <w:rPr>
                <w:sz w:val="15"/>
                <w:szCs w:val="15"/>
              </w:rPr>
            </w:pPr>
          </w:p>
        </w:tc>
        <w:tc>
          <w:tcPr>
            <w:tcW w:w="810" w:type="dxa"/>
            <w:vAlign w:val="center"/>
          </w:tcPr>
          <w:p w14:paraId="60EA5030" w14:textId="77777777" w:rsidR="00681CDB" w:rsidRPr="00F02986" w:rsidRDefault="00681CDB" w:rsidP="005B0D26">
            <w:pPr>
              <w:ind w:left="0"/>
              <w:jc w:val="center"/>
              <w:rPr>
                <w:sz w:val="15"/>
                <w:szCs w:val="15"/>
              </w:rPr>
            </w:pPr>
          </w:p>
        </w:tc>
        <w:tc>
          <w:tcPr>
            <w:tcW w:w="990" w:type="dxa"/>
            <w:tcBorders>
              <w:right w:val="single" w:sz="4" w:space="0" w:color="auto"/>
            </w:tcBorders>
            <w:vAlign w:val="center"/>
          </w:tcPr>
          <w:p w14:paraId="18132877" w14:textId="77777777" w:rsidR="00681CDB" w:rsidRDefault="00681CDB" w:rsidP="005B0D26">
            <w:pPr>
              <w:ind w:left="0"/>
              <w:jc w:val="center"/>
              <w:rPr>
                <w:sz w:val="15"/>
                <w:szCs w:val="15"/>
              </w:rPr>
            </w:pPr>
          </w:p>
        </w:tc>
      </w:tr>
      <w:tr w:rsidR="00681CDB" w14:paraId="2E456661" w14:textId="77777777" w:rsidTr="005B0D26">
        <w:tc>
          <w:tcPr>
            <w:tcW w:w="535" w:type="dxa"/>
            <w:tcBorders>
              <w:left w:val="single" w:sz="4" w:space="0" w:color="auto"/>
              <w:bottom w:val="single" w:sz="4" w:space="0" w:color="auto"/>
            </w:tcBorders>
            <w:shd w:val="clear" w:color="auto" w:fill="D9D9D9" w:themeFill="background1" w:themeFillShade="D9"/>
          </w:tcPr>
          <w:p w14:paraId="655A2F60" w14:textId="7E5BF9DA" w:rsidR="00681CDB"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{"citationItems":[{"id":"ITEM-1","itemData":{"DOI":"10.1177/0379572116653509","ISSN":"03795721","abstract":"Background: Poverty and food insecurity are intrinsically linked as poor households often lack the resources required to access sufficient nutritious food to live an active and healthy life. Consumption and expenditure surveys are typically used to identify poor versus nonpoor households but are detailed and costly. Measures of wealth based on asset ownership and housing characteristics can be generated from lighter, less costly surveys. Objective: To examine whether indices based on asset ownership and housing characteristics (stock) complement household consumption (flow) when used to analyze inequalities in food security outcomes. Methods: Comprehensive data from Nepal, Malawi, Tanzania, Uganda, and Madagascar are used to examine correlations and overlaps in classification between indices of household wealth and consumption per capita. Inequality in food security indicators representing quantity, quality, and vulnerability is examined across wealth and consumption per capita quintiles. Results: Wealth indices are correlated with consumption per capita, with coefficients between 0.5 and 0.6. The prevalence of food insecurity decreases from poorer to wealthier quintiles for all variables and for all food security measures in all countries. Energy deficiency varies much more across consumption quintiles than wealth index quintiles. Interestingly, inequalities in the share of consumption of food are more pronounced across the wealth index quintiles than per capita consumption. Conclusion: Although wealth indices and consumption per capita are related and both are drivers of food security, they cannot be used interchangeably for food security analysis. Each inequality measure is important for describing different aspects of food security.","author":[{"dropping-particle":"","family":"Hjelm","given":"Lisa","non-dropping-particle":"","parse-names":false,"suffix":""},{"dropping-particle":"","family":"Mathiassen","given":"Astrid","non-dropping-particle":"","parse-names":false,"suffix":""},{"dropping-particle":"","family":"Wadhwa","given":"Amit","non-dropping-particle":"","parse-names":false,"suffix":""}],"container-title":"Food and Nutrition Bulletin","id":"ITEM-1","issue":"3","issued":{"date-parts":[["2016"]]},"page":"275-289","title":"Measuring Poverty for Food Security Analysis: Consumption-Versus Asset-Based Approaches","type":"article-journal","volume":"37"},"uris":["http://www.mendeley.com/documents/?uuid=f7853e84-2ac2-443e-8e43-dae60c1a83ae"]}],"mendeley":{"formattedCitation":"&lt;sup&gt;(31)&lt;/sup&gt;","plainTextFormattedCitation":"(31)","previouslyFormattedCitation":"[31]"},"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(31)</w:t>
            </w:r>
            <w:r>
              <w:rPr>
                <w:sz w:val="15"/>
                <w:szCs w:val="15"/>
              </w:rPr>
              <w:fldChar w:fldCharType="end"/>
            </w:r>
          </w:p>
        </w:tc>
        <w:tc>
          <w:tcPr>
            <w:tcW w:w="2098" w:type="dxa"/>
            <w:tcBorders>
              <w:bottom w:val="single" w:sz="4" w:space="0" w:color="auto"/>
            </w:tcBorders>
            <w:shd w:val="clear" w:color="auto" w:fill="D9D9D9" w:themeFill="background1" w:themeFillShade="D9"/>
          </w:tcPr>
          <w:p w14:paraId="4FD85FAC" w14:textId="77777777" w:rsidR="00681CDB" w:rsidRPr="00F02986" w:rsidRDefault="00681CDB" w:rsidP="005B0D26">
            <w:pPr>
              <w:ind w:left="0"/>
              <w:rPr>
                <w:sz w:val="15"/>
                <w:szCs w:val="15"/>
              </w:rPr>
            </w:pPr>
            <w:proofErr w:type="spellStart"/>
            <w:r w:rsidRPr="00F02986">
              <w:rPr>
                <w:sz w:val="15"/>
                <w:szCs w:val="15"/>
              </w:rPr>
              <w:t>Hjelm</w:t>
            </w:r>
            <w:proofErr w:type="spellEnd"/>
            <w:r w:rsidRPr="00F02986">
              <w:rPr>
                <w:sz w:val="15"/>
                <w:szCs w:val="15"/>
              </w:rPr>
              <w:t xml:space="preserve"> et al. (2016)</w:t>
            </w:r>
          </w:p>
        </w:tc>
        <w:tc>
          <w:tcPr>
            <w:tcW w:w="1531" w:type="dxa"/>
            <w:tcBorders>
              <w:bottom w:val="single" w:sz="4" w:space="0" w:color="auto"/>
            </w:tcBorders>
            <w:shd w:val="clear" w:color="auto" w:fill="D9D9D9" w:themeFill="background1" w:themeFillShade="D9"/>
          </w:tcPr>
          <w:p w14:paraId="3ADB359B" w14:textId="77777777" w:rsidR="00681CDB" w:rsidRPr="006A3C54" w:rsidRDefault="00681CDB" w:rsidP="005B0D26">
            <w:pPr>
              <w:ind w:left="0"/>
              <w:rPr>
                <w:sz w:val="15"/>
                <w:szCs w:val="15"/>
              </w:rPr>
            </w:pPr>
            <w:r w:rsidRPr="00F02986">
              <w:rPr>
                <w:sz w:val="15"/>
                <w:szCs w:val="15"/>
                <w:lang w:val="fr-FR"/>
              </w:rPr>
              <w:t>Madagascar</w:t>
            </w:r>
            <w:r>
              <w:rPr>
                <w:sz w:val="15"/>
                <w:szCs w:val="15"/>
                <w:lang w:val="fr-FR"/>
              </w:rPr>
              <w:t>,</w:t>
            </w:r>
            <w:r w:rsidRPr="00F02986">
              <w:rPr>
                <w:sz w:val="15"/>
                <w:szCs w:val="15"/>
                <w:lang w:val="fr-FR"/>
              </w:rPr>
              <w:t xml:space="preserve"> Malawi, </w:t>
            </w:r>
            <w:proofErr w:type="spellStart"/>
            <w:r w:rsidRPr="00F02986">
              <w:rPr>
                <w:sz w:val="15"/>
                <w:szCs w:val="15"/>
                <w:lang w:val="fr-FR"/>
              </w:rPr>
              <w:t>Nepal</w:t>
            </w:r>
            <w:proofErr w:type="spellEnd"/>
            <w:r w:rsidRPr="00F02986">
              <w:rPr>
                <w:sz w:val="15"/>
                <w:szCs w:val="15"/>
                <w:lang w:val="fr-FR"/>
              </w:rPr>
              <w:t xml:space="preserve">, </w:t>
            </w:r>
            <w:proofErr w:type="spellStart"/>
            <w:r w:rsidRPr="00F02986">
              <w:rPr>
                <w:sz w:val="15"/>
                <w:szCs w:val="15"/>
                <w:lang w:val="fr-FR"/>
              </w:rPr>
              <w:t>Tanzania</w:t>
            </w:r>
            <w:proofErr w:type="spellEnd"/>
            <w:r w:rsidRPr="00F02986">
              <w:rPr>
                <w:sz w:val="15"/>
                <w:szCs w:val="15"/>
                <w:lang w:val="fr-FR"/>
              </w:rPr>
              <w:t>, Uganda</w:t>
            </w:r>
          </w:p>
        </w:tc>
        <w:tc>
          <w:tcPr>
            <w:tcW w:w="4291" w:type="dxa"/>
            <w:tcBorders>
              <w:bottom w:val="single" w:sz="4" w:space="0" w:color="auto"/>
            </w:tcBorders>
            <w:shd w:val="clear" w:color="auto" w:fill="D9D9D9" w:themeFill="background1" w:themeFillShade="D9"/>
          </w:tcPr>
          <w:p w14:paraId="06A45946" w14:textId="77777777" w:rsidR="00681CDB" w:rsidRDefault="00681CDB" w:rsidP="005B0D26">
            <w:pPr>
              <w:ind w:left="0"/>
              <w:rPr>
                <w:sz w:val="15"/>
                <w:szCs w:val="15"/>
                <w:lang w:val="fr-FR"/>
              </w:rPr>
            </w:pPr>
            <w:r w:rsidRPr="00F03BC0">
              <w:rPr>
                <w:sz w:val="15"/>
                <w:szCs w:val="15"/>
                <w:lang w:val="fr-FR"/>
              </w:rPr>
              <w:t>Enquête Nationale Sur le Suivi des Objectifs du Millénaire pour le Développement à Madagascar (ENSOMD)</w:t>
            </w:r>
            <w:r>
              <w:rPr>
                <w:sz w:val="15"/>
                <w:szCs w:val="15"/>
                <w:lang w:val="fr-FR"/>
              </w:rPr>
              <w:t> ;</w:t>
            </w:r>
          </w:p>
          <w:p w14:paraId="6A017D5D" w14:textId="77777777" w:rsidR="00681CDB" w:rsidRPr="00E27817" w:rsidRDefault="00681CDB" w:rsidP="005B0D26">
            <w:pPr>
              <w:ind w:left="0"/>
              <w:rPr>
                <w:sz w:val="15"/>
                <w:szCs w:val="15"/>
              </w:rPr>
            </w:pPr>
            <w:r w:rsidRPr="00E27817">
              <w:rPr>
                <w:sz w:val="15"/>
                <w:szCs w:val="15"/>
              </w:rPr>
              <w:t>Third Integrated Household Survey (2010/11</w:t>
            </w:r>
            <w:proofErr w:type="gramStart"/>
            <w:r w:rsidRPr="00E27817">
              <w:rPr>
                <w:sz w:val="15"/>
                <w:szCs w:val="15"/>
              </w:rPr>
              <w:t>);</w:t>
            </w:r>
            <w:proofErr w:type="gramEnd"/>
          </w:p>
          <w:p w14:paraId="563335B2" w14:textId="77777777" w:rsidR="00681CDB" w:rsidRPr="00F03BC0" w:rsidRDefault="00681CDB" w:rsidP="005B0D26">
            <w:pPr>
              <w:ind w:left="0"/>
              <w:rPr>
                <w:sz w:val="15"/>
                <w:szCs w:val="15"/>
              </w:rPr>
            </w:pPr>
            <w:r w:rsidRPr="00F03BC0">
              <w:rPr>
                <w:sz w:val="15"/>
                <w:szCs w:val="15"/>
              </w:rPr>
              <w:t>Nepal Living Standard Survey (2010/11</w:t>
            </w:r>
            <w:proofErr w:type="gramStart"/>
            <w:r w:rsidRPr="00F03BC0">
              <w:rPr>
                <w:sz w:val="15"/>
                <w:szCs w:val="15"/>
              </w:rPr>
              <w:t>);</w:t>
            </w:r>
            <w:proofErr w:type="gramEnd"/>
          </w:p>
          <w:p w14:paraId="059FD080" w14:textId="77777777" w:rsidR="00681CDB" w:rsidRPr="00F03BC0" w:rsidRDefault="00681CDB" w:rsidP="005B0D26">
            <w:pPr>
              <w:ind w:left="0"/>
              <w:rPr>
                <w:sz w:val="15"/>
                <w:szCs w:val="15"/>
              </w:rPr>
            </w:pPr>
            <w:r w:rsidRPr="00F03BC0">
              <w:rPr>
                <w:sz w:val="15"/>
                <w:szCs w:val="15"/>
              </w:rPr>
              <w:t>Tanzania National Panel Survey (2010/2011</w:t>
            </w:r>
            <w:proofErr w:type="gramStart"/>
            <w:r w:rsidRPr="00F03BC0">
              <w:rPr>
                <w:sz w:val="15"/>
                <w:szCs w:val="15"/>
              </w:rPr>
              <w:t>);</w:t>
            </w:r>
            <w:proofErr w:type="gramEnd"/>
          </w:p>
          <w:p w14:paraId="5F0E6204" w14:textId="77777777" w:rsidR="00681CDB" w:rsidRDefault="00681CDB" w:rsidP="005B0D26">
            <w:pPr>
              <w:ind w:left="0"/>
              <w:rPr>
                <w:sz w:val="15"/>
                <w:szCs w:val="15"/>
              </w:rPr>
            </w:pPr>
            <w:r w:rsidRPr="00F03BC0">
              <w:rPr>
                <w:sz w:val="15"/>
                <w:szCs w:val="15"/>
              </w:rPr>
              <w:t>Uganda National Panel Survey (2009/2010)</w:t>
            </w:r>
          </w:p>
        </w:tc>
        <w:tc>
          <w:tcPr>
            <w:tcW w:w="1080" w:type="dxa"/>
            <w:gridSpan w:val="2"/>
            <w:tcBorders>
              <w:bottom w:val="single" w:sz="4" w:space="0" w:color="auto"/>
            </w:tcBorders>
            <w:shd w:val="clear" w:color="auto" w:fill="D9D9D9" w:themeFill="background1" w:themeFillShade="D9"/>
            <w:vAlign w:val="center"/>
          </w:tcPr>
          <w:p w14:paraId="45D3110A" w14:textId="77777777" w:rsidR="00681CDB" w:rsidRDefault="00681CDB" w:rsidP="005B0D26">
            <w:pPr>
              <w:ind w:left="0"/>
              <w:jc w:val="center"/>
              <w:rPr>
                <w:sz w:val="15"/>
                <w:szCs w:val="15"/>
              </w:rPr>
            </w:pPr>
            <w:r>
              <w:rPr>
                <w:sz w:val="15"/>
                <w:szCs w:val="15"/>
                <w:lang w:val="fr-FR"/>
              </w:rPr>
              <w:t>X</w:t>
            </w:r>
          </w:p>
        </w:tc>
        <w:tc>
          <w:tcPr>
            <w:tcW w:w="630" w:type="dxa"/>
            <w:tcBorders>
              <w:bottom w:val="single" w:sz="4" w:space="0" w:color="auto"/>
            </w:tcBorders>
            <w:shd w:val="clear" w:color="auto" w:fill="D9D9D9" w:themeFill="background1" w:themeFillShade="D9"/>
            <w:vAlign w:val="center"/>
          </w:tcPr>
          <w:p w14:paraId="4D418173" w14:textId="77777777" w:rsidR="00681CDB" w:rsidRDefault="00681CDB" w:rsidP="005B0D26">
            <w:pPr>
              <w:ind w:left="0"/>
              <w:jc w:val="center"/>
              <w:rPr>
                <w:sz w:val="15"/>
                <w:szCs w:val="15"/>
              </w:rPr>
            </w:pPr>
            <w:r>
              <w:rPr>
                <w:sz w:val="15"/>
                <w:szCs w:val="15"/>
                <w:lang w:val="fr-FR"/>
              </w:rPr>
              <w:t>X</w:t>
            </w:r>
          </w:p>
        </w:tc>
        <w:tc>
          <w:tcPr>
            <w:tcW w:w="810" w:type="dxa"/>
            <w:tcBorders>
              <w:bottom w:val="single" w:sz="4" w:space="0" w:color="auto"/>
            </w:tcBorders>
            <w:shd w:val="clear" w:color="auto" w:fill="D9D9D9" w:themeFill="background1" w:themeFillShade="D9"/>
            <w:vAlign w:val="center"/>
          </w:tcPr>
          <w:p w14:paraId="65100A4B" w14:textId="77777777" w:rsidR="00681CDB" w:rsidRPr="00F02986" w:rsidRDefault="00681CDB" w:rsidP="005B0D26">
            <w:pPr>
              <w:ind w:left="0"/>
              <w:jc w:val="center"/>
              <w:rPr>
                <w:sz w:val="15"/>
                <w:szCs w:val="15"/>
              </w:rPr>
            </w:pPr>
          </w:p>
        </w:tc>
        <w:tc>
          <w:tcPr>
            <w:tcW w:w="990" w:type="dxa"/>
            <w:tcBorders>
              <w:bottom w:val="single" w:sz="4" w:space="0" w:color="auto"/>
              <w:right w:val="single" w:sz="4" w:space="0" w:color="auto"/>
            </w:tcBorders>
            <w:shd w:val="clear" w:color="auto" w:fill="D9D9D9" w:themeFill="background1" w:themeFillShade="D9"/>
            <w:vAlign w:val="center"/>
          </w:tcPr>
          <w:p w14:paraId="3367C034" w14:textId="77777777" w:rsidR="00681CDB" w:rsidRDefault="00681CDB" w:rsidP="005B0D26">
            <w:pPr>
              <w:ind w:left="0"/>
              <w:jc w:val="center"/>
              <w:rPr>
                <w:sz w:val="15"/>
                <w:szCs w:val="15"/>
              </w:rPr>
            </w:pPr>
            <w:r>
              <w:rPr>
                <w:sz w:val="15"/>
                <w:szCs w:val="15"/>
                <w:lang w:val="fr-FR"/>
              </w:rPr>
              <w:t>X</w:t>
            </w:r>
          </w:p>
        </w:tc>
      </w:tr>
    </w:tbl>
    <w:p w14:paraId="377568C3" w14:textId="77777777" w:rsidR="00681CDB" w:rsidRDefault="00681CDB" w:rsidP="00681CDB">
      <w:r>
        <w:t xml:space="preserve"> </w:t>
      </w:r>
      <w:r>
        <w:br w:type="page"/>
      </w:r>
    </w:p>
    <w:p w14:paraId="2E40CC4B" w14:textId="77777777" w:rsidR="00681CDB" w:rsidRDefault="00681CDB" w:rsidP="00681CDB">
      <w:pPr>
        <w:sectPr w:rsidR="00681CDB" w:rsidSect="00B74CF0">
          <w:pgSz w:w="15840" w:h="12240" w:orient="landscape"/>
          <w:pgMar w:top="1440" w:right="1440" w:bottom="1440" w:left="1440" w:header="720" w:footer="720" w:gutter="0"/>
          <w:lnNumType w:countBy="1" w:restart="continuous"/>
          <w:cols w:space="720"/>
          <w:docGrid w:linePitch="360"/>
        </w:sectPr>
      </w:pPr>
      <w:bookmarkStart w:id="2" w:name="OLE_LINK2"/>
    </w:p>
    <w:tbl>
      <w:tblPr>
        <w:tblStyle w:val="TableGrid"/>
        <w:tblpPr w:leftFromText="180" w:rightFromText="180" w:vertAnchor="text" w:tblpY="1"/>
        <w:tblOverlap w:val="never"/>
        <w:tblW w:w="11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2066"/>
        <w:gridCol w:w="1350"/>
        <w:gridCol w:w="4406"/>
        <w:gridCol w:w="990"/>
        <w:gridCol w:w="810"/>
        <w:gridCol w:w="746"/>
        <w:gridCol w:w="970"/>
      </w:tblGrid>
      <w:tr w:rsidR="00681CDB" w:rsidRPr="005927F0" w14:paraId="44DF13C3" w14:textId="77777777" w:rsidTr="005B0D26">
        <w:tc>
          <w:tcPr>
            <w:tcW w:w="537" w:type="dxa"/>
            <w:tcBorders>
              <w:top w:val="single" w:sz="4" w:space="0" w:color="auto"/>
              <w:left w:val="single" w:sz="4" w:space="0" w:color="auto"/>
              <w:bottom w:val="single" w:sz="4" w:space="0" w:color="auto"/>
            </w:tcBorders>
          </w:tcPr>
          <w:bookmarkEnd w:id="2"/>
          <w:p w14:paraId="06EA2FB8" w14:textId="77777777" w:rsidR="00681CDB" w:rsidRPr="00B4313E" w:rsidRDefault="00681CDB" w:rsidP="005B0D26">
            <w:pPr>
              <w:ind w:left="0"/>
              <w:rPr>
                <w:b/>
                <w:bCs/>
                <w:sz w:val="15"/>
                <w:szCs w:val="15"/>
              </w:rPr>
            </w:pPr>
            <w:r>
              <w:rPr>
                <w:b/>
                <w:bCs/>
                <w:sz w:val="15"/>
                <w:szCs w:val="15"/>
              </w:rPr>
              <w:lastRenderedPageBreak/>
              <w:t xml:space="preserve">Ref </w:t>
            </w:r>
            <w:r w:rsidRPr="00B4313E">
              <w:rPr>
                <w:b/>
                <w:bCs/>
                <w:sz w:val="15"/>
                <w:szCs w:val="15"/>
              </w:rPr>
              <w:t>#</w:t>
            </w:r>
          </w:p>
        </w:tc>
        <w:tc>
          <w:tcPr>
            <w:tcW w:w="2066" w:type="dxa"/>
            <w:tcBorders>
              <w:top w:val="single" w:sz="4" w:space="0" w:color="auto"/>
              <w:bottom w:val="single" w:sz="4" w:space="0" w:color="auto"/>
            </w:tcBorders>
          </w:tcPr>
          <w:p w14:paraId="61354A7B" w14:textId="77777777" w:rsidR="00681CDB" w:rsidRPr="00B4313E" w:rsidRDefault="00681CDB" w:rsidP="005B0D26">
            <w:pPr>
              <w:ind w:left="0"/>
              <w:rPr>
                <w:b/>
                <w:bCs/>
                <w:sz w:val="15"/>
                <w:szCs w:val="15"/>
              </w:rPr>
            </w:pPr>
            <w:r w:rsidRPr="00B4313E">
              <w:rPr>
                <w:b/>
                <w:bCs/>
                <w:sz w:val="15"/>
                <w:szCs w:val="15"/>
              </w:rPr>
              <w:t>Reference</w:t>
            </w:r>
          </w:p>
        </w:tc>
        <w:tc>
          <w:tcPr>
            <w:tcW w:w="1350" w:type="dxa"/>
            <w:tcBorders>
              <w:top w:val="single" w:sz="4" w:space="0" w:color="auto"/>
              <w:bottom w:val="single" w:sz="4" w:space="0" w:color="auto"/>
            </w:tcBorders>
          </w:tcPr>
          <w:p w14:paraId="54774A11" w14:textId="77777777" w:rsidR="00681CDB" w:rsidRPr="00B4313E" w:rsidRDefault="00681CDB" w:rsidP="005B0D26">
            <w:pPr>
              <w:ind w:left="0"/>
              <w:rPr>
                <w:b/>
                <w:bCs/>
                <w:sz w:val="15"/>
                <w:szCs w:val="15"/>
              </w:rPr>
            </w:pPr>
            <w:r w:rsidRPr="00B4313E">
              <w:rPr>
                <w:b/>
                <w:bCs/>
                <w:sz w:val="15"/>
                <w:szCs w:val="15"/>
              </w:rPr>
              <w:t>Country</w:t>
            </w:r>
          </w:p>
        </w:tc>
        <w:tc>
          <w:tcPr>
            <w:tcW w:w="4406" w:type="dxa"/>
            <w:tcBorders>
              <w:top w:val="single" w:sz="4" w:space="0" w:color="auto"/>
              <w:bottom w:val="single" w:sz="4" w:space="0" w:color="auto"/>
            </w:tcBorders>
          </w:tcPr>
          <w:p w14:paraId="7F6151E7" w14:textId="77777777" w:rsidR="00681CDB" w:rsidRPr="00B4313E" w:rsidRDefault="00681CDB" w:rsidP="005B0D26">
            <w:pPr>
              <w:ind w:left="0"/>
              <w:rPr>
                <w:b/>
                <w:bCs/>
                <w:sz w:val="15"/>
                <w:szCs w:val="15"/>
              </w:rPr>
            </w:pPr>
            <w:r w:rsidRPr="00B4313E">
              <w:rPr>
                <w:b/>
                <w:bCs/>
                <w:sz w:val="15"/>
                <w:szCs w:val="15"/>
              </w:rPr>
              <w:t>Household consumption &amp; expenditure data source</w:t>
            </w:r>
          </w:p>
        </w:tc>
        <w:tc>
          <w:tcPr>
            <w:tcW w:w="990" w:type="dxa"/>
            <w:tcBorders>
              <w:top w:val="single" w:sz="4" w:space="0" w:color="auto"/>
              <w:bottom w:val="single" w:sz="4" w:space="0" w:color="auto"/>
            </w:tcBorders>
          </w:tcPr>
          <w:p w14:paraId="5390020E" w14:textId="77777777" w:rsidR="00681CDB" w:rsidRPr="00B4313E" w:rsidRDefault="00681CDB" w:rsidP="005B0D26">
            <w:pPr>
              <w:ind w:left="0"/>
              <w:rPr>
                <w:b/>
                <w:bCs/>
                <w:sz w:val="15"/>
                <w:szCs w:val="15"/>
              </w:rPr>
            </w:pPr>
            <w:r>
              <w:rPr>
                <w:b/>
                <w:bCs/>
                <w:sz w:val="15"/>
                <w:szCs w:val="15"/>
              </w:rPr>
              <w:t>Supply</w:t>
            </w:r>
            <w:r w:rsidRPr="00B4313E">
              <w:rPr>
                <w:b/>
                <w:bCs/>
                <w:sz w:val="15"/>
                <w:szCs w:val="15"/>
              </w:rPr>
              <w:t>/</w:t>
            </w:r>
            <w:r>
              <w:rPr>
                <w:b/>
                <w:bCs/>
                <w:sz w:val="15"/>
                <w:szCs w:val="15"/>
              </w:rPr>
              <w:t xml:space="preserve"> </w:t>
            </w:r>
            <w:r w:rsidRPr="00B4313E">
              <w:rPr>
                <w:b/>
                <w:bCs/>
                <w:sz w:val="15"/>
                <w:szCs w:val="15"/>
              </w:rPr>
              <w:t>per</w:t>
            </w:r>
            <w:r>
              <w:rPr>
                <w:b/>
                <w:bCs/>
                <w:sz w:val="15"/>
                <w:szCs w:val="15"/>
              </w:rPr>
              <w:t xml:space="preserve"> </w:t>
            </w:r>
            <w:r w:rsidRPr="00B4313E">
              <w:rPr>
                <w:b/>
                <w:bCs/>
                <w:sz w:val="15"/>
                <w:szCs w:val="15"/>
              </w:rPr>
              <w:t>capita/</w:t>
            </w:r>
            <w:r>
              <w:rPr>
                <w:b/>
                <w:bCs/>
                <w:sz w:val="15"/>
                <w:szCs w:val="15"/>
              </w:rPr>
              <w:t xml:space="preserve"> </w:t>
            </w:r>
            <w:r w:rsidRPr="00B4313E">
              <w:rPr>
                <w:b/>
                <w:bCs/>
                <w:sz w:val="15"/>
                <w:szCs w:val="15"/>
              </w:rPr>
              <w:t>day</w:t>
            </w:r>
          </w:p>
        </w:tc>
        <w:tc>
          <w:tcPr>
            <w:tcW w:w="810" w:type="dxa"/>
            <w:tcBorders>
              <w:top w:val="single" w:sz="4" w:space="0" w:color="auto"/>
              <w:bottom w:val="single" w:sz="4" w:space="0" w:color="auto"/>
            </w:tcBorders>
          </w:tcPr>
          <w:p w14:paraId="56ABA5BB" w14:textId="77777777" w:rsidR="00681CDB" w:rsidRPr="00B4313E" w:rsidRDefault="00681CDB" w:rsidP="005B0D26">
            <w:pPr>
              <w:ind w:left="0"/>
              <w:rPr>
                <w:b/>
                <w:bCs/>
                <w:sz w:val="15"/>
                <w:szCs w:val="15"/>
              </w:rPr>
            </w:pPr>
            <w:r>
              <w:rPr>
                <w:b/>
                <w:bCs/>
                <w:sz w:val="15"/>
                <w:szCs w:val="15"/>
              </w:rPr>
              <w:t>Supply</w:t>
            </w:r>
            <w:r w:rsidRPr="00B4313E">
              <w:rPr>
                <w:b/>
                <w:bCs/>
                <w:sz w:val="15"/>
                <w:szCs w:val="15"/>
              </w:rPr>
              <w:t>/</w:t>
            </w:r>
            <w:r>
              <w:rPr>
                <w:b/>
                <w:bCs/>
                <w:sz w:val="15"/>
                <w:szCs w:val="15"/>
              </w:rPr>
              <w:t xml:space="preserve"> </w:t>
            </w:r>
            <w:r w:rsidRPr="00B4313E">
              <w:rPr>
                <w:b/>
                <w:bCs/>
                <w:sz w:val="15"/>
                <w:szCs w:val="15"/>
              </w:rPr>
              <w:t>AME/day</w:t>
            </w:r>
          </w:p>
        </w:tc>
        <w:tc>
          <w:tcPr>
            <w:tcW w:w="746" w:type="dxa"/>
            <w:tcBorders>
              <w:top w:val="single" w:sz="4" w:space="0" w:color="auto"/>
              <w:bottom w:val="single" w:sz="4" w:space="0" w:color="auto"/>
            </w:tcBorders>
          </w:tcPr>
          <w:p w14:paraId="1201DE30" w14:textId="77777777" w:rsidR="00681CDB" w:rsidRPr="00B4313E" w:rsidRDefault="00681CDB" w:rsidP="005B0D26">
            <w:pPr>
              <w:ind w:left="0"/>
              <w:rPr>
                <w:b/>
                <w:bCs/>
                <w:sz w:val="15"/>
                <w:szCs w:val="15"/>
              </w:rPr>
            </w:pPr>
            <w:r w:rsidRPr="00B4313E">
              <w:rPr>
                <w:b/>
                <w:bCs/>
                <w:sz w:val="15"/>
                <w:szCs w:val="15"/>
              </w:rPr>
              <w:t>Nutrient density</w:t>
            </w:r>
          </w:p>
        </w:tc>
        <w:tc>
          <w:tcPr>
            <w:tcW w:w="970" w:type="dxa"/>
            <w:tcBorders>
              <w:top w:val="single" w:sz="4" w:space="0" w:color="auto"/>
              <w:bottom w:val="single" w:sz="4" w:space="0" w:color="auto"/>
              <w:right w:val="single" w:sz="4" w:space="0" w:color="auto"/>
            </w:tcBorders>
          </w:tcPr>
          <w:p w14:paraId="6CB59673" w14:textId="77777777" w:rsidR="00681CDB" w:rsidRPr="00B4313E" w:rsidRDefault="00681CDB" w:rsidP="005B0D26">
            <w:pPr>
              <w:autoSpaceDE w:val="0"/>
              <w:autoSpaceDN w:val="0"/>
              <w:adjustRightInd w:val="0"/>
              <w:ind w:left="0"/>
              <w:rPr>
                <w:rFonts w:cs="Times New Roman"/>
                <w:b/>
                <w:bCs/>
                <w:sz w:val="15"/>
                <w:szCs w:val="15"/>
              </w:rPr>
            </w:pPr>
            <w:r w:rsidRPr="00B4313E">
              <w:rPr>
                <w:rFonts w:cs="Times New Roman"/>
                <w:b/>
                <w:bCs/>
                <w:sz w:val="15"/>
                <w:szCs w:val="15"/>
              </w:rPr>
              <w:t xml:space="preserve">Estimated </w:t>
            </w:r>
          </w:p>
          <w:p w14:paraId="0D59B0C4" w14:textId="77777777" w:rsidR="00681CDB" w:rsidRPr="00B4313E" w:rsidRDefault="00681CDB" w:rsidP="005B0D26">
            <w:pPr>
              <w:ind w:left="0"/>
              <w:rPr>
                <w:b/>
                <w:bCs/>
                <w:sz w:val="15"/>
                <w:szCs w:val="15"/>
              </w:rPr>
            </w:pPr>
            <w:r>
              <w:rPr>
                <w:rFonts w:cs="Times New Roman"/>
                <w:b/>
                <w:bCs/>
                <w:sz w:val="15"/>
                <w:szCs w:val="15"/>
              </w:rPr>
              <w:t>in</w:t>
            </w:r>
            <w:r w:rsidRPr="00B4313E">
              <w:rPr>
                <w:rFonts w:cs="Times New Roman"/>
                <w:b/>
                <w:bCs/>
                <w:sz w:val="15"/>
                <w:szCs w:val="15"/>
              </w:rPr>
              <w:t>adequacy</w:t>
            </w:r>
          </w:p>
        </w:tc>
      </w:tr>
      <w:tr w:rsidR="00681CDB" w:rsidRPr="0068732D" w14:paraId="0CEEB070" w14:textId="77777777" w:rsidTr="005B0D26">
        <w:tc>
          <w:tcPr>
            <w:tcW w:w="537" w:type="dxa"/>
            <w:tcBorders>
              <w:top w:val="single" w:sz="4" w:space="0" w:color="auto"/>
              <w:left w:val="single" w:sz="4" w:space="0" w:color="auto"/>
            </w:tcBorders>
            <w:shd w:val="clear" w:color="auto" w:fill="D9D9D9" w:themeFill="background1" w:themeFillShade="D9"/>
          </w:tcPr>
          <w:p w14:paraId="3D060166" w14:textId="72C797AF" w:rsidR="00681CDB" w:rsidRPr="003A0C17" w:rsidRDefault="00681CDB" w:rsidP="005B0D26">
            <w:pPr>
              <w:ind w:left="0"/>
              <w:rPr>
                <w:sz w:val="15"/>
                <w:szCs w:val="15"/>
              </w:rPr>
            </w:pPr>
            <w:r>
              <w:rPr>
                <w:sz w:val="15"/>
                <w:szCs w:val="15"/>
                <w:lang w:val="fr-FR"/>
              </w:rPr>
              <w:fldChar w:fldCharType="begin" w:fldLock="1"/>
            </w:r>
            <w:r w:rsidR="005B0D26">
              <w:rPr>
                <w:sz w:val="15"/>
                <w:szCs w:val="15"/>
                <w:lang w:val="fr-FR"/>
              </w:rPr>
              <w:instrText>ADDIN CSL_CITATION {"citationItems":[{"id":"ITEM-1","itemData":{"DOI":"10.1177/15648265120333s206","ISSN":"03795721","PMID":"23193769","abstract":"Micronutrient malnutrition, caused largely by inadequate dietary intake, is a global public health problem that adversely affects health, child growth and development, work capacity, and quality of life. Mass fortification of widely consumed edible products has the potential to increase micronutrient intakes and thus alleviate some nutritional deficiencies. Although individual-level data about food consumption patterns are ideal for informing the design of food fortification programs, they are often unavailable. Household Consumption and Expenditures Surveys (HCES) are nationally representative cross-sectional surveys conducted over a 12-month period every 2 to 5 years, primarily to characterize household expenditures. We describe how expenditure data from HCES can serve as a proxy for household food consumption and thus aid in choosing which foods to fortify and in determining how much of a micronutrient to add to that food. We describe methods of using HCES data to characterize apparent food consumption patterns among different strata within a population. There are several limitations of using HCES data to describe apparent food consumption. HCES do not directly capture information about true food intake, but rather describe food expenditures. We assume that purchased foods are not shared with guests, wasted, fed to animals, gifted, o</w:instrText>
            </w:r>
            <w:r w:rsidR="005B0D26" w:rsidRPr="005B0D26">
              <w:rPr>
                <w:sz w:val="15"/>
                <w:szCs w:val="15"/>
              </w:rPr>
              <w:instrText>r stockpiled for later use. We also assume that foods are allocated within each household based on energy needs. Despite the limitations of using HCES data to estimate apparent food consumption, the dearth of individual-level data about food intake renders HCES data useful in designing food fortification programs.","author":[{"dropping-particle":"","family":"Imhoff-Kunsch","given":"Beth","non-dropping-particle":"","parse-names":false,"suffix":""},{"dropping-particle":"","family":"Flores","given":"Rafael","non-dropping-particle":"","parse-names":false,"suffix":""},{"dropping-particle":"","family":"Dary","given":"Omar","non-dropping-particle":"","parse-names":false,"suffix":""},{"dropping-particle":"","family":"Martorell","given":"Reynaldo","non-dropping-particle":"","parse-names":false,"suffix":""}],"container-title":"Food and nutrition bulletin","id":"ITEM-1","issue":"3 Suppl","issued":{"date-parts":[["2012"]]},"note":"Abstract exclusion","page":"S185-9","title":"Methods of using household consumption and expenditures survey (HCES) data to estimate the potential nutritional impact of fortified staple foods.","type":"article-journal","volume":"33"},"uris":["http://www.mendeley.com/documents/?uuid=a0546c46-e52d-4767-ac64-9d372924c6a4"]}],"mendeley":{"formattedCitation":"&lt;sup&gt;(32)&lt;/sup&gt;","plainTextFormattedCitation":"(32)","previouslyFormattedCitation":"[32]"},"properties":{"noteIndex":0},"schema":"https://github.com/citation-style-language/schema/raw/master/csl-citation.json"}</w:instrText>
            </w:r>
            <w:r>
              <w:rPr>
                <w:sz w:val="15"/>
                <w:szCs w:val="15"/>
                <w:lang w:val="fr-FR"/>
              </w:rPr>
              <w:fldChar w:fldCharType="separate"/>
            </w:r>
            <w:r w:rsidR="005B0D26" w:rsidRPr="005B0D26">
              <w:rPr>
                <w:noProof/>
                <w:sz w:val="15"/>
                <w:szCs w:val="15"/>
                <w:vertAlign w:val="superscript"/>
              </w:rPr>
              <w:t>(32)</w:t>
            </w:r>
            <w:r>
              <w:rPr>
                <w:sz w:val="15"/>
                <w:szCs w:val="15"/>
                <w:lang w:val="fr-FR"/>
              </w:rPr>
              <w:fldChar w:fldCharType="end"/>
            </w:r>
          </w:p>
        </w:tc>
        <w:tc>
          <w:tcPr>
            <w:tcW w:w="2066" w:type="dxa"/>
            <w:tcBorders>
              <w:top w:val="single" w:sz="4" w:space="0" w:color="auto"/>
            </w:tcBorders>
            <w:shd w:val="clear" w:color="auto" w:fill="D9D9D9" w:themeFill="background1" w:themeFillShade="D9"/>
          </w:tcPr>
          <w:p w14:paraId="2A706C90" w14:textId="77777777" w:rsidR="00681CDB" w:rsidRPr="003A0C17" w:rsidRDefault="00681CDB" w:rsidP="005B0D26">
            <w:pPr>
              <w:ind w:left="0"/>
              <w:rPr>
                <w:sz w:val="15"/>
                <w:szCs w:val="15"/>
              </w:rPr>
            </w:pPr>
            <w:r w:rsidRPr="003A0C17">
              <w:rPr>
                <w:sz w:val="15"/>
                <w:szCs w:val="15"/>
              </w:rPr>
              <w:t>Imhoff-</w:t>
            </w:r>
            <w:proofErr w:type="spellStart"/>
            <w:r w:rsidRPr="003A0C17">
              <w:rPr>
                <w:sz w:val="15"/>
                <w:szCs w:val="15"/>
              </w:rPr>
              <w:t>Kunsch</w:t>
            </w:r>
            <w:proofErr w:type="spellEnd"/>
            <w:r w:rsidRPr="003A0C17">
              <w:rPr>
                <w:sz w:val="15"/>
                <w:szCs w:val="15"/>
              </w:rPr>
              <w:t xml:space="preserve"> et al. (2019)</w:t>
            </w:r>
          </w:p>
        </w:tc>
        <w:tc>
          <w:tcPr>
            <w:tcW w:w="1350" w:type="dxa"/>
            <w:tcBorders>
              <w:top w:val="single" w:sz="4" w:space="0" w:color="auto"/>
            </w:tcBorders>
            <w:shd w:val="clear" w:color="auto" w:fill="D9D9D9" w:themeFill="background1" w:themeFillShade="D9"/>
          </w:tcPr>
          <w:p w14:paraId="3601A73B" w14:textId="77777777" w:rsidR="00681CDB" w:rsidRPr="003A0C17" w:rsidRDefault="00681CDB" w:rsidP="005B0D26">
            <w:pPr>
              <w:ind w:left="0"/>
              <w:rPr>
                <w:sz w:val="15"/>
                <w:szCs w:val="15"/>
              </w:rPr>
            </w:pPr>
            <w:r w:rsidRPr="003A0C17">
              <w:rPr>
                <w:sz w:val="15"/>
                <w:szCs w:val="15"/>
              </w:rPr>
              <w:t>Solomon Islands</w:t>
            </w:r>
          </w:p>
        </w:tc>
        <w:tc>
          <w:tcPr>
            <w:tcW w:w="4406" w:type="dxa"/>
            <w:tcBorders>
              <w:top w:val="single" w:sz="4" w:space="0" w:color="auto"/>
            </w:tcBorders>
            <w:shd w:val="clear" w:color="auto" w:fill="D9D9D9" w:themeFill="background1" w:themeFillShade="D9"/>
          </w:tcPr>
          <w:p w14:paraId="787950E1" w14:textId="77777777" w:rsidR="00681CDB" w:rsidRPr="003A0C17" w:rsidRDefault="00681CDB" w:rsidP="005B0D26">
            <w:pPr>
              <w:ind w:left="0"/>
              <w:rPr>
                <w:sz w:val="15"/>
                <w:szCs w:val="15"/>
              </w:rPr>
            </w:pPr>
            <w:r w:rsidRPr="00F03BC0">
              <w:rPr>
                <w:sz w:val="15"/>
                <w:szCs w:val="15"/>
              </w:rPr>
              <w:t>﻿</w:t>
            </w:r>
            <w:r w:rsidRPr="003A0C17">
              <w:rPr>
                <w:sz w:val="15"/>
                <w:szCs w:val="15"/>
              </w:rPr>
              <w:t>Household Income and Expenditure Survey (2012/13)</w:t>
            </w:r>
          </w:p>
        </w:tc>
        <w:tc>
          <w:tcPr>
            <w:tcW w:w="990" w:type="dxa"/>
            <w:tcBorders>
              <w:top w:val="single" w:sz="4" w:space="0" w:color="auto"/>
            </w:tcBorders>
            <w:shd w:val="clear" w:color="auto" w:fill="D9D9D9" w:themeFill="background1" w:themeFillShade="D9"/>
            <w:vAlign w:val="center"/>
          </w:tcPr>
          <w:p w14:paraId="6120CEC2" w14:textId="77777777" w:rsidR="00681CDB" w:rsidRPr="003A0C17" w:rsidRDefault="00681CDB" w:rsidP="005B0D26">
            <w:pPr>
              <w:ind w:left="0"/>
              <w:jc w:val="center"/>
              <w:rPr>
                <w:sz w:val="15"/>
                <w:szCs w:val="15"/>
              </w:rPr>
            </w:pPr>
          </w:p>
        </w:tc>
        <w:tc>
          <w:tcPr>
            <w:tcW w:w="810" w:type="dxa"/>
            <w:tcBorders>
              <w:top w:val="single" w:sz="4" w:space="0" w:color="auto"/>
            </w:tcBorders>
            <w:shd w:val="clear" w:color="auto" w:fill="D9D9D9" w:themeFill="background1" w:themeFillShade="D9"/>
            <w:vAlign w:val="center"/>
          </w:tcPr>
          <w:p w14:paraId="42A8CE9B" w14:textId="77777777" w:rsidR="00681CDB" w:rsidRPr="003A0C17" w:rsidRDefault="00681CDB" w:rsidP="005B0D26">
            <w:pPr>
              <w:ind w:left="0"/>
              <w:jc w:val="center"/>
              <w:rPr>
                <w:sz w:val="15"/>
                <w:szCs w:val="15"/>
              </w:rPr>
            </w:pPr>
            <w:r w:rsidRPr="003A0C17">
              <w:rPr>
                <w:sz w:val="15"/>
                <w:szCs w:val="15"/>
              </w:rPr>
              <w:t>X</w:t>
            </w:r>
          </w:p>
        </w:tc>
        <w:tc>
          <w:tcPr>
            <w:tcW w:w="746" w:type="dxa"/>
            <w:tcBorders>
              <w:top w:val="single" w:sz="4" w:space="0" w:color="auto"/>
            </w:tcBorders>
            <w:shd w:val="clear" w:color="auto" w:fill="D9D9D9" w:themeFill="background1" w:themeFillShade="D9"/>
            <w:vAlign w:val="center"/>
          </w:tcPr>
          <w:p w14:paraId="610AD9E3" w14:textId="77777777" w:rsidR="00681CDB" w:rsidRPr="003A0C17" w:rsidRDefault="00681CDB" w:rsidP="005B0D26">
            <w:pPr>
              <w:ind w:left="0"/>
              <w:jc w:val="center"/>
              <w:rPr>
                <w:sz w:val="15"/>
                <w:szCs w:val="15"/>
              </w:rPr>
            </w:pPr>
          </w:p>
        </w:tc>
        <w:tc>
          <w:tcPr>
            <w:tcW w:w="970" w:type="dxa"/>
            <w:tcBorders>
              <w:top w:val="single" w:sz="4" w:space="0" w:color="auto"/>
              <w:right w:val="single" w:sz="4" w:space="0" w:color="auto"/>
            </w:tcBorders>
            <w:shd w:val="clear" w:color="auto" w:fill="D9D9D9" w:themeFill="background1" w:themeFillShade="D9"/>
            <w:vAlign w:val="center"/>
          </w:tcPr>
          <w:p w14:paraId="7855C18A" w14:textId="77777777" w:rsidR="00681CDB" w:rsidRPr="003A0C17" w:rsidRDefault="00681CDB" w:rsidP="005B0D26">
            <w:pPr>
              <w:ind w:left="0"/>
              <w:jc w:val="center"/>
              <w:rPr>
                <w:sz w:val="15"/>
                <w:szCs w:val="15"/>
              </w:rPr>
            </w:pPr>
            <w:r w:rsidRPr="003A0C17">
              <w:rPr>
                <w:sz w:val="15"/>
                <w:szCs w:val="15"/>
              </w:rPr>
              <w:t>X</w:t>
            </w:r>
          </w:p>
        </w:tc>
      </w:tr>
      <w:tr w:rsidR="00681CDB" w:rsidRPr="005927F0" w14:paraId="6168EEFE" w14:textId="77777777" w:rsidTr="005B0D26">
        <w:tc>
          <w:tcPr>
            <w:tcW w:w="537" w:type="dxa"/>
            <w:tcBorders>
              <w:left w:val="single" w:sz="4" w:space="0" w:color="auto"/>
            </w:tcBorders>
          </w:tcPr>
          <w:p w14:paraId="3BF38258" w14:textId="6A859B74"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{"citationItems":[{"id":"ITEM-1","itemData":{"DOI":"10.1177/15648265120333s208","ISSN":"03795721","PMID":"23193771","abstract":"Individual dietary intake data are important for informing national nutrition policy but are rarely available. National Household Consumption and Expenditures Surveys (HCES) may be an alternative method, but there is no evidence to assess their relative performance. To compare HCES-based estimates of the nutrient density of foods consumed by Ugandan women (15 to 49 years of age) and children (24 to 59 months of age) with estimates based on 24-hour recall. The 52 food items of the Uganda 2006 HCES were matched with nutrient content of foods in a 2008 24-hour recall survey, which were used to refine the HCES-based estimates of nutrient intakes. Two methods were used to match the surveys'food items. Model 1 identified the four or five most commonly consumed foods from the 24-hour recall survey and calculated their unweighted average nutrient contents. Model 2 used the nutrient contents of the single most consumed food from the 24-hour recall. For each model, 14 estimates of nutrient densities of the diet were made and 84 differences were compared. Models 1 and 2 were not significantly different. Of the model 2 HCES-24-hour recall comparisons, 67 (80%) did not find a significant difference. No significant differences were found for protein, fat, fiber, iron, thiamin, riboflavin, and vitamin B6 intakes. HCES overestimated intakes of vitamins C and B12 and underestimated intakes of vitamin A,folate, niacin, calcium, and zinc in at least one of the groups. The HCES-based estimates are a relatively good proxy for 24-hour recall measures of nutrient density of the diet. Further work is needed to ascertain nutrient adequacy using this method in several countries.","author":[{"dropping-particle":"","family":"Jariseta","given":"Zo Rambeloson","non-dropping-particle":"","parse-names":false,"suffix":""},{"dropping-particle":"","family":"Dary","given":"Omar","non-dropping-particle":"","parse-names":false,"suffix":""},{"dropping-particle":"","family":"Fiedler","given":"John L.","non-dropping-particle":"","parse-names":false,"suffix":""},{"dropping-particle":"","family":"Franklin","given":"Nadra","non-dropping-particle":"","parse-names":false,"suffix":""}],"container-title":"Food and nutrition bulletin","id":"ITEM-1","issue":"3 Suppl","issued":{"date-parts":[["2012"]]},"page":"S199-207","title":"Comparison of estimates of the nutrient density of the diet of women and children in Uganda by Household Consumption and Expenditures Surveys (HCES) and 24-hour recall.","type":"article-journal","volume":"33"},"uris":["http://www.mendeley.com/documents/?uuid=879c57be-eeb4-4c4c-b34d-1514cfae390d"]}],"mendeley":{"formattedCitation":"&lt;sup&gt;(33)&lt;/sup&gt;","plainTextFormattedCitation":"(33)","previouslyFormattedCitation":"[33]"},"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(33)</w:t>
            </w:r>
            <w:r>
              <w:rPr>
                <w:sz w:val="15"/>
                <w:szCs w:val="15"/>
              </w:rPr>
              <w:fldChar w:fldCharType="end"/>
            </w:r>
          </w:p>
        </w:tc>
        <w:tc>
          <w:tcPr>
            <w:tcW w:w="2066" w:type="dxa"/>
          </w:tcPr>
          <w:p w14:paraId="07DC32A7" w14:textId="77777777" w:rsidR="00681CDB" w:rsidRPr="00F02986" w:rsidRDefault="00681CDB" w:rsidP="005B0D26">
            <w:pPr>
              <w:ind w:left="0"/>
              <w:rPr>
                <w:sz w:val="15"/>
                <w:szCs w:val="15"/>
              </w:rPr>
            </w:pPr>
            <w:proofErr w:type="spellStart"/>
            <w:r w:rsidRPr="00F02986">
              <w:rPr>
                <w:sz w:val="15"/>
                <w:szCs w:val="15"/>
              </w:rPr>
              <w:t>Jarista</w:t>
            </w:r>
            <w:proofErr w:type="spellEnd"/>
            <w:r w:rsidRPr="00F02986">
              <w:rPr>
                <w:sz w:val="15"/>
                <w:szCs w:val="15"/>
              </w:rPr>
              <w:t xml:space="preserve"> et al. (2012)</w:t>
            </w:r>
          </w:p>
        </w:tc>
        <w:tc>
          <w:tcPr>
            <w:tcW w:w="1350" w:type="dxa"/>
          </w:tcPr>
          <w:p w14:paraId="258FEB7D" w14:textId="77777777" w:rsidR="00681CDB" w:rsidRPr="00F02986" w:rsidRDefault="00681CDB" w:rsidP="005B0D26">
            <w:pPr>
              <w:ind w:left="0"/>
              <w:rPr>
                <w:sz w:val="15"/>
                <w:szCs w:val="15"/>
              </w:rPr>
            </w:pPr>
            <w:r w:rsidRPr="00F02986">
              <w:rPr>
                <w:sz w:val="15"/>
                <w:szCs w:val="15"/>
              </w:rPr>
              <w:t>Uganda</w:t>
            </w:r>
          </w:p>
        </w:tc>
        <w:tc>
          <w:tcPr>
            <w:tcW w:w="4406" w:type="dxa"/>
          </w:tcPr>
          <w:p w14:paraId="1D49E471" w14:textId="77777777" w:rsidR="00681CDB" w:rsidRPr="00F03BC0" w:rsidRDefault="00681CDB" w:rsidP="005B0D26">
            <w:pPr>
              <w:ind w:left="0"/>
              <w:rPr>
                <w:sz w:val="15"/>
                <w:szCs w:val="15"/>
              </w:rPr>
            </w:pPr>
            <w:r w:rsidRPr="00F03BC0">
              <w:rPr>
                <w:sz w:val="15"/>
                <w:szCs w:val="15"/>
              </w:rPr>
              <w:t>National Household Survey (2005/06)</w:t>
            </w:r>
          </w:p>
        </w:tc>
        <w:tc>
          <w:tcPr>
            <w:tcW w:w="990" w:type="dxa"/>
            <w:vAlign w:val="center"/>
          </w:tcPr>
          <w:p w14:paraId="36CD8836" w14:textId="77777777" w:rsidR="00681CDB" w:rsidRPr="00F02986" w:rsidRDefault="00681CDB" w:rsidP="005B0D26">
            <w:pPr>
              <w:ind w:left="0"/>
              <w:jc w:val="center"/>
              <w:rPr>
                <w:sz w:val="15"/>
                <w:szCs w:val="15"/>
              </w:rPr>
            </w:pPr>
          </w:p>
        </w:tc>
        <w:tc>
          <w:tcPr>
            <w:tcW w:w="810" w:type="dxa"/>
            <w:vAlign w:val="center"/>
          </w:tcPr>
          <w:p w14:paraId="05EF4C33" w14:textId="77777777" w:rsidR="00681CDB" w:rsidRPr="00F02986" w:rsidRDefault="00681CDB" w:rsidP="005B0D26">
            <w:pPr>
              <w:ind w:left="0"/>
              <w:jc w:val="center"/>
              <w:rPr>
                <w:sz w:val="15"/>
                <w:szCs w:val="15"/>
              </w:rPr>
            </w:pPr>
            <w:r>
              <w:rPr>
                <w:sz w:val="15"/>
                <w:szCs w:val="15"/>
              </w:rPr>
              <w:t>X</w:t>
            </w:r>
          </w:p>
        </w:tc>
        <w:tc>
          <w:tcPr>
            <w:tcW w:w="746" w:type="dxa"/>
            <w:vAlign w:val="center"/>
          </w:tcPr>
          <w:p w14:paraId="484AE611" w14:textId="77777777" w:rsidR="00681CDB" w:rsidRPr="00F02986" w:rsidRDefault="00681CDB" w:rsidP="005B0D26">
            <w:pPr>
              <w:ind w:left="0"/>
              <w:jc w:val="center"/>
              <w:rPr>
                <w:sz w:val="15"/>
                <w:szCs w:val="15"/>
              </w:rPr>
            </w:pPr>
            <w:r>
              <w:rPr>
                <w:sz w:val="15"/>
                <w:szCs w:val="15"/>
              </w:rPr>
              <w:t>X</w:t>
            </w:r>
          </w:p>
        </w:tc>
        <w:tc>
          <w:tcPr>
            <w:tcW w:w="970" w:type="dxa"/>
            <w:tcBorders>
              <w:right w:val="single" w:sz="4" w:space="0" w:color="auto"/>
            </w:tcBorders>
            <w:vAlign w:val="center"/>
          </w:tcPr>
          <w:p w14:paraId="7C68F416" w14:textId="77777777" w:rsidR="00681CDB" w:rsidRPr="00F02986" w:rsidRDefault="00681CDB" w:rsidP="005B0D26">
            <w:pPr>
              <w:ind w:left="0"/>
              <w:jc w:val="center"/>
              <w:rPr>
                <w:sz w:val="15"/>
                <w:szCs w:val="15"/>
              </w:rPr>
            </w:pPr>
            <w:r>
              <w:rPr>
                <w:sz w:val="15"/>
                <w:szCs w:val="15"/>
              </w:rPr>
              <w:t>X</w:t>
            </w:r>
          </w:p>
        </w:tc>
      </w:tr>
      <w:tr w:rsidR="00681CDB" w:rsidRPr="005927F0" w14:paraId="013F6B49" w14:textId="77777777" w:rsidTr="005B0D26">
        <w:tc>
          <w:tcPr>
            <w:tcW w:w="537" w:type="dxa"/>
            <w:tcBorders>
              <w:left w:val="single" w:sz="4" w:space="0" w:color="auto"/>
            </w:tcBorders>
            <w:shd w:val="clear" w:color="auto" w:fill="D9D9D9" w:themeFill="background1" w:themeFillShade="D9"/>
          </w:tcPr>
          <w:p w14:paraId="11A581FC" w14:textId="1CFDB0FD"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{"citationItems":[{"id":"ITEM-1","itemData":{"DOI":"10.1017/S1368980012001139","ISSN":"13689800","abstract":"Objective The present research aimed to analyse the nutrient density (ND), nutrient adequacy score (NAS) and energy density (ED) of Indonesian foods and to formulate a balanced diet using linear programming. Design Data on typical Indonesian diets were obtained from the Indonesian Socio-Economic Survey 2008. ND was investigated for 122 Indonesian foods. NAS was calculated for single nutrients such as Fe, Zn and vitamin A. Correlation analysis was performed between ND and ED, as well as between monthly expenditure class and food consumption pattern in Indonesia. Linear programming calculations were performed using the software POM-QM for Windows version 3. Setting Republic of Indonesia, 2008. Subjects Public households (n 68 800). Results Vegetables had the highest ND of the food groups, followed by animal-based foods, fruits and staple foods. Based on NAS, the top ten food items for each food group were identified. Most of the staple foods had high ED and contributed towards daily energy fulfillment, followed by animal-based foods, vegetables and fruits. Commodities with high ND tended to have low ED. Linear programming could be used to formulate a balanced diet. In contrast to staple foods, purchases of fruit, vegetables and animal-based foods increased with the rise of monthly expenditure. Conclusions People should select food items based on ND and NAS to alleviate micronutrient deficiencies in Indonesia. Dietary formulation calculated using linear programming to achieve RDA levels for micronutrients could be recommended for different age groups of the Indonesian population. Copyright © 2012 The Authors.","author":[{"dropping-particle":"","family":"Jati","given":"Ignasius Radix A.P.","non-dropping-particle":"","parse-names":false,"suffix":""},{"dropping-particle":"","family":"Vadivel","given":"Vellingiri","non-dropping-particle":"","parse-names":false,"suffix":""},{"dropping-particle":"","family":"Nöhr","given":"Donatus","non-dropping-particle":"","parse-names":false,"suffix":""},{"dropping-particle":"","family":"Biesalski","given":"Hans Konrad","non-dropping-particle":"","parse-names":false,"suffix":""}],"container-title":"Public Health Nutrition","id":"ITEM-1","issue":"12","issued":{"date-parts":[["2012"]]},"page":"2185-92","title":"Nutrient density score of typical Indonesian foods and dietary formulation using linear programming","type":"article-journal","volume":"15"},"uris":["http://www.mendeley.com/documents/?uuid=1010e381-59b2-445d-89de-539c015bbb74"]}],"mendeley":{"formattedCitation":"&lt;sup&gt;(34)&lt;/sup&gt;","plainTextFormattedCitation":"(34)","previouslyFormattedCitation":"[34]"},"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(34)</w:t>
            </w:r>
            <w:r>
              <w:rPr>
                <w:sz w:val="15"/>
                <w:szCs w:val="15"/>
              </w:rPr>
              <w:fldChar w:fldCharType="end"/>
            </w:r>
          </w:p>
        </w:tc>
        <w:tc>
          <w:tcPr>
            <w:tcW w:w="2066" w:type="dxa"/>
            <w:shd w:val="clear" w:color="auto" w:fill="D9D9D9" w:themeFill="background1" w:themeFillShade="D9"/>
          </w:tcPr>
          <w:p w14:paraId="15784FC1" w14:textId="77777777" w:rsidR="00681CDB" w:rsidRPr="00F02986" w:rsidRDefault="00681CDB" w:rsidP="005B0D26">
            <w:pPr>
              <w:ind w:left="0"/>
              <w:rPr>
                <w:sz w:val="15"/>
                <w:szCs w:val="15"/>
              </w:rPr>
            </w:pPr>
            <w:proofErr w:type="spellStart"/>
            <w:r w:rsidRPr="00F02986">
              <w:rPr>
                <w:sz w:val="15"/>
                <w:szCs w:val="15"/>
              </w:rPr>
              <w:t>Jati</w:t>
            </w:r>
            <w:proofErr w:type="spellEnd"/>
            <w:r w:rsidRPr="00F02986">
              <w:rPr>
                <w:sz w:val="15"/>
                <w:szCs w:val="15"/>
              </w:rPr>
              <w:t xml:space="preserve"> et al. (2012)</w:t>
            </w:r>
          </w:p>
        </w:tc>
        <w:tc>
          <w:tcPr>
            <w:tcW w:w="1350" w:type="dxa"/>
            <w:shd w:val="clear" w:color="auto" w:fill="D9D9D9" w:themeFill="background1" w:themeFillShade="D9"/>
          </w:tcPr>
          <w:p w14:paraId="43986339" w14:textId="77777777" w:rsidR="00681CDB" w:rsidRPr="00F02986" w:rsidRDefault="00681CDB" w:rsidP="005B0D26">
            <w:pPr>
              <w:ind w:left="0"/>
              <w:rPr>
                <w:sz w:val="15"/>
                <w:szCs w:val="15"/>
              </w:rPr>
            </w:pPr>
            <w:r w:rsidRPr="00F02986">
              <w:rPr>
                <w:sz w:val="15"/>
                <w:szCs w:val="15"/>
              </w:rPr>
              <w:t>Indonesia</w:t>
            </w:r>
          </w:p>
        </w:tc>
        <w:tc>
          <w:tcPr>
            <w:tcW w:w="4406" w:type="dxa"/>
            <w:shd w:val="clear" w:color="auto" w:fill="D9D9D9" w:themeFill="background1" w:themeFillShade="D9"/>
          </w:tcPr>
          <w:p w14:paraId="48235FD1" w14:textId="77777777" w:rsidR="00681CDB" w:rsidRPr="00F03BC0" w:rsidRDefault="00681CDB" w:rsidP="005B0D26">
            <w:pPr>
              <w:ind w:left="0"/>
              <w:rPr>
                <w:sz w:val="15"/>
                <w:szCs w:val="15"/>
              </w:rPr>
            </w:pPr>
            <w:r w:rsidRPr="00F03BC0">
              <w:rPr>
                <w:sz w:val="15"/>
                <w:szCs w:val="15"/>
              </w:rPr>
              <w:t>﻿Household Socio-Economic Survey (BPS 2008)</w:t>
            </w:r>
          </w:p>
        </w:tc>
        <w:tc>
          <w:tcPr>
            <w:tcW w:w="990" w:type="dxa"/>
            <w:shd w:val="clear" w:color="auto" w:fill="D9D9D9" w:themeFill="background1" w:themeFillShade="D9"/>
            <w:vAlign w:val="center"/>
          </w:tcPr>
          <w:p w14:paraId="101FB42A"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2B4F5D91" w14:textId="77777777" w:rsidR="00681CDB" w:rsidRPr="00F02986" w:rsidRDefault="00681CDB" w:rsidP="005B0D26">
            <w:pPr>
              <w:ind w:left="0"/>
              <w:jc w:val="center"/>
              <w:rPr>
                <w:sz w:val="15"/>
                <w:szCs w:val="15"/>
              </w:rPr>
            </w:pPr>
          </w:p>
        </w:tc>
        <w:tc>
          <w:tcPr>
            <w:tcW w:w="746" w:type="dxa"/>
            <w:shd w:val="clear" w:color="auto" w:fill="D9D9D9" w:themeFill="background1" w:themeFillShade="D9"/>
            <w:vAlign w:val="center"/>
          </w:tcPr>
          <w:p w14:paraId="1EC540E5" w14:textId="77777777" w:rsidR="00681CDB" w:rsidRPr="00F02986" w:rsidRDefault="00681CDB" w:rsidP="005B0D26">
            <w:pPr>
              <w:ind w:left="0"/>
              <w:jc w:val="center"/>
              <w:rPr>
                <w:sz w:val="15"/>
                <w:szCs w:val="15"/>
              </w:rPr>
            </w:pPr>
            <w:r>
              <w:rPr>
                <w:sz w:val="15"/>
                <w:szCs w:val="15"/>
              </w:rPr>
              <w:t>X</w:t>
            </w:r>
          </w:p>
        </w:tc>
        <w:tc>
          <w:tcPr>
            <w:tcW w:w="970" w:type="dxa"/>
            <w:tcBorders>
              <w:right w:val="single" w:sz="4" w:space="0" w:color="auto"/>
            </w:tcBorders>
            <w:shd w:val="clear" w:color="auto" w:fill="D9D9D9" w:themeFill="background1" w:themeFillShade="D9"/>
            <w:vAlign w:val="center"/>
          </w:tcPr>
          <w:p w14:paraId="10575408" w14:textId="77777777" w:rsidR="00681CDB" w:rsidRPr="00F02986" w:rsidRDefault="00681CDB" w:rsidP="005B0D26">
            <w:pPr>
              <w:ind w:left="0"/>
              <w:jc w:val="center"/>
              <w:rPr>
                <w:sz w:val="15"/>
                <w:szCs w:val="15"/>
              </w:rPr>
            </w:pPr>
            <w:r>
              <w:rPr>
                <w:sz w:val="15"/>
                <w:szCs w:val="15"/>
              </w:rPr>
              <w:t>X</w:t>
            </w:r>
          </w:p>
        </w:tc>
      </w:tr>
      <w:tr w:rsidR="00681CDB" w:rsidRPr="005927F0" w14:paraId="52D6441E" w14:textId="77777777" w:rsidTr="005B0D26">
        <w:tc>
          <w:tcPr>
            <w:tcW w:w="537" w:type="dxa"/>
            <w:tcBorders>
              <w:left w:val="single" w:sz="4" w:space="0" w:color="auto"/>
            </w:tcBorders>
          </w:tcPr>
          <w:p w14:paraId="790381B8" w14:textId="01462C32"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{"citationItems":[{"id":"ITEM-1","itemData":{"DOI":"10.1177/156482650702800101","ISSN":"03795721","abstract":"Background. Two large-scale studies, the National Surveillance System (NSS) Pilot Study (2003-2004) and the National Risk and Vulnerability Assessment (NRVA) 2003, were conducted by government, United Nations, and nongovernmental organizations in Afghanistan, as part of wider efforts characterizing Afghan livelihoods in relation to particular outcomes of interest: vulnerability to poverty, food insecurity, and malnutrition. Objective. To present the data from these two surveys with nutrition as the key outcome of interest, and to further construct the understanding of the underlying causes of malnutrition, thus providing public health practitioners and other sector specialists with insight into how a variety of sectoral programs can impact nutritional outcomes in Afghanistan. Methods. The NSS gathered information on livelihoods, food security, and nutrition from 20 to 40 randomly selected households in each of 26 purposively selected sentinel sites (representative of livelihood zones) during November-December 2003 and May-June 2004. The NRVA gathered information nationally from households selected with a two-stage sampling (based on livelihood zone and then socioeconomic group) during July-September 2004. Results. Acute malnutrition is below emergency levels for children under five. The level of chronic malnutrition in children underfive indicates a problem of public health importance. Dietary diversity in Afghanistan is not as low as expected but still shows roomfor improvement, particularly in remote areas and with respect to food groups associated with adequate micronutrient intake. The findings also suggest that in addition to lack of adequate householdfood intake, recurrent illness and suboptimal infant and young child feeding and hygiene practices contribute to poor nutritional outcomes in this age group. The survey also found poor access to health care, markets, and waterfor household use. Conclusions. Improving nutritional status requires a multipronged approach, directly targeting malnutrition, coupled with economic growth, household livelihood security, social protection, access to public health services, and water and sanitation. Nutrition policy, programming, and monitoring need to reflect the immediate and underlying causes of malnutrition. Future research needs to be designed to quantify the relative contribution of underlying causes of poor nutrition, allowing practitioners to prioritize responses aimed at improving nutritional outomes. ©…","author":[{"dropping-particle":"","family":"Johnecheck","given":"Wendy A.","non-dropping-particle":"","parse-names":false,"suffix":""},{"dropping-particle":"","family":"Holland","given":"Diane E.","non-dropping-particle":"","parse-names":false,"suffix":""}],"container-title":"Food and Nutrition Bulletin","id":"ITEM-1","issue":"1","issued":{"date-parts":[["2007"]]},"page":"3-17","title":"Nutritional status in postconflict Afghanistan: Evidence from the National Surveillance System Pilot and National Risk and Vulnerability Assessment","type":"article-journal","volume":"28"},"uris":["http://www.mendeley.com/documents/?uuid=2d3a8875-3b17-4683-8e50-c2122236d684"]}],"mendeley":{"formattedCitation":"&lt;sup&gt;(35)&lt;/sup&gt;","plainTextFormattedCitation":"(35)","previouslyFormattedCitation":"[35]"},"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(35)</w:t>
            </w:r>
            <w:r>
              <w:rPr>
                <w:sz w:val="15"/>
                <w:szCs w:val="15"/>
              </w:rPr>
              <w:fldChar w:fldCharType="end"/>
            </w:r>
          </w:p>
        </w:tc>
        <w:tc>
          <w:tcPr>
            <w:tcW w:w="2066" w:type="dxa"/>
          </w:tcPr>
          <w:p w14:paraId="16946483" w14:textId="77777777" w:rsidR="00681CDB" w:rsidRPr="00F02986" w:rsidRDefault="00681CDB" w:rsidP="005B0D26">
            <w:pPr>
              <w:ind w:left="0"/>
              <w:rPr>
                <w:sz w:val="15"/>
                <w:szCs w:val="15"/>
              </w:rPr>
            </w:pPr>
            <w:proofErr w:type="spellStart"/>
            <w:r w:rsidRPr="00F02986">
              <w:rPr>
                <w:sz w:val="15"/>
                <w:szCs w:val="15"/>
              </w:rPr>
              <w:t>Johnecheck</w:t>
            </w:r>
            <w:proofErr w:type="spellEnd"/>
            <w:r w:rsidRPr="00F02986">
              <w:rPr>
                <w:sz w:val="15"/>
                <w:szCs w:val="15"/>
              </w:rPr>
              <w:t xml:space="preserve"> &amp; Holland (2007)</w:t>
            </w:r>
          </w:p>
        </w:tc>
        <w:tc>
          <w:tcPr>
            <w:tcW w:w="1350" w:type="dxa"/>
          </w:tcPr>
          <w:p w14:paraId="55E0AD8F" w14:textId="77777777" w:rsidR="00681CDB" w:rsidRPr="00F02986" w:rsidRDefault="00681CDB" w:rsidP="005B0D26">
            <w:pPr>
              <w:ind w:left="0"/>
              <w:rPr>
                <w:sz w:val="15"/>
                <w:szCs w:val="15"/>
              </w:rPr>
            </w:pPr>
            <w:r w:rsidRPr="00F02986">
              <w:rPr>
                <w:sz w:val="15"/>
                <w:szCs w:val="15"/>
              </w:rPr>
              <w:t>Afghanistan</w:t>
            </w:r>
          </w:p>
        </w:tc>
        <w:tc>
          <w:tcPr>
            <w:tcW w:w="4406" w:type="dxa"/>
          </w:tcPr>
          <w:p w14:paraId="276F3B17" w14:textId="77777777" w:rsidR="00681CDB" w:rsidRPr="00F03BC0" w:rsidRDefault="00681CDB" w:rsidP="005B0D26">
            <w:pPr>
              <w:ind w:left="0"/>
              <w:rPr>
                <w:sz w:val="15"/>
                <w:szCs w:val="15"/>
              </w:rPr>
            </w:pPr>
            <w:r w:rsidRPr="00F03BC0">
              <w:rPr>
                <w:sz w:val="15"/>
                <w:szCs w:val="15"/>
              </w:rPr>
              <w:t>National Risk and Vulnerability Assessment (2003)</w:t>
            </w:r>
          </w:p>
        </w:tc>
        <w:tc>
          <w:tcPr>
            <w:tcW w:w="990" w:type="dxa"/>
            <w:vAlign w:val="center"/>
          </w:tcPr>
          <w:p w14:paraId="713AA9A9" w14:textId="77777777" w:rsidR="00681CDB" w:rsidRPr="00F02986" w:rsidRDefault="00681CDB" w:rsidP="005B0D26">
            <w:pPr>
              <w:ind w:left="0"/>
              <w:jc w:val="center"/>
              <w:rPr>
                <w:sz w:val="15"/>
                <w:szCs w:val="15"/>
              </w:rPr>
            </w:pPr>
            <w:r>
              <w:rPr>
                <w:sz w:val="15"/>
                <w:szCs w:val="15"/>
              </w:rPr>
              <w:t>X</w:t>
            </w:r>
          </w:p>
        </w:tc>
        <w:tc>
          <w:tcPr>
            <w:tcW w:w="810" w:type="dxa"/>
            <w:vAlign w:val="center"/>
          </w:tcPr>
          <w:p w14:paraId="728B9D18" w14:textId="77777777" w:rsidR="00681CDB" w:rsidRPr="00F02986" w:rsidRDefault="00681CDB" w:rsidP="005B0D26">
            <w:pPr>
              <w:ind w:left="0"/>
              <w:jc w:val="center"/>
              <w:rPr>
                <w:sz w:val="15"/>
                <w:szCs w:val="15"/>
              </w:rPr>
            </w:pPr>
          </w:p>
        </w:tc>
        <w:tc>
          <w:tcPr>
            <w:tcW w:w="746" w:type="dxa"/>
            <w:vAlign w:val="center"/>
          </w:tcPr>
          <w:p w14:paraId="7116A6B7" w14:textId="77777777" w:rsidR="00681CDB" w:rsidRPr="00F02986" w:rsidRDefault="00681CDB" w:rsidP="005B0D26">
            <w:pPr>
              <w:ind w:left="0"/>
              <w:jc w:val="center"/>
              <w:rPr>
                <w:sz w:val="15"/>
                <w:szCs w:val="15"/>
              </w:rPr>
            </w:pPr>
          </w:p>
        </w:tc>
        <w:tc>
          <w:tcPr>
            <w:tcW w:w="970" w:type="dxa"/>
            <w:tcBorders>
              <w:right w:val="single" w:sz="4" w:space="0" w:color="auto"/>
            </w:tcBorders>
            <w:vAlign w:val="center"/>
          </w:tcPr>
          <w:p w14:paraId="0D06A435" w14:textId="77777777" w:rsidR="00681CDB" w:rsidRPr="00F02986" w:rsidRDefault="00681CDB" w:rsidP="005B0D26">
            <w:pPr>
              <w:ind w:left="0"/>
              <w:jc w:val="center"/>
              <w:rPr>
                <w:sz w:val="15"/>
                <w:szCs w:val="15"/>
              </w:rPr>
            </w:pPr>
            <w:r>
              <w:rPr>
                <w:sz w:val="15"/>
                <w:szCs w:val="15"/>
              </w:rPr>
              <w:t>X</w:t>
            </w:r>
          </w:p>
        </w:tc>
      </w:tr>
      <w:tr w:rsidR="00681CDB" w:rsidRPr="005927F0" w14:paraId="49B5B7D7" w14:textId="77777777" w:rsidTr="005B0D26">
        <w:tc>
          <w:tcPr>
            <w:tcW w:w="537" w:type="dxa"/>
            <w:tcBorders>
              <w:left w:val="single" w:sz="4" w:space="0" w:color="auto"/>
            </w:tcBorders>
            <w:shd w:val="clear" w:color="auto" w:fill="D9D9D9" w:themeFill="background1" w:themeFillShade="D9"/>
          </w:tcPr>
          <w:p w14:paraId="01001BF4" w14:textId="0953B618"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{"citationItems":[{"id":"ITEM-1","itemData":{"DOI":"10.1186/s40795-015-0036-4","ISSN":"2055-0928","abstract":"Dietary mineral deficiencies are widespread globally causing a large disease burden. However, estimates of deficiency prevalence are often only available at national scales or for small population sub-groups with limited relevance for policy makers.","author":[{"dropping-particle":"","family":"Joy","given":"Edward J. M.","non-dropping-particle":"","parse-names":false,"suffix":""},{"dropping-particle":"","family":"Kumssa","given":"Diriba B.","non-dropping-particle":"","parse-names":false,"suffix":""},{"dropping-particle":"","family":"Broadley","given":"Martin R.","non-dropping-particle":"","parse-names":false,"suffix":""},{"dropping-particle":"","family":"Watts","given":"Michael J.","non-dropping-particle":"","parse-names":false,"suffix":""},{"dropping-particle":"","family":"Young","given":"Scott D.","non-dropping-particle":"","parse-names":false,"suffix":""},{"dropping-particle":"","family":"Chilimba","given":"Allan D. C.","non-dropping-particle":"","parse-names":false,"suffix":""},{"dropping-particle":"","family":"Ander","given":"E. Louise","non-dropping-particle":"","parse-names":false,"suffix":""}],"container-title":"BMC Nutrition","id":"ITEM-1","issued":{"date-parts":[["2015"]]},"page":"42","title":"Dietary mineral supplies in Malawi: spatial and socioeconomic assessment","type":"article-journal","volume":"1"},"uris":["http://www.mendeley.com/documents/?uuid=083096d8-d81b-445d-8ac7-f267b5ff4fce"]}],"mendeley":{"formattedCitation":"&lt;sup&gt;(36)&lt;/sup&gt;","plainTextFormattedCitation":"(36)","previouslyFormattedCitation":"[36]"},"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(36)</w:t>
            </w:r>
            <w:r>
              <w:rPr>
                <w:sz w:val="15"/>
                <w:szCs w:val="15"/>
              </w:rPr>
              <w:fldChar w:fldCharType="end"/>
            </w:r>
          </w:p>
        </w:tc>
        <w:tc>
          <w:tcPr>
            <w:tcW w:w="2066" w:type="dxa"/>
            <w:shd w:val="clear" w:color="auto" w:fill="D9D9D9" w:themeFill="background1" w:themeFillShade="D9"/>
          </w:tcPr>
          <w:p w14:paraId="7C3D0613" w14:textId="77777777" w:rsidR="00681CDB" w:rsidRPr="00F02986" w:rsidRDefault="00681CDB" w:rsidP="005B0D26">
            <w:pPr>
              <w:ind w:left="0"/>
              <w:rPr>
                <w:sz w:val="15"/>
                <w:szCs w:val="15"/>
              </w:rPr>
            </w:pPr>
            <w:r w:rsidRPr="00F02986">
              <w:rPr>
                <w:sz w:val="15"/>
                <w:szCs w:val="15"/>
              </w:rPr>
              <w:t>Joy et al. (2015)</w:t>
            </w:r>
          </w:p>
        </w:tc>
        <w:tc>
          <w:tcPr>
            <w:tcW w:w="1350" w:type="dxa"/>
            <w:shd w:val="clear" w:color="auto" w:fill="D9D9D9" w:themeFill="background1" w:themeFillShade="D9"/>
          </w:tcPr>
          <w:p w14:paraId="4C1F0E13" w14:textId="77777777" w:rsidR="00681CDB" w:rsidRPr="00F02986" w:rsidRDefault="00681CDB" w:rsidP="005B0D26">
            <w:pPr>
              <w:ind w:left="0"/>
              <w:rPr>
                <w:sz w:val="15"/>
                <w:szCs w:val="15"/>
              </w:rPr>
            </w:pPr>
            <w:r w:rsidRPr="00F02986">
              <w:rPr>
                <w:sz w:val="15"/>
                <w:szCs w:val="15"/>
              </w:rPr>
              <w:t>Malawi</w:t>
            </w:r>
          </w:p>
        </w:tc>
        <w:tc>
          <w:tcPr>
            <w:tcW w:w="4406" w:type="dxa"/>
            <w:shd w:val="clear" w:color="auto" w:fill="D9D9D9" w:themeFill="background1" w:themeFillShade="D9"/>
          </w:tcPr>
          <w:p w14:paraId="5E6BC7FE" w14:textId="77777777" w:rsidR="00681CDB" w:rsidRPr="00F03BC0" w:rsidRDefault="00681CDB" w:rsidP="005B0D26">
            <w:pPr>
              <w:ind w:left="0"/>
              <w:rPr>
                <w:sz w:val="15"/>
                <w:szCs w:val="15"/>
              </w:rPr>
            </w:pPr>
            <w:r>
              <w:rPr>
                <w:sz w:val="15"/>
                <w:szCs w:val="15"/>
              </w:rPr>
              <w:t xml:space="preserve">Third </w:t>
            </w:r>
            <w:r w:rsidRPr="00F03BC0">
              <w:rPr>
                <w:sz w:val="15"/>
                <w:szCs w:val="15"/>
              </w:rPr>
              <w:t xml:space="preserve">Integrated Household Survey </w:t>
            </w:r>
            <w:r>
              <w:rPr>
                <w:sz w:val="15"/>
                <w:szCs w:val="15"/>
              </w:rPr>
              <w:t>(2010/11)</w:t>
            </w:r>
          </w:p>
        </w:tc>
        <w:tc>
          <w:tcPr>
            <w:tcW w:w="990" w:type="dxa"/>
            <w:shd w:val="clear" w:color="auto" w:fill="D9D9D9" w:themeFill="background1" w:themeFillShade="D9"/>
            <w:vAlign w:val="center"/>
          </w:tcPr>
          <w:p w14:paraId="67E433FD"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38AB4D26" w14:textId="77777777" w:rsidR="00681CDB" w:rsidRPr="00F02986" w:rsidRDefault="00681CDB" w:rsidP="005B0D26">
            <w:pPr>
              <w:ind w:left="0"/>
              <w:jc w:val="center"/>
              <w:rPr>
                <w:sz w:val="15"/>
                <w:szCs w:val="15"/>
              </w:rPr>
            </w:pPr>
            <w:r>
              <w:rPr>
                <w:sz w:val="15"/>
                <w:szCs w:val="15"/>
              </w:rPr>
              <w:t>X</w:t>
            </w:r>
          </w:p>
        </w:tc>
        <w:tc>
          <w:tcPr>
            <w:tcW w:w="746" w:type="dxa"/>
            <w:shd w:val="clear" w:color="auto" w:fill="D9D9D9" w:themeFill="background1" w:themeFillShade="D9"/>
            <w:vAlign w:val="center"/>
          </w:tcPr>
          <w:p w14:paraId="1EBB7549"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188F3A21" w14:textId="77777777" w:rsidR="00681CDB" w:rsidRPr="00F02986" w:rsidRDefault="00681CDB" w:rsidP="005B0D26">
            <w:pPr>
              <w:ind w:left="0"/>
              <w:jc w:val="center"/>
              <w:rPr>
                <w:sz w:val="15"/>
                <w:szCs w:val="15"/>
              </w:rPr>
            </w:pPr>
            <w:r>
              <w:rPr>
                <w:sz w:val="15"/>
                <w:szCs w:val="15"/>
              </w:rPr>
              <w:t>X</w:t>
            </w:r>
          </w:p>
        </w:tc>
      </w:tr>
      <w:tr w:rsidR="00681CDB" w:rsidRPr="005927F0" w14:paraId="3E6F9029" w14:textId="77777777" w:rsidTr="005B0D26">
        <w:tc>
          <w:tcPr>
            <w:tcW w:w="537" w:type="dxa"/>
            <w:tcBorders>
              <w:left w:val="single" w:sz="4" w:space="0" w:color="auto"/>
            </w:tcBorders>
          </w:tcPr>
          <w:p w14:paraId="5B5A8141" w14:textId="6C04728F"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{"citationItems":[{"id":"ITEM-1","itemData":{"ISBN":"9788578110796","ISSN":"1098-6596","abstract":"Ending extreme hunger requires interaction of both household and community level infrastructural investments. When communities and households are capital infrastructure constrained, effects of extreme events such as droughts can fetter consumption growth and food security. This paper assesses the impact of household shocks on daily per capita food consumption in Malawi. Secondly, the study assesses the impact of community level public infrastructural investment on household food security. The study uses fixed effects regression combined with propensity score matching techniques on a Malawian panel data collected between 2010 and 2016. The study uses three indicators for food security namely food consumption expenditure, the Berry Index of dietary variety and number of days a household went without food. To measure idiosyncratic and covariate shocks, self-reported survey and high-resolution weather station-based data used. To measure infrastructure, survey data, triangulated with remote sensed night time lights, were used to construct an infrastructure index. Results show that while a standard deviation deficit in the one to three-month interval drought reduces consumption by over 80%, access to infrastructure increased consumption by a factor of two during shocks.","author":[{"dropping-particle":"","family":"Kankwamba","given":"Henry","non-dropping-particle":"","parse-names":false,"suffix":""},{"dropping-particle":"","family":"Kornher","given":"Lukas","non-dropping-particle":"","parse-names":false,"suffix":""}],"container-title":"93rd Annual Conference of the Agricultural Economics Society","id":"ITEM-1","issued":{"date-parts":[["2019"]]},"publisher":"Agricultural Economics Society","publisher-place":"Coventry, UK","title":"Household shocks, infrastructural investments, food and nutrition security linkages in Malawi","type":"paper-conference"},"uris":["http://www.mendeley.com/documents/?uuid=cdeeab33-0d76-4105-93e6-e57428d5f4e9"]}],"mendeley":{"formattedCitation":"&lt;sup&gt;(37)&lt;/sup&gt;","plainTextFormattedCitation":"(37)","previouslyFormattedCitation":"[37]"},"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(37)</w:t>
            </w:r>
            <w:r>
              <w:rPr>
                <w:sz w:val="15"/>
                <w:szCs w:val="15"/>
              </w:rPr>
              <w:fldChar w:fldCharType="end"/>
            </w:r>
          </w:p>
        </w:tc>
        <w:tc>
          <w:tcPr>
            <w:tcW w:w="2066" w:type="dxa"/>
          </w:tcPr>
          <w:p w14:paraId="3A1D85C3" w14:textId="77777777" w:rsidR="00681CDB" w:rsidRPr="00F02986" w:rsidRDefault="00681CDB" w:rsidP="005B0D26">
            <w:pPr>
              <w:ind w:left="0"/>
              <w:rPr>
                <w:sz w:val="15"/>
                <w:szCs w:val="15"/>
              </w:rPr>
            </w:pPr>
            <w:proofErr w:type="spellStart"/>
            <w:r w:rsidRPr="00F02986">
              <w:rPr>
                <w:sz w:val="15"/>
                <w:szCs w:val="15"/>
              </w:rPr>
              <w:t>Kankwamba</w:t>
            </w:r>
            <w:proofErr w:type="spellEnd"/>
            <w:r w:rsidRPr="00F02986">
              <w:rPr>
                <w:sz w:val="15"/>
                <w:szCs w:val="15"/>
              </w:rPr>
              <w:t xml:space="preserve"> &amp; </w:t>
            </w:r>
            <w:proofErr w:type="spellStart"/>
            <w:r w:rsidRPr="00F02986">
              <w:rPr>
                <w:sz w:val="15"/>
                <w:szCs w:val="15"/>
              </w:rPr>
              <w:t>Kornher</w:t>
            </w:r>
            <w:proofErr w:type="spellEnd"/>
            <w:r w:rsidRPr="00F02986">
              <w:rPr>
                <w:sz w:val="15"/>
                <w:szCs w:val="15"/>
              </w:rPr>
              <w:t xml:space="preserve"> (2019)</w:t>
            </w:r>
          </w:p>
        </w:tc>
        <w:tc>
          <w:tcPr>
            <w:tcW w:w="1350" w:type="dxa"/>
          </w:tcPr>
          <w:p w14:paraId="19A159F1" w14:textId="77777777" w:rsidR="00681CDB" w:rsidRPr="00F02986" w:rsidRDefault="00681CDB" w:rsidP="005B0D26">
            <w:pPr>
              <w:ind w:left="0"/>
              <w:rPr>
                <w:sz w:val="15"/>
                <w:szCs w:val="15"/>
              </w:rPr>
            </w:pPr>
            <w:r w:rsidRPr="00F02986">
              <w:rPr>
                <w:sz w:val="15"/>
                <w:szCs w:val="15"/>
              </w:rPr>
              <w:t>Malawi</w:t>
            </w:r>
          </w:p>
        </w:tc>
        <w:tc>
          <w:tcPr>
            <w:tcW w:w="4406" w:type="dxa"/>
          </w:tcPr>
          <w:p w14:paraId="5E042CB2" w14:textId="77777777" w:rsidR="00681CDB" w:rsidRPr="00F03BC0" w:rsidRDefault="00681CDB" w:rsidP="005B0D26">
            <w:pPr>
              <w:ind w:left="0"/>
              <w:rPr>
                <w:sz w:val="15"/>
                <w:szCs w:val="15"/>
              </w:rPr>
            </w:pPr>
            <w:r>
              <w:rPr>
                <w:sz w:val="15"/>
                <w:szCs w:val="15"/>
              </w:rPr>
              <w:t>Third/Fourth</w:t>
            </w:r>
            <w:r w:rsidRPr="00F03BC0">
              <w:rPr>
                <w:sz w:val="15"/>
                <w:szCs w:val="15"/>
              </w:rPr>
              <w:t xml:space="preserve"> Integrated Household Survey </w:t>
            </w:r>
            <w:r>
              <w:rPr>
                <w:sz w:val="15"/>
                <w:szCs w:val="15"/>
              </w:rPr>
              <w:t>(2010/11, 2016/17)</w:t>
            </w:r>
          </w:p>
        </w:tc>
        <w:tc>
          <w:tcPr>
            <w:tcW w:w="990" w:type="dxa"/>
            <w:vAlign w:val="center"/>
          </w:tcPr>
          <w:p w14:paraId="613380B4" w14:textId="77777777" w:rsidR="00681CDB" w:rsidRPr="00F02986" w:rsidRDefault="00681CDB" w:rsidP="005B0D26">
            <w:pPr>
              <w:ind w:left="0"/>
              <w:jc w:val="center"/>
              <w:rPr>
                <w:sz w:val="15"/>
                <w:szCs w:val="15"/>
              </w:rPr>
            </w:pPr>
            <w:r>
              <w:rPr>
                <w:sz w:val="15"/>
                <w:szCs w:val="15"/>
              </w:rPr>
              <w:t>X</w:t>
            </w:r>
          </w:p>
        </w:tc>
        <w:tc>
          <w:tcPr>
            <w:tcW w:w="810" w:type="dxa"/>
            <w:vAlign w:val="center"/>
          </w:tcPr>
          <w:p w14:paraId="0FDD63A4" w14:textId="77777777" w:rsidR="00681CDB" w:rsidRPr="00F02986" w:rsidRDefault="00681CDB" w:rsidP="005B0D26">
            <w:pPr>
              <w:ind w:left="0"/>
              <w:jc w:val="center"/>
              <w:rPr>
                <w:sz w:val="15"/>
                <w:szCs w:val="15"/>
              </w:rPr>
            </w:pPr>
          </w:p>
        </w:tc>
        <w:tc>
          <w:tcPr>
            <w:tcW w:w="746" w:type="dxa"/>
            <w:vAlign w:val="center"/>
          </w:tcPr>
          <w:p w14:paraId="3B4453C9" w14:textId="77777777" w:rsidR="00681CDB" w:rsidRPr="00F02986" w:rsidRDefault="00681CDB" w:rsidP="005B0D26">
            <w:pPr>
              <w:ind w:left="0"/>
              <w:jc w:val="center"/>
              <w:rPr>
                <w:sz w:val="15"/>
                <w:szCs w:val="15"/>
              </w:rPr>
            </w:pPr>
          </w:p>
        </w:tc>
        <w:tc>
          <w:tcPr>
            <w:tcW w:w="970" w:type="dxa"/>
            <w:tcBorders>
              <w:right w:val="single" w:sz="4" w:space="0" w:color="auto"/>
            </w:tcBorders>
            <w:vAlign w:val="center"/>
          </w:tcPr>
          <w:p w14:paraId="474F0B41" w14:textId="77777777" w:rsidR="00681CDB" w:rsidRPr="00F02986" w:rsidRDefault="00681CDB" w:rsidP="005B0D26">
            <w:pPr>
              <w:ind w:left="0"/>
              <w:jc w:val="center"/>
              <w:rPr>
                <w:sz w:val="15"/>
                <w:szCs w:val="15"/>
              </w:rPr>
            </w:pPr>
          </w:p>
        </w:tc>
      </w:tr>
      <w:tr w:rsidR="00681CDB" w:rsidRPr="005927F0" w14:paraId="49CC9362" w14:textId="77777777" w:rsidTr="005B0D26">
        <w:tc>
          <w:tcPr>
            <w:tcW w:w="537" w:type="dxa"/>
            <w:tcBorders>
              <w:left w:val="single" w:sz="4" w:space="0" w:color="auto"/>
            </w:tcBorders>
            <w:shd w:val="clear" w:color="auto" w:fill="D9D9D9" w:themeFill="background1" w:themeFillShade="D9"/>
          </w:tcPr>
          <w:p w14:paraId="58FA3CAD" w14:textId="467420EF"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{"citationItems":[{"id":"ITEM-1","itemData":{"DOI":"10.1371/journal.pone.0202831","ISSN":"19326203","PMID":"30148863","abstract":"Background Accurate national information on dietary intakes, including heterogeneity among individuals, is critical to inform health implications and policy priorities. In low- and middle-income countries, household expenditure surveys constitute the major source of food data, but with uncertain validity for individual-level intakes. Objective To investigate how individualized dietary consumption estimated from household survey data compared with individual-level 24-hr dietary recalls (24hR); and to assess potential heterogeneity by method for individualizing household intakes, dietary indicator, and individual characteristics (age, sex, education, religion, household income). Methods We evaluated data from the 2011–2012 Bangladesh Household Integrated Survey (BIHS), which included household-level consumption data (5,503 households) and individual-level dietary data based on 24hR from these households (22,173 participants). Household and 24hR estimates were standardized and harmonized for 33 dietary indicators, including 9 food groups, total energy, 8 macronutrients, and 15 micronutrients. Individual consumption was estimated from household data using two approaches, the Adult Male Equivalent (AME) and per capita (PC) approach. For each dietary indicator, differences in household vs. individual mean estimates were evaluated overall and by strata of individual characteristics, using Spearman’s correlations and univariate and multivariate linear regression models. Results Individualized household estimates overestimated individual intakes from 24hR for all dietary factors using either estimation method (P&lt;0.001 for each), except for starchy vegetables (AME: P = 0.15; PC: P = 0.85). For foods, overestimation ranged from 4% for seafood to about 240% for fruits, and for nutrients from 11% for carbohydrates and polyunsaturated fats to 55% for vitamin C, with similar overestimation for the AME and the PC method. By strata, overestimation was modestly higher in men vs. women, in children (0-10y) vs. adolescents (11-19y) and adults (20-44y, 45y), among adults of higher (6y) vs. lower (&lt;6y) education, in Muslims vs. other religions (Christians, Hindus), and for the lowest vs. all other income groups. This overestimation was notably higher in young children (0-5y) vs. all other age groups and in the lowest vs. all other income groups. Underestimation was rarely observed, for example for milk intake (-56%) in young children (0-5y). The PC approach did not capture h…","author":[{"dropping-particle":"","family":"Karageorgou","given":"Dimitra","non-dropping-particle":"","parse-names":false,"suffix":""},{"dropping-particle":"","family":"Imamura","given":"Fumiaki","non-dropping-particle":"","parse-names":false,"suffix":""},{"dropping-particle":"","family":"Zhang","given":"Jianyi","non-dropping-particle":"","parse-names":false,"suffix":""},{"dropping-particle":"","family":"Shi","given":"Peilin","non-dropping-particle":"","parse-names":false,"suffix":""},{"dropping-particle":"","family":"Mozaffarian","given":"Dariush","non-dropping-particle":"","parse-names":false,"suffix":""},{"dropping-particle":"","family":"Micha","given":"Renata","non-dropping-particle":"","parse-names":false,"suffix":""}],"container-title":"PLoS ONE","id":"ITEM-1","issue":"8","issued":{"date-parts":[["2018"]]},"page":"e0202831","title":"Assessing dietary intakes from household budget surveys: A national analysis in Bangladesh","type":"article-journal","volume":"13"},"uris":["http://www.mendeley.com/documents/?uuid=96cd3f0b-0820-470e-b1cc-7eee30fa5259"]}],"mendeley":{"formattedCitation":"&lt;sup&gt;(38)&lt;/sup&gt;","plainTextFormattedCitation":"(38)","previouslyFormattedCitation":"[38]"},"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(38)</w:t>
            </w:r>
            <w:r>
              <w:rPr>
                <w:sz w:val="15"/>
                <w:szCs w:val="15"/>
              </w:rPr>
              <w:fldChar w:fldCharType="end"/>
            </w:r>
          </w:p>
        </w:tc>
        <w:tc>
          <w:tcPr>
            <w:tcW w:w="2066" w:type="dxa"/>
            <w:shd w:val="clear" w:color="auto" w:fill="D9D9D9" w:themeFill="background1" w:themeFillShade="D9"/>
          </w:tcPr>
          <w:p w14:paraId="12F69324" w14:textId="77777777" w:rsidR="00681CDB" w:rsidRPr="00F02986" w:rsidRDefault="00681CDB" w:rsidP="005B0D26">
            <w:pPr>
              <w:ind w:left="0"/>
              <w:rPr>
                <w:sz w:val="15"/>
                <w:szCs w:val="15"/>
              </w:rPr>
            </w:pPr>
            <w:proofErr w:type="spellStart"/>
            <w:r w:rsidRPr="00F02986">
              <w:rPr>
                <w:sz w:val="15"/>
                <w:szCs w:val="15"/>
              </w:rPr>
              <w:t>Karageorgou</w:t>
            </w:r>
            <w:proofErr w:type="spellEnd"/>
            <w:r w:rsidRPr="00F02986">
              <w:rPr>
                <w:sz w:val="15"/>
                <w:szCs w:val="15"/>
              </w:rPr>
              <w:t xml:space="preserve"> et al. (2018)</w:t>
            </w:r>
          </w:p>
        </w:tc>
        <w:tc>
          <w:tcPr>
            <w:tcW w:w="1350" w:type="dxa"/>
            <w:shd w:val="clear" w:color="auto" w:fill="D9D9D9" w:themeFill="background1" w:themeFillShade="D9"/>
          </w:tcPr>
          <w:p w14:paraId="18777AD6" w14:textId="77777777" w:rsidR="00681CDB" w:rsidRPr="00F02986" w:rsidRDefault="00681CDB" w:rsidP="005B0D26">
            <w:pPr>
              <w:ind w:left="0"/>
              <w:rPr>
                <w:sz w:val="15"/>
                <w:szCs w:val="15"/>
              </w:rPr>
            </w:pPr>
            <w:r w:rsidRPr="00F02986">
              <w:rPr>
                <w:sz w:val="15"/>
                <w:szCs w:val="15"/>
              </w:rPr>
              <w:t>Bangladesh</w:t>
            </w:r>
          </w:p>
        </w:tc>
        <w:tc>
          <w:tcPr>
            <w:tcW w:w="4406" w:type="dxa"/>
            <w:shd w:val="clear" w:color="auto" w:fill="D9D9D9" w:themeFill="background1" w:themeFillShade="D9"/>
          </w:tcPr>
          <w:p w14:paraId="3AB02468" w14:textId="77777777" w:rsidR="00681CDB" w:rsidRPr="00F03BC0" w:rsidRDefault="00681CDB" w:rsidP="005B0D26">
            <w:pPr>
              <w:ind w:left="0"/>
              <w:rPr>
                <w:sz w:val="15"/>
                <w:szCs w:val="15"/>
              </w:rPr>
            </w:pPr>
            <w:r w:rsidRPr="00F03BC0">
              <w:rPr>
                <w:sz w:val="15"/>
                <w:szCs w:val="15"/>
              </w:rPr>
              <w:t xml:space="preserve">Bangladesh Integrated Household Survey </w:t>
            </w:r>
            <w:r>
              <w:rPr>
                <w:sz w:val="15"/>
                <w:szCs w:val="15"/>
              </w:rPr>
              <w:t>(</w:t>
            </w:r>
            <w:r w:rsidRPr="00F03BC0">
              <w:rPr>
                <w:sz w:val="15"/>
                <w:szCs w:val="15"/>
              </w:rPr>
              <w:t>2011/12</w:t>
            </w:r>
            <w:r>
              <w:rPr>
                <w:sz w:val="15"/>
                <w:szCs w:val="15"/>
              </w:rPr>
              <w:t>)</w:t>
            </w:r>
          </w:p>
        </w:tc>
        <w:tc>
          <w:tcPr>
            <w:tcW w:w="990" w:type="dxa"/>
            <w:shd w:val="clear" w:color="auto" w:fill="D9D9D9" w:themeFill="background1" w:themeFillShade="D9"/>
            <w:vAlign w:val="center"/>
          </w:tcPr>
          <w:p w14:paraId="12717A42"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266BEC9A" w14:textId="77777777" w:rsidR="00681CDB" w:rsidRPr="00F02986" w:rsidRDefault="00681CDB" w:rsidP="005B0D26">
            <w:pPr>
              <w:ind w:left="0"/>
              <w:jc w:val="center"/>
              <w:rPr>
                <w:sz w:val="15"/>
                <w:szCs w:val="15"/>
              </w:rPr>
            </w:pPr>
            <w:r>
              <w:rPr>
                <w:sz w:val="15"/>
                <w:szCs w:val="15"/>
              </w:rPr>
              <w:t>X</w:t>
            </w:r>
          </w:p>
        </w:tc>
        <w:tc>
          <w:tcPr>
            <w:tcW w:w="746" w:type="dxa"/>
            <w:shd w:val="clear" w:color="auto" w:fill="D9D9D9" w:themeFill="background1" w:themeFillShade="D9"/>
            <w:vAlign w:val="center"/>
          </w:tcPr>
          <w:p w14:paraId="15609362"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3502DC5C" w14:textId="77777777" w:rsidR="00681CDB" w:rsidRPr="00F02986" w:rsidRDefault="00681CDB" w:rsidP="005B0D26">
            <w:pPr>
              <w:ind w:left="0"/>
              <w:jc w:val="center"/>
              <w:rPr>
                <w:sz w:val="15"/>
                <w:szCs w:val="15"/>
              </w:rPr>
            </w:pPr>
          </w:p>
        </w:tc>
      </w:tr>
      <w:tr w:rsidR="00681CDB" w:rsidRPr="005927F0" w14:paraId="68B64EBD" w14:textId="77777777" w:rsidTr="005B0D26">
        <w:tc>
          <w:tcPr>
            <w:tcW w:w="537" w:type="dxa"/>
            <w:tcBorders>
              <w:left w:val="single" w:sz="4" w:space="0" w:color="auto"/>
            </w:tcBorders>
          </w:tcPr>
          <w:p w14:paraId="483EE7E6" w14:textId="03F5C8EA"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{"citationItems":[{"id":"ITEM-1","itemData":{"DOI":"10.1016/j.foodpol.2015.04.007","ISSN":"03069192","abstract":"Introduction: Biofortification is the breeding of new varieties of staple foods for increased micronutrient content. It is seen primarily as a complementary, rural-targeted strategy for better reaching remote populations. This paper presents an ex ante analysis of HarvestPlus' provitamin A maize (PVAM) in Zambia and highlights an empirical approach based on the Zambian 2005/06 Living Conditions Monitoring Survey (LCMS). Because more than 115 countries regularly conduct a Household Consumption and Expenditure Survey (HCES), the approach developed in this LCMS-based study can be applied in many other countries to analyze varietal adoption and conduct ex ante studies. Methods: Data from the LCMS and health statistics were used to characterize baseline indicators of vitamin A intake and Disability Adjusted Life Years (DALYs) lost. The introduction and scaling up of PVAM was modeled based on program plans, expert opinion and data on key adoption parameters. An adoption function was specified and expressed in terms of the percent of farmers expected to adopt PVAM over the next 30. years. A logistic regression adoption function was estimated and used to identify the specific LCMS households adopting, producing and consuming PVAM each year. Information from the IFPRI International Model for Policy Analysis of Agricultural Commodities and Trade (IMPACT) of yearly maize production and demand were used to produce annual estimates of PVAM planted, harvested and consumed. Taking into account an LCMS-empirically-informed, specified market structure, individuals' additional vitamin A intake was calculated. The number of DALYs saved were estimated using the change in vitamin A intake. Combining these estimates with cost data, the cost-effectiveness of PVAM was calculated. Results: Assuming an adoption ceiling of 20% over 30. years, implementation of PVAM will result in average additional intake of 12% of the Estimated Average Requirement (EAR), a 3 percentage point reduction in the prevalence of inadequate intake, and savings of 23% of total DALYs. Impacts are concentrated among farming households that have adopted PVAM and consume it from their own production. Their consumption will result in an average additional vitamin A intake of 172. μg/day, more than 3 times the additional 54. μg/day among the entire population. Among this group, the reduction in the prevalence of inadequate intake will be more than 5 times the national average (17.5 percentage points). Valuing …","author":[{"dropping-particle":"","family":"Lividini","given":"Keith","non-dropping-particle":"","parse-names":false,"suffix":""},{"dropping-particle":"","family":"Fiedler","given":"John L.","non-dropping-particle":"","parse-names":false,"suffix":""}],"container-title":"Food Policy","id":"ITEM-1","issued":{"date-parts":[["2015"]]},"page":"65-77","title":"Assessing the promise of biofortification: A case study of high provitamin A maize in Zambia","type":"article-journal","volume":"54"},"uris":["http://www.mendeley.com/documents/?uuid=8be18ef3-5a88-4b99-aa10-e7a2c0a57cbc"]}],"mendeley":{"formattedCitation":"&lt;sup&gt;(39)&lt;/sup&gt;","plainTextFormattedCitation":"(39)","previouslyFormattedCitation":"[39]"},"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(39)</w:t>
            </w:r>
            <w:r>
              <w:rPr>
                <w:sz w:val="15"/>
                <w:szCs w:val="15"/>
              </w:rPr>
              <w:fldChar w:fldCharType="end"/>
            </w:r>
          </w:p>
        </w:tc>
        <w:tc>
          <w:tcPr>
            <w:tcW w:w="2066" w:type="dxa"/>
          </w:tcPr>
          <w:p w14:paraId="30533F78" w14:textId="77777777" w:rsidR="00681CDB" w:rsidRPr="00F02986" w:rsidRDefault="00681CDB" w:rsidP="005B0D26">
            <w:pPr>
              <w:ind w:left="0"/>
              <w:rPr>
                <w:sz w:val="15"/>
                <w:szCs w:val="15"/>
              </w:rPr>
            </w:pPr>
            <w:proofErr w:type="spellStart"/>
            <w:r w:rsidRPr="00F02986">
              <w:rPr>
                <w:sz w:val="15"/>
                <w:szCs w:val="15"/>
              </w:rPr>
              <w:t>Lividini</w:t>
            </w:r>
            <w:proofErr w:type="spellEnd"/>
            <w:r w:rsidRPr="00F02986">
              <w:rPr>
                <w:sz w:val="15"/>
                <w:szCs w:val="15"/>
              </w:rPr>
              <w:t xml:space="preserve"> &amp; Fiedler (2015)</w:t>
            </w:r>
          </w:p>
        </w:tc>
        <w:tc>
          <w:tcPr>
            <w:tcW w:w="1350" w:type="dxa"/>
          </w:tcPr>
          <w:p w14:paraId="04B69B11" w14:textId="77777777" w:rsidR="00681CDB" w:rsidRPr="00F02986" w:rsidRDefault="00681CDB" w:rsidP="005B0D26">
            <w:pPr>
              <w:ind w:left="0"/>
              <w:rPr>
                <w:sz w:val="15"/>
                <w:szCs w:val="15"/>
              </w:rPr>
            </w:pPr>
            <w:r w:rsidRPr="00F02986">
              <w:rPr>
                <w:sz w:val="15"/>
                <w:szCs w:val="15"/>
              </w:rPr>
              <w:t>Zambia</w:t>
            </w:r>
          </w:p>
        </w:tc>
        <w:tc>
          <w:tcPr>
            <w:tcW w:w="4406" w:type="dxa"/>
          </w:tcPr>
          <w:p w14:paraId="6C677EB0" w14:textId="77777777" w:rsidR="00681CDB" w:rsidRPr="00F03BC0" w:rsidRDefault="00681CDB" w:rsidP="005B0D26">
            <w:pPr>
              <w:ind w:left="0"/>
              <w:rPr>
                <w:sz w:val="15"/>
                <w:szCs w:val="15"/>
              </w:rPr>
            </w:pPr>
            <w:r w:rsidRPr="00F03BC0">
              <w:rPr>
                <w:sz w:val="15"/>
                <w:szCs w:val="15"/>
              </w:rPr>
              <w:t>Living Conditions Monitoring Survey V (2006)</w:t>
            </w:r>
          </w:p>
        </w:tc>
        <w:tc>
          <w:tcPr>
            <w:tcW w:w="990" w:type="dxa"/>
            <w:vAlign w:val="center"/>
          </w:tcPr>
          <w:p w14:paraId="597429E3" w14:textId="77777777" w:rsidR="00681CDB" w:rsidRPr="00F02986" w:rsidRDefault="00681CDB" w:rsidP="005B0D26">
            <w:pPr>
              <w:ind w:left="0"/>
              <w:jc w:val="center"/>
              <w:rPr>
                <w:sz w:val="15"/>
                <w:szCs w:val="15"/>
              </w:rPr>
            </w:pPr>
          </w:p>
        </w:tc>
        <w:tc>
          <w:tcPr>
            <w:tcW w:w="810" w:type="dxa"/>
            <w:vAlign w:val="center"/>
          </w:tcPr>
          <w:p w14:paraId="5877BE5C" w14:textId="77777777" w:rsidR="00681CDB" w:rsidRPr="00F02986" w:rsidRDefault="00681CDB" w:rsidP="005B0D26">
            <w:pPr>
              <w:ind w:left="0"/>
              <w:jc w:val="center"/>
              <w:rPr>
                <w:sz w:val="15"/>
                <w:szCs w:val="15"/>
              </w:rPr>
            </w:pPr>
            <w:r>
              <w:rPr>
                <w:sz w:val="15"/>
                <w:szCs w:val="15"/>
              </w:rPr>
              <w:t>X</w:t>
            </w:r>
          </w:p>
        </w:tc>
        <w:tc>
          <w:tcPr>
            <w:tcW w:w="746" w:type="dxa"/>
            <w:vAlign w:val="center"/>
          </w:tcPr>
          <w:p w14:paraId="04CEA18C" w14:textId="77777777" w:rsidR="00681CDB" w:rsidRPr="00F02986" w:rsidRDefault="00681CDB" w:rsidP="005B0D26">
            <w:pPr>
              <w:ind w:left="0"/>
              <w:jc w:val="center"/>
              <w:rPr>
                <w:sz w:val="15"/>
                <w:szCs w:val="15"/>
              </w:rPr>
            </w:pPr>
          </w:p>
        </w:tc>
        <w:tc>
          <w:tcPr>
            <w:tcW w:w="970" w:type="dxa"/>
            <w:tcBorders>
              <w:right w:val="single" w:sz="4" w:space="0" w:color="auto"/>
            </w:tcBorders>
            <w:vAlign w:val="center"/>
          </w:tcPr>
          <w:p w14:paraId="06182E56" w14:textId="77777777" w:rsidR="00681CDB" w:rsidRPr="00F02986" w:rsidRDefault="00681CDB" w:rsidP="005B0D26">
            <w:pPr>
              <w:ind w:left="0"/>
              <w:jc w:val="center"/>
              <w:rPr>
                <w:sz w:val="15"/>
                <w:szCs w:val="15"/>
              </w:rPr>
            </w:pPr>
            <w:r>
              <w:rPr>
                <w:sz w:val="15"/>
                <w:szCs w:val="15"/>
              </w:rPr>
              <w:t>X</w:t>
            </w:r>
          </w:p>
        </w:tc>
      </w:tr>
      <w:tr w:rsidR="00681CDB" w:rsidRPr="005927F0" w14:paraId="174F896D" w14:textId="77777777" w:rsidTr="005B0D26">
        <w:tc>
          <w:tcPr>
            <w:tcW w:w="537" w:type="dxa"/>
            <w:tcBorders>
              <w:left w:val="single" w:sz="4" w:space="0" w:color="auto"/>
            </w:tcBorders>
            <w:shd w:val="clear" w:color="auto" w:fill="D9D9D9" w:themeFill="background1" w:themeFillShade="D9"/>
          </w:tcPr>
          <w:p w14:paraId="34F79D06" w14:textId="7A455AD1"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{"citationItems":[{"id":"ITEM-1","itemData":{"DOI":"10.1177/156482651303400414","ISSN":"03795721","abstract":"Background. Observed-Weighed Food Record Surveys (OWFR) are regarded as the most precise dietary assessment methodology, despite their recognized shortcomings, which include limited availability, high cost, small samples with uncertain external validity that rarely include all household members, Hawthorne effects, and using only 1 or 2 days to identify \"usual intake.\" Although Household Consumption and Expenditures Surveys (HCES) also have significant limitations, they are increasingly being used to inform nutrition policy. Objective. To investigate differences in fortification simulations based on OWFR and HCES from Bangladesh. Methods. The pre- and postfortification nutrient intake levels from the two surveys were compared. Results. The total population-based rank orderings of oil, wheat flour, and sugar coverage were identical for the two surveys. OWFR found differences in women's and children's coverage rates and average quantities consumed for all three foods that were not detected by HCES. Guided by the Food Fortification Formulator, we found that these differences did not result in differences in recommended fortification levels. Differences were found, however, in estimated impacts: although both surveys found that oil would be effective in reducing the prevalence of inadequate vitamin A intake among both subpopulations, only OWFR also found that sugar and wheat flour fortification would significantly reduce inadequate vitamin A intake among children. Conclusions. Despite the less precise measure of food consumption from HCES, the two surveys provide similar guidance for designing a fortification program. The external validity of these findings is limited. With relatively minor modifications, the precision of HCES in dietary assessment and the use of HCES in fortification programming could be strengthened. © 2013, The Nevin Scrimshaw International Nutrition Foundation.","author":[{"dropping-particle":"","family":"Lividini","given":"Keith","non-dropping-particle":"","parse-names":false,"suffix":""},{"dropping-particle":"","family":"Fiedler","given":"John L.","non-dropping-particle":"","parse-names":false,"suffix":""},{"dropping-particle":"","family":"Bermudez","given":"Odilia I.","non-dropping-particle":"","parse-names":false,"suffix":""}],"container-title":"Food and Nutrition Bulletin","id":"ITEM-1","issue":"4","issued":{"date-parts":[["2013"]]},"page":"520-32","title":"Policy implications of using a Household Consumption and Expenditures Survey versus an Observed-Weighed Food Record Survey to design a food fortification program","type":"article-journal","volume":"34"},"uris":["http://www.mendeley.com/documents/?uuid=b4a07d97-8051-4aac-aa55-9362929debad"]}],"mendeley":{"formattedCitation":"&lt;sup&gt;(40)&lt;/sup&gt;","plainTextFormattedCitation":"(40)","previouslyFormattedCitation":"[40]"},"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(40)</w:t>
            </w:r>
            <w:r>
              <w:rPr>
                <w:sz w:val="15"/>
                <w:szCs w:val="15"/>
              </w:rPr>
              <w:fldChar w:fldCharType="end"/>
            </w:r>
          </w:p>
        </w:tc>
        <w:tc>
          <w:tcPr>
            <w:tcW w:w="2066" w:type="dxa"/>
            <w:shd w:val="clear" w:color="auto" w:fill="D9D9D9" w:themeFill="background1" w:themeFillShade="D9"/>
          </w:tcPr>
          <w:p w14:paraId="1A4FCC65" w14:textId="77777777" w:rsidR="00681CDB" w:rsidRPr="00F02986" w:rsidRDefault="00681CDB" w:rsidP="005B0D26">
            <w:pPr>
              <w:ind w:left="0"/>
              <w:rPr>
                <w:sz w:val="15"/>
                <w:szCs w:val="15"/>
              </w:rPr>
            </w:pPr>
            <w:proofErr w:type="spellStart"/>
            <w:r w:rsidRPr="00F02986">
              <w:rPr>
                <w:sz w:val="15"/>
                <w:szCs w:val="15"/>
              </w:rPr>
              <w:t>Lividini</w:t>
            </w:r>
            <w:proofErr w:type="spellEnd"/>
            <w:r w:rsidRPr="00F02986">
              <w:rPr>
                <w:sz w:val="15"/>
                <w:szCs w:val="15"/>
              </w:rPr>
              <w:t xml:space="preserve"> et al. (2013)</w:t>
            </w:r>
          </w:p>
        </w:tc>
        <w:tc>
          <w:tcPr>
            <w:tcW w:w="1350" w:type="dxa"/>
            <w:shd w:val="clear" w:color="auto" w:fill="D9D9D9" w:themeFill="background1" w:themeFillShade="D9"/>
          </w:tcPr>
          <w:p w14:paraId="0260F0AC" w14:textId="77777777" w:rsidR="00681CDB" w:rsidRPr="00F02986" w:rsidRDefault="00681CDB" w:rsidP="005B0D26">
            <w:pPr>
              <w:ind w:left="0"/>
              <w:rPr>
                <w:sz w:val="15"/>
                <w:szCs w:val="15"/>
              </w:rPr>
            </w:pPr>
            <w:r w:rsidRPr="00F02986">
              <w:rPr>
                <w:sz w:val="15"/>
                <w:szCs w:val="15"/>
              </w:rPr>
              <w:t>Bangladesh</w:t>
            </w:r>
          </w:p>
        </w:tc>
        <w:tc>
          <w:tcPr>
            <w:tcW w:w="4406" w:type="dxa"/>
            <w:shd w:val="clear" w:color="auto" w:fill="D9D9D9" w:themeFill="background1" w:themeFillShade="D9"/>
          </w:tcPr>
          <w:p w14:paraId="5BFDAFE1" w14:textId="77777777" w:rsidR="00681CDB" w:rsidRPr="00F03BC0" w:rsidRDefault="00681CDB" w:rsidP="005B0D26">
            <w:pPr>
              <w:ind w:left="0"/>
              <w:rPr>
                <w:sz w:val="15"/>
                <w:szCs w:val="15"/>
              </w:rPr>
            </w:pPr>
            <w:r w:rsidRPr="00F03BC0">
              <w:rPr>
                <w:sz w:val="15"/>
                <w:szCs w:val="15"/>
              </w:rPr>
              <w:t>Bangladesh Household Income and Expenditure Survey (2005)</w:t>
            </w:r>
          </w:p>
        </w:tc>
        <w:tc>
          <w:tcPr>
            <w:tcW w:w="990" w:type="dxa"/>
            <w:shd w:val="clear" w:color="auto" w:fill="D9D9D9" w:themeFill="background1" w:themeFillShade="D9"/>
            <w:vAlign w:val="center"/>
          </w:tcPr>
          <w:p w14:paraId="2E5129D3"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7ABE6162" w14:textId="77777777" w:rsidR="00681CDB" w:rsidRPr="00F02986" w:rsidRDefault="00681CDB" w:rsidP="005B0D26">
            <w:pPr>
              <w:ind w:left="0"/>
              <w:jc w:val="center"/>
              <w:rPr>
                <w:sz w:val="15"/>
                <w:szCs w:val="15"/>
              </w:rPr>
            </w:pPr>
            <w:r>
              <w:rPr>
                <w:sz w:val="15"/>
                <w:szCs w:val="15"/>
              </w:rPr>
              <w:t>X</w:t>
            </w:r>
          </w:p>
        </w:tc>
        <w:tc>
          <w:tcPr>
            <w:tcW w:w="746" w:type="dxa"/>
            <w:shd w:val="clear" w:color="auto" w:fill="D9D9D9" w:themeFill="background1" w:themeFillShade="D9"/>
            <w:vAlign w:val="center"/>
          </w:tcPr>
          <w:p w14:paraId="74AAF5B8"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5DA17D44" w14:textId="77777777" w:rsidR="00681CDB" w:rsidRPr="00F02986" w:rsidRDefault="00681CDB" w:rsidP="005B0D26">
            <w:pPr>
              <w:ind w:left="0"/>
              <w:jc w:val="center"/>
              <w:rPr>
                <w:sz w:val="15"/>
                <w:szCs w:val="15"/>
              </w:rPr>
            </w:pPr>
            <w:r>
              <w:rPr>
                <w:sz w:val="15"/>
                <w:szCs w:val="15"/>
              </w:rPr>
              <w:t>X</w:t>
            </w:r>
          </w:p>
        </w:tc>
      </w:tr>
      <w:tr w:rsidR="00681CDB" w:rsidRPr="00EF3040" w14:paraId="3C0B22D9" w14:textId="77777777" w:rsidTr="005B0D26">
        <w:tc>
          <w:tcPr>
            <w:tcW w:w="537" w:type="dxa"/>
            <w:tcBorders>
              <w:left w:val="single" w:sz="4" w:space="0" w:color="auto"/>
            </w:tcBorders>
          </w:tcPr>
          <w:p w14:paraId="6157C767" w14:textId="6DFEB753"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{"citationItems":[{"id":"ITEM-1","itemData":{"abstract":"Ce document s’appuie sur deux séries de données sur le budget des ménages (2005 et 2012) pour présenter une proposition d’analyse intégrée des changements les plus récents en matière de bien-être et de pauvreté en République Démocratique du Congo (RDC). Confronté à divers défis méthodologiques, il aborde quatre points pour améliorer la comparabilité du bienêtre et de la pauvreté dans le temps et l’espace. Sa caractéristique la plus saillante est le degré élevé de précision spatiale, qui permet de mieux saisir la variation des conditions de vie et des opportunités économiques en RDC. Comparée aux statistiques officielles, cette approche donne une perspective complètement différente de la pauvreté, tant en termes de niveaux qu’en termes de tendances. Les nouvelles estimations sont également triangulées avec les changements en termes de sous-nutrition. En utilisant l’indicateur de consommation généré par cette approche, on constate que la croissance au niveau des ménages urbains a été en moyenne légèrement positive et favorable aux couches plus pauvres, alors qu’elle a été négative et proriche pour leurs correspondants ruraux. L’effet combiné de ces tendances opposées de bien-être est une réduction mineure de la pauvreté dans les villes congolaises et son augmentation dans le milieu rural. Il existe cependant d’importantes différences régionales que nous classons en quatre tendances de bien-être. Compte tenu des différences entre notre analyse et les statistiques officielles, des travaux supplémentaires sont nécessaires pour vérifier la méthodologie proposée, la robustesse des résultats ainsi que le profil de pauvreté qui en résulte.","author":[{"dropping-particle":"","family":"Marivoet","given":"Wim","non-dropping-particle":"","parse-names":false,"suffix":""},{"dropping-particle":"","family":"Herdt","given":"Tom","non-dropping-particle":"De","parse-names":false,"suffix":""},{"dropping-particle":"","family":"Ulimwengu","given":"John","non-dropping-particle":"","parse-names":false,"suffix":""}],"container-title":"University of Antwerp- Institute of Development Policy Working Paper","id":"ITEM-1","issued":{"date-parts":[["2018"]]},"publisher-place":"Antwerp, Belgium","title":"Eviter les écueils statistiques de la RDC – nouvelles estimations sur les tendances du bien-être et de la pauvreté (2005-2012) selon une approche de désagrégation spatiale","type":"report"},"uris":["http://www.mendeley.com/documents/?uuid=bfb54548-8dad-4cf5-8e0f-27ec8d1d9951"]}],"mendeley":{"formattedCitation":"&lt;sup&gt;(41)&lt;/sup&gt;","plainTextFormattedCitation":"(41)","previouslyFormattedCitation":"[41]"},"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(41)</w:t>
            </w:r>
            <w:r>
              <w:rPr>
                <w:sz w:val="15"/>
                <w:szCs w:val="15"/>
              </w:rPr>
              <w:fldChar w:fldCharType="end"/>
            </w:r>
          </w:p>
        </w:tc>
        <w:tc>
          <w:tcPr>
            <w:tcW w:w="2066" w:type="dxa"/>
          </w:tcPr>
          <w:p w14:paraId="7F89AC15" w14:textId="77777777" w:rsidR="00681CDB" w:rsidRPr="00F02986" w:rsidRDefault="00681CDB" w:rsidP="005B0D26">
            <w:pPr>
              <w:ind w:left="0"/>
              <w:rPr>
                <w:sz w:val="15"/>
                <w:szCs w:val="15"/>
              </w:rPr>
            </w:pPr>
            <w:proofErr w:type="spellStart"/>
            <w:r w:rsidRPr="00F02986">
              <w:rPr>
                <w:sz w:val="15"/>
                <w:szCs w:val="15"/>
              </w:rPr>
              <w:t>Marivoet</w:t>
            </w:r>
            <w:proofErr w:type="spellEnd"/>
            <w:r w:rsidRPr="00F02986">
              <w:rPr>
                <w:sz w:val="15"/>
                <w:szCs w:val="15"/>
              </w:rPr>
              <w:t xml:space="preserve"> et al. (2018)</w:t>
            </w:r>
          </w:p>
        </w:tc>
        <w:tc>
          <w:tcPr>
            <w:tcW w:w="1350" w:type="dxa"/>
          </w:tcPr>
          <w:p w14:paraId="5F9B9085" w14:textId="77777777" w:rsidR="00681CDB" w:rsidRPr="00F02986" w:rsidRDefault="00681CDB" w:rsidP="005B0D26">
            <w:pPr>
              <w:ind w:left="0"/>
              <w:rPr>
                <w:sz w:val="15"/>
                <w:szCs w:val="15"/>
              </w:rPr>
            </w:pPr>
            <w:r w:rsidRPr="00F02986">
              <w:rPr>
                <w:sz w:val="15"/>
                <w:szCs w:val="15"/>
              </w:rPr>
              <w:t>D</w:t>
            </w:r>
            <w:r>
              <w:rPr>
                <w:sz w:val="15"/>
                <w:szCs w:val="15"/>
              </w:rPr>
              <w:t>em. Rep. of the Congo</w:t>
            </w:r>
          </w:p>
        </w:tc>
        <w:tc>
          <w:tcPr>
            <w:tcW w:w="4406" w:type="dxa"/>
          </w:tcPr>
          <w:p w14:paraId="6E0437EC" w14:textId="77777777" w:rsidR="00681CDB" w:rsidRPr="00F03BC0" w:rsidRDefault="00681CDB" w:rsidP="005B0D26">
            <w:pPr>
              <w:ind w:left="0"/>
              <w:rPr>
                <w:sz w:val="15"/>
                <w:szCs w:val="15"/>
                <w:lang w:val="fr-FR"/>
              </w:rPr>
            </w:pPr>
            <w:r w:rsidRPr="00F03BC0">
              <w:rPr>
                <w:sz w:val="15"/>
                <w:szCs w:val="15"/>
              </w:rPr>
              <w:t>﻿﻿</w:t>
            </w:r>
            <w:r w:rsidRPr="00F03BC0">
              <w:rPr>
                <w:sz w:val="15"/>
                <w:szCs w:val="15"/>
                <w:lang w:val="fr-FR"/>
              </w:rPr>
              <w:t>Enquête 123: données transversales sur la consommation des ménages collectées</w:t>
            </w:r>
          </w:p>
        </w:tc>
        <w:tc>
          <w:tcPr>
            <w:tcW w:w="990" w:type="dxa"/>
            <w:vAlign w:val="center"/>
          </w:tcPr>
          <w:p w14:paraId="32E2515F" w14:textId="77777777" w:rsidR="00681CDB" w:rsidRPr="00EF3040" w:rsidRDefault="00681CDB" w:rsidP="005B0D26">
            <w:pPr>
              <w:ind w:left="0"/>
              <w:jc w:val="center"/>
              <w:rPr>
                <w:sz w:val="15"/>
                <w:szCs w:val="15"/>
                <w:lang w:val="fr-FR"/>
              </w:rPr>
            </w:pPr>
          </w:p>
        </w:tc>
        <w:tc>
          <w:tcPr>
            <w:tcW w:w="810" w:type="dxa"/>
            <w:vAlign w:val="center"/>
          </w:tcPr>
          <w:p w14:paraId="2F586E13" w14:textId="77777777" w:rsidR="00681CDB" w:rsidRPr="00EF3040" w:rsidRDefault="00681CDB" w:rsidP="005B0D26">
            <w:pPr>
              <w:ind w:left="0"/>
              <w:jc w:val="center"/>
              <w:rPr>
                <w:sz w:val="15"/>
                <w:szCs w:val="15"/>
                <w:lang w:val="fr-FR"/>
              </w:rPr>
            </w:pPr>
            <w:r>
              <w:rPr>
                <w:sz w:val="15"/>
                <w:szCs w:val="15"/>
                <w:lang w:val="fr-FR"/>
              </w:rPr>
              <w:t>X</w:t>
            </w:r>
          </w:p>
        </w:tc>
        <w:tc>
          <w:tcPr>
            <w:tcW w:w="746" w:type="dxa"/>
            <w:vAlign w:val="center"/>
          </w:tcPr>
          <w:p w14:paraId="6E838A18" w14:textId="77777777" w:rsidR="00681CDB" w:rsidRPr="00EF3040" w:rsidRDefault="00681CDB" w:rsidP="005B0D26">
            <w:pPr>
              <w:ind w:left="0"/>
              <w:jc w:val="center"/>
              <w:rPr>
                <w:sz w:val="15"/>
                <w:szCs w:val="15"/>
                <w:lang w:val="fr-FR"/>
              </w:rPr>
            </w:pPr>
          </w:p>
        </w:tc>
        <w:tc>
          <w:tcPr>
            <w:tcW w:w="970" w:type="dxa"/>
            <w:tcBorders>
              <w:right w:val="single" w:sz="4" w:space="0" w:color="auto"/>
            </w:tcBorders>
            <w:vAlign w:val="center"/>
          </w:tcPr>
          <w:p w14:paraId="4755A797" w14:textId="77777777" w:rsidR="00681CDB" w:rsidRPr="00EF3040" w:rsidRDefault="00681CDB" w:rsidP="005B0D26">
            <w:pPr>
              <w:ind w:left="0"/>
              <w:jc w:val="center"/>
              <w:rPr>
                <w:sz w:val="15"/>
                <w:szCs w:val="15"/>
                <w:lang w:val="fr-FR"/>
              </w:rPr>
            </w:pPr>
            <w:r>
              <w:rPr>
                <w:sz w:val="15"/>
                <w:szCs w:val="15"/>
                <w:lang w:val="fr-FR"/>
              </w:rPr>
              <w:t>X</w:t>
            </w:r>
          </w:p>
        </w:tc>
      </w:tr>
      <w:tr w:rsidR="00681CDB" w:rsidRPr="005927F0" w14:paraId="563AE0CA" w14:textId="77777777" w:rsidTr="005B0D26">
        <w:tc>
          <w:tcPr>
            <w:tcW w:w="537" w:type="dxa"/>
            <w:tcBorders>
              <w:left w:val="single" w:sz="4" w:space="0" w:color="auto"/>
            </w:tcBorders>
            <w:shd w:val="clear" w:color="auto" w:fill="D9D9D9" w:themeFill="background1" w:themeFillShade="D9"/>
          </w:tcPr>
          <w:p w14:paraId="1244B441" w14:textId="44F0D132"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{"citationItems":[{"id":"ITEM-1","itemData":{"DOI":"10.1177/156482651403500307","ISSN":"03795721","abstract":"Background. Energy deficiency is observed to be at odds with other food security indicators. In wealthier urban areas, the prevalence of energy deficiency is often higher than in poorer rural areas, whereas other food security indicators, such as food diversity, perform much better in urban than in rural areas. Objective. To investigate to what extent differences in physical activity levels influence dietary quantity and quality. Methods. Central to this analysis is the construction of a household activity index, a single measure that aims to capture the collective workload of the household. This paper uses data from Nepal and Uganda expenditure surveys that contain information on food consumption, as well as detailed information on how individual household members spend their time. Energy deficiency numbers are adjusted by the activity index, and the results are compared with the standard approach for calculating energy deficiency assuming light activity levels. Regressions are estimated to discuss demand for calories and diversity given the activity level. Results. Accounting for differences in activity level has a large effect on energy deficiency figures, particularly in rural areas. The analysis shows that a higher household activity level significantly increases the calories consumed but lessens food diversity, suggesting that households with high activity levels sacrifice diversity for quantity in order to meet their energy requirements. Conclusions. Physical activity levels should be taken into account when interpreting empirical differences in food consumption levels for determining the prevalence of food insecurity and making allocation decisions for food security assistance.","author":[{"dropping-particle":"","family":"Mathiassen","given":"Astrid","non-dropping-particle":"","parse-names":false,"suffix":""},{"dropping-particle":"","family":"Hollema","given":"Siemon","non-dropping-particle":"","parse-names":false,"suffix":""}],"container-title":"Food and Nutrition Bulletin","id":"ITEM-1","issue":"3","issued":{"date-parts":[["2014"]]},"note":"Include for now but not sure, specifically sa they do not account for intrahousehold variation, but the way they analyze their households pretty much assumes per capita choloric distribution. Lots of assumptions in this paper...i dont like it. But i dont know whether to include or not based on my criteria.","page":"351-360","title":"What is the effect of physical activity level on food consumption, energy deficiency, and dietary diversity?","type":"article-journal","volume":"35"},"uris":["http://www.mendeley.com/documents/?uuid=29b56c85-dc6a-4996-9565-78f7eae9e82c"]}],"mendeley":{"formattedCitation":"&lt;sup&gt;(42)&lt;/sup&gt;","plainTextFormattedCitation":"(42)","previouslyFormattedCitation":"[42]"},"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(42)</w:t>
            </w:r>
            <w:r>
              <w:rPr>
                <w:sz w:val="15"/>
                <w:szCs w:val="15"/>
              </w:rPr>
              <w:fldChar w:fldCharType="end"/>
            </w:r>
          </w:p>
        </w:tc>
        <w:tc>
          <w:tcPr>
            <w:tcW w:w="2066" w:type="dxa"/>
            <w:shd w:val="clear" w:color="auto" w:fill="D9D9D9" w:themeFill="background1" w:themeFillShade="D9"/>
          </w:tcPr>
          <w:p w14:paraId="70C3D7C9" w14:textId="77777777" w:rsidR="00681CDB" w:rsidRPr="00F02986" w:rsidRDefault="00681CDB" w:rsidP="005B0D26">
            <w:pPr>
              <w:ind w:left="0"/>
              <w:rPr>
                <w:sz w:val="15"/>
                <w:szCs w:val="15"/>
              </w:rPr>
            </w:pPr>
            <w:proofErr w:type="spellStart"/>
            <w:r w:rsidRPr="00F02986">
              <w:rPr>
                <w:sz w:val="15"/>
                <w:szCs w:val="15"/>
              </w:rPr>
              <w:t>Mathiassen</w:t>
            </w:r>
            <w:proofErr w:type="spellEnd"/>
            <w:r w:rsidRPr="00F02986">
              <w:rPr>
                <w:sz w:val="15"/>
                <w:szCs w:val="15"/>
              </w:rPr>
              <w:t xml:space="preserve"> &amp; </w:t>
            </w:r>
            <w:proofErr w:type="spellStart"/>
            <w:r w:rsidRPr="00F02986">
              <w:rPr>
                <w:sz w:val="15"/>
                <w:szCs w:val="15"/>
              </w:rPr>
              <w:t>Hollema</w:t>
            </w:r>
            <w:proofErr w:type="spellEnd"/>
            <w:r w:rsidRPr="00F02986">
              <w:rPr>
                <w:sz w:val="15"/>
                <w:szCs w:val="15"/>
              </w:rPr>
              <w:t xml:space="preserve"> (2014)</w:t>
            </w:r>
          </w:p>
        </w:tc>
        <w:tc>
          <w:tcPr>
            <w:tcW w:w="1350" w:type="dxa"/>
            <w:shd w:val="clear" w:color="auto" w:fill="D9D9D9" w:themeFill="background1" w:themeFillShade="D9"/>
          </w:tcPr>
          <w:p w14:paraId="243A2060" w14:textId="77777777" w:rsidR="00681CDB" w:rsidRPr="00F02986" w:rsidRDefault="00681CDB" w:rsidP="005B0D26">
            <w:pPr>
              <w:ind w:left="0"/>
              <w:rPr>
                <w:sz w:val="15"/>
                <w:szCs w:val="15"/>
              </w:rPr>
            </w:pPr>
            <w:r w:rsidRPr="00F02986">
              <w:rPr>
                <w:sz w:val="15"/>
                <w:szCs w:val="15"/>
              </w:rPr>
              <w:t>Nepal, Uganda</w:t>
            </w:r>
          </w:p>
        </w:tc>
        <w:tc>
          <w:tcPr>
            <w:tcW w:w="4406" w:type="dxa"/>
            <w:shd w:val="clear" w:color="auto" w:fill="D9D9D9" w:themeFill="background1" w:themeFillShade="D9"/>
          </w:tcPr>
          <w:p w14:paraId="64F8BB25" w14:textId="77777777" w:rsidR="00681CDB" w:rsidRPr="00F03BC0" w:rsidRDefault="00681CDB" w:rsidP="005B0D26">
            <w:pPr>
              <w:ind w:left="0"/>
              <w:rPr>
                <w:sz w:val="15"/>
                <w:szCs w:val="15"/>
              </w:rPr>
            </w:pPr>
            <w:r w:rsidRPr="00F03BC0">
              <w:rPr>
                <w:sz w:val="15"/>
                <w:szCs w:val="15"/>
              </w:rPr>
              <w:t>﻿Uganda National Panel Survey (2009/10</w:t>
            </w:r>
            <w:proofErr w:type="gramStart"/>
            <w:r w:rsidRPr="00F03BC0">
              <w:rPr>
                <w:sz w:val="15"/>
                <w:szCs w:val="15"/>
              </w:rPr>
              <w:t>);</w:t>
            </w:r>
            <w:proofErr w:type="gramEnd"/>
          </w:p>
          <w:p w14:paraId="35306417" w14:textId="77777777" w:rsidR="00681CDB" w:rsidRPr="00F03BC0" w:rsidRDefault="00681CDB" w:rsidP="005B0D26">
            <w:pPr>
              <w:ind w:left="0"/>
              <w:rPr>
                <w:sz w:val="15"/>
                <w:szCs w:val="15"/>
              </w:rPr>
            </w:pPr>
            <w:r w:rsidRPr="00F03BC0">
              <w:rPr>
                <w:sz w:val="15"/>
                <w:szCs w:val="15"/>
              </w:rPr>
              <w:t>﻿Nepal Living Standard Survey (2010/11)</w:t>
            </w:r>
          </w:p>
        </w:tc>
        <w:tc>
          <w:tcPr>
            <w:tcW w:w="990" w:type="dxa"/>
            <w:shd w:val="clear" w:color="auto" w:fill="D9D9D9" w:themeFill="background1" w:themeFillShade="D9"/>
            <w:vAlign w:val="center"/>
          </w:tcPr>
          <w:p w14:paraId="1C7CA48B"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74C12855" w14:textId="77777777" w:rsidR="00681CDB" w:rsidRPr="00F02986" w:rsidRDefault="00681CDB" w:rsidP="005B0D26">
            <w:pPr>
              <w:ind w:left="0"/>
              <w:jc w:val="center"/>
              <w:rPr>
                <w:sz w:val="15"/>
                <w:szCs w:val="15"/>
              </w:rPr>
            </w:pPr>
          </w:p>
        </w:tc>
        <w:tc>
          <w:tcPr>
            <w:tcW w:w="746" w:type="dxa"/>
            <w:shd w:val="clear" w:color="auto" w:fill="D9D9D9" w:themeFill="background1" w:themeFillShade="D9"/>
            <w:vAlign w:val="center"/>
          </w:tcPr>
          <w:p w14:paraId="31353BCB"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62439869" w14:textId="77777777" w:rsidR="00681CDB" w:rsidRPr="00F02986" w:rsidRDefault="00681CDB" w:rsidP="005B0D26">
            <w:pPr>
              <w:ind w:left="0"/>
              <w:jc w:val="center"/>
              <w:rPr>
                <w:sz w:val="15"/>
                <w:szCs w:val="15"/>
              </w:rPr>
            </w:pPr>
            <w:r>
              <w:rPr>
                <w:sz w:val="15"/>
                <w:szCs w:val="15"/>
              </w:rPr>
              <w:t>X</w:t>
            </w:r>
          </w:p>
        </w:tc>
      </w:tr>
      <w:tr w:rsidR="00681CDB" w:rsidRPr="005927F0" w14:paraId="4E78040D" w14:textId="77777777" w:rsidTr="005B0D26">
        <w:tc>
          <w:tcPr>
            <w:tcW w:w="537" w:type="dxa"/>
            <w:tcBorders>
              <w:left w:val="single" w:sz="4" w:space="0" w:color="auto"/>
            </w:tcBorders>
          </w:tcPr>
          <w:p w14:paraId="2BCE8DC2" w14:textId="7C2037DF"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{"citationItems":[{"id":"ITEM-1","itemData":{"DOI":"10.1111/j.1467-8381.2009.02010.x","ISSN":"13513958","abstract":"As is widely known, Vietnam experienced a rise in living standards and a decline in expenditure poverty during the first half of the 1990s. This paper extends this knowledge by providing evidence on the Vietnamese experience of food security, undernourishment and poverty from the late 1990s to the early part of the new millennium. The results suggest that poor households did not experience increases in food consumption, calorie intake and dietary diversity of the same magnitude as non-poor households. Nevertheless, Vietnam experienced impressive reductions in both calorie deprivation and expenditure poverty at the turn of the century. Non-poor households, in particular, experienced spectacular increases in calorie intake and dietary diversity during the period 1997/ 1998-2004. This paper also reports regression results which point to the role of urbanization and improvement in education levels in promoting dietary diversity and nutrient intake. The present study finds evidence of sharp regional differences in calorie intake and calorie costs, which suggests that the authorities should set provincial poverty lines, contrary to the current practice adopted by Vietnam's General Statistical Office. © Journal compilation © 2009 East Asian Economic Association and Blackwell Publishing Ltd.","author":[{"dropping-particle":"","family":"Mishra","given":"Vinod","non-dropping-particle":"","parse-names":false,"suffix":""},{"dropping-particle":"","family":"Ray","given":"Ranjan","non-dropping-particle":"","parse-names":false,"suffix":""}],"container-title":"Asian Economic Journal","id":"ITEM-1","issue":"2","issued":{"date-parts":[["2009"]]},"page":"225-247","title":"Dietary diversity, food security and undernourishment: The vietnamese evidence","type":"article-journal","volume":"23"},"uris":["http://www.mendeley.com/documents/?uuid=83514ffd-0386-4d6f-986b-86dcfc35f073"]}],"mendeley":{"formattedCitation":"&lt;sup&gt;(43)&lt;/sup&gt;","plainTextFormattedCitation":"(43)","previouslyFormattedCitation":"[43]"},"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(43)</w:t>
            </w:r>
            <w:r>
              <w:rPr>
                <w:sz w:val="15"/>
                <w:szCs w:val="15"/>
              </w:rPr>
              <w:fldChar w:fldCharType="end"/>
            </w:r>
          </w:p>
        </w:tc>
        <w:tc>
          <w:tcPr>
            <w:tcW w:w="2066" w:type="dxa"/>
          </w:tcPr>
          <w:p w14:paraId="2E21264B" w14:textId="77777777" w:rsidR="00681CDB" w:rsidRPr="00F02986" w:rsidRDefault="00681CDB" w:rsidP="005B0D26">
            <w:pPr>
              <w:ind w:left="0"/>
              <w:rPr>
                <w:sz w:val="15"/>
                <w:szCs w:val="15"/>
              </w:rPr>
            </w:pPr>
            <w:r w:rsidRPr="00F02986">
              <w:rPr>
                <w:sz w:val="15"/>
                <w:szCs w:val="15"/>
              </w:rPr>
              <w:t>Mishra &amp; Ray (2009)</w:t>
            </w:r>
          </w:p>
        </w:tc>
        <w:tc>
          <w:tcPr>
            <w:tcW w:w="1350" w:type="dxa"/>
          </w:tcPr>
          <w:p w14:paraId="48C6C46B" w14:textId="77777777" w:rsidR="00681CDB" w:rsidRPr="00F02986" w:rsidRDefault="00681CDB" w:rsidP="005B0D26">
            <w:pPr>
              <w:ind w:left="0"/>
              <w:rPr>
                <w:sz w:val="15"/>
                <w:szCs w:val="15"/>
              </w:rPr>
            </w:pPr>
            <w:r w:rsidRPr="00F02986">
              <w:rPr>
                <w:sz w:val="15"/>
                <w:szCs w:val="15"/>
              </w:rPr>
              <w:t>Vietnam</w:t>
            </w:r>
          </w:p>
        </w:tc>
        <w:tc>
          <w:tcPr>
            <w:tcW w:w="4406" w:type="dxa"/>
          </w:tcPr>
          <w:p w14:paraId="0C6A070E" w14:textId="77777777" w:rsidR="00681CDB" w:rsidRPr="00F03BC0" w:rsidRDefault="00681CDB" w:rsidP="005B0D26">
            <w:pPr>
              <w:ind w:left="0"/>
              <w:rPr>
                <w:sz w:val="15"/>
                <w:szCs w:val="15"/>
              </w:rPr>
            </w:pPr>
            <w:r w:rsidRPr="00F03BC0">
              <w:rPr>
                <w:sz w:val="15"/>
                <w:szCs w:val="15"/>
              </w:rPr>
              <w:t>Vietnamese Household Living Standard Survey</w:t>
            </w:r>
            <w:r>
              <w:rPr>
                <w:sz w:val="15"/>
                <w:szCs w:val="15"/>
              </w:rPr>
              <w:t>s (1993, 1998, 2004)</w:t>
            </w:r>
          </w:p>
        </w:tc>
        <w:tc>
          <w:tcPr>
            <w:tcW w:w="990" w:type="dxa"/>
            <w:vAlign w:val="center"/>
          </w:tcPr>
          <w:p w14:paraId="5A9D50D1" w14:textId="77777777" w:rsidR="00681CDB" w:rsidRPr="00F02986" w:rsidRDefault="00681CDB" w:rsidP="005B0D26">
            <w:pPr>
              <w:ind w:left="0"/>
              <w:jc w:val="center"/>
              <w:rPr>
                <w:sz w:val="15"/>
                <w:szCs w:val="15"/>
              </w:rPr>
            </w:pPr>
            <w:r>
              <w:rPr>
                <w:sz w:val="15"/>
                <w:szCs w:val="15"/>
              </w:rPr>
              <w:t>X</w:t>
            </w:r>
          </w:p>
        </w:tc>
        <w:tc>
          <w:tcPr>
            <w:tcW w:w="810" w:type="dxa"/>
            <w:vAlign w:val="center"/>
          </w:tcPr>
          <w:p w14:paraId="60324C9F" w14:textId="77777777" w:rsidR="00681CDB" w:rsidRPr="00F02986" w:rsidRDefault="00681CDB" w:rsidP="005B0D26">
            <w:pPr>
              <w:ind w:left="0"/>
              <w:jc w:val="center"/>
              <w:rPr>
                <w:sz w:val="15"/>
                <w:szCs w:val="15"/>
              </w:rPr>
            </w:pPr>
          </w:p>
        </w:tc>
        <w:tc>
          <w:tcPr>
            <w:tcW w:w="746" w:type="dxa"/>
            <w:vAlign w:val="center"/>
          </w:tcPr>
          <w:p w14:paraId="04B262C8" w14:textId="77777777" w:rsidR="00681CDB" w:rsidRPr="00F02986" w:rsidRDefault="00681CDB" w:rsidP="005B0D26">
            <w:pPr>
              <w:ind w:left="0"/>
              <w:jc w:val="center"/>
              <w:rPr>
                <w:sz w:val="15"/>
                <w:szCs w:val="15"/>
              </w:rPr>
            </w:pPr>
          </w:p>
        </w:tc>
        <w:tc>
          <w:tcPr>
            <w:tcW w:w="970" w:type="dxa"/>
            <w:tcBorders>
              <w:right w:val="single" w:sz="4" w:space="0" w:color="auto"/>
            </w:tcBorders>
            <w:vAlign w:val="center"/>
          </w:tcPr>
          <w:p w14:paraId="4A843F2A" w14:textId="77777777" w:rsidR="00681CDB" w:rsidRPr="009F70EC" w:rsidRDefault="00681CDB" w:rsidP="005B0D26">
            <w:pPr>
              <w:ind w:left="0"/>
              <w:jc w:val="center"/>
              <w:rPr>
                <w:sz w:val="15"/>
                <w:szCs w:val="15"/>
                <w:highlight w:val="green"/>
              </w:rPr>
            </w:pPr>
            <w:r w:rsidRPr="003154DE">
              <w:rPr>
                <w:sz w:val="15"/>
                <w:szCs w:val="15"/>
              </w:rPr>
              <w:t>X</w:t>
            </w:r>
          </w:p>
        </w:tc>
      </w:tr>
      <w:tr w:rsidR="00681CDB" w:rsidRPr="005927F0" w14:paraId="2E600F92" w14:textId="77777777" w:rsidTr="005B0D26">
        <w:tc>
          <w:tcPr>
            <w:tcW w:w="537" w:type="dxa"/>
            <w:tcBorders>
              <w:left w:val="single" w:sz="4" w:space="0" w:color="auto"/>
            </w:tcBorders>
            <w:shd w:val="clear" w:color="auto" w:fill="D9D9D9" w:themeFill="background1" w:themeFillShade="D9"/>
          </w:tcPr>
          <w:p w14:paraId="6D403FBC" w14:textId="4FE6A17A"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{"citationItems":[{"id":"ITEM-1","itemData":{"DOI":"10.1093/acprof:oso/9780199236558.003.0007","ISBN":"9780191717031","abstract":"This chapter finds that food security in Vietnam showed improvements that were concentrated among the richer households, although there was some improvement among the poorer strata as well. It focuses on the calorie/expenditure elasticity and compares results for the years 1993 and 1998. It shows that this link is strong and that calorie income elasticity changed in the expected direction. In general, food security improved in Vietnam during 1990s although considerable differences still remain among expenditure deciles and among regions due to the accentuated spatial difference.","author":[{"dropping-particle":"","family":"Molini","given":"Vasco","non-dropping-particle":"","parse-names":false,"suffix":""}],"container-title":"Hunger and Food Security: New Challenges and New Opportunities","id":"ITEM-1","issued":{"date-parts":[["2006"]]},"number":"2006/67","publisher-place":"Amsterdam","title":"Food Security in Vietnam During the 1990s: The Empirical Evidence","type":"report"},"uris":["http://www.mendeley.com/documents/?uuid=d810cf37-f76e-4dc2-add8-9acb21aca1c0"]}],"mendeley":{"formattedCitation":"&lt;sup&gt;(44)&lt;/sup&gt;","plainTextFormattedCitation":"(44)","previouslyFormattedCitation":"[44]"},"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(44)</w:t>
            </w:r>
            <w:r>
              <w:rPr>
                <w:sz w:val="15"/>
                <w:szCs w:val="15"/>
              </w:rPr>
              <w:fldChar w:fldCharType="end"/>
            </w:r>
          </w:p>
        </w:tc>
        <w:tc>
          <w:tcPr>
            <w:tcW w:w="2066" w:type="dxa"/>
            <w:shd w:val="clear" w:color="auto" w:fill="D9D9D9" w:themeFill="background1" w:themeFillShade="D9"/>
          </w:tcPr>
          <w:p w14:paraId="54DA0768" w14:textId="77777777" w:rsidR="00681CDB" w:rsidRPr="00F02986" w:rsidRDefault="00681CDB" w:rsidP="005B0D26">
            <w:pPr>
              <w:ind w:left="0"/>
              <w:rPr>
                <w:sz w:val="15"/>
                <w:szCs w:val="15"/>
              </w:rPr>
            </w:pPr>
            <w:proofErr w:type="spellStart"/>
            <w:r w:rsidRPr="00F02986">
              <w:rPr>
                <w:sz w:val="15"/>
                <w:szCs w:val="15"/>
              </w:rPr>
              <w:t>Molini</w:t>
            </w:r>
            <w:proofErr w:type="spellEnd"/>
            <w:r w:rsidRPr="00F02986">
              <w:rPr>
                <w:sz w:val="15"/>
                <w:szCs w:val="15"/>
              </w:rPr>
              <w:t xml:space="preserve"> (2006)</w:t>
            </w:r>
          </w:p>
        </w:tc>
        <w:tc>
          <w:tcPr>
            <w:tcW w:w="1350" w:type="dxa"/>
            <w:shd w:val="clear" w:color="auto" w:fill="D9D9D9" w:themeFill="background1" w:themeFillShade="D9"/>
          </w:tcPr>
          <w:p w14:paraId="4B5B0137" w14:textId="77777777" w:rsidR="00681CDB" w:rsidRPr="00F02986" w:rsidRDefault="00681CDB" w:rsidP="005B0D26">
            <w:pPr>
              <w:ind w:left="0"/>
              <w:rPr>
                <w:sz w:val="15"/>
                <w:szCs w:val="15"/>
              </w:rPr>
            </w:pPr>
            <w:r w:rsidRPr="00F02986">
              <w:rPr>
                <w:sz w:val="15"/>
                <w:szCs w:val="15"/>
              </w:rPr>
              <w:t>Vietnam</w:t>
            </w:r>
          </w:p>
        </w:tc>
        <w:tc>
          <w:tcPr>
            <w:tcW w:w="4406" w:type="dxa"/>
            <w:shd w:val="clear" w:color="auto" w:fill="D9D9D9" w:themeFill="background1" w:themeFillShade="D9"/>
          </w:tcPr>
          <w:p w14:paraId="7D4A6C0D" w14:textId="77777777" w:rsidR="00681CDB" w:rsidRPr="00F03BC0" w:rsidRDefault="00681CDB" w:rsidP="005B0D26">
            <w:pPr>
              <w:ind w:left="0"/>
              <w:rPr>
                <w:sz w:val="15"/>
                <w:szCs w:val="15"/>
              </w:rPr>
            </w:pPr>
            <w:r w:rsidRPr="00F03BC0">
              <w:rPr>
                <w:sz w:val="15"/>
                <w:szCs w:val="15"/>
              </w:rPr>
              <w:t>Vietnamese Household Living Standard Survey</w:t>
            </w:r>
            <w:r>
              <w:rPr>
                <w:sz w:val="15"/>
                <w:szCs w:val="15"/>
              </w:rPr>
              <w:t xml:space="preserve"> (1993, 1998)</w:t>
            </w:r>
          </w:p>
        </w:tc>
        <w:tc>
          <w:tcPr>
            <w:tcW w:w="990" w:type="dxa"/>
            <w:shd w:val="clear" w:color="auto" w:fill="D9D9D9" w:themeFill="background1" w:themeFillShade="D9"/>
            <w:vAlign w:val="center"/>
          </w:tcPr>
          <w:p w14:paraId="2B201D18"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0A08EAA1" w14:textId="77777777" w:rsidR="00681CDB" w:rsidRPr="00F02986" w:rsidRDefault="00681CDB" w:rsidP="005B0D26">
            <w:pPr>
              <w:ind w:left="0"/>
              <w:jc w:val="center"/>
              <w:rPr>
                <w:sz w:val="15"/>
                <w:szCs w:val="15"/>
              </w:rPr>
            </w:pPr>
          </w:p>
        </w:tc>
        <w:tc>
          <w:tcPr>
            <w:tcW w:w="746" w:type="dxa"/>
            <w:shd w:val="clear" w:color="auto" w:fill="D9D9D9" w:themeFill="background1" w:themeFillShade="D9"/>
            <w:vAlign w:val="center"/>
          </w:tcPr>
          <w:p w14:paraId="131DCBDA"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792227DC" w14:textId="77777777" w:rsidR="00681CDB" w:rsidRPr="009F70EC" w:rsidRDefault="00681CDB" w:rsidP="005B0D26">
            <w:pPr>
              <w:ind w:left="0"/>
              <w:jc w:val="center"/>
              <w:rPr>
                <w:sz w:val="15"/>
                <w:szCs w:val="15"/>
                <w:highlight w:val="green"/>
              </w:rPr>
            </w:pPr>
          </w:p>
        </w:tc>
      </w:tr>
      <w:tr w:rsidR="00681CDB" w:rsidRPr="005927F0" w14:paraId="03ECCED1" w14:textId="77777777" w:rsidTr="005B0D26">
        <w:tc>
          <w:tcPr>
            <w:tcW w:w="537" w:type="dxa"/>
            <w:tcBorders>
              <w:left w:val="single" w:sz="4" w:space="0" w:color="auto"/>
            </w:tcBorders>
          </w:tcPr>
          <w:p w14:paraId="36421634" w14:textId="71834B49"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{"citationItems":[{"id":"ITEM-1","itemData":{"abstract":"This paper assesses the Subramanian and Deaton (S–D) approach for imputing the caloric intake of households from food prepared away from home (FAFH) and composite foods (CF) by juxtaposing it with the imputations of alternative approaches, and extends these approaches to four additional nutrients—vitamin A, iron, zinc, and calcium. The apparent relative nutritional insignificance of FAFH and CF in Bangladesh obfuscates our efforts to assess alternatives to the S–D approach to imputation, and we remain uncertain about the relative value of the alternative imputation approaches examined. FAFH and CF—although widely consumed in Bangladesh—constitute a relatively unimportant source of nutrients, regardless of how the nutrient content of FAFH and CF is imputed.","author":[{"dropping-particle":"","family":"Mwangi","given":"Dena M","non-dropping-particle":"","parse-names":false,"suffix":""},{"dropping-particle":"","family":"Fiedler","given":"John L","non-dropping-particle":"","parse-names":false,"suffix":""},{"dropping-particle":"","family":"Sununtnasuk","given":"Celeste","non-dropping-particle":"","parse-names":false,"suffix":""}],"container-title":"IFPRI Discussion Paper","id":"ITEM-1","issue":"1596","issued":{"date-parts":[["2016"]]},"publisher-place":"Washington, D.C.","title":"Imputing nutrient intake from foods prepared and consumed away from home and other composite foods: Exploring extensions of the Subramanian–Deaton cost per calorie approach","type":"report"},"uris":["http://www.mendeley.com/documents/?uuid=b4a031ef-9f5c-4a2e-aecf-582404a9bc6b"]}],"mendeley":{"formattedCitation":"&lt;sup&gt;(45)&lt;/sup&gt;","plainTextFormattedCitation":"(45)","previouslyFormattedCitation":"[45]"},"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(45)</w:t>
            </w:r>
            <w:r>
              <w:rPr>
                <w:sz w:val="15"/>
                <w:szCs w:val="15"/>
              </w:rPr>
              <w:fldChar w:fldCharType="end"/>
            </w:r>
          </w:p>
        </w:tc>
        <w:tc>
          <w:tcPr>
            <w:tcW w:w="2066" w:type="dxa"/>
          </w:tcPr>
          <w:p w14:paraId="205A8B48" w14:textId="77777777" w:rsidR="00681CDB" w:rsidRPr="00F02986" w:rsidRDefault="00681CDB" w:rsidP="005B0D26">
            <w:pPr>
              <w:ind w:left="0"/>
              <w:rPr>
                <w:sz w:val="15"/>
                <w:szCs w:val="15"/>
              </w:rPr>
            </w:pPr>
            <w:r w:rsidRPr="00F02986">
              <w:rPr>
                <w:sz w:val="15"/>
                <w:szCs w:val="15"/>
              </w:rPr>
              <w:t>Mwangi et al. (2016)</w:t>
            </w:r>
          </w:p>
        </w:tc>
        <w:tc>
          <w:tcPr>
            <w:tcW w:w="1350" w:type="dxa"/>
          </w:tcPr>
          <w:p w14:paraId="4C9DFA16" w14:textId="77777777" w:rsidR="00681CDB" w:rsidRPr="00F02986" w:rsidRDefault="00681CDB" w:rsidP="005B0D26">
            <w:pPr>
              <w:ind w:left="0"/>
              <w:rPr>
                <w:sz w:val="15"/>
                <w:szCs w:val="15"/>
              </w:rPr>
            </w:pPr>
            <w:r w:rsidRPr="00F02986">
              <w:rPr>
                <w:sz w:val="15"/>
                <w:szCs w:val="15"/>
              </w:rPr>
              <w:t>Bangladesh</w:t>
            </w:r>
          </w:p>
        </w:tc>
        <w:tc>
          <w:tcPr>
            <w:tcW w:w="4406" w:type="dxa"/>
          </w:tcPr>
          <w:p w14:paraId="638FE8EB" w14:textId="77777777" w:rsidR="00681CDB" w:rsidRPr="00F03BC0" w:rsidRDefault="00681CDB" w:rsidP="005B0D26">
            <w:pPr>
              <w:ind w:left="0"/>
              <w:rPr>
                <w:sz w:val="15"/>
                <w:szCs w:val="15"/>
              </w:rPr>
            </w:pPr>
            <w:r w:rsidRPr="00F03BC0">
              <w:rPr>
                <w:sz w:val="15"/>
                <w:szCs w:val="15"/>
              </w:rPr>
              <w:t>Bangladesh Integrated Household Survey (2011/12)</w:t>
            </w:r>
          </w:p>
        </w:tc>
        <w:tc>
          <w:tcPr>
            <w:tcW w:w="990" w:type="dxa"/>
            <w:vAlign w:val="center"/>
          </w:tcPr>
          <w:p w14:paraId="22E771CA" w14:textId="77777777" w:rsidR="00681CDB" w:rsidRPr="00F02986" w:rsidRDefault="00681CDB" w:rsidP="005B0D26">
            <w:pPr>
              <w:ind w:left="0"/>
              <w:jc w:val="center"/>
              <w:rPr>
                <w:sz w:val="15"/>
                <w:szCs w:val="15"/>
              </w:rPr>
            </w:pPr>
          </w:p>
        </w:tc>
        <w:tc>
          <w:tcPr>
            <w:tcW w:w="810" w:type="dxa"/>
            <w:vAlign w:val="center"/>
          </w:tcPr>
          <w:p w14:paraId="240513DF" w14:textId="77777777" w:rsidR="00681CDB" w:rsidRPr="00F02986" w:rsidRDefault="00681CDB" w:rsidP="005B0D26">
            <w:pPr>
              <w:ind w:left="0"/>
              <w:jc w:val="center"/>
              <w:rPr>
                <w:sz w:val="15"/>
                <w:szCs w:val="15"/>
              </w:rPr>
            </w:pPr>
            <w:r>
              <w:rPr>
                <w:sz w:val="15"/>
                <w:szCs w:val="15"/>
              </w:rPr>
              <w:t>X</w:t>
            </w:r>
          </w:p>
        </w:tc>
        <w:tc>
          <w:tcPr>
            <w:tcW w:w="746" w:type="dxa"/>
            <w:vAlign w:val="center"/>
          </w:tcPr>
          <w:p w14:paraId="71D82268" w14:textId="77777777" w:rsidR="00681CDB" w:rsidRPr="00F02986" w:rsidRDefault="00681CDB" w:rsidP="005B0D26">
            <w:pPr>
              <w:ind w:left="0"/>
              <w:jc w:val="center"/>
              <w:rPr>
                <w:sz w:val="15"/>
                <w:szCs w:val="15"/>
              </w:rPr>
            </w:pPr>
          </w:p>
        </w:tc>
        <w:tc>
          <w:tcPr>
            <w:tcW w:w="970" w:type="dxa"/>
            <w:tcBorders>
              <w:right w:val="single" w:sz="4" w:space="0" w:color="auto"/>
            </w:tcBorders>
            <w:vAlign w:val="center"/>
          </w:tcPr>
          <w:p w14:paraId="0BACEC2A" w14:textId="77777777" w:rsidR="00681CDB" w:rsidRPr="00F02986" w:rsidRDefault="00681CDB" w:rsidP="005B0D26">
            <w:pPr>
              <w:ind w:left="0"/>
              <w:jc w:val="center"/>
              <w:rPr>
                <w:sz w:val="15"/>
                <w:szCs w:val="15"/>
              </w:rPr>
            </w:pPr>
            <w:r>
              <w:rPr>
                <w:sz w:val="15"/>
                <w:szCs w:val="15"/>
              </w:rPr>
              <w:t>X</w:t>
            </w:r>
          </w:p>
        </w:tc>
      </w:tr>
      <w:tr w:rsidR="00681CDB" w:rsidRPr="005927F0" w14:paraId="20C331E3" w14:textId="77777777" w:rsidTr="005B0D26">
        <w:tc>
          <w:tcPr>
            <w:tcW w:w="537" w:type="dxa"/>
            <w:tcBorders>
              <w:left w:val="single" w:sz="4" w:space="0" w:color="auto"/>
            </w:tcBorders>
            <w:shd w:val="clear" w:color="auto" w:fill="D9D9D9" w:themeFill="background1" w:themeFillShade="D9"/>
          </w:tcPr>
          <w:p w14:paraId="2EC6ED50" w14:textId="0AFA2EC9"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{"citationItems":[{"id":"ITEM-1","itemData":{"DOI":"10.1016/j.foodpol.2010.11.001","ISSN":"03069192","abstract":"This paper explores the relationship between migration and consumption patterns using panel data from the 2004 and 2006 Vietnam Household Living Standards Surveys. Employing an instrumental variable approach to control for the endogeneity of migration, our results indicate that short-term migration has a positive effect on overall per capita food expenditures, per capita calorie consumption and food diversity. Long-term migration also appears to be positively related to consumption, but impacts are often insignificant and of a lesser magnitude than short-term migration. The results provide no evidence of negative effects of migration, and support the view that short-term migration is a mechanism by which households maintain food security. The results suggest that to improve food security the Vietnamese government should enact policies that facilitate short-term migration flows as well as the transferring of remittances. © 2010 Elsevier Ltd.","author":[{"dropping-particle":"","family":"Nguyen","given":"Minh Cong","non-dropping-particle":"","parse-names":false,"suffix":""},{"dropping-particle":"","family":"Winters","given":"Paul","non-dropping-particle":"","parse-names":false,"suffix":""}],"container-title":"Food Policy","id":"ITEM-1","issue":"1","issued":{"date-parts":[["2011"]]},"page":"71-87","title":"The impact of migration on food consumption patterns: The case of Vietnam","type":"article-journal","volume":"36"},"uris":["http://www.mendeley.com/documents/?uuid=b0e63165-7014-426b-bb15-ac60c1a657b4"]}],"mendeley":{"formattedCitation":"&lt;sup&gt;(46)&lt;/sup&gt;","plainTextFormattedCitation":"(46)","previouslyFormattedCitation":"[46]"},"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(46)</w:t>
            </w:r>
            <w:r>
              <w:rPr>
                <w:sz w:val="15"/>
                <w:szCs w:val="15"/>
              </w:rPr>
              <w:fldChar w:fldCharType="end"/>
            </w:r>
          </w:p>
        </w:tc>
        <w:tc>
          <w:tcPr>
            <w:tcW w:w="2066" w:type="dxa"/>
            <w:shd w:val="clear" w:color="auto" w:fill="D9D9D9" w:themeFill="background1" w:themeFillShade="D9"/>
          </w:tcPr>
          <w:p w14:paraId="208AD12F" w14:textId="77777777" w:rsidR="00681CDB" w:rsidRPr="00F02986" w:rsidRDefault="00681CDB" w:rsidP="005B0D26">
            <w:pPr>
              <w:ind w:left="0"/>
              <w:rPr>
                <w:sz w:val="15"/>
                <w:szCs w:val="15"/>
              </w:rPr>
            </w:pPr>
            <w:r w:rsidRPr="00F02986">
              <w:rPr>
                <w:sz w:val="15"/>
                <w:szCs w:val="15"/>
              </w:rPr>
              <w:t>Nguyen &amp; Winters (2011)</w:t>
            </w:r>
          </w:p>
        </w:tc>
        <w:tc>
          <w:tcPr>
            <w:tcW w:w="1350" w:type="dxa"/>
            <w:shd w:val="clear" w:color="auto" w:fill="D9D9D9" w:themeFill="background1" w:themeFillShade="D9"/>
          </w:tcPr>
          <w:p w14:paraId="0887B79E" w14:textId="77777777" w:rsidR="00681CDB" w:rsidRPr="00F02986" w:rsidRDefault="00681CDB" w:rsidP="005B0D26">
            <w:pPr>
              <w:ind w:left="0"/>
              <w:rPr>
                <w:sz w:val="15"/>
                <w:szCs w:val="15"/>
              </w:rPr>
            </w:pPr>
            <w:r w:rsidRPr="00F02986">
              <w:rPr>
                <w:sz w:val="15"/>
                <w:szCs w:val="15"/>
              </w:rPr>
              <w:t>Vietnam</w:t>
            </w:r>
          </w:p>
        </w:tc>
        <w:tc>
          <w:tcPr>
            <w:tcW w:w="4406" w:type="dxa"/>
            <w:shd w:val="clear" w:color="auto" w:fill="D9D9D9" w:themeFill="background1" w:themeFillShade="D9"/>
          </w:tcPr>
          <w:p w14:paraId="599BDD12" w14:textId="77777777" w:rsidR="00681CDB" w:rsidRPr="00F03BC0" w:rsidRDefault="00681CDB" w:rsidP="005B0D26">
            <w:pPr>
              <w:ind w:left="0"/>
              <w:rPr>
                <w:sz w:val="15"/>
                <w:szCs w:val="15"/>
              </w:rPr>
            </w:pPr>
            <w:r w:rsidRPr="00F03BC0">
              <w:rPr>
                <w:sz w:val="15"/>
                <w:szCs w:val="15"/>
              </w:rPr>
              <w:t>﻿Vietnam Household Living Standards Surveys</w:t>
            </w:r>
          </w:p>
        </w:tc>
        <w:tc>
          <w:tcPr>
            <w:tcW w:w="990" w:type="dxa"/>
            <w:shd w:val="clear" w:color="auto" w:fill="D9D9D9" w:themeFill="background1" w:themeFillShade="D9"/>
            <w:vAlign w:val="center"/>
          </w:tcPr>
          <w:p w14:paraId="4B7CEFFA"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130F2E01" w14:textId="77777777" w:rsidR="00681CDB" w:rsidRPr="00F02986" w:rsidRDefault="00681CDB" w:rsidP="005B0D26">
            <w:pPr>
              <w:ind w:left="0"/>
              <w:jc w:val="center"/>
              <w:rPr>
                <w:sz w:val="15"/>
                <w:szCs w:val="15"/>
              </w:rPr>
            </w:pPr>
          </w:p>
        </w:tc>
        <w:tc>
          <w:tcPr>
            <w:tcW w:w="746" w:type="dxa"/>
            <w:shd w:val="clear" w:color="auto" w:fill="D9D9D9" w:themeFill="background1" w:themeFillShade="D9"/>
            <w:vAlign w:val="center"/>
          </w:tcPr>
          <w:p w14:paraId="48648A38"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5417667A" w14:textId="77777777" w:rsidR="00681CDB" w:rsidRPr="00F02986" w:rsidRDefault="00681CDB" w:rsidP="005B0D26">
            <w:pPr>
              <w:ind w:left="0"/>
              <w:jc w:val="center"/>
              <w:rPr>
                <w:sz w:val="15"/>
                <w:szCs w:val="15"/>
              </w:rPr>
            </w:pPr>
          </w:p>
        </w:tc>
      </w:tr>
      <w:tr w:rsidR="00681CDB" w:rsidRPr="005927F0" w14:paraId="1F93DFD6" w14:textId="77777777" w:rsidTr="005B0D26">
        <w:tc>
          <w:tcPr>
            <w:tcW w:w="537" w:type="dxa"/>
            <w:tcBorders>
              <w:left w:val="single" w:sz="4" w:space="0" w:color="auto"/>
            </w:tcBorders>
          </w:tcPr>
          <w:p w14:paraId="7B5D8397" w14:textId="26D84F7A"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{"citationItems":[{"id":"ITEM-1","itemData":{"ISSN":"0304-095X","abstract":"The Social Safety Net (SSN) programmes play a key role in Bangladesh to protect the poor households from food insecurity. This study examines the effect of these programs on calorie consumption of poor households using the 2005 Household Income and Expenditure Survey data. Three treatment effect evaluation designs are applied to compare the estimated effects. Mean difference and matching estimators that do not consider endogeneity of treatment dummy produce significant negative effects when applied to the whole sample. Unconfoundedness and overlap assumptions do not exist and the assumptions are satisfied after dropping some observations using the criteria of propensity score. The effect of the SSN programmes on calorie consumption is estimated in the reduced sample using the same econometric methods, and it is found that there are insignificant positive effects in all cases. However, the treatment dummy has serious endogeneity problem, as selection for treatment is also determined by some unobserved factors such as corruption. In this case, instrumental variables regressions taking regional dummies as instruments that do not have relation with calorie consumption are applied, and produce significant positive average treatment effect.","author":[{"dropping-particle":"","family":"Rahman","given":"Mohammad","non-dropping-particle":"","parse-names":false,"suffix":""}],"container-title":"Bangladesh Development Studies","id":"ITEM-1","issue":"2","issued":{"date-parts":[["2012"]]},"page":"67-85","title":"Estimating the Effects of Social Safety Net Programmes in Bangladesh on Calorie Consumption of Poor Households","type":"article-journal","volume":"35"},"uris":["http://www.mendeley.com/documents/?uuid=3bd1d582-6b5f-43e3-acf7-707a1c63210b"]}],"mendeley":{"formattedCitation":"&lt;sup&gt;(47)&lt;/sup&gt;","plainTextFormattedCitation":"(47)","previouslyFormattedCitation":"[47]"},"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(47)</w:t>
            </w:r>
            <w:r>
              <w:rPr>
                <w:sz w:val="15"/>
                <w:szCs w:val="15"/>
              </w:rPr>
              <w:fldChar w:fldCharType="end"/>
            </w:r>
          </w:p>
        </w:tc>
        <w:tc>
          <w:tcPr>
            <w:tcW w:w="2066" w:type="dxa"/>
          </w:tcPr>
          <w:p w14:paraId="4D8E258D" w14:textId="77777777" w:rsidR="00681CDB" w:rsidRPr="00F02986" w:rsidRDefault="00681CDB" w:rsidP="005B0D26">
            <w:pPr>
              <w:ind w:left="0"/>
              <w:rPr>
                <w:sz w:val="15"/>
                <w:szCs w:val="15"/>
              </w:rPr>
            </w:pPr>
            <w:r w:rsidRPr="00F02986">
              <w:rPr>
                <w:sz w:val="15"/>
                <w:szCs w:val="15"/>
              </w:rPr>
              <w:t>Rahman (2012)</w:t>
            </w:r>
          </w:p>
        </w:tc>
        <w:tc>
          <w:tcPr>
            <w:tcW w:w="1350" w:type="dxa"/>
          </w:tcPr>
          <w:p w14:paraId="61436910" w14:textId="77777777" w:rsidR="00681CDB" w:rsidRPr="00F02986" w:rsidRDefault="00681CDB" w:rsidP="005B0D26">
            <w:pPr>
              <w:ind w:left="0"/>
              <w:rPr>
                <w:sz w:val="15"/>
                <w:szCs w:val="15"/>
              </w:rPr>
            </w:pPr>
            <w:r w:rsidRPr="00F02986">
              <w:rPr>
                <w:sz w:val="15"/>
                <w:szCs w:val="15"/>
              </w:rPr>
              <w:t>Bangladesh</w:t>
            </w:r>
          </w:p>
        </w:tc>
        <w:tc>
          <w:tcPr>
            <w:tcW w:w="4406" w:type="dxa"/>
          </w:tcPr>
          <w:p w14:paraId="722278A8" w14:textId="77777777" w:rsidR="00681CDB" w:rsidRPr="00F03BC0" w:rsidRDefault="00681CDB" w:rsidP="005B0D26">
            <w:pPr>
              <w:ind w:left="0"/>
              <w:rPr>
                <w:sz w:val="15"/>
                <w:szCs w:val="15"/>
              </w:rPr>
            </w:pPr>
            <w:r w:rsidRPr="00F03BC0">
              <w:rPr>
                <w:sz w:val="15"/>
                <w:szCs w:val="15"/>
              </w:rPr>
              <w:t>Bangladesh Household Income and Expenditure Survey (2005)</w:t>
            </w:r>
          </w:p>
        </w:tc>
        <w:tc>
          <w:tcPr>
            <w:tcW w:w="990" w:type="dxa"/>
            <w:vAlign w:val="center"/>
          </w:tcPr>
          <w:p w14:paraId="2F7BA9D0" w14:textId="77777777" w:rsidR="00681CDB" w:rsidRPr="00F02986" w:rsidRDefault="00681CDB" w:rsidP="005B0D26">
            <w:pPr>
              <w:ind w:left="0"/>
              <w:jc w:val="center"/>
              <w:rPr>
                <w:sz w:val="15"/>
                <w:szCs w:val="15"/>
              </w:rPr>
            </w:pPr>
            <w:r>
              <w:rPr>
                <w:sz w:val="15"/>
                <w:szCs w:val="15"/>
              </w:rPr>
              <w:t>X</w:t>
            </w:r>
          </w:p>
        </w:tc>
        <w:tc>
          <w:tcPr>
            <w:tcW w:w="810" w:type="dxa"/>
            <w:vAlign w:val="center"/>
          </w:tcPr>
          <w:p w14:paraId="362E4FE1" w14:textId="77777777" w:rsidR="00681CDB" w:rsidRPr="00F02986" w:rsidRDefault="00681CDB" w:rsidP="005B0D26">
            <w:pPr>
              <w:ind w:left="0"/>
              <w:jc w:val="center"/>
              <w:rPr>
                <w:sz w:val="15"/>
                <w:szCs w:val="15"/>
              </w:rPr>
            </w:pPr>
          </w:p>
        </w:tc>
        <w:tc>
          <w:tcPr>
            <w:tcW w:w="746" w:type="dxa"/>
            <w:vAlign w:val="center"/>
          </w:tcPr>
          <w:p w14:paraId="29BB30DF" w14:textId="77777777" w:rsidR="00681CDB" w:rsidRPr="00F02986" w:rsidRDefault="00681CDB" w:rsidP="005B0D26">
            <w:pPr>
              <w:ind w:left="0"/>
              <w:jc w:val="center"/>
              <w:rPr>
                <w:sz w:val="15"/>
                <w:szCs w:val="15"/>
              </w:rPr>
            </w:pPr>
          </w:p>
        </w:tc>
        <w:tc>
          <w:tcPr>
            <w:tcW w:w="970" w:type="dxa"/>
            <w:tcBorders>
              <w:right w:val="single" w:sz="4" w:space="0" w:color="auto"/>
            </w:tcBorders>
            <w:vAlign w:val="center"/>
          </w:tcPr>
          <w:p w14:paraId="0D4EB574" w14:textId="77777777" w:rsidR="00681CDB" w:rsidRPr="00F02986" w:rsidRDefault="00681CDB" w:rsidP="005B0D26">
            <w:pPr>
              <w:ind w:left="0"/>
              <w:jc w:val="center"/>
              <w:rPr>
                <w:sz w:val="15"/>
                <w:szCs w:val="15"/>
              </w:rPr>
            </w:pPr>
          </w:p>
        </w:tc>
      </w:tr>
      <w:tr w:rsidR="00681CDB" w:rsidRPr="005927F0" w14:paraId="2F4DDB19" w14:textId="77777777" w:rsidTr="005B0D26">
        <w:tc>
          <w:tcPr>
            <w:tcW w:w="537" w:type="dxa"/>
            <w:tcBorders>
              <w:left w:val="single" w:sz="4" w:space="0" w:color="auto"/>
            </w:tcBorders>
            <w:shd w:val="clear" w:color="auto" w:fill="D9D9D9" w:themeFill="background1" w:themeFillShade="D9"/>
          </w:tcPr>
          <w:p w14:paraId="06FECD2B" w14:textId="54E55A44"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{"citationItems":[{"id":"ITEM-1","itemData":{"DOI":"10.1093/jn/132.11.3235","ISSN":"0022-3166","PMID":"12421834","abstract":"Recent work on assessing household food insecurity has focused mainly on experiential-based measures using qualitative survey questions. In this paper, we employed two quantitative measures to estimate prevalence rates for household food insecurity in South Africa. One measure, termed food poverty, assessed whether the amount spent by a household on food was inadequate to purchase a low cost food plan. Low energy availability assessed whether the food energy available to a household, through its purchases and home production, was less than the sum of its members' recommended energy intakes. The 1995 Income and Expenditure Survey, a large representative survey of South African households (n = 28,704), was used for this secondary data analysis. Results showed that 43% of households were in food poverty in October 1995, and 55% had a low energy availability. These indicators allowed classification of households into four groups: food poverty only; low energy availability only; food insecure on both measures; and food secure. These groups differed on various aspects of household food consumption, suggesting that these indicators can be used to target different types of interventions to meet specific needs. Both bivariate and multivariate analyses showed that households that were food insecure on both measures were more likely to be in rural areas, have low incomes or large household sizes, and be headed by Africans or individuals of mixed ancestry. These patterns of food insecurity were corroborated by previous research on income poverty and nutritional status, suggesting that food poverty and low energy availability are useful, quantitative indicators for assessing food insecurity in South Africa.","author":[{"dropping-particle":"","family":"Rose","given":"Donald","non-dropping-particle":"","parse-names":false,"suffix":""},{"dropping-particle":"","family":"Charlton","given":"Karen E.","non-dropping-particle":"","parse-names":false,"suffix":""}],"container-title":"The Journal of Nutrition","id":"ITEM-1","issue":"11","issued":{"date-parts":[["2002"]]},"page":"3235-3242","title":"Quantitative Indicators from a Food Expenditure Survey Can Be Used to Target the Food Insecure in South Africa","type":"article-journal","volume":"132"},"uris":["http://www.mendeley.com/documents/?uuid=8326a685-7130-40ce-b437-ddb51eef0bcb"]}],"mendeley":{"formattedCitation":"&lt;sup&gt;(48)&lt;/sup&gt;","plainTextFormattedCitation":"(48)","previouslyFormattedCitation":"[48]"},"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(48)</w:t>
            </w:r>
            <w:r>
              <w:rPr>
                <w:sz w:val="15"/>
                <w:szCs w:val="15"/>
              </w:rPr>
              <w:fldChar w:fldCharType="end"/>
            </w:r>
          </w:p>
        </w:tc>
        <w:tc>
          <w:tcPr>
            <w:tcW w:w="2066" w:type="dxa"/>
            <w:shd w:val="clear" w:color="auto" w:fill="D9D9D9" w:themeFill="background1" w:themeFillShade="D9"/>
          </w:tcPr>
          <w:p w14:paraId="7811957A" w14:textId="77777777" w:rsidR="00681CDB" w:rsidRPr="00F02986" w:rsidRDefault="00681CDB" w:rsidP="005B0D26">
            <w:pPr>
              <w:ind w:left="0"/>
              <w:rPr>
                <w:sz w:val="15"/>
                <w:szCs w:val="15"/>
              </w:rPr>
            </w:pPr>
            <w:r w:rsidRPr="00F02986">
              <w:rPr>
                <w:sz w:val="15"/>
                <w:szCs w:val="15"/>
              </w:rPr>
              <w:t>Rose &amp; Charlton (2002)</w:t>
            </w:r>
          </w:p>
        </w:tc>
        <w:tc>
          <w:tcPr>
            <w:tcW w:w="1350" w:type="dxa"/>
            <w:shd w:val="clear" w:color="auto" w:fill="D9D9D9" w:themeFill="background1" w:themeFillShade="D9"/>
          </w:tcPr>
          <w:p w14:paraId="55A065A0" w14:textId="77777777" w:rsidR="00681CDB" w:rsidRPr="00F02986" w:rsidRDefault="00681CDB" w:rsidP="005B0D26">
            <w:pPr>
              <w:ind w:left="0"/>
              <w:rPr>
                <w:sz w:val="15"/>
                <w:szCs w:val="15"/>
              </w:rPr>
            </w:pPr>
            <w:r w:rsidRPr="00F02986">
              <w:rPr>
                <w:sz w:val="15"/>
                <w:szCs w:val="15"/>
              </w:rPr>
              <w:t>South Africa</w:t>
            </w:r>
          </w:p>
        </w:tc>
        <w:tc>
          <w:tcPr>
            <w:tcW w:w="4406" w:type="dxa"/>
            <w:shd w:val="clear" w:color="auto" w:fill="D9D9D9" w:themeFill="background1" w:themeFillShade="D9"/>
          </w:tcPr>
          <w:p w14:paraId="05679228" w14:textId="77777777" w:rsidR="00681CDB" w:rsidRPr="00F03BC0" w:rsidRDefault="00681CDB" w:rsidP="005B0D26">
            <w:pPr>
              <w:ind w:left="0"/>
              <w:rPr>
                <w:sz w:val="15"/>
                <w:szCs w:val="15"/>
              </w:rPr>
            </w:pPr>
            <w:r w:rsidRPr="00F03BC0">
              <w:rPr>
                <w:sz w:val="15"/>
                <w:szCs w:val="15"/>
              </w:rPr>
              <w:t>﻿Income and Expenditure Survey (1995)</w:t>
            </w:r>
          </w:p>
        </w:tc>
        <w:tc>
          <w:tcPr>
            <w:tcW w:w="990" w:type="dxa"/>
            <w:shd w:val="clear" w:color="auto" w:fill="D9D9D9" w:themeFill="background1" w:themeFillShade="D9"/>
            <w:vAlign w:val="center"/>
          </w:tcPr>
          <w:p w14:paraId="715EB2A3" w14:textId="77777777" w:rsidR="00681CDB" w:rsidRPr="00F02986" w:rsidRDefault="00681CDB" w:rsidP="005B0D26">
            <w:pPr>
              <w:ind w:left="0"/>
              <w:jc w:val="center"/>
              <w:rPr>
                <w:sz w:val="15"/>
                <w:szCs w:val="15"/>
              </w:rPr>
            </w:pPr>
          </w:p>
        </w:tc>
        <w:tc>
          <w:tcPr>
            <w:tcW w:w="810" w:type="dxa"/>
            <w:shd w:val="clear" w:color="auto" w:fill="D9D9D9" w:themeFill="background1" w:themeFillShade="D9"/>
            <w:vAlign w:val="center"/>
          </w:tcPr>
          <w:p w14:paraId="58F81A90" w14:textId="77777777" w:rsidR="00681CDB" w:rsidRPr="00F02986" w:rsidRDefault="00681CDB" w:rsidP="005B0D26">
            <w:pPr>
              <w:ind w:left="0"/>
              <w:jc w:val="center"/>
              <w:rPr>
                <w:sz w:val="15"/>
                <w:szCs w:val="15"/>
              </w:rPr>
            </w:pPr>
            <w:r>
              <w:rPr>
                <w:sz w:val="15"/>
                <w:szCs w:val="15"/>
              </w:rPr>
              <w:t>X</w:t>
            </w:r>
          </w:p>
        </w:tc>
        <w:tc>
          <w:tcPr>
            <w:tcW w:w="746" w:type="dxa"/>
            <w:shd w:val="clear" w:color="auto" w:fill="D9D9D9" w:themeFill="background1" w:themeFillShade="D9"/>
            <w:vAlign w:val="center"/>
          </w:tcPr>
          <w:p w14:paraId="411FF030"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014E2E2B" w14:textId="77777777" w:rsidR="00681CDB" w:rsidRPr="00F02986" w:rsidRDefault="00681CDB" w:rsidP="005B0D26">
            <w:pPr>
              <w:ind w:left="0"/>
              <w:jc w:val="center"/>
              <w:rPr>
                <w:sz w:val="15"/>
                <w:szCs w:val="15"/>
              </w:rPr>
            </w:pPr>
            <w:r>
              <w:rPr>
                <w:sz w:val="15"/>
                <w:szCs w:val="15"/>
              </w:rPr>
              <w:t>X</w:t>
            </w:r>
          </w:p>
        </w:tc>
      </w:tr>
      <w:tr w:rsidR="00681CDB" w:rsidRPr="005927F0" w14:paraId="55155810" w14:textId="77777777" w:rsidTr="005B0D26">
        <w:tc>
          <w:tcPr>
            <w:tcW w:w="537" w:type="dxa"/>
            <w:tcBorders>
              <w:left w:val="single" w:sz="4" w:space="0" w:color="auto"/>
            </w:tcBorders>
          </w:tcPr>
          <w:p w14:paraId="58DB1FC1" w14:textId="79C3174A"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{"citationItems":[{"id":"ITEM-1","itemData":{"ISBN":"9781098616014;1098616014;","PMID":"20133356255","abstract":"Using nationally representative household survey data from five countries--three from South Asia (Bangladesh, Pakistan, and Nepal) and two from Sub-Saharan Africa (Tanzania and Uganda)--this paper conducts a systematic assessment of the correlation between various measures of household food security and nutritional outcomes of children. The analysis, following the universally accepted and applied definition of food security, is based on some of the most commonly used indicators of food security. The results show that the various measures of household food security do appear to carry significant signals about the nutritional status of children that reside within the household. This result holds even after the analysis controls for a wide array of other socio-economic characteristics of the households that are generally also thought to be associated with the quality of child nutrition. If using these food security indicators as proxy measures for the underlying nutritional status of children is of some interest, then the results show that simple, cost-effective, and easy-to-collect measures, such as the food consumption score or the dietary diversity score, may carry at least as much information as other measures, such as per capita expenditure or the starchy staple ratio, which require longer and costlier surveys with detailed food consumption modules. Across five different countries in South Asia and Africa, the results suggest that the food consumption score, in particular, performs extremely well in comparison with all other measures from the perspective of nutritional targeting as well as for monitoring nutritional outcomes.","author":[{"dropping-particle":"","family":"Tiwari","given":"S","non-dropping-particle":"","parse-names":false,"suffix":""},{"dropping-particle":"","family":"Skoufias","given":"E","non-dropping-particle":"","parse-names":false,"suffix":""},{"dropping-particle":"","family":"Sherpa","given":"M","non-dropping-particle":"","parse-names":false,"suffix":""}],"container-title":"Policy Research Working Paper Series","id":"ITEM-1","issued":{"date-parts":[["2013"]]},"note":"Abstract exclusion","publisher-place":"Washington, D.C.","title":"Shorter, Cheaper, Quicker, Better: Linking Measures of Household Food Security to Nutritional Outcomes in Bangladesh, Nepal, Pakistan, Uganda, and Tanzania","type":"report"},"uris":["http://www.mendeley.com/documents/?uuid=43e16e78-21eb-47f1-ad1b-80f499be1eba"]}],"mendeley":{"formattedCitation":"&lt;sup&gt;(49)&lt;/sup&gt;","plainTextFormattedCitation":"(49)","previouslyFormattedCitation":"[49]"},"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(49)</w:t>
            </w:r>
            <w:r>
              <w:rPr>
                <w:sz w:val="15"/>
                <w:szCs w:val="15"/>
              </w:rPr>
              <w:fldChar w:fldCharType="end"/>
            </w:r>
          </w:p>
        </w:tc>
        <w:tc>
          <w:tcPr>
            <w:tcW w:w="2066" w:type="dxa"/>
          </w:tcPr>
          <w:p w14:paraId="695E1401" w14:textId="77777777" w:rsidR="00681CDB" w:rsidRPr="00F02986" w:rsidRDefault="00681CDB" w:rsidP="005B0D26">
            <w:pPr>
              <w:ind w:left="0"/>
              <w:rPr>
                <w:sz w:val="15"/>
                <w:szCs w:val="15"/>
              </w:rPr>
            </w:pPr>
            <w:proofErr w:type="spellStart"/>
            <w:r w:rsidRPr="00F02986">
              <w:rPr>
                <w:sz w:val="15"/>
                <w:szCs w:val="15"/>
              </w:rPr>
              <w:t>Skoufias</w:t>
            </w:r>
            <w:proofErr w:type="spellEnd"/>
            <w:r w:rsidRPr="00F02986">
              <w:rPr>
                <w:sz w:val="15"/>
                <w:szCs w:val="15"/>
              </w:rPr>
              <w:t xml:space="preserve"> (2002)</w:t>
            </w:r>
          </w:p>
        </w:tc>
        <w:tc>
          <w:tcPr>
            <w:tcW w:w="1350" w:type="dxa"/>
          </w:tcPr>
          <w:p w14:paraId="59324746" w14:textId="77777777" w:rsidR="00681CDB" w:rsidRPr="00F02986" w:rsidRDefault="00681CDB" w:rsidP="005B0D26">
            <w:pPr>
              <w:ind w:left="0"/>
              <w:rPr>
                <w:sz w:val="15"/>
                <w:szCs w:val="15"/>
              </w:rPr>
            </w:pPr>
            <w:r w:rsidRPr="00F02986">
              <w:rPr>
                <w:sz w:val="15"/>
                <w:szCs w:val="15"/>
              </w:rPr>
              <w:t>Indonesia</w:t>
            </w:r>
          </w:p>
        </w:tc>
        <w:tc>
          <w:tcPr>
            <w:tcW w:w="4406" w:type="dxa"/>
          </w:tcPr>
          <w:p w14:paraId="78E52B42" w14:textId="77777777" w:rsidR="00681CDB" w:rsidRPr="00F03BC0" w:rsidRDefault="00681CDB" w:rsidP="005B0D26">
            <w:pPr>
              <w:ind w:left="0"/>
              <w:rPr>
                <w:sz w:val="15"/>
                <w:szCs w:val="15"/>
              </w:rPr>
            </w:pPr>
            <w:r w:rsidRPr="00F03BC0">
              <w:rPr>
                <w:sz w:val="15"/>
                <w:szCs w:val="15"/>
              </w:rPr>
              <w:t>National Socio-Economic Surveys (</w:t>
            </w:r>
            <w:r>
              <w:rPr>
                <w:sz w:val="15"/>
                <w:szCs w:val="15"/>
              </w:rPr>
              <w:t>1996, 1999</w:t>
            </w:r>
            <w:r w:rsidRPr="00F03BC0">
              <w:rPr>
                <w:sz w:val="15"/>
                <w:szCs w:val="15"/>
              </w:rPr>
              <w:t>)</w:t>
            </w:r>
          </w:p>
        </w:tc>
        <w:tc>
          <w:tcPr>
            <w:tcW w:w="990" w:type="dxa"/>
            <w:vAlign w:val="center"/>
          </w:tcPr>
          <w:p w14:paraId="0AB97339" w14:textId="77777777" w:rsidR="00681CDB" w:rsidRPr="00F02986" w:rsidRDefault="00681CDB" w:rsidP="005B0D26">
            <w:pPr>
              <w:ind w:left="0"/>
              <w:jc w:val="center"/>
              <w:rPr>
                <w:sz w:val="15"/>
                <w:szCs w:val="15"/>
              </w:rPr>
            </w:pPr>
            <w:r>
              <w:rPr>
                <w:sz w:val="15"/>
                <w:szCs w:val="15"/>
              </w:rPr>
              <w:t>X</w:t>
            </w:r>
          </w:p>
        </w:tc>
        <w:tc>
          <w:tcPr>
            <w:tcW w:w="810" w:type="dxa"/>
            <w:vAlign w:val="center"/>
          </w:tcPr>
          <w:p w14:paraId="07860915" w14:textId="77777777" w:rsidR="00681CDB" w:rsidRPr="00F02986" w:rsidRDefault="00681CDB" w:rsidP="005B0D26">
            <w:pPr>
              <w:ind w:left="0"/>
              <w:jc w:val="center"/>
              <w:rPr>
                <w:sz w:val="15"/>
                <w:szCs w:val="15"/>
              </w:rPr>
            </w:pPr>
          </w:p>
        </w:tc>
        <w:tc>
          <w:tcPr>
            <w:tcW w:w="746" w:type="dxa"/>
            <w:vAlign w:val="center"/>
          </w:tcPr>
          <w:p w14:paraId="3C172706" w14:textId="77777777" w:rsidR="00681CDB" w:rsidRPr="00F02986" w:rsidRDefault="00681CDB" w:rsidP="005B0D26">
            <w:pPr>
              <w:ind w:left="0"/>
              <w:jc w:val="center"/>
              <w:rPr>
                <w:sz w:val="15"/>
                <w:szCs w:val="15"/>
              </w:rPr>
            </w:pPr>
          </w:p>
        </w:tc>
        <w:tc>
          <w:tcPr>
            <w:tcW w:w="970" w:type="dxa"/>
            <w:tcBorders>
              <w:right w:val="single" w:sz="4" w:space="0" w:color="auto"/>
            </w:tcBorders>
            <w:vAlign w:val="center"/>
          </w:tcPr>
          <w:p w14:paraId="5F40D417" w14:textId="77777777" w:rsidR="00681CDB" w:rsidRPr="009F70EC" w:rsidRDefault="00681CDB" w:rsidP="005B0D26">
            <w:pPr>
              <w:ind w:left="0"/>
              <w:jc w:val="center"/>
              <w:rPr>
                <w:sz w:val="15"/>
                <w:szCs w:val="15"/>
                <w:highlight w:val="green"/>
              </w:rPr>
            </w:pPr>
          </w:p>
        </w:tc>
      </w:tr>
      <w:tr w:rsidR="00681CDB" w:rsidRPr="00151FCF" w14:paraId="05E2B719" w14:textId="77777777" w:rsidTr="005B0D26">
        <w:tc>
          <w:tcPr>
            <w:tcW w:w="537" w:type="dxa"/>
            <w:tcBorders>
              <w:left w:val="single" w:sz="4" w:space="0" w:color="auto"/>
            </w:tcBorders>
            <w:shd w:val="clear" w:color="auto" w:fill="D9D9D9" w:themeFill="background1" w:themeFillShade="D9"/>
          </w:tcPr>
          <w:p w14:paraId="2EE03242" w14:textId="3E623F1D" w:rsidR="00681CDB" w:rsidRPr="00151FCF" w:rsidRDefault="00681CDB" w:rsidP="005B0D26">
            <w:pPr>
              <w:ind w:left="0"/>
              <w:rPr>
                <w:sz w:val="15"/>
                <w:szCs w:val="15"/>
                <w:lang w:val="fr-FR"/>
              </w:rPr>
            </w:pPr>
            <w:r>
              <w:rPr>
                <w:sz w:val="15"/>
                <w:szCs w:val="15"/>
                <w:lang w:val="fr-FR"/>
              </w:rPr>
              <w:fldChar w:fldCharType="begin" w:fldLock="1"/>
            </w:r>
            <w:r w:rsidR="005B0D26">
              <w:rPr>
                <w:sz w:val="15"/>
                <w:szCs w:val="15"/>
                <w:lang w:val="fr-FR"/>
              </w:rPr>
              <w:instrText>ADDIN CSL_CITATION {"citationItems":[{"id":"ITEM-1","itemData":{"DOI":"10.2499/0896291502","ISBN":"0896291502","ISSN":"08867372","abstract":"Hunger is a pervasive problem in developing countries, undermining people's health, productivity, and often their very survival. Therefore, much of the development agenda focuses on directing scarce resources to providing food to people in need or enabling them to acquire it themselves. The foundation for doing so is a reliable information base on food insecurity - that is, access by people to food - which is the most immediate cause of hunger. Such information is fundamental to effectively targeting assistance, evaluating progress, and developing interventions. Its need is now more urgent than ever as efforts are stepped up to meet the Millennium Development Goal (MDG) of halving the proportion of people who suffer from hunger by 2015. Yet arriving at an accurate measure of food insecurity that is comparable both within and across countries remains a challenge. The indicator most widely employed by policymakers is the measure of \"undernourishment,\" or the percentage of a country's population that does not consume sufficient dietary energy, by the Food and Agriculture Organization of the United Nations (FAO). This method is based on a country's food supplies rather than directly on data representing peoples' access to food. Given a lack of data collected at the household or individual level in national surveys, this is the only feasible method at present, though its reliability for policy making and program planning has been the subject of considerable debate. This report introduces new estimates of food insecurity based on food acquisition data collected directly from households as part of national household expenditure surveys (HESs) conducted in 12 Sub-Saharan African countries. The report has three objectives: (1) to explore the extent and location of food insecurity across and within the countries; (2) to investigate the scientific merit of using the food data collected in HESs to measure food insecurity; and (3) to compare food insecurity es</w:instrText>
            </w:r>
            <w:r w:rsidR="005B0D26" w:rsidRPr="00151FCF">
              <w:rPr>
                <w:sz w:val="15"/>
                <w:szCs w:val="15"/>
                <w:lang w:val="fr-FR"/>
              </w:rPr>
              <w:instrText>timates generated using HES data with those reported by FAO and explore the reasons for differences between the two. The overall purpose is to investigate how the data collected in HESs can be used to improve the accuracy of FAO's estimates, which are being used to monitor the MDG hunger goal. The study is based on both diet quantity and diet quality indicators of food insecurity. The two main indicators of focus are the share of people consuming insufficient dietary energy, or the prevalence of \"food energy de…","author":[{"dropping-particle":"","family":"Smith","given":"Lisa C.","non-dropping-particle":"","parse-names":false,"suffix":""},{"dropping-particle":"","family":"Alderman","given":"Harold","non-dropping-particle":"","parse-names":false,"suffix":""},{"dropping-particle":"","family":"Aduayom","given":"Dede","non-dropping-particle":"","parse-names":false,"suffix":""}],"container-title":"Research Report","id":"ITEM-1","issue":"146","issued":{"date-parts":[["2006"]]},"number-of-pages":"1-122","publisher-place":"Washington, D.C.","title":"Food insecurity in Sub-Saharan Africa: New estimates from household expenditure surveys","type":"report"},"uris":["http://www.mendeley.com/documents/?uuid=cf76156e-1a26-4fe5-9e65-c3063754a782"]}],"mendeley":{"formattedCitation":"&lt;sup&gt;(50)&lt;/sup&gt;","plainTextFormattedCitation":"(50)","previouslyFormattedCitation":"[50]"},"properties":{"noteIndex":0},"schema":"https://github.com/citation-style-language/schema/raw/master/csl-citation.json"}</w:instrText>
            </w:r>
            <w:r>
              <w:rPr>
                <w:sz w:val="15"/>
                <w:szCs w:val="15"/>
                <w:lang w:val="fr-FR"/>
              </w:rPr>
              <w:fldChar w:fldCharType="separate"/>
            </w:r>
            <w:r w:rsidR="005B0D26" w:rsidRPr="00151FCF">
              <w:rPr>
                <w:noProof/>
                <w:sz w:val="15"/>
                <w:szCs w:val="15"/>
                <w:vertAlign w:val="superscript"/>
                <w:lang w:val="fr-FR"/>
              </w:rPr>
              <w:t>(50)</w:t>
            </w:r>
            <w:r>
              <w:rPr>
                <w:sz w:val="15"/>
                <w:szCs w:val="15"/>
                <w:lang w:val="fr-FR"/>
              </w:rPr>
              <w:fldChar w:fldCharType="end"/>
            </w:r>
          </w:p>
        </w:tc>
        <w:tc>
          <w:tcPr>
            <w:tcW w:w="2066" w:type="dxa"/>
            <w:shd w:val="clear" w:color="auto" w:fill="D9D9D9" w:themeFill="background1" w:themeFillShade="D9"/>
          </w:tcPr>
          <w:p w14:paraId="69F4DCA6" w14:textId="77777777" w:rsidR="00681CDB" w:rsidRPr="00151FCF" w:rsidRDefault="00681CDB" w:rsidP="005B0D26">
            <w:pPr>
              <w:ind w:left="0"/>
              <w:rPr>
                <w:sz w:val="15"/>
                <w:szCs w:val="15"/>
                <w:lang w:val="fr-FR"/>
              </w:rPr>
            </w:pPr>
            <w:r w:rsidRPr="00151FCF">
              <w:rPr>
                <w:sz w:val="15"/>
                <w:szCs w:val="15"/>
                <w:lang w:val="fr-FR"/>
              </w:rPr>
              <w:t>Smith et al. (2006)</w:t>
            </w:r>
          </w:p>
        </w:tc>
        <w:tc>
          <w:tcPr>
            <w:tcW w:w="1350" w:type="dxa"/>
            <w:shd w:val="clear" w:color="auto" w:fill="D9D9D9" w:themeFill="background1" w:themeFillShade="D9"/>
          </w:tcPr>
          <w:p w14:paraId="71C1C1DD" w14:textId="77777777" w:rsidR="00681CDB" w:rsidRPr="00151FCF" w:rsidRDefault="00681CDB" w:rsidP="005B0D26">
            <w:pPr>
              <w:ind w:left="0"/>
              <w:rPr>
                <w:sz w:val="15"/>
                <w:szCs w:val="15"/>
                <w:lang w:val="fr-FR"/>
              </w:rPr>
            </w:pPr>
            <w:r w:rsidRPr="00151FCF">
              <w:rPr>
                <w:sz w:val="15"/>
                <w:szCs w:val="15"/>
                <w:lang w:val="fr-FR"/>
              </w:rPr>
              <w:t xml:space="preserve">Burundi, </w:t>
            </w:r>
            <w:proofErr w:type="spellStart"/>
            <w:r w:rsidRPr="00151FCF">
              <w:rPr>
                <w:sz w:val="15"/>
                <w:szCs w:val="15"/>
                <w:lang w:val="fr-FR"/>
              </w:rPr>
              <w:t>Ethiopia</w:t>
            </w:r>
            <w:proofErr w:type="spellEnd"/>
            <w:r w:rsidRPr="00151FCF">
              <w:rPr>
                <w:sz w:val="15"/>
                <w:szCs w:val="15"/>
                <w:lang w:val="fr-FR"/>
              </w:rPr>
              <w:t xml:space="preserve">, Ghana, </w:t>
            </w:r>
            <w:proofErr w:type="spellStart"/>
            <w:r w:rsidRPr="00151FCF">
              <w:rPr>
                <w:sz w:val="15"/>
                <w:szCs w:val="15"/>
                <w:lang w:val="fr-FR"/>
              </w:rPr>
              <w:t>Guinea</w:t>
            </w:r>
            <w:proofErr w:type="spellEnd"/>
            <w:r w:rsidRPr="00151FCF">
              <w:rPr>
                <w:sz w:val="15"/>
                <w:szCs w:val="15"/>
                <w:lang w:val="fr-FR"/>
              </w:rPr>
              <w:t xml:space="preserve">, Kenya, Malawi, Mozambique, Rwanda, </w:t>
            </w:r>
            <w:proofErr w:type="spellStart"/>
            <w:r w:rsidRPr="00151FCF">
              <w:rPr>
                <w:sz w:val="15"/>
                <w:szCs w:val="15"/>
                <w:lang w:val="fr-FR"/>
              </w:rPr>
              <w:t>Senegal</w:t>
            </w:r>
            <w:proofErr w:type="spellEnd"/>
            <w:r w:rsidRPr="00151FCF">
              <w:rPr>
                <w:sz w:val="15"/>
                <w:szCs w:val="15"/>
                <w:lang w:val="fr-FR"/>
              </w:rPr>
              <w:t xml:space="preserve">, </w:t>
            </w:r>
            <w:proofErr w:type="spellStart"/>
            <w:r w:rsidRPr="00151FCF">
              <w:rPr>
                <w:sz w:val="15"/>
                <w:szCs w:val="15"/>
                <w:lang w:val="fr-FR"/>
              </w:rPr>
              <w:t>Tanzania</w:t>
            </w:r>
            <w:proofErr w:type="spellEnd"/>
            <w:r w:rsidRPr="00151FCF">
              <w:rPr>
                <w:sz w:val="15"/>
                <w:szCs w:val="15"/>
                <w:lang w:val="fr-FR"/>
              </w:rPr>
              <w:t xml:space="preserve">, Uganda, </w:t>
            </w:r>
            <w:proofErr w:type="spellStart"/>
            <w:r w:rsidRPr="00151FCF">
              <w:rPr>
                <w:sz w:val="15"/>
                <w:szCs w:val="15"/>
                <w:lang w:val="fr-FR"/>
              </w:rPr>
              <w:t>Zambia</w:t>
            </w:r>
            <w:proofErr w:type="spellEnd"/>
          </w:p>
        </w:tc>
        <w:tc>
          <w:tcPr>
            <w:tcW w:w="4406" w:type="dxa"/>
            <w:shd w:val="clear" w:color="auto" w:fill="D9D9D9" w:themeFill="background1" w:themeFillShade="D9"/>
          </w:tcPr>
          <w:p w14:paraId="31373B44" w14:textId="77777777" w:rsidR="00681CDB" w:rsidRPr="008077EA" w:rsidRDefault="00681CDB" w:rsidP="005B0D26">
            <w:pPr>
              <w:ind w:left="0"/>
              <w:rPr>
                <w:sz w:val="15"/>
                <w:szCs w:val="15"/>
                <w:lang w:val="fr-FR"/>
              </w:rPr>
            </w:pPr>
            <w:r w:rsidRPr="008077EA">
              <w:rPr>
                <w:sz w:val="15"/>
                <w:szCs w:val="15"/>
                <w:lang w:val="fr-FR"/>
              </w:rPr>
              <w:t>Étude nationale sur les conditions de vie des populations (1998)</w:t>
            </w:r>
          </w:p>
          <w:p w14:paraId="2EE95C79" w14:textId="77777777" w:rsidR="00681CDB" w:rsidRPr="00151FCF" w:rsidRDefault="00681CDB" w:rsidP="005B0D26">
            <w:pPr>
              <w:ind w:left="0"/>
              <w:rPr>
                <w:sz w:val="15"/>
                <w:szCs w:val="15"/>
                <w:lang w:val="fr-FR"/>
              </w:rPr>
            </w:pPr>
            <w:proofErr w:type="spellStart"/>
            <w:r w:rsidRPr="00151FCF">
              <w:rPr>
                <w:sz w:val="15"/>
                <w:szCs w:val="15"/>
                <w:lang w:val="fr-FR"/>
              </w:rPr>
              <w:t>Household</w:t>
            </w:r>
            <w:proofErr w:type="spellEnd"/>
            <w:r w:rsidRPr="00151FCF">
              <w:rPr>
                <w:sz w:val="15"/>
                <w:szCs w:val="15"/>
                <w:lang w:val="fr-FR"/>
              </w:rPr>
              <w:t xml:space="preserve"> </w:t>
            </w:r>
            <w:proofErr w:type="spellStart"/>
            <w:r w:rsidRPr="00151FCF">
              <w:rPr>
                <w:sz w:val="15"/>
                <w:szCs w:val="15"/>
                <w:lang w:val="fr-FR"/>
              </w:rPr>
              <w:t>Income</w:t>
            </w:r>
            <w:proofErr w:type="spellEnd"/>
            <w:r w:rsidRPr="00151FCF">
              <w:rPr>
                <w:sz w:val="15"/>
                <w:szCs w:val="15"/>
                <w:lang w:val="fr-FR"/>
              </w:rPr>
              <w:t xml:space="preserve">, </w:t>
            </w:r>
            <w:proofErr w:type="spellStart"/>
            <w:r w:rsidRPr="00151FCF">
              <w:rPr>
                <w:sz w:val="15"/>
                <w:szCs w:val="15"/>
                <w:lang w:val="fr-FR"/>
              </w:rPr>
              <w:t>Consumption</w:t>
            </w:r>
            <w:proofErr w:type="spellEnd"/>
            <w:r w:rsidRPr="00151FCF">
              <w:rPr>
                <w:sz w:val="15"/>
                <w:szCs w:val="15"/>
                <w:lang w:val="fr-FR"/>
              </w:rPr>
              <w:t xml:space="preserve"> &amp; </w:t>
            </w:r>
            <w:proofErr w:type="spellStart"/>
            <w:r w:rsidRPr="00151FCF">
              <w:rPr>
                <w:sz w:val="15"/>
                <w:szCs w:val="15"/>
                <w:lang w:val="fr-FR"/>
              </w:rPr>
              <w:t>Expenditure</w:t>
            </w:r>
            <w:proofErr w:type="spellEnd"/>
            <w:r w:rsidRPr="00151FCF">
              <w:rPr>
                <w:sz w:val="15"/>
                <w:szCs w:val="15"/>
                <w:lang w:val="fr-FR"/>
              </w:rPr>
              <w:t xml:space="preserve"> Survey (1999/2000)</w:t>
            </w:r>
          </w:p>
          <w:p w14:paraId="498D4D59" w14:textId="77777777" w:rsidR="00681CDB" w:rsidRPr="008077EA" w:rsidRDefault="00681CDB" w:rsidP="005B0D26">
            <w:pPr>
              <w:ind w:left="0"/>
              <w:rPr>
                <w:sz w:val="15"/>
                <w:szCs w:val="15"/>
                <w:lang w:val="fr-FR"/>
              </w:rPr>
            </w:pPr>
            <w:r w:rsidRPr="008077EA">
              <w:rPr>
                <w:sz w:val="15"/>
                <w:szCs w:val="15"/>
                <w:lang w:val="fr-FR"/>
              </w:rPr>
              <w:t>Ghana Living Standards Survey 4</w:t>
            </w:r>
          </w:p>
          <w:p w14:paraId="4CDD1C6F" w14:textId="77777777" w:rsidR="00681CDB" w:rsidRPr="008077EA" w:rsidRDefault="00681CDB" w:rsidP="005B0D26">
            <w:pPr>
              <w:ind w:left="0"/>
              <w:rPr>
                <w:sz w:val="15"/>
                <w:szCs w:val="15"/>
                <w:lang w:val="fr-FR"/>
              </w:rPr>
            </w:pPr>
            <w:r w:rsidRPr="008077EA">
              <w:rPr>
                <w:sz w:val="15"/>
                <w:szCs w:val="15"/>
                <w:lang w:val="fr-FR"/>
              </w:rPr>
              <w:t>Enquête intégrale sur les conditions de vie des ménages guinéen</w:t>
            </w:r>
          </w:p>
          <w:p w14:paraId="5998A4A4" w14:textId="77777777" w:rsidR="00681CDB" w:rsidRPr="00151FCF" w:rsidRDefault="00681CDB" w:rsidP="005B0D26">
            <w:pPr>
              <w:ind w:left="0"/>
              <w:rPr>
                <w:sz w:val="15"/>
                <w:szCs w:val="15"/>
                <w:lang w:val="fr-FR"/>
              </w:rPr>
            </w:pPr>
            <w:r w:rsidRPr="00151FCF">
              <w:rPr>
                <w:sz w:val="15"/>
                <w:szCs w:val="15"/>
                <w:lang w:val="fr-FR"/>
              </w:rPr>
              <w:t xml:space="preserve">Kenya </w:t>
            </w:r>
            <w:proofErr w:type="spellStart"/>
            <w:r w:rsidRPr="00151FCF">
              <w:rPr>
                <w:sz w:val="15"/>
                <w:szCs w:val="15"/>
                <w:lang w:val="fr-FR"/>
              </w:rPr>
              <w:t>Welfare</w:t>
            </w:r>
            <w:proofErr w:type="spellEnd"/>
            <w:r w:rsidRPr="00151FCF">
              <w:rPr>
                <w:sz w:val="15"/>
                <w:szCs w:val="15"/>
                <w:lang w:val="fr-FR"/>
              </w:rPr>
              <w:t xml:space="preserve"> Monitoring Survey III</w:t>
            </w:r>
          </w:p>
          <w:p w14:paraId="4FF10B02" w14:textId="77777777" w:rsidR="00681CDB" w:rsidRPr="00151FCF" w:rsidRDefault="00681CDB" w:rsidP="005B0D26">
            <w:pPr>
              <w:ind w:left="0"/>
              <w:rPr>
                <w:sz w:val="15"/>
                <w:szCs w:val="15"/>
                <w:lang w:val="fr-FR"/>
              </w:rPr>
            </w:pPr>
            <w:r w:rsidRPr="00151FCF">
              <w:rPr>
                <w:sz w:val="15"/>
                <w:szCs w:val="15"/>
                <w:lang w:val="fr-FR"/>
              </w:rPr>
              <w:t xml:space="preserve">Malawi Integrated </w:t>
            </w:r>
            <w:proofErr w:type="spellStart"/>
            <w:r w:rsidRPr="00151FCF">
              <w:rPr>
                <w:sz w:val="15"/>
                <w:szCs w:val="15"/>
                <w:lang w:val="fr-FR"/>
              </w:rPr>
              <w:t>Household</w:t>
            </w:r>
            <w:proofErr w:type="spellEnd"/>
            <w:r w:rsidRPr="00151FCF">
              <w:rPr>
                <w:sz w:val="15"/>
                <w:szCs w:val="15"/>
                <w:lang w:val="fr-FR"/>
              </w:rPr>
              <w:t xml:space="preserve"> Survey (19997/98)</w:t>
            </w:r>
          </w:p>
          <w:p w14:paraId="6D4026FD" w14:textId="77777777" w:rsidR="00681CDB" w:rsidRPr="008077EA" w:rsidRDefault="00681CDB" w:rsidP="005B0D26">
            <w:pPr>
              <w:ind w:left="0"/>
              <w:rPr>
                <w:sz w:val="15"/>
                <w:szCs w:val="15"/>
                <w:lang w:val="fr-FR"/>
              </w:rPr>
            </w:pPr>
            <w:r w:rsidRPr="008077EA">
              <w:rPr>
                <w:sz w:val="15"/>
                <w:szCs w:val="15"/>
                <w:lang w:val="fr-FR"/>
              </w:rPr>
              <w:t xml:space="preserve">Mozambique </w:t>
            </w:r>
            <w:proofErr w:type="spellStart"/>
            <w:r w:rsidRPr="008077EA">
              <w:rPr>
                <w:sz w:val="15"/>
                <w:szCs w:val="15"/>
                <w:lang w:val="fr-FR"/>
              </w:rPr>
              <w:t>Inqerito</w:t>
            </w:r>
            <w:proofErr w:type="spellEnd"/>
            <w:r w:rsidRPr="008077EA">
              <w:rPr>
                <w:sz w:val="15"/>
                <w:szCs w:val="15"/>
                <w:lang w:val="fr-FR"/>
              </w:rPr>
              <w:t xml:space="preserve"> </w:t>
            </w:r>
            <w:proofErr w:type="spellStart"/>
            <w:r w:rsidRPr="008077EA">
              <w:rPr>
                <w:sz w:val="15"/>
                <w:szCs w:val="15"/>
                <w:lang w:val="fr-FR"/>
              </w:rPr>
              <w:t>nacional</w:t>
            </w:r>
            <w:proofErr w:type="spellEnd"/>
            <w:r w:rsidRPr="008077EA">
              <w:rPr>
                <w:sz w:val="15"/>
                <w:szCs w:val="15"/>
                <w:lang w:val="fr-FR"/>
              </w:rPr>
              <w:t xml:space="preserve"> </w:t>
            </w:r>
            <w:proofErr w:type="spellStart"/>
            <w:r w:rsidRPr="008077EA">
              <w:rPr>
                <w:sz w:val="15"/>
                <w:szCs w:val="15"/>
                <w:lang w:val="fr-FR"/>
              </w:rPr>
              <w:t>aos</w:t>
            </w:r>
            <w:proofErr w:type="spellEnd"/>
            <w:r w:rsidRPr="008077EA">
              <w:rPr>
                <w:sz w:val="15"/>
                <w:szCs w:val="15"/>
                <w:lang w:val="fr-FR"/>
              </w:rPr>
              <w:t xml:space="preserve"> </w:t>
            </w:r>
            <w:proofErr w:type="spellStart"/>
            <w:r w:rsidRPr="008077EA">
              <w:rPr>
                <w:sz w:val="15"/>
                <w:szCs w:val="15"/>
                <w:lang w:val="fr-FR"/>
              </w:rPr>
              <w:t>agregados</w:t>
            </w:r>
            <w:proofErr w:type="spellEnd"/>
            <w:r w:rsidRPr="008077EA">
              <w:rPr>
                <w:sz w:val="15"/>
                <w:szCs w:val="15"/>
                <w:lang w:val="fr-FR"/>
              </w:rPr>
              <w:t xml:space="preserve"> </w:t>
            </w:r>
            <w:proofErr w:type="spellStart"/>
            <w:r w:rsidRPr="008077EA">
              <w:rPr>
                <w:sz w:val="15"/>
                <w:szCs w:val="15"/>
                <w:lang w:val="fr-FR"/>
              </w:rPr>
              <w:t>familiareas</w:t>
            </w:r>
            <w:proofErr w:type="spellEnd"/>
            <w:r w:rsidRPr="008077EA">
              <w:rPr>
                <w:sz w:val="15"/>
                <w:szCs w:val="15"/>
                <w:lang w:val="fr-FR"/>
              </w:rPr>
              <w:t xml:space="preserve"> sobre as </w:t>
            </w:r>
            <w:proofErr w:type="spellStart"/>
            <w:r w:rsidRPr="008077EA">
              <w:rPr>
                <w:sz w:val="15"/>
                <w:szCs w:val="15"/>
                <w:lang w:val="fr-FR"/>
              </w:rPr>
              <w:t>condicoes</w:t>
            </w:r>
            <w:proofErr w:type="spellEnd"/>
            <w:r w:rsidRPr="008077EA">
              <w:rPr>
                <w:sz w:val="15"/>
                <w:szCs w:val="15"/>
                <w:lang w:val="fr-FR"/>
              </w:rPr>
              <w:t xml:space="preserve"> de vida</w:t>
            </w:r>
          </w:p>
          <w:p w14:paraId="51249AE4" w14:textId="77777777" w:rsidR="00681CDB" w:rsidRPr="008077EA" w:rsidRDefault="00681CDB" w:rsidP="005B0D26">
            <w:pPr>
              <w:ind w:left="0"/>
              <w:rPr>
                <w:sz w:val="15"/>
                <w:szCs w:val="15"/>
                <w:lang w:val="fr-FR"/>
              </w:rPr>
            </w:pPr>
            <w:r w:rsidRPr="008077EA">
              <w:rPr>
                <w:sz w:val="15"/>
                <w:szCs w:val="15"/>
                <w:lang w:val="fr-FR"/>
              </w:rPr>
              <w:t>Enquête intégrale sur les conditions de vie des ménages rwandaise</w:t>
            </w:r>
          </w:p>
          <w:p w14:paraId="0456F4B9" w14:textId="77777777" w:rsidR="00681CDB" w:rsidRPr="008077EA" w:rsidRDefault="00681CDB" w:rsidP="005B0D26">
            <w:pPr>
              <w:ind w:left="0"/>
              <w:rPr>
                <w:sz w:val="15"/>
                <w:szCs w:val="15"/>
                <w:lang w:val="fr-FR"/>
              </w:rPr>
            </w:pPr>
            <w:r w:rsidRPr="008077EA">
              <w:rPr>
                <w:sz w:val="15"/>
                <w:szCs w:val="15"/>
                <w:lang w:val="fr-FR"/>
              </w:rPr>
              <w:t>Enquête Sénégalaise auprès des ménages II</w:t>
            </w:r>
          </w:p>
          <w:p w14:paraId="16F71329" w14:textId="77777777" w:rsidR="00681CDB" w:rsidRPr="00151FCF" w:rsidRDefault="00681CDB" w:rsidP="005B0D26">
            <w:pPr>
              <w:ind w:left="0"/>
              <w:rPr>
                <w:sz w:val="15"/>
                <w:szCs w:val="15"/>
                <w:lang w:val="fr-FR"/>
              </w:rPr>
            </w:pPr>
            <w:proofErr w:type="spellStart"/>
            <w:r w:rsidRPr="00151FCF">
              <w:rPr>
                <w:sz w:val="15"/>
                <w:szCs w:val="15"/>
                <w:lang w:val="fr-FR"/>
              </w:rPr>
              <w:t>Tanzanian</w:t>
            </w:r>
            <w:proofErr w:type="spellEnd"/>
            <w:r w:rsidRPr="00151FCF">
              <w:rPr>
                <w:sz w:val="15"/>
                <w:szCs w:val="15"/>
                <w:lang w:val="fr-FR"/>
              </w:rPr>
              <w:t xml:space="preserve"> </w:t>
            </w:r>
            <w:proofErr w:type="spellStart"/>
            <w:r w:rsidRPr="00151FCF">
              <w:rPr>
                <w:sz w:val="15"/>
                <w:szCs w:val="15"/>
                <w:lang w:val="fr-FR"/>
              </w:rPr>
              <w:t>Household</w:t>
            </w:r>
            <w:proofErr w:type="spellEnd"/>
            <w:r w:rsidRPr="00151FCF">
              <w:rPr>
                <w:sz w:val="15"/>
                <w:szCs w:val="15"/>
                <w:lang w:val="fr-FR"/>
              </w:rPr>
              <w:t xml:space="preserve"> Budget Survey</w:t>
            </w:r>
          </w:p>
          <w:p w14:paraId="1FA6B6FB" w14:textId="77777777" w:rsidR="00681CDB" w:rsidRPr="00151FCF" w:rsidRDefault="00681CDB" w:rsidP="005B0D26">
            <w:pPr>
              <w:ind w:left="0"/>
              <w:rPr>
                <w:sz w:val="15"/>
                <w:szCs w:val="15"/>
                <w:lang w:val="fr-FR"/>
              </w:rPr>
            </w:pPr>
            <w:proofErr w:type="spellStart"/>
            <w:r w:rsidRPr="00151FCF">
              <w:rPr>
                <w:sz w:val="15"/>
                <w:szCs w:val="15"/>
                <w:lang w:val="fr-FR"/>
              </w:rPr>
              <w:t>Ugandan</w:t>
            </w:r>
            <w:proofErr w:type="spellEnd"/>
            <w:r w:rsidRPr="00151FCF">
              <w:rPr>
                <w:sz w:val="15"/>
                <w:szCs w:val="15"/>
                <w:lang w:val="fr-FR"/>
              </w:rPr>
              <w:t xml:space="preserve"> National </w:t>
            </w:r>
            <w:proofErr w:type="spellStart"/>
            <w:r w:rsidRPr="00151FCF">
              <w:rPr>
                <w:sz w:val="15"/>
                <w:szCs w:val="15"/>
                <w:lang w:val="fr-FR"/>
              </w:rPr>
              <w:t>Household</w:t>
            </w:r>
            <w:proofErr w:type="spellEnd"/>
            <w:r w:rsidRPr="00151FCF">
              <w:rPr>
                <w:sz w:val="15"/>
                <w:szCs w:val="15"/>
                <w:lang w:val="fr-FR"/>
              </w:rPr>
              <w:t xml:space="preserve"> Survey (1999/2000)</w:t>
            </w:r>
          </w:p>
          <w:p w14:paraId="59C67FAB" w14:textId="77777777" w:rsidR="00681CDB" w:rsidRPr="00151FCF" w:rsidRDefault="00681CDB" w:rsidP="005B0D26">
            <w:pPr>
              <w:ind w:left="0"/>
              <w:rPr>
                <w:sz w:val="15"/>
                <w:szCs w:val="15"/>
                <w:lang w:val="fr-FR"/>
              </w:rPr>
            </w:pPr>
            <w:proofErr w:type="spellStart"/>
            <w:r w:rsidRPr="00151FCF">
              <w:rPr>
                <w:sz w:val="15"/>
                <w:szCs w:val="15"/>
                <w:lang w:val="fr-FR"/>
              </w:rPr>
              <w:t>Zambia</w:t>
            </w:r>
            <w:proofErr w:type="spellEnd"/>
            <w:r w:rsidRPr="00151FCF">
              <w:rPr>
                <w:sz w:val="15"/>
                <w:szCs w:val="15"/>
                <w:lang w:val="fr-FR"/>
              </w:rPr>
              <w:t xml:space="preserve"> Living Conditions Monitoring Survey I (1996)</w:t>
            </w:r>
          </w:p>
        </w:tc>
        <w:tc>
          <w:tcPr>
            <w:tcW w:w="990" w:type="dxa"/>
            <w:shd w:val="clear" w:color="auto" w:fill="D9D9D9" w:themeFill="background1" w:themeFillShade="D9"/>
            <w:vAlign w:val="center"/>
          </w:tcPr>
          <w:p w14:paraId="2F1C9DB6" w14:textId="77777777" w:rsidR="00681CDB" w:rsidRPr="008077EA" w:rsidRDefault="00681CDB" w:rsidP="005B0D26">
            <w:pPr>
              <w:ind w:left="0"/>
              <w:jc w:val="center"/>
              <w:rPr>
                <w:sz w:val="15"/>
                <w:szCs w:val="15"/>
                <w:lang w:val="fr-FR"/>
              </w:rPr>
            </w:pPr>
            <w:r w:rsidRPr="008077EA">
              <w:rPr>
                <w:sz w:val="15"/>
                <w:szCs w:val="15"/>
                <w:lang w:val="fr-FR"/>
              </w:rPr>
              <w:t>X</w:t>
            </w:r>
          </w:p>
        </w:tc>
        <w:tc>
          <w:tcPr>
            <w:tcW w:w="810" w:type="dxa"/>
            <w:shd w:val="clear" w:color="auto" w:fill="D9D9D9" w:themeFill="background1" w:themeFillShade="D9"/>
            <w:vAlign w:val="center"/>
          </w:tcPr>
          <w:p w14:paraId="77DB19BE" w14:textId="77777777" w:rsidR="00681CDB" w:rsidRPr="008077EA" w:rsidRDefault="00681CDB" w:rsidP="005B0D26">
            <w:pPr>
              <w:ind w:left="0"/>
              <w:jc w:val="center"/>
              <w:rPr>
                <w:sz w:val="15"/>
                <w:szCs w:val="15"/>
                <w:lang w:val="fr-FR"/>
              </w:rPr>
            </w:pPr>
          </w:p>
        </w:tc>
        <w:tc>
          <w:tcPr>
            <w:tcW w:w="746" w:type="dxa"/>
            <w:shd w:val="clear" w:color="auto" w:fill="D9D9D9" w:themeFill="background1" w:themeFillShade="D9"/>
            <w:vAlign w:val="center"/>
          </w:tcPr>
          <w:p w14:paraId="2B778AEE" w14:textId="77777777" w:rsidR="00681CDB" w:rsidRPr="008077EA" w:rsidRDefault="00681CDB" w:rsidP="005B0D26">
            <w:pPr>
              <w:ind w:left="0"/>
              <w:jc w:val="center"/>
              <w:rPr>
                <w:sz w:val="15"/>
                <w:szCs w:val="15"/>
                <w:lang w:val="fr-FR"/>
              </w:rPr>
            </w:pPr>
          </w:p>
        </w:tc>
        <w:tc>
          <w:tcPr>
            <w:tcW w:w="970" w:type="dxa"/>
            <w:tcBorders>
              <w:right w:val="single" w:sz="4" w:space="0" w:color="auto"/>
            </w:tcBorders>
            <w:shd w:val="clear" w:color="auto" w:fill="D9D9D9" w:themeFill="background1" w:themeFillShade="D9"/>
            <w:vAlign w:val="center"/>
          </w:tcPr>
          <w:p w14:paraId="24199E82" w14:textId="77777777" w:rsidR="00681CDB" w:rsidRPr="008077EA" w:rsidRDefault="00681CDB" w:rsidP="005B0D26">
            <w:pPr>
              <w:ind w:left="0"/>
              <w:jc w:val="center"/>
              <w:rPr>
                <w:sz w:val="15"/>
                <w:szCs w:val="15"/>
                <w:highlight w:val="green"/>
                <w:lang w:val="fr-FR"/>
              </w:rPr>
            </w:pPr>
            <w:r w:rsidRPr="008077EA">
              <w:rPr>
                <w:sz w:val="15"/>
                <w:szCs w:val="15"/>
                <w:lang w:val="fr-FR"/>
              </w:rPr>
              <w:t>X</w:t>
            </w:r>
          </w:p>
        </w:tc>
      </w:tr>
      <w:tr w:rsidR="00681CDB" w:rsidRPr="0068732D" w14:paraId="2845B1B0" w14:textId="77777777" w:rsidTr="005B0D26">
        <w:tc>
          <w:tcPr>
            <w:tcW w:w="537" w:type="dxa"/>
            <w:tcBorders>
              <w:left w:val="single" w:sz="4" w:space="0" w:color="auto"/>
            </w:tcBorders>
          </w:tcPr>
          <w:p w14:paraId="6596F3B3" w14:textId="3EF38858" w:rsidR="00681CDB" w:rsidRPr="003A0C17" w:rsidRDefault="00681CDB" w:rsidP="005B0D26">
            <w:pPr>
              <w:ind w:left="0"/>
              <w:rPr>
                <w:sz w:val="15"/>
                <w:szCs w:val="15"/>
              </w:rPr>
            </w:pPr>
            <w:r>
              <w:rPr>
                <w:sz w:val="15"/>
                <w:szCs w:val="15"/>
              </w:rPr>
              <w:fldChar w:fldCharType="begin" w:fldLock="1"/>
            </w:r>
            <w:r w:rsidR="005B0D26">
              <w:rPr>
                <w:sz w:val="15"/>
                <w:szCs w:val="15"/>
                <w:lang w:val="fr-FR"/>
              </w:rPr>
              <w:instrText>ADDIN CSL_CITATION {"citationItems":[{"id":"ITEM-1","itemData":{"DOI":"10.1177/0379572118825176","ISSN":"03795721","abstract":"Background: India has made important strides in reducing nutritional deficiencies over the past several decades. However, for micronutrients such as zinc, previous studies have suggested a worsening situation, contrary to most other dietary indicators. Adding to this burden, higher carbon dioxide (CO2) levels of 550 ppm, projected to potentially occur within decades, could reduce the zinc content of many staple crops. Objective: To assess the historical prevalence of inadequate zinc intake, as well as to estimate the future prevalence attributable to rising CO2. Methods: Seven household food consumption surveys between 1983 and 2012 were used to calculate total dietary zinc, phytate, and absorbable zinc intakes and to assess the prevalence of historic inadequacy in zinc intake. The added nutritional effect of elevated CO2 on zinc intake is then modeled. Results: Prevalence of inadequate absorbable zinc intake has increased from 17.1% (15.3%-19.0%) in 1983 to 24.6% (22.3%-27.1%) in 2011-12, corresponding to an additional 82 million people consuming inadequate zinc than would have otherwise if 1983 rates had persisted. These increases in inadequacy have been driven by a relatively constant zinc intake being increasingly insufficient to meet a 5% growth in zinc requirements due to the aging of the population. Reaching 550 ppm CO2 by 2050 could potentially increase the preva</w:instrText>
            </w:r>
            <w:r w:rsidR="005B0D26" w:rsidRPr="005B0D26">
              <w:rPr>
                <w:sz w:val="15"/>
                <w:szCs w:val="15"/>
              </w:rPr>
              <w:instrText>lence of inadequate zinc intake by another 3.9 percentage points (2.1-5.8), corresponding to 65 million additional people having inadequate zinc intake. Conclusions: The persistently worsening trend for zinc—opposite most other measures of human nutrition—shows that it may pose an ongoing risk unless addressed.","author":[{"dropping-particle":"","family":"Smith","given":"Matthew R.","non-dropping-particle":"","parse-names":false,"suffix":""},{"dropping-particle":"","family":"DeFries","given":"Ruth","non-dropping-particle":"","parse-names":false,"suffix":""},{"dropping-particle":"","family":"Chhatre","given":"Ashwini","non-dropping-particle":"","parse-names":false,"suffix":""},{"dropping-particle":"","family":"Ghosh-Jerath","given":"Suparna","non-dropping-particle":"","parse-names":false,"suffix":""},{"dropping-particle":"","family":"Myers","given":"Samuel S.","non-dropping-particle":"","parse-names":false,"suffix":""}],"container-title":"Food and Nutrition Bulletin","id":"ITEM-1","issue":"1","issued":{"date-parts":[["2019"]]},"page":"26-40","title":"Inadequate Zinc Intake in India: Past, Present, and Future","type":"article-journal","volume":"40"},"uris":["http://www.mendeley.com/documents/?uuid=7c7c7bdf-3989-4f30-9ea0-038376e6f034"]}],"mendeley":{"formattedCitation":"&lt;sup&gt;(51)&lt;/sup&gt;","plainTextFormattedCitation":"(51)","previouslyFormattedCitation":"[51]"},"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(51)</w:t>
            </w:r>
            <w:r>
              <w:rPr>
                <w:sz w:val="15"/>
                <w:szCs w:val="15"/>
              </w:rPr>
              <w:fldChar w:fldCharType="end"/>
            </w:r>
          </w:p>
        </w:tc>
        <w:tc>
          <w:tcPr>
            <w:tcW w:w="2066" w:type="dxa"/>
          </w:tcPr>
          <w:p w14:paraId="6B100E04" w14:textId="77777777" w:rsidR="00681CDB" w:rsidRPr="003A0C17" w:rsidRDefault="00681CDB" w:rsidP="005B0D26">
            <w:pPr>
              <w:ind w:left="0"/>
              <w:rPr>
                <w:sz w:val="15"/>
                <w:szCs w:val="15"/>
              </w:rPr>
            </w:pPr>
            <w:r w:rsidRPr="003A0C17">
              <w:rPr>
                <w:sz w:val="15"/>
                <w:szCs w:val="15"/>
              </w:rPr>
              <w:t>Smith et al. (2019)</w:t>
            </w:r>
          </w:p>
        </w:tc>
        <w:tc>
          <w:tcPr>
            <w:tcW w:w="1350" w:type="dxa"/>
          </w:tcPr>
          <w:p w14:paraId="61F6902F" w14:textId="77777777" w:rsidR="00681CDB" w:rsidRPr="003A0C17" w:rsidRDefault="00681CDB" w:rsidP="005B0D26">
            <w:pPr>
              <w:ind w:left="0"/>
              <w:rPr>
                <w:sz w:val="15"/>
                <w:szCs w:val="15"/>
              </w:rPr>
            </w:pPr>
            <w:r w:rsidRPr="003A0C17">
              <w:rPr>
                <w:sz w:val="15"/>
                <w:szCs w:val="15"/>
              </w:rPr>
              <w:t>India</w:t>
            </w:r>
          </w:p>
        </w:tc>
        <w:tc>
          <w:tcPr>
            <w:tcW w:w="4406" w:type="dxa"/>
          </w:tcPr>
          <w:p w14:paraId="4B064818" w14:textId="77777777" w:rsidR="00681CDB" w:rsidRPr="003A0C17" w:rsidRDefault="00681CDB" w:rsidP="005B0D26">
            <w:pPr>
              <w:ind w:left="0"/>
              <w:rPr>
                <w:sz w:val="15"/>
                <w:szCs w:val="15"/>
              </w:rPr>
            </w:pPr>
            <w:r w:rsidRPr="003A0C17">
              <w:rPr>
                <w:sz w:val="15"/>
                <w:szCs w:val="15"/>
              </w:rPr>
              <w:t>7 rounds of the National Sample Survey</w:t>
            </w:r>
          </w:p>
        </w:tc>
        <w:tc>
          <w:tcPr>
            <w:tcW w:w="990" w:type="dxa"/>
            <w:vAlign w:val="center"/>
          </w:tcPr>
          <w:p w14:paraId="4B08A592" w14:textId="77777777" w:rsidR="00681CDB" w:rsidRPr="003A0C17" w:rsidRDefault="00681CDB" w:rsidP="005B0D26">
            <w:pPr>
              <w:ind w:left="0"/>
              <w:jc w:val="center"/>
              <w:rPr>
                <w:sz w:val="15"/>
                <w:szCs w:val="15"/>
              </w:rPr>
            </w:pPr>
            <w:r w:rsidRPr="003A0C17">
              <w:rPr>
                <w:sz w:val="15"/>
                <w:szCs w:val="15"/>
              </w:rPr>
              <w:t>X</w:t>
            </w:r>
          </w:p>
        </w:tc>
        <w:tc>
          <w:tcPr>
            <w:tcW w:w="810" w:type="dxa"/>
            <w:vAlign w:val="center"/>
          </w:tcPr>
          <w:p w14:paraId="25C4BE9D" w14:textId="77777777" w:rsidR="00681CDB" w:rsidRPr="003A0C17" w:rsidRDefault="00681CDB" w:rsidP="005B0D26">
            <w:pPr>
              <w:ind w:left="0"/>
              <w:jc w:val="center"/>
              <w:rPr>
                <w:sz w:val="15"/>
                <w:szCs w:val="15"/>
              </w:rPr>
            </w:pPr>
          </w:p>
        </w:tc>
        <w:tc>
          <w:tcPr>
            <w:tcW w:w="746" w:type="dxa"/>
            <w:vAlign w:val="center"/>
          </w:tcPr>
          <w:p w14:paraId="07D14815" w14:textId="77777777" w:rsidR="00681CDB" w:rsidRPr="003A0C17" w:rsidRDefault="00681CDB" w:rsidP="005B0D26">
            <w:pPr>
              <w:ind w:left="0"/>
              <w:jc w:val="center"/>
              <w:rPr>
                <w:sz w:val="15"/>
                <w:szCs w:val="15"/>
              </w:rPr>
            </w:pPr>
          </w:p>
        </w:tc>
        <w:tc>
          <w:tcPr>
            <w:tcW w:w="970" w:type="dxa"/>
            <w:tcBorders>
              <w:right w:val="single" w:sz="4" w:space="0" w:color="auto"/>
            </w:tcBorders>
            <w:vAlign w:val="center"/>
          </w:tcPr>
          <w:p w14:paraId="02C70634" w14:textId="77777777" w:rsidR="00681CDB" w:rsidRPr="003A0C17" w:rsidRDefault="00681CDB" w:rsidP="005B0D26">
            <w:pPr>
              <w:ind w:left="0"/>
              <w:jc w:val="center"/>
              <w:rPr>
                <w:sz w:val="15"/>
                <w:szCs w:val="15"/>
              </w:rPr>
            </w:pPr>
            <w:r w:rsidRPr="003A0C17">
              <w:rPr>
                <w:sz w:val="15"/>
                <w:szCs w:val="15"/>
              </w:rPr>
              <w:t>X</w:t>
            </w:r>
          </w:p>
        </w:tc>
      </w:tr>
      <w:tr w:rsidR="00681CDB" w:rsidRPr="005927F0" w14:paraId="17A9A74E" w14:textId="77777777" w:rsidTr="005B0D26">
        <w:tc>
          <w:tcPr>
            <w:tcW w:w="537" w:type="dxa"/>
            <w:tcBorders>
              <w:left w:val="single" w:sz="4" w:space="0" w:color="auto"/>
            </w:tcBorders>
            <w:shd w:val="clear" w:color="auto" w:fill="D9D9D9" w:themeFill="background1" w:themeFillShade="D9"/>
          </w:tcPr>
          <w:p w14:paraId="6CB57D68" w14:textId="3F0E6DB7"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{"citationItems":[{"id":"ITEM-1","itemData":{"abstract":"There are a number of assumptions required to estimate actual calories consumed from expenditure data regarding calories contained in processed foods and meals eaten outside the household. Ideally, estimates of calorie consumption and the assessment of food security would be similar under a wide variety of assumptions, and the range of estimates would be quite small. However, this paper, which estimates the calories consumed per Indian household using the 61st round of the National Sample Survey, finds that the assessment of food security varies significantly under slightly different assumptions. Given the significant amount of measurement error in estimates of calories consumed, it is important to analyse not only household consumption surveys, but also aggregate food availability studies and health surveys collecting anthropometric measures that accompany undernourishment, such as stunting.","author":[{"dropping-particle":"","family":"Tandon","given":"Sharad","non-dropping-particle":"","parse-names":false,"suffix":""},{"dropping-particle":"","family":"Landes","given":"Rip","non-dropping-particle":"","parse-names":false,"suffix":""}],"container-title":"Economic and political weekly","id":"ITEM-1","issue":"22","issued":{"date-parts":[["2010"]]},"page":"92-99","title":"The Sensitivity of Food Security in India","type":"article-journal","volume":"46"},"uris":["http://www.mendeley.com/documents/?uuid=53551eb7-a9c7-4275-ace9-f049e44bdbe1"]}],"mendeley":{"formattedCitation":"&lt;sup&gt;(52)&lt;/sup&gt;","plainTextFormattedCitation":"(52)","previouslyFormattedCitation":"[52]"},"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(52)</w:t>
            </w:r>
            <w:r>
              <w:rPr>
                <w:sz w:val="15"/>
                <w:szCs w:val="15"/>
              </w:rPr>
              <w:fldChar w:fldCharType="end"/>
            </w:r>
          </w:p>
        </w:tc>
        <w:tc>
          <w:tcPr>
            <w:tcW w:w="2066" w:type="dxa"/>
            <w:shd w:val="clear" w:color="auto" w:fill="D9D9D9" w:themeFill="background1" w:themeFillShade="D9"/>
          </w:tcPr>
          <w:p w14:paraId="0998EE5A" w14:textId="77777777" w:rsidR="00681CDB" w:rsidRPr="00F02986" w:rsidRDefault="00681CDB" w:rsidP="005B0D26">
            <w:pPr>
              <w:ind w:left="0"/>
              <w:rPr>
                <w:sz w:val="15"/>
                <w:szCs w:val="15"/>
              </w:rPr>
            </w:pPr>
            <w:r w:rsidRPr="00F02986">
              <w:rPr>
                <w:sz w:val="15"/>
                <w:szCs w:val="15"/>
              </w:rPr>
              <w:t xml:space="preserve">Tandon &amp; </w:t>
            </w:r>
            <w:proofErr w:type="spellStart"/>
            <w:r w:rsidRPr="00F02986">
              <w:rPr>
                <w:sz w:val="15"/>
                <w:szCs w:val="15"/>
              </w:rPr>
              <w:t>Landes</w:t>
            </w:r>
            <w:proofErr w:type="spellEnd"/>
            <w:r w:rsidRPr="00F02986">
              <w:rPr>
                <w:sz w:val="15"/>
                <w:szCs w:val="15"/>
              </w:rPr>
              <w:t xml:space="preserve"> (2010)</w:t>
            </w:r>
          </w:p>
        </w:tc>
        <w:tc>
          <w:tcPr>
            <w:tcW w:w="1350" w:type="dxa"/>
            <w:shd w:val="clear" w:color="auto" w:fill="D9D9D9" w:themeFill="background1" w:themeFillShade="D9"/>
          </w:tcPr>
          <w:p w14:paraId="4AFCB801" w14:textId="77777777" w:rsidR="00681CDB" w:rsidRPr="00F02986" w:rsidRDefault="00681CDB" w:rsidP="005B0D26">
            <w:pPr>
              <w:ind w:left="0"/>
              <w:rPr>
                <w:sz w:val="15"/>
                <w:szCs w:val="15"/>
              </w:rPr>
            </w:pPr>
            <w:r w:rsidRPr="00F02986">
              <w:rPr>
                <w:sz w:val="15"/>
                <w:szCs w:val="15"/>
              </w:rPr>
              <w:t>India</w:t>
            </w:r>
          </w:p>
        </w:tc>
        <w:tc>
          <w:tcPr>
            <w:tcW w:w="4406" w:type="dxa"/>
            <w:shd w:val="clear" w:color="auto" w:fill="D9D9D9" w:themeFill="background1" w:themeFillShade="D9"/>
          </w:tcPr>
          <w:p w14:paraId="5C2BD8E0" w14:textId="77777777" w:rsidR="00681CDB" w:rsidRPr="00F03BC0" w:rsidRDefault="00681CDB" w:rsidP="005B0D26">
            <w:pPr>
              <w:ind w:left="0"/>
              <w:rPr>
                <w:sz w:val="15"/>
                <w:szCs w:val="15"/>
              </w:rPr>
            </w:pPr>
            <w:r w:rsidRPr="00F03BC0">
              <w:rPr>
                <w:sz w:val="15"/>
                <w:szCs w:val="15"/>
              </w:rPr>
              <w:t>﻿61st round of the ﻿National Sample Survey (2004/05)</w:t>
            </w:r>
          </w:p>
        </w:tc>
        <w:tc>
          <w:tcPr>
            <w:tcW w:w="990" w:type="dxa"/>
            <w:shd w:val="clear" w:color="auto" w:fill="D9D9D9" w:themeFill="background1" w:themeFillShade="D9"/>
            <w:vAlign w:val="center"/>
          </w:tcPr>
          <w:p w14:paraId="192BF367"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46256AB8" w14:textId="77777777" w:rsidR="00681CDB" w:rsidRPr="00F02986" w:rsidRDefault="00681CDB" w:rsidP="005B0D26">
            <w:pPr>
              <w:ind w:left="0"/>
              <w:jc w:val="center"/>
              <w:rPr>
                <w:sz w:val="15"/>
                <w:szCs w:val="15"/>
              </w:rPr>
            </w:pPr>
          </w:p>
        </w:tc>
        <w:tc>
          <w:tcPr>
            <w:tcW w:w="746" w:type="dxa"/>
            <w:shd w:val="clear" w:color="auto" w:fill="D9D9D9" w:themeFill="background1" w:themeFillShade="D9"/>
            <w:vAlign w:val="center"/>
          </w:tcPr>
          <w:p w14:paraId="247BE671"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40444F79" w14:textId="77777777" w:rsidR="00681CDB" w:rsidRPr="00F02986" w:rsidRDefault="00681CDB" w:rsidP="005B0D26">
            <w:pPr>
              <w:ind w:left="0"/>
              <w:jc w:val="center"/>
              <w:rPr>
                <w:sz w:val="15"/>
                <w:szCs w:val="15"/>
              </w:rPr>
            </w:pPr>
          </w:p>
        </w:tc>
      </w:tr>
      <w:tr w:rsidR="00681CDB" w:rsidRPr="005927F0" w14:paraId="77D8853A" w14:textId="77777777" w:rsidTr="005B0D26">
        <w:tc>
          <w:tcPr>
            <w:tcW w:w="537" w:type="dxa"/>
            <w:tcBorders>
              <w:left w:val="single" w:sz="4" w:space="0" w:color="auto"/>
            </w:tcBorders>
            <w:shd w:val="clear" w:color="auto" w:fill="FFFFFF" w:themeFill="background1"/>
          </w:tcPr>
          <w:p w14:paraId="628426B6" w14:textId="3D6155A6"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{"citationItems":[{"id":"ITEM-1","itemData":{"DOI":"10.1016/j.ehb.2018.09.002","ISSN":"18736130","abstract":"Vietnam is undergoing a nutritional transition like many middle-income countries. This transition is characterized by an increase in per capita total calorie intake resulting from an increase in the consumption of fat and protein while the carbohydrate consumption decreases. This paper proposes to highlight the sociodemographic drivers of this transition over the period 2004–2014, using Vietnam Household Living Standard Survey data. We implement a method of decomposition of between-year differences in economic outcomes recently proposed in the literature. This method decomposes the between-year change in various indicators related to the outcome distribution (mean, median, quantiles, etc.) into (1) the effect due to between-year change in the conditional distribution of the outcome given sociodemographic characteristics, or “structure effect” and (2) the effect due to the differences in sociodemographic characteristics across years, or “composition effect”. In turn, this last effect is decomposed into direct contributions of each sociodemographic characteristics and effects of their interactions. The composition effect, always positive, generally outweighs the structure effect when considering the between-year changes in distributions of per capita calorie intake or calorie intake coming from protein or fat. The effects of changes in the composition of the Vietnamese population thus overcome the effects of changes in preferences of the same population. This finding is reversed in the case of carbohydrates. Food expenditure and household size appear to be the main contributors to the composition effect. The positive effects of these two variables explain well most of the between-year shifts observed in the calorie intake distributions. Urbanization and level of education contribute negatively to the composition effect, with the noticeable exception of fat where the effect of urbanization is positive. But these two variables effects are negligible compared to those of food expenditure and household size.","author":[{"dropping-particle":"","family":"Trinh Thi","given":"Huong","non-dropping-particle":"","parse-names":false,"suffix":""},{"dropping-particle":"","family":"Simioni","given":"Michel","non-dropping-particle":"","parse-names":false,"suffix":""},{"dropping-particle":"","family":"Thomas-Agnan","given":"Christine","non-dropping-particle":"","parse-names":false,"suffix":""}],"container-title":"Economics and Human Biology","id":"ITEM-1","issued":{"date-parts":[["2018"]]},"page":"259-275","title":"Decomposition of changes in the consumption of macronutrients in Vietnam between 2004 and 2014","type":"article-journal","volume":"31"},"uris":["http://www.mendeley.com/documents/?uuid=6cecea59-2a40-4382-b607-dca67b99e424"]}],"mendeley":{"formattedCitation":"&lt;sup&gt;(53)&lt;/sup&gt;","plainTextFormattedCitation":"(53)","previouslyFormattedCitation":"[53]"},"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(53)</w:t>
            </w:r>
            <w:r>
              <w:rPr>
                <w:sz w:val="15"/>
                <w:szCs w:val="15"/>
              </w:rPr>
              <w:fldChar w:fldCharType="end"/>
            </w:r>
          </w:p>
        </w:tc>
        <w:tc>
          <w:tcPr>
            <w:tcW w:w="2066" w:type="dxa"/>
            <w:shd w:val="clear" w:color="auto" w:fill="FFFFFF" w:themeFill="background1"/>
          </w:tcPr>
          <w:p w14:paraId="02CE09FC" w14:textId="77777777" w:rsidR="00681CDB" w:rsidRPr="00F02986" w:rsidRDefault="00681CDB" w:rsidP="005B0D26">
            <w:pPr>
              <w:ind w:left="0"/>
              <w:rPr>
                <w:sz w:val="15"/>
                <w:szCs w:val="15"/>
              </w:rPr>
            </w:pPr>
            <w:r w:rsidRPr="00F02986">
              <w:rPr>
                <w:sz w:val="15"/>
                <w:szCs w:val="15"/>
              </w:rPr>
              <w:t xml:space="preserve">Trinh </w:t>
            </w:r>
            <w:proofErr w:type="spellStart"/>
            <w:r w:rsidRPr="00F02986">
              <w:rPr>
                <w:sz w:val="15"/>
                <w:szCs w:val="15"/>
              </w:rPr>
              <w:t>Thi</w:t>
            </w:r>
            <w:proofErr w:type="spellEnd"/>
            <w:r w:rsidRPr="00F02986">
              <w:rPr>
                <w:sz w:val="15"/>
                <w:szCs w:val="15"/>
              </w:rPr>
              <w:t xml:space="preserve"> et al. (2018)</w:t>
            </w:r>
          </w:p>
        </w:tc>
        <w:tc>
          <w:tcPr>
            <w:tcW w:w="1350" w:type="dxa"/>
            <w:shd w:val="clear" w:color="auto" w:fill="FFFFFF" w:themeFill="background1"/>
          </w:tcPr>
          <w:p w14:paraId="3561B14F" w14:textId="77777777" w:rsidR="00681CDB" w:rsidRPr="00F02986" w:rsidRDefault="00681CDB" w:rsidP="005B0D26">
            <w:pPr>
              <w:ind w:left="0"/>
              <w:rPr>
                <w:sz w:val="15"/>
                <w:szCs w:val="15"/>
              </w:rPr>
            </w:pPr>
            <w:r w:rsidRPr="00F02986">
              <w:rPr>
                <w:sz w:val="15"/>
                <w:szCs w:val="15"/>
              </w:rPr>
              <w:t>Vietnam</w:t>
            </w:r>
          </w:p>
        </w:tc>
        <w:tc>
          <w:tcPr>
            <w:tcW w:w="4406" w:type="dxa"/>
            <w:shd w:val="clear" w:color="auto" w:fill="FFFFFF" w:themeFill="background1"/>
          </w:tcPr>
          <w:p w14:paraId="7FDBF658" w14:textId="77777777" w:rsidR="00681CDB" w:rsidRPr="00F03BC0" w:rsidRDefault="00681CDB" w:rsidP="005B0D26">
            <w:pPr>
              <w:ind w:left="0"/>
              <w:rPr>
                <w:sz w:val="15"/>
                <w:szCs w:val="15"/>
              </w:rPr>
            </w:pPr>
            <w:r w:rsidRPr="00F03BC0">
              <w:rPr>
                <w:sz w:val="15"/>
                <w:szCs w:val="15"/>
              </w:rPr>
              <w:t>Vietnam Household Living Standards Survey</w:t>
            </w:r>
          </w:p>
        </w:tc>
        <w:tc>
          <w:tcPr>
            <w:tcW w:w="990" w:type="dxa"/>
            <w:shd w:val="clear" w:color="auto" w:fill="FFFFFF" w:themeFill="background1"/>
            <w:vAlign w:val="center"/>
          </w:tcPr>
          <w:p w14:paraId="34868C39" w14:textId="77777777" w:rsidR="00681CDB" w:rsidRPr="00F02986" w:rsidRDefault="00681CDB" w:rsidP="005B0D26">
            <w:pPr>
              <w:ind w:left="0"/>
              <w:jc w:val="center"/>
              <w:rPr>
                <w:sz w:val="15"/>
                <w:szCs w:val="15"/>
              </w:rPr>
            </w:pPr>
            <w:r>
              <w:rPr>
                <w:sz w:val="15"/>
                <w:szCs w:val="15"/>
              </w:rPr>
              <w:t>X</w:t>
            </w:r>
          </w:p>
        </w:tc>
        <w:tc>
          <w:tcPr>
            <w:tcW w:w="810" w:type="dxa"/>
            <w:shd w:val="clear" w:color="auto" w:fill="FFFFFF" w:themeFill="background1"/>
            <w:vAlign w:val="center"/>
          </w:tcPr>
          <w:p w14:paraId="28BE4318" w14:textId="77777777" w:rsidR="00681CDB" w:rsidRPr="00F02986" w:rsidRDefault="00681CDB" w:rsidP="005B0D26">
            <w:pPr>
              <w:ind w:left="0"/>
              <w:jc w:val="center"/>
              <w:rPr>
                <w:sz w:val="15"/>
                <w:szCs w:val="15"/>
              </w:rPr>
            </w:pPr>
          </w:p>
        </w:tc>
        <w:tc>
          <w:tcPr>
            <w:tcW w:w="746" w:type="dxa"/>
            <w:shd w:val="clear" w:color="auto" w:fill="FFFFFF" w:themeFill="background1"/>
            <w:vAlign w:val="center"/>
          </w:tcPr>
          <w:p w14:paraId="2620C823"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FFFFFF" w:themeFill="background1"/>
            <w:vAlign w:val="center"/>
          </w:tcPr>
          <w:p w14:paraId="52AAA714" w14:textId="77777777" w:rsidR="00681CDB" w:rsidRPr="00F02986" w:rsidRDefault="00681CDB" w:rsidP="005B0D26">
            <w:pPr>
              <w:ind w:left="0"/>
              <w:jc w:val="center"/>
              <w:rPr>
                <w:sz w:val="15"/>
                <w:szCs w:val="15"/>
              </w:rPr>
            </w:pPr>
          </w:p>
        </w:tc>
      </w:tr>
      <w:tr w:rsidR="00681CDB" w:rsidRPr="005927F0" w14:paraId="71392651" w14:textId="77777777" w:rsidTr="005B0D26">
        <w:tc>
          <w:tcPr>
            <w:tcW w:w="537" w:type="dxa"/>
            <w:tcBorders>
              <w:left w:val="single" w:sz="4" w:space="0" w:color="auto"/>
            </w:tcBorders>
            <w:shd w:val="clear" w:color="auto" w:fill="D9D9D9" w:themeFill="background1" w:themeFillShade="D9"/>
          </w:tcPr>
          <w:p w14:paraId="487BEF8A" w14:textId="5D88E6D3"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{"citationItems":[{"id":"ITEM-1","itemData":{"DOI":"10.1016/j.foodpol.2017.08.019","ISSN":"03069192","abstract":"This paper evaluates the impact of survey design on food consumption measurement using data from the Mongolia Household Socio-Economic Survey (MSES) 2007–2008. We exploit the fact that the MSES uses a diversified approach to collect food data by measuring consumption, acquisition and stocks using both, diaries and recall interviews. First, we estimate the effect of diary length on reporting of food consumption, finding a significant decrease of reported food over time. We conclude that shorter diaries would increase the quality of estimates and lower the costs of inquiry. Second, we show that recall interviews, combined with a measurement of stocks, perform well in measuring household food consumption compared to diaries. Third, we find cyclical variation in food consumption and acquisition not only between months, but also within months and weeks. Especially for food acquisition, we detect large difference within months, which can lead to biased estimates of food acquisition. This highlights the need for enumeration to be spread over time to overcome cyclicality on food acquisition and consumption.","author":[{"dropping-particle":"","family":"Troubat","given":"Nathalie","non-dropping-particle":"","parse-names":false,"suffix":""},{"dropping-particle":"","family":"Grünberger","given":"Klaus","non-dropping-particle":"","parse-names":false,"suffix":""}],"container-title":"Food Policy","id":"ITEM-1","issued":{"date-parts":[["2017"]]},"page":"132-145","title":"Impact of survey design in the estimation of habitual food consumption: A study based on urban households of Mongolia","type":"article-journal","volume":"72"},"uris":["http://www.mendeley.com/documents/?uuid=42a5fe32-36f5-4fb6-8e27-9dd5f16f56fc"]}],"mendeley":{"formattedCitation":"&lt;sup&gt;(54)&lt;/sup&gt;","plainTextFormattedCitation":"(54)","previouslyFormattedCitation":"[54]"},"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(54)</w:t>
            </w:r>
            <w:r>
              <w:rPr>
                <w:sz w:val="15"/>
                <w:szCs w:val="15"/>
              </w:rPr>
              <w:fldChar w:fldCharType="end"/>
            </w:r>
          </w:p>
        </w:tc>
        <w:tc>
          <w:tcPr>
            <w:tcW w:w="2066" w:type="dxa"/>
            <w:shd w:val="clear" w:color="auto" w:fill="D9D9D9" w:themeFill="background1" w:themeFillShade="D9"/>
          </w:tcPr>
          <w:p w14:paraId="55A16982" w14:textId="77777777" w:rsidR="00681CDB" w:rsidRPr="00F02986" w:rsidRDefault="00681CDB" w:rsidP="005B0D26">
            <w:pPr>
              <w:ind w:left="0"/>
              <w:rPr>
                <w:sz w:val="15"/>
                <w:szCs w:val="15"/>
              </w:rPr>
            </w:pPr>
            <w:proofErr w:type="spellStart"/>
            <w:r w:rsidRPr="00F02986">
              <w:rPr>
                <w:sz w:val="15"/>
                <w:szCs w:val="15"/>
              </w:rPr>
              <w:t>Troubat</w:t>
            </w:r>
            <w:proofErr w:type="spellEnd"/>
            <w:r w:rsidRPr="00F02986">
              <w:rPr>
                <w:sz w:val="15"/>
                <w:szCs w:val="15"/>
              </w:rPr>
              <w:t xml:space="preserve"> &amp; </w:t>
            </w:r>
            <w:proofErr w:type="spellStart"/>
            <w:r w:rsidRPr="00F02986">
              <w:rPr>
                <w:sz w:val="15"/>
                <w:szCs w:val="15"/>
              </w:rPr>
              <w:t>Grünberger</w:t>
            </w:r>
            <w:proofErr w:type="spellEnd"/>
            <w:r w:rsidRPr="00F02986">
              <w:rPr>
                <w:sz w:val="15"/>
                <w:szCs w:val="15"/>
              </w:rPr>
              <w:t xml:space="preserve"> (2017)</w:t>
            </w:r>
          </w:p>
        </w:tc>
        <w:tc>
          <w:tcPr>
            <w:tcW w:w="1350" w:type="dxa"/>
            <w:shd w:val="clear" w:color="auto" w:fill="D9D9D9" w:themeFill="background1" w:themeFillShade="D9"/>
          </w:tcPr>
          <w:p w14:paraId="2C597B0B" w14:textId="77777777" w:rsidR="00681CDB" w:rsidRPr="00F02986" w:rsidRDefault="00681CDB" w:rsidP="005B0D26">
            <w:pPr>
              <w:ind w:left="0"/>
              <w:rPr>
                <w:sz w:val="15"/>
                <w:szCs w:val="15"/>
              </w:rPr>
            </w:pPr>
            <w:r w:rsidRPr="00F02986">
              <w:rPr>
                <w:sz w:val="15"/>
                <w:szCs w:val="15"/>
              </w:rPr>
              <w:t>Mongolia</w:t>
            </w:r>
          </w:p>
        </w:tc>
        <w:tc>
          <w:tcPr>
            <w:tcW w:w="4406" w:type="dxa"/>
            <w:shd w:val="clear" w:color="auto" w:fill="D9D9D9" w:themeFill="background1" w:themeFillShade="D9"/>
          </w:tcPr>
          <w:p w14:paraId="7FD20E2A" w14:textId="77777777" w:rsidR="00681CDB" w:rsidRPr="00F03BC0" w:rsidRDefault="00681CDB" w:rsidP="005B0D26">
            <w:pPr>
              <w:ind w:left="0"/>
              <w:rPr>
                <w:sz w:val="15"/>
                <w:szCs w:val="15"/>
              </w:rPr>
            </w:pPr>
            <w:r w:rsidRPr="00F03BC0">
              <w:rPr>
                <w:sz w:val="15"/>
                <w:szCs w:val="15"/>
              </w:rPr>
              <w:t>Mongolian Household Socio-Economic Survey (2007/08)</w:t>
            </w:r>
          </w:p>
        </w:tc>
        <w:tc>
          <w:tcPr>
            <w:tcW w:w="990" w:type="dxa"/>
            <w:shd w:val="clear" w:color="auto" w:fill="D9D9D9" w:themeFill="background1" w:themeFillShade="D9"/>
            <w:vAlign w:val="center"/>
          </w:tcPr>
          <w:p w14:paraId="387651CD"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2E2CF8B8" w14:textId="77777777" w:rsidR="00681CDB" w:rsidRPr="00F02986" w:rsidRDefault="00681CDB" w:rsidP="005B0D26">
            <w:pPr>
              <w:ind w:left="0"/>
              <w:jc w:val="center"/>
              <w:rPr>
                <w:sz w:val="15"/>
                <w:szCs w:val="15"/>
              </w:rPr>
            </w:pPr>
          </w:p>
        </w:tc>
        <w:tc>
          <w:tcPr>
            <w:tcW w:w="746" w:type="dxa"/>
            <w:shd w:val="clear" w:color="auto" w:fill="D9D9D9" w:themeFill="background1" w:themeFillShade="D9"/>
            <w:vAlign w:val="center"/>
          </w:tcPr>
          <w:p w14:paraId="0E4E7D1E"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7422AC4E" w14:textId="77777777" w:rsidR="00681CDB" w:rsidRPr="00F02986" w:rsidRDefault="00681CDB" w:rsidP="005B0D26">
            <w:pPr>
              <w:ind w:left="0"/>
              <w:jc w:val="center"/>
              <w:rPr>
                <w:sz w:val="15"/>
                <w:szCs w:val="15"/>
              </w:rPr>
            </w:pPr>
          </w:p>
        </w:tc>
      </w:tr>
      <w:tr w:rsidR="00681CDB" w:rsidRPr="005927F0" w14:paraId="1FB56586" w14:textId="77777777" w:rsidTr="005B0D26">
        <w:tc>
          <w:tcPr>
            <w:tcW w:w="537" w:type="dxa"/>
            <w:tcBorders>
              <w:left w:val="single" w:sz="4" w:space="0" w:color="auto"/>
            </w:tcBorders>
            <w:shd w:val="clear" w:color="auto" w:fill="FFFFFF" w:themeFill="background1"/>
          </w:tcPr>
          <w:p w14:paraId="387FE68A" w14:textId="39870B49"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{"citationItems":[{"id":"ITEM-1","itemData":{"abstract":"The prevalence of malnutrition across a predominantly agrarian country like Uganda and its potential economic implications indicate the importance of understanding the link between agricultural productivity and nutrient consumption. Such an understanding will highlight the importance of different nutrients (and foods) available across Uganda, thus guiding policymakers in prioritizing and developing appropriate programs to tackle malnutrition and improve agricultural productivity. This study contributes to the more recent literature on the linkage between nutrition and productivity by exploring the impact of various micronutrients, in addition to caloric intake, on agricultural productivity in Uganda. Using a structural equations model (SEM), estimation results clearly reveal the bidirectional relationship between productivity and nutrient intake. Labor productivity elasticity with respect to nutrient intake varies between 0.04 for vitamin B12 and 0.01 for Iron. Our findings suggest that labor productivity increases agricultural income as one would expect. We also find that nutrient intake as well as labor productivity positively affect agricultural income in Uganda. Overall, results indicate that agricultural productivity in Uganda is likely to be enhanced if nutrients intake is significantly increased.\\n","author":[{"dropping-particle":"","family":"Ulimwengu","given":"J","non-dropping-particle":"","parse-names":false,"suffix":""},{"dropping-particle":"","family":"Liverpool-Tasie","given":"S","non-dropping-particle":"","parse-names":false,"suffix":""},{"dropping-particle":"","family":"Randriamamonjy","given":"J","non-dropping-particle":"","parse-names":false,"suffix":""},{"dropping-particle":"","family":"Ramadan","given":"R","non-dropping-particle":"","parse-names":false,"suffix":""}],"container-title":"IFPRI - Discussion Papers","id":"ITEM-1","issued":{"date-parts":[["2011"]]},"number":"1128","publisher-place":"Washington, D.C.","title":"Understanding the linkage between agricultural productivity and nutrient consumption: evidence from Uganda.","type":"report"},"uris":["http://www.mendeley.com/documents/?uuid=222bba06-e3af-4e28-8e4b-3a33be6bb6c1"]}],"mendeley":{"formattedCitation":"&lt;sup&gt;(55)&lt;/sup&gt;","plainTextFormattedCitation":"(55)","previouslyFormattedCitation":"[55]"},"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(55)</w:t>
            </w:r>
            <w:r>
              <w:rPr>
                <w:sz w:val="15"/>
                <w:szCs w:val="15"/>
              </w:rPr>
              <w:fldChar w:fldCharType="end"/>
            </w:r>
          </w:p>
        </w:tc>
        <w:tc>
          <w:tcPr>
            <w:tcW w:w="2066" w:type="dxa"/>
            <w:shd w:val="clear" w:color="auto" w:fill="FFFFFF" w:themeFill="background1"/>
          </w:tcPr>
          <w:p w14:paraId="1DBC1261" w14:textId="77777777" w:rsidR="00681CDB" w:rsidRPr="00F02986" w:rsidRDefault="00681CDB" w:rsidP="005B0D26">
            <w:pPr>
              <w:ind w:left="0"/>
              <w:rPr>
                <w:sz w:val="15"/>
                <w:szCs w:val="15"/>
              </w:rPr>
            </w:pPr>
            <w:proofErr w:type="spellStart"/>
            <w:r w:rsidRPr="00F02986">
              <w:rPr>
                <w:sz w:val="15"/>
                <w:szCs w:val="15"/>
              </w:rPr>
              <w:t>Ulimwengu</w:t>
            </w:r>
            <w:proofErr w:type="spellEnd"/>
            <w:r w:rsidRPr="00F02986">
              <w:rPr>
                <w:sz w:val="15"/>
                <w:szCs w:val="15"/>
              </w:rPr>
              <w:t xml:space="preserve"> et al. (2011)</w:t>
            </w:r>
          </w:p>
        </w:tc>
        <w:tc>
          <w:tcPr>
            <w:tcW w:w="1350" w:type="dxa"/>
            <w:shd w:val="clear" w:color="auto" w:fill="FFFFFF" w:themeFill="background1"/>
          </w:tcPr>
          <w:p w14:paraId="5319C956" w14:textId="77777777" w:rsidR="00681CDB" w:rsidRPr="00F02986" w:rsidRDefault="00681CDB" w:rsidP="005B0D26">
            <w:pPr>
              <w:ind w:left="0"/>
              <w:rPr>
                <w:sz w:val="15"/>
                <w:szCs w:val="15"/>
              </w:rPr>
            </w:pPr>
            <w:r w:rsidRPr="00F02986">
              <w:rPr>
                <w:sz w:val="15"/>
                <w:szCs w:val="15"/>
              </w:rPr>
              <w:t>Uganda</w:t>
            </w:r>
          </w:p>
        </w:tc>
        <w:tc>
          <w:tcPr>
            <w:tcW w:w="4406" w:type="dxa"/>
            <w:shd w:val="clear" w:color="auto" w:fill="FFFFFF" w:themeFill="background1"/>
          </w:tcPr>
          <w:p w14:paraId="1F4DC7A1" w14:textId="77777777" w:rsidR="00681CDB" w:rsidRPr="00F03BC0" w:rsidRDefault="00681CDB" w:rsidP="005B0D26">
            <w:pPr>
              <w:ind w:left="0"/>
              <w:rPr>
                <w:sz w:val="15"/>
                <w:szCs w:val="15"/>
              </w:rPr>
            </w:pPr>
            <w:r w:rsidRPr="00F03BC0">
              <w:rPr>
                <w:sz w:val="15"/>
                <w:szCs w:val="15"/>
              </w:rPr>
              <w:t>National Household Survey (2005/06)</w:t>
            </w:r>
          </w:p>
        </w:tc>
        <w:tc>
          <w:tcPr>
            <w:tcW w:w="990" w:type="dxa"/>
            <w:shd w:val="clear" w:color="auto" w:fill="FFFFFF" w:themeFill="background1"/>
            <w:vAlign w:val="center"/>
          </w:tcPr>
          <w:p w14:paraId="05F027BC" w14:textId="77777777" w:rsidR="00681CDB" w:rsidRPr="00F02986" w:rsidRDefault="00681CDB" w:rsidP="005B0D26">
            <w:pPr>
              <w:ind w:left="0"/>
              <w:jc w:val="center"/>
              <w:rPr>
                <w:sz w:val="15"/>
                <w:szCs w:val="15"/>
              </w:rPr>
            </w:pPr>
            <w:r>
              <w:rPr>
                <w:sz w:val="15"/>
                <w:szCs w:val="15"/>
              </w:rPr>
              <w:t>X</w:t>
            </w:r>
          </w:p>
        </w:tc>
        <w:tc>
          <w:tcPr>
            <w:tcW w:w="810" w:type="dxa"/>
            <w:shd w:val="clear" w:color="auto" w:fill="FFFFFF" w:themeFill="background1"/>
            <w:vAlign w:val="center"/>
          </w:tcPr>
          <w:p w14:paraId="69310C45" w14:textId="77777777" w:rsidR="00681CDB" w:rsidRPr="00F02986" w:rsidRDefault="00681CDB" w:rsidP="005B0D26">
            <w:pPr>
              <w:ind w:left="0"/>
              <w:jc w:val="center"/>
              <w:rPr>
                <w:sz w:val="15"/>
                <w:szCs w:val="15"/>
              </w:rPr>
            </w:pPr>
          </w:p>
        </w:tc>
        <w:tc>
          <w:tcPr>
            <w:tcW w:w="746" w:type="dxa"/>
            <w:shd w:val="clear" w:color="auto" w:fill="FFFFFF" w:themeFill="background1"/>
            <w:vAlign w:val="center"/>
          </w:tcPr>
          <w:p w14:paraId="19B09D05"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FFFFFF" w:themeFill="background1"/>
            <w:vAlign w:val="center"/>
          </w:tcPr>
          <w:p w14:paraId="27847626" w14:textId="77777777" w:rsidR="00681CDB" w:rsidRPr="00F02986" w:rsidRDefault="00681CDB" w:rsidP="005B0D26">
            <w:pPr>
              <w:ind w:left="0"/>
              <w:jc w:val="center"/>
              <w:rPr>
                <w:sz w:val="15"/>
                <w:szCs w:val="15"/>
              </w:rPr>
            </w:pPr>
            <w:r>
              <w:rPr>
                <w:sz w:val="15"/>
                <w:szCs w:val="15"/>
              </w:rPr>
              <w:t>X</w:t>
            </w:r>
          </w:p>
        </w:tc>
      </w:tr>
      <w:tr w:rsidR="00681CDB" w:rsidRPr="005927F0" w14:paraId="2F0AF419" w14:textId="77777777" w:rsidTr="005B0D26">
        <w:tc>
          <w:tcPr>
            <w:tcW w:w="537" w:type="dxa"/>
            <w:tcBorders>
              <w:left w:val="single" w:sz="4" w:space="0" w:color="auto"/>
            </w:tcBorders>
            <w:shd w:val="clear" w:color="auto" w:fill="D9D9D9" w:themeFill="background1" w:themeFillShade="D9"/>
          </w:tcPr>
          <w:p w14:paraId="0D0497BB" w14:textId="6368B974"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{"citationItems":[{"id":"ITEM-1","itemData":{"abstract":"A large proportion of Malawian households are caught in a trap where poverty and food insecurity reinforce one another and where periods of food deficits and severe food crises are frequent occurrences. In recognition of this, the Malawian government has since 2005/06 implemented a large-scale Farm Input Subsidy Program (FISP), which supplies half of SUMMARY | APRIL 2010 smallholder farmers with sufficient fertilizer and maize seeds to satisfy the maize consumption needs of an average-sized family. While the program boosted maize production and lowered maize prices, thus ensuring increased caloric availabil- ity at the household level, its effect on overall food consumption, dietary diversity, micronutrient deficiency, and child nutrition is less clear. This study evaluates household expenditure survey data to measure changes in nutrition outcomes between 2004/05 and 2010/11. While the study is not an evaluation of the nutritional impact of FISP per se, it does shed some light on the possible nutritional effects of the program. The results are disconcerting. For example, we find evidence of rising consumption inequality associated with a rise in extreme poverty and a significant increase in income among the urban non-poor. Although calorie deficiency declined—including among the rural poor, dietary diversity among the rural poor decreased and mineral and vitamin deficiencies increased nationwide, especially in rural areas. The various child nutrition indicators reveal mixed results. For example, chronic child malnutrition declined substantially, whereas acute malnutrition increased. The study also highlights several concerns related to data quality and inconsistencies in estimated changes in food and nutrition indicators when compared to results from alternative datasets.","author":[{"dropping-particle":"","family":"Verduzco-Gallo","given":"Inigo","non-dropping-particle":"","parse-names":false,"suffix":""},{"dropping-particle":"","family":"Ecker","given":"Olivier","non-dropping-particle":"","parse-names":false,"suffix":""},{"dropping-particle":"","family":"Pauw","given":"Karl","non-dropping-particle":"","parse-names":false,"suffix":""}],"container-title":"MaSSP Working Paper 6","id":"ITEM-1","issued":{"date-parts":[["2014"]]},"number":"6","publisher-place":"Washington, D.C.","title":"Changes in Food and Nutrition Security in Malawi Analysis of Recent Survey Evidence","type":"report"},"uris":["http://www.mendeley.com/documents/?uuid=45746ddf-d5d0-4d60-830c-804465ab633b"]}],"mendeley":{"formattedCitation":"&lt;sup&gt;(56)&lt;/sup&gt;","plainTextFormattedCitation":"(56)","previouslyFormattedCitation":"[56]"},"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(56)</w:t>
            </w:r>
            <w:r>
              <w:rPr>
                <w:sz w:val="15"/>
                <w:szCs w:val="15"/>
              </w:rPr>
              <w:fldChar w:fldCharType="end"/>
            </w:r>
          </w:p>
        </w:tc>
        <w:tc>
          <w:tcPr>
            <w:tcW w:w="2066" w:type="dxa"/>
            <w:shd w:val="clear" w:color="auto" w:fill="D9D9D9" w:themeFill="background1" w:themeFillShade="D9"/>
          </w:tcPr>
          <w:p w14:paraId="043D9071" w14:textId="77777777" w:rsidR="00681CDB" w:rsidRPr="00F02986" w:rsidRDefault="00681CDB" w:rsidP="005B0D26">
            <w:pPr>
              <w:ind w:left="0"/>
              <w:rPr>
                <w:sz w:val="15"/>
                <w:szCs w:val="15"/>
              </w:rPr>
            </w:pPr>
            <w:r w:rsidRPr="00F02986">
              <w:rPr>
                <w:sz w:val="15"/>
                <w:szCs w:val="15"/>
              </w:rPr>
              <w:t>Verduzco-Gallo et al. (2014)</w:t>
            </w:r>
          </w:p>
        </w:tc>
        <w:tc>
          <w:tcPr>
            <w:tcW w:w="1350" w:type="dxa"/>
            <w:shd w:val="clear" w:color="auto" w:fill="D9D9D9" w:themeFill="background1" w:themeFillShade="D9"/>
          </w:tcPr>
          <w:p w14:paraId="48DAF8AC" w14:textId="77777777" w:rsidR="00681CDB" w:rsidRPr="00F02986" w:rsidRDefault="00681CDB" w:rsidP="005B0D26">
            <w:pPr>
              <w:ind w:left="0"/>
              <w:rPr>
                <w:sz w:val="15"/>
                <w:szCs w:val="15"/>
              </w:rPr>
            </w:pPr>
            <w:r w:rsidRPr="00F02986">
              <w:rPr>
                <w:sz w:val="15"/>
                <w:szCs w:val="15"/>
              </w:rPr>
              <w:t>Malawi</w:t>
            </w:r>
          </w:p>
        </w:tc>
        <w:tc>
          <w:tcPr>
            <w:tcW w:w="4406" w:type="dxa"/>
            <w:shd w:val="clear" w:color="auto" w:fill="D9D9D9" w:themeFill="background1" w:themeFillShade="D9"/>
          </w:tcPr>
          <w:p w14:paraId="1382AC1D" w14:textId="77777777" w:rsidR="00681CDB" w:rsidRPr="00F03BC0" w:rsidRDefault="00681CDB" w:rsidP="005B0D26">
            <w:pPr>
              <w:ind w:left="0"/>
              <w:rPr>
                <w:sz w:val="15"/>
                <w:szCs w:val="15"/>
              </w:rPr>
            </w:pPr>
            <w:r>
              <w:rPr>
                <w:sz w:val="15"/>
                <w:szCs w:val="15"/>
              </w:rPr>
              <w:t xml:space="preserve">Second/Third </w:t>
            </w:r>
            <w:r w:rsidRPr="00F03BC0">
              <w:rPr>
                <w:sz w:val="15"/>
                <w:szCs w:val="15"/>
              </w:rPr>
              <w:t xml:space="preserve">Integrated Household Survey </w:t>
            </w:r>
            <w:r>
              <w:rPr>
                <w:sz w:val="15"/>
                <w:szCs w:val="15"/>
              </w:rPr>
              <w:t>(2010/11, 2016/17)</w:t>
            </w:r>
          </w:p>
        </w:tc>
        <w:tc>
          <w:tcPr>
            <w:tcW w:w="990" w:type="dxa"/>
            <w:shd w:val="clear" w:color="auto" w:fill="D9D9D9" w:themeFill="background1" w:themeFillShade="D9"/>
            <w:vAlign w:val="center"/>
          </w:tcPr>
          <w:p w14:paraId="17118EE8" w14:textId="77777777" w:rsidR="00681CDB" w:rsidRPr="00F02986" w:rsidRDefault="00681CDB" w:rsidP="005B0D26">
            <w:pPr>
              <w:ind w:left="0"/>
              <w:jc w:val="center"/>
              <w:rPr>
                <w:sz w:val="15"/>
                <w:szCs w:val="15"/>
              </w:rPr>
            </w:pPr>
            <w:r>
              <w:rPr>
                <w:sz w:val="15"/>
                <w:szCs w:val="15"/>
              </w:rPr>
              <w:t>X</w:t>
            </w:r>
          </w:p>
        </w:tc>
        <w:tc>
          <w:tcPr>
            <w:tcW w:w="810" w:type="dxa"/>
            <w:shd w:val="clear" w:color="auto" w:fill="D9D9D9" w:themeFill="background1" w:themeFillShade="D9"/>
            <w:vAlign w:val="center"/>
          </w:tcPr>
          <w:p w14:paraId="17A420DE" w14:textId="77777777" w:rsidR="00681CDB" w:rsidRPr="00F02986" w:rsidRDefault="00681CDB" w:rsidP="005B0D26">
            <w:pPr>
              <w:ind w:left="0"/>
              <w:jc w:val="center"/>
              <w:rPr>
                <w:sz w:val="15"/>
                <w:szCs w:val="15"/>
              </w:rPr>
            </w:pPr>
          </w:p>
        </w:tc>
        <w:tc>
          <w:tcPr>
            <w:tcW w:w="746" w:type="dxa"/>
            <w:shd w:val="clear" w:color="auto" w:fill="D9D9D9" w:themeFill="background1" w:themeFillShade="D9"/>
            <w:vAlign w:val="center"/>
          </w:tcPr>
          <w:p w14:paraId="0E8D9C2C"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D9D9D9" w:themeFill="background1" w:themeFillShade="D9"/>
            <w:vAlign w:val="center"/>
          </w:tcPr>
          <w:p w14:paraId="69AD0E50" w14:textId="77777777" w:rsidR="00681CDB" w:rsidRPr="00F02986" w:rsidRDefault="00681CDB" w:rsidP="005B0D26">
            <w:pPr>
              <w:ind w:left="0"/>
              <w:jc w:val="center"/>
              <w:rPr>
                <w:sz w:val="15"/>
                <w:szCs w:val="15"/>
              </w:rPr>
            </w:pPr>
            <w:r>
              <w:rPr>
                <w:sz w:val="15"/>
                <w:szCs w:val="15"/>
              </w:rPr>
              <w:t>X</w:t>
            </w:r>
          </w:p>
        </w:tc>
      </w:tr>
      <w:tr w:rsidR="00681CDB" w:rsidRPr="005927F0" w14:paraId="5FB6D71B" w14:textId="77777777" w:rsidTr="005B0D26">
        <w:tc>
          <w:tcPr>
            <w:tcW w:w="537" w:type="dxa"/>
            <w:tcBorders>
              <w:left w:val="single" w:sz="4" w:space="0" w:color="auto"/>
            </w:tcBorders>
            <w:shd w:val="clear" w:color="auto" w:fill="FFFFFF" w:themeFill="background1"/>
          </w:tcPr>
          <w:p w14:paraId="52431F2C" w14:textId="0D7D86F4"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{"citationItems":[{"id":"ITEM-1","itemData":{"ISBN":"0958460981","abstract":"Micronutrient malnutrition, particularly of iron, is widespread on the South Asian subcontinent and economic losses due to reduced productivity of afflicted population groups are believed to be substantial. This paper examines the impact of micronutrient intake on productivity of household engaged in agricultural labor in India by applying a two-stage least squares (2SLS) estimation technique. The micronutrient under investigation is iron. The results indicate that productivity, measured in wages is indeed affected through insufficient intake, and that wages would on average be 5 to 17.3 percent higher, if households would achieve recommended intake levels of the micronutrient discussed here. The results demonstrate that policy interventions that aim at enhancing micronutrient intake can be regarded as investments in improved productivity and higher household incomes. Enhancing micronutrient intake will contribute significantly to overall economic growth and development.","author":[{"dropping-particle":"","family":"Weinberger","given":"Katinka","non-dropping-particle":"","parse-names":false,"suffix":""}],"container-title":"25th International Conference of Agricultural Economists (IAAE)","id":"ITEM-1","issued":{"date-parts":[["2003"]]},"publisher":"International Association of Agricultural Economists","publisher-place":"Durban, South Africa","title":"The impact of micronutrients on labor productivity: Evidence from rural India","type":"paper-conference"},"uris":["http://www.mendeley.com/documents/?uuid=434f3db7-4159-4c2d-84ee-99673cfe8213"]}],"mendeley":{"formattedCitation":"&lt;sup&gt;(57)&lt;/sup&gt;","plainTextFormattedCitation":"(57)","previouslyFormattedCitation":"[57]"},"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(57)</w:t>
            </w:r>
            <w:r>
              <w:rPr>
                <w:sz w:val="15"/>
                <w:szCs w:val="15"/>
              </w:rPr>
              <w:fldChar w:fldCharType="end"/>
            </w:r>
          </w:p>
        </w:tc>
        <w:tc>
          <w:tcPr>
            <w:tcW w:w="2066" w:type="dxa"/>
            <w:shd w:val="clear" w:color="auto" w:fill="FFFFFF" w:themeFill="background1"/>
          </w:tcPr>
          <w:p w14:paraId="740FCEBF" w14:textId="77777777" w:rsidR="00681CDB" w:rsidRPr="00F02986" w:rsidRDefault="00681CDB" w:rsidP="005B0D26">
            <w:pPr>
              <w:ind w:left="0"/>
              <w:rPr>
                <w:sz w:val="15"/>
                <w:szCs w:val="15"/>
              </w:rPr>
            </w:pPr>
            <w:r w:rsidRPr="00F02986">
              <w:rPr>
                <w:sz w:val="15"/>
                <w:szCs w:val="15"/>
              </w:rPr>
              <w:t>Weinberger (2004)</w:t>
            </w:r>
          </w:p>
        </w:tc>
        <w:tc>
          <w:tcPr>
            <w:tcW w:w="1350" w:type="dxa"/>
            <w:shd w:val="clear" w:color="auto" w:fill="FFFFFF" w:themeFill="background1"/>
          </w:tcPr>
          <w:p w14:paraId="1D7B6794" w14:textId="77777777" w:rsidR="00681CDB" w:rsidRPr="00F02986" w:rsidRDefault="00681CDB" w:rsidP="005B0D26">
            <w:pPr>
              <w:ind w:left="0"/>
              <w:rPr>
                <w:sz w:val="15"/>
                <w:szCs w:val="15"/>
              </w:rPr>
            </w:pPr>
            <w:r w:rsidRPr="00F02986">
              <w:rPr>
                <w:sz w:val="15"/>
                <w:szCs w:val="15"/>
              </w:rPr>
              <w:t>India</w:t>
            </w:r>
          </w:p>
        </w:tc>
        <w:tc>
          <w:tcPr>
            <w:tcW w:w="4406" w:type="dxa"/>
            <w:shd w:val="clear" w:color="auto" w:fill="FFFFFF" w:themeFill="background1"/>
          </w:tcPr>
          <w:p w14:paraId="22416BB7" w14:textId="77777777" w:rsidR="00681CDB" w:rsidRPr="00F03BC0" w:rsidRDefault="00681CDB" w:rsidP="005B0D26">
            <w:pPr>
              <w:ind w:left="0"/>
              <w:rPr>
                <w:sz w:val="15"/>
                <w:szCs w:val="15"/>
              </w:rPr>
            </w:pPr>
            <w:r w:rsidRPr="00F03BC0">
              <w:rPr>
                <w:sz w:val="15"/>
                <w:szCs w:val="15"/>
              </w:rPr>
              <w:t>﻿50</w:t>
            </w:r>
            <w:r w:rsidRPr="00F03BC0">
              <w:rPr>
                <w:sz w:val="15"/>
                <w:szCs w:val="15"/>
                <w:vertAlign w:val="superscript"/>
              </w:rPr>
              <w:t>th</w:t>
            </w:r>
            <w:r w:rsidRPr="00F03BC0">
              <w:rPr>
                <w:sz w:val="15"/>
                <w:szCs w:val="15"/>
              </w:rPr>
              <w:t xml:space="preserve"> round of the ﻿National Sample Survey (1993/94)</w:t>
            </w:r>
          </w:p>
        </w:tc>
        <w:tc>
          <w:tcPr>
            <w:tcW w:w="990" w:type="dxa"/>
            <w:shd w:val="clear" w:color="auto" w:fill="FFFFFF" w:themeFill="background1"/>
            <w:vAlign w:val="center"/>
          </w:tcPr>
          <w:p w14:paraId="42CE01E1" w14:textId="77777777" w:rsidR="00681CDB" w:rsidRPr="00F02986" w:rsidRDefault="00681CDB" w:rsidP="005B0D26">
            <w:pPr>
              <w:ind w:left="0"/>
              <w:jc w:val="center"/>
              <w:rPr>
                <w:sz w:val="15"/>
                <w:szCs w:val="15"/>
              </w:rPr>
            </w:pPr>
          </w:p>
        </w:tc>
        <w:tc>
          <w:tcPr>
            <w:tcW w:w="810" w:type="dxa"/>
            <w:shd w:val="clear" w:color="auto" w:fill="FFFFFF" w:themeFill="background1"/>
            <w:vAlign w:val="center"/>
          </w:tcPr>
          <w:p w14:paraId="742AE9A1" w14:textId="77777777" w:rsidR="00681CDB" w:rsidRPr="00F02986" w:rsidRDefault="00681CDB" w:rsidP="005B0D26">
            <w:pPr>
              <w:ind w:left="0"/>
              <w:jc w:val="center"/>
              <w:rPr>
                <w:sz w:val="15"/>
                <w:szCs w:val="15"/>
              </w:rPr>
            </w:pPr>
            <w:r>
              <w:rPr>
                <w:sz w:val="15"/>
                <w:szCs w:val="15"/>
              </w:rPr>
              <w:t>X</w:t>
            </w:r>
          </w:p>
        </w:tc>
        <w:tc>
          <w:tcPr>
            <w:tcW w:w="746" w:type="dxa"/>
            <w:shd w:val="clear" w:color="auto" w:fill="FFFFFF" w:themeFill="background1"/>
            <w:vAlign w:val="center"/>
          </w:tcPr>
          <w:p w14:paraId="2D51BDF9" w14:textId="77777777" w:rsidR="00681CDB" w:rsidRPr="00F02986" w:rsidRDefault="00681CDB" w:rsidP="005B0D26">
            <w:pPr>
              <w:ind w:left="0"/>
              <w:jc w:val="center"/>
              <w:rPr>
                <w:sz w:val="15"/>
                <w:szCs w:val="15"/>
              </w:rPr>
            </w:pPr>
          </w:p>
        </w:tc>
        <w:tc>
          <w:tcPr>
            <w:tcW w:w="970" w:type="dxa"/>
            <w:tcBorders>
              <w:right w:val="single" w:sz="4" w:space="0" w:color="auto"/>
            </w:tcBorders>
            <w:shd w:val="clear" w:color="auto" w:fill="FFFFFF" w:themeFill="background1"/>
            <w:vAlign w:val="center"/>
          </w:tcPr>
          <w:p w14:paraId="33F1D64B" w14:textId="77777777" w:rsidR="00681CDB" w:rsidRPr="00F02986" w:rsidRDefault="00681CDB" w:rsidP="005B0D26">
            <w:pPr>
              <w:ind w:left="0"/>
              <w:jc w:val="center"/>
              <w:rPr>
                <w:sz w:val="15"/>
                <w:szCs w:val="15"/>
              </w:rPr>
            </w:pPr>
            <w:r>
              <w:rPr>
                <w:sz w:val="15"/>
                <w:szCs w:val="15"/>
              </w:rPr>
              <w:t>X</w:t>
            </w:r>
          </w:p>
        </w:tc>
      </w:tr>
      <w:tr w:rsidR="00681CDB" w:rsidRPr="005927F0" w14:paraId="126C478A" w14:textId="77777777" w:rsidTr="005B0D26">
        <w:tc>
          <w:tcPr>
            <w:tcW w:w="537" w:type="dxa"/>
            <w:tcBorders>
              <w:left w:val="single" w:sz="4" w:space="0" w:color="auto"/>
              <w:bottom w:val="single" w:sz="4" w:space="0" w:color="auto"/>
            </w:tcBorders>
            <w:shd w:val="clear" w:color="auto" w:fill="D9D9D9" w:themeFill="background1" w:themeFillShade="D9"/>
          </w:tcPr>
          <w:p w14:paraId="04671B2D" w14:textId="7274CCA9" w:rsidR="00681CDB" w:rsidRPr="00F02986" w:rsidRDefault="00681CDB" w:rsidP="005B0D26">
            <w:pPr>
              <w:ind w:left="0"/>
              <w:rPr>
                <w:sz w:val="15"/>
                <w:szCs w:val="15"/>
              </w:rPr>
            </w:pPr>
            <w:r>
              <w:rPr>
                <w:sz w:val="15"/>
                <w:szCs w:val="15"/>
              </w:rPr>
              <w:fldChar w:fldCharType="begin" w:fldLock="1"/>
            </w:r>
            <w:r w:rsidR="005B0D26">
              <w:rPr>
                <w:sz w:val="15"/>
                <w:szCs w:val="15"/>
              </w:rPr>
              <w:instrText>ADDIN CSL_CITATION {"citationItems":[{"id":"ITEM-1","itemData":{"DOI":"10.1111/agec.12387","ISSN":"15740862","abstract":"Africa's food systems are changing fast amid rapid economic growth, emerging urbanization, and structural transformation. In this study, we use four rounds of nationally representative data from Ethiopia to document changes in household food consumption patterns over a period of unprecedented economic growth. We find that while the share of food in the total consumption basket is declining, food quantities and calorie intakes have considerably increased between 1996 and 2011. A decomposition analysis suggests that this was mostly driven by improvements in household incomes—a finding that is consistent across the calorie distribution. Also, the content of the food basket is changing with a gradual shift toward high-value foods such as animal products, fruits and vegetables and processed foods. Overall, this diet transformation has important implications for the food security debate and for agricultural and food policy in the country.","author":[{"dropping-particle":"","family":"Worku","given":"Ibrahim Hassen","non-dropping-particle":"","parse-names":false,"suffix":""},{"dropping-particle":"","family":"Dereje","given":"Mekdim","non-dropping-particle":"","parse-names":false,"suffix":""},{"dropping-particle":"","family":"Minten","given":"Bart","non-dropping-particle":"","parse-names":false,"suffix":""},{"dropping-particle":"","family":"Hirvonen","given":"Kalle","non-dropping-particle":"","parse-names":false,"suffix":""}],"container-title":"Agricultural Economics","id":"ITEM-1","issue":"March","issued":{"date-parts":[["2017"]]},"note":"Abstract exclusion","page":"73-86","title":"Diet transformation in Africa: the case of Ethiopia","type":"article-journal","volume":"48"},"uris":["http://www.mendeley.com/documents/?uuid=b3b39553-7356-43c5-a339-3ff47b4315c2"]}],"mendeley":{"formattedCitation":"&lt;sup&gt;(58)&lt;/sup&gt;","plainTextFormattedCitation":"(58)","previouslyFormattedCitation":"[58]"},"properties":{"noteIndex":0},"schema":"https://github.com/citation-style-language/schema/raw/master/csl-citation.json"}</w:instrText>
            </w:r>
            <w:r>
              <w:rPr>
                <w:sz w:val="15"/>
                <w:szCs w:val="15"/>
              </w:rPr>
              <w:fldChar w:fldCharType="separate"/>
            </w:r>
            <w:r w:rsidR="005B0D26" w:rsidRPr="005B0D26">
              <w:rPr>
                <w:noProof/>
                <w:sz w:val="15"/>
                <w:szCs w:val="15"/>
                <w:vertAlign w:val="superscript"/>
              </w:rPr>
              <w:t>(58)</w:t>
            </w:r>
            <w:r>
              <w:rPr>
                <w:sz w:val="15"/>
                <w:szCs w:val="15"/>
              </w:rPr>
              <w:fldChar w:fldCharType="end"/>
            </w:r>
          </w:p>
        </w:tc>
        <w:tc>
          <w:tcPr>
            <w:tcW w:w="2066" w:type="dxa"/>
            <w:tcBorders>
              <w:bottom w:val="single" w:sz="4" w:space="0" w:color="auto"/>
            </w:tcBorders>
            <w:shd w:val="clear" w:color="auto" w:fill="D9D9D9" w:themeFill="background1" w:themeFillShade="D9"/>
          </w:tcPr>
          <w:p w14:paraId="028A4433" w14:textId="77777777" w:rsidR="00681CDB" w:rsidRPr="00F02986" w:rsidRDefault="00681CDB" w:rsidP="005B0D26">
            <w:pPr>
              <w:ind w:left="0"/>
              <w:rPr>
                <w:sz w:val="15"/>
                <w:szCs w:val="15"/>
              </w:rPr>
            </w:pPr>
            <w:proofErr w:type="spellStart"/>
            <w:r w:rsidRPr="00F02986">
              <w:rPr>
                <w:sz w:val="15"/>
                <w:szCs w:val="15"/>
              </w:rPr>
              <w:t>Worku</w:t>
            </w:r>
            <w:proofErr w:type="spellEnd"/>
            <w:r w:rsidRPr="00F02986">
              <w:rPr>
                <w:sz w:val="15"/>
                <w:szCs w:val="15"/>
              </w:rPr>
              <w:t xml:space="preserve"> et al. (2017)</w:t>
            </w:r>
          </w:p>
        </w:tc>
        <w:tc>
          <w:tcPr>
            <w:tcW w:w="1350" w:type="dxa"/>
            <w:tcBorders>
              <w:bottom w:val="single" w:sz="4" w:space="0" w:color="auto"/>
            </w:tcBorders>
            <w:shd w:val="clear" w:color="auto" w:fill="D9D9D9" w:themeFill="background1" w:themeFillShade="D9"/>
          </w:tcPr>
          <w:p w14:paraId="0D670A82" w14:textId="77777777" w:rsidR="00681CDB" w:rsidRPr="00F02986" w:rsidRDefault="00681CDB" w:rsidP="005B0D26">
            <w:pPr>
              <w:ind w:left="0"/>
              <w:rPr>
                <w:sz w:val="15"/>
                <w:szCs w:val="15"/>
              </w:rPr>
            </w:pPr>
            <w:r w:rsidRPr="00F02986">
              <w:rPr>
                <w:sz w:val="15"/>
                <w:szCs w:val="15"/>
              </w:rPr>
              <w:t>Ethiopia</w:t>
            </w:r>
          </w:p>
        </w:tc>
        <w:tc>
          <w:tcPr>
            <w:tcW w:w="4406" w:type="dxa"/>
            <w:tcBorders>
              <w:bottom w:val="single" w:sz="4" w:space="0" w:color="auto"/>
            </w:tcBorders>
            <w:shd w:val="clear" w:color="auto" w:fill="D9D9D9" w:themeFill="background1" w:themeFillShade="D9"/>
          </w:tcPr>
          <w:p w14:paraId="450AD6A0" w14:textId="77777777" w:rsidR="00681CDB" w:rsidRPr="00F03BC0" w:rsidRDefault="00681CDB" w:rsidP="005B0D26">
            <w:pPr>
              <w:ind w:left="0"/>
              <w:rPr>
                <w:sz w:val="15"/>
                <w:szCs w:val="15"/>
              </w:rPr>
            </w:pPr>
            <w:r w:rsidRPr="00F03BC0">
              <w:rPr>
                <w:sz w:val="15"/>
                <w:szCs w:val="15"/>
              </w:rPr>
              <w:t>﻿Household Consumption Expenditure Survey</w:t>
            </w:r>
            <w:r>
              <w:rPr>
                <w:sz w:val="15"/>
                <w:szCs w:val="15"/>
              </w:rPr>
              <w:t>s</w:t>
            </w:r>
          </w:p>
        </w:tc>
        <w:tc>
          <w:tcPr>
            <w:tcW w:w="990" w:type="dxa"/>
            <w:tcBorders>
              <w:bottom w:val="single" w:sz="4" w:space="0" w:color="auto"/>
            </w:tcBorders>
            <w:shd w:val="clear" w:color="auto" w:fill="D9D9D9" w:themeFill="background1" w:themeFillShade="D9"/>
            <w:vAlign w:val="center"/>
          </w:tcPr>
          <w:p w14:paraId="4BD887D9" w14:textId="77777777" w:rsidR="00681CDB" w:rsidRPr="00F02986" w:rsidRDefault="00681CDB" w:rsidP="005B0D26">
            <w:pPr>
              <w:ind w:left="0"/>
              <w:jc w:val="center"/>
              <w:rPr>
                <w:sz w:val="15"/>
                <w:szCs w:val="15"/>
              </w:rPr>
            </w:pPr>
          </w:p>
        </w:tc>
        <w:tc>
          <w:tcPr>
            <w:tcW w:w="810" w:type="dxa"/>
            <w:tcBorders>
              <w:bottom w:val="single" w:sz="4" w:space="0" w:color="auto"/>
            </w:tcBorders>
            <w:shd w:val="clear" w:color="auto" w:fill="D9D9D9" w:themeFill="background1" w:themeFillShade="D9"/>
            <w:vAlign w:val="center"/>
          </w:tcPr>
          <w:p w14:paraId="4CE073DC" w14:textId="77777777" w:rsidR="00681CDB" w:rsidRPr="00F02986" w:rsidRDefault="00681CDB" w:rsidP="005B0D26">
            <w:pPr>
              <w:ind w:left="0"/>
              <w:jc w:val="center"/>
              <w:rPr>
                <w:sz w:val="15"/>
                <w:szCs w:val="15"/>
              </w:rPr>
            </w:pPr>
            <w:r>
              <w:rPr>
                <w:sz w:val="15"/>
                <w:szCs w:val="15"/>
              </w:rPr>
              <w:t>X</w:t>
            </w:r>
          </w:p>
        </w:tc>
        <w:tc>
          <w:tcPr>
            <w:tcW w:w="746" w:type="dxa"/>
            <w:tcBorders>
              <w:bottom w:val="single" w:sz="4" w:space="0" w:color="auto"/>
            </w:tcBorders>
            <w:shd w:val="clear" w:color="auto" w:fill="D9D9D9" w:themeFill="background1" w:themeFillShade="D9"/>
            <w:vAlign w:val="center"/>
          </w:tcPr>
          <w:p w14:paraId="59C9AB91" w14:textId="77777777" w:rsidR="00681CDB" w:rsidRPr="00F02986" w:rsidRDefault="00681CDB" w:rsidP="005B0D26">
            <w:pPr>
              <w:ind w:left="0"/>
              <w:jc w:val="center"/>
              <w:rPr>
                <w:sz w:val="15"/>
                <w:szCs w:val="15"/>
              </w:rPr>
            </w:pPr>
          </w:p>
        </w:tc>
        <w:tc>
          <w:tcPr>
            <w:tcW w:w="970" w:type="dxa"/>
            <w:tcBorders>
              <w:bottom w:val="single" w:sz="4" w:space="0" w:color="auto"/>
              <w:right w:val="single" w:sz="4" w:space="0" w:color="auto"/>
            </w:tcBorders>
            <w:shd w:val="clear" w:color="auto" w:fill="D9D9D9" w:themeFill="background1" w:themeFillShade="D9"/>
            <w:vAlign w:val="center"/>
          </w:tcPr>
          <w:p w14:paraId="28C7C20D" w14:textId="77777777" w:rsidR="00681CDB" w:rsidRPr="00F02986" w:rsidRDefault="00681CDB" w:rsidP="005B0D26">
            <w:pPr>
              <w:ind w:left="0"/>
              <w:jc w:val="center"/>
              <w:rPr>
                <w:sz w:val="15"/>
                <w:szCs w:val="15"/>
              </w:rPr>
            </w:pPr>
          </w:p>
        </w:tc>
      </w:tr>
    </w:tbl>
    <w:p w14:paraId="5F01324D" w14:textId="77777777" w:rsidR="00681CDB" w:rsidRDefault="00681CDB" w:rsidP="00681CDB">
      <w:r>
        <w:br w:type="page"/>
      </w:r>
    </w:p>
    <w:p w14:paraId="4BF3A484" w14:textId="77777777" w:rsidR="00681CDB" w:rsidRPr="00FF3F99" w:rsidRDefault="00681CDB" w:rsidP="00FF3F99">
      <w:pPr>
        <w:pStyle w:val="Heading1"/>
      </w:pPr>
      <w:bookmarkStart w:id="3" w:name="_Toc76569016"/>
      <w:r w:rsidRPr="00FF3F99">
        <w:lastRenderedPageBreak/>
        <w:t>Table S2. Characteristics of Household Consumption &amp; Expenditure Survey (HCES) food consumption data used in the included publications</w:t>
      </w:r>
      <w:bookmarkEnd w:id="3"/>
    </w:p>
    <w:tbl>
      <w:tblPr>
        <w:tblStyle w:val="TableGrid"/>
        <w:tblpPr w:leftFromText="180" w:rightFromText="180" w:vertAnchor="text" w:tblpY="1"/>
        <w:tblOverlap w:val="never"/>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2098"/>
        <w:gridCol w:w="1322"/>
        <w:gridCol w:w="1980"/>
        <w:gridCol w:w="2250"/>
        <w:gridCol w:w="1260"/>
        <w:gridCol w:w="1440"/>
        <w:gridCol w:w="1800"/>
        <w:gridCol w:w="1350"/>
      </w:tblGrid>
      <w:tr w:rsidR="00681CDB" w:rsidRPr="00E8387C" w14:paraId="7C6B3E02" w14:textId="77777777" w:rsidTr="005B0D26">
        <w:tc>
          <w:tcPr>
            <w:tcW w:w="535" w:type="dxa"/>
            <w:tcBorders>
              <w:top w:val="single" w:sz="4" w:space="0" w:color="auto"/>
              <w:left w:val="single" w:sz="4" w:space="0" w:color="auto"/>
              <w:bottom w:val="single" w:sz="4" w:space="0" w:color="auto"/>
            </w:tcBorders>
            <w:shd w:val="clear" w:color="auto" w:fill="D9D9D9" w:themeFill="background1" w:themeFillShade="D9"/>
            <w:vAlign w:val="center"/>
          </w:tcPr>
          <w:p w14:paraId="5CFB2F0C"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Ref #</w:t>
            </w:r>
          </w:p>
        </w:tc>
        <w:tc>
          <w:tcPr>
            <w:tcW w:w="2098" w:type="dxa"/>
            <w:tcBorders>
              <w:top w:val="single" w:sz="4" w:space="0" w:color="auto"/>
              <w:bottom w:val="single" w:sz="4" w:space="0" w:color="auto"/>
            </w:tcBorders>
            <w:shd w:val="clear" w:color="auto" w:fill="D9D9D9" w:themeFill="background1" w:themeFillShade="D9"/>
            <w:vAlign w:val="center"/>
          </w:tcPr>
          <w:p w14:paraId="2B48CA0F" w14:textId="77777777" w:rsidR="00681CDB" w:rsidRPr="00FF3F99" w:rsidRDefault="00681CDB" w:rsidP="005B0D26">
            <w:pPr>
              <w:rPr>
                <w:b/>
                <w:bCs/>
                <w:color w:val="000000" w:themeColor="text1"/>
                <w:sz w:val="15"/>
                <w:szCs w:val="15"/>
              </w:rPr>
            </w:pPr>
            <w:r w:rsidRPr="00FF3F99">
              <w:rPr>
                <w:b/>
                <w:bCs/>
                <w:color w:val="000000" w:themeColor="text1"/>
                <w:sz w:val="15"/>
                <w:szCs w:val="15"/>
              </w:rPr>
              <w:t>Reference</w:t>
            </w:r>
          </w:p>
        </w:tc>
        <w:tc>
          <w:tcPr>
            <w:tcW w:w="1322" w:type="dxa"/>
            <w:tcBorders>
              <w:top w:val="single" w:sz="4" w:space="0" w:color="auto"/>
              <w:bottom w:val="single" w:sz="4" w:space="0" w:color="auto"/>
            </w:tcBorders>
            <w:shd w:val="clear" w:color="auto" w:fill="D9D9D9" w:themeFill="background1" w:themeFillShade="D9"/>
            <w:vAlign w:val="center"/>
          </w:tcPr>
          <w:p w14:paraId="227C6E1A"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Country</w:t>
            </w:r>
          </w:p>
        </w:tc>
        <w:tc>
          <w:tcPr>
            <w:tcW w:w="1980" w:type="dxa"/>
            <w:tcBorders>
              <w:top w:val="single" w:sz="4" w:space="0" w:color="auto"/>
              <w:bottom w:val="single" w:sz="4" w:space="0" w:color="auto"/>
            </w:tcBorders>
            <w:shd w:val="clear" w:color="auto" w:fill="D9D9D9" w:themeFill="background1" w:themeFillShade="D9"/>
            <w:vAlign w:val="center"/>
          </w:tcPr>
          <w:p w14:paraId="1A98AE52"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 xml:space="preserve">HCES: Type of dietary data </w:t>
            </w:r>
          </w:p>
        </w:tc>
        <w:tc>
          <w:tcPr>
            <w:tcW w:w="2250" w:type="dxa"/>
            <w:tcBorders>
              <w:top w:val="single" w:sz="4" w:space="0" w:color="auto"/>
              <w:bottom w:val="single" w:sz="4" w:space="0" w:color="auto"/>
            </w:tcBorders>
            <w:shd w:val="clear" w:color="auto" w:fill="D9D9D9" w:themeFill="background1" w:themeFillShade="D9"/>
            <w:vAlign w:val="center"/>
          </w:tcPr>
          <w:p w14:paraId="6E642F37"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HCES: Time horizon</w:t>
            </w:r>
          </w:p>
        </w:tc>
        <w:tc>
          <w:tcPr>
            <w:tcW w:w="1260" w:type="dxa"/>
            <w:tcBorders>
              <w:top w:val="single" w:sz="4" w:space="0" w:color="auto"/>
              <w:bottom w:val="single" w:sz="4" w:space="0" w:color="auto"/>
            </w:tcBorders>
            <w:shd w:val="clear" w:color="auto" w:fill="D9D9D9" w:themeFill="background1" w:themeFillShade="D9"/>
            <w:vAlign w:val="center"/>
          </w:tcPr>
          <w:p w14:paraId="1474505D" w14:textId="77777777" w:rsidR="00681CDB" w:rsidRPr="00FF3F99" w:rsidRDefault="00681CDB" w:rsidP="005B0D26">
            <w:pPr>
              <w:ind w:left="0"/>
              <w:rPr>
                <w:b/>
                <w:bCs/>
                <w:color w:val="000000" w:themeColor="text1"/>
                <w:sz w:val="15"/>
                <w:szCs w:val="15"/>
              </w:rPr>
            </w:pPr>
            <w:r w:rsidRPr="00FF3F99">
              <w:rPr>
                <w:rFonts w:cs="Times New Roman"/>
                <w:b/>
                <w:bCs/>
                <w:color w:val="000000" w:themeColor="text1"/>
                <w:sz w:val="15"/>
                <w:szCs w:val="15"/>
              </w:rPr>
              <w:t>Compared HCES to individual intake data?</w:t>
            </w:r>
          </w:p>
        </w:tc>
        <w:tc>
          <w:tcPr>
            <w:tcW w:w="1440" w:type="dxa"/>
            <w:tcBorders>
              <w:top w:val="single" w:sz="4" w:space="0" w:color="auto"/>
              <w:bottom w:val="single" w:sz="4" w:space="0" w:color="auto"/>
            </w:tcBorders>
            <w:shd w:val="clear" w:color="auto" w:fill="D9D9D9" w:themeFill="background1" w:themeFillShade="D9"/>
          </w:tcPr>
          <w:p w14:paraId="4D3BAB2B" w14:textId="77777777" w:rsidR="00681CDB" w:rsidRPr="00FF3F99" w:rsidRDefault="00681CDB" w:rsidP="005B0D26">
            <w:pPr>
              <w:ind w:left="0"/>
              <w:jc w:val="center"/>
              <w:rPr>
                <w:b/>
                <w:bCs/>
                <w:color w:val="000000" w:themeColor="text1"/>
                <w:sz w:val="15"/>
                <w:szCs w:val="15"/>
              </w:rPr>
            </w:pPr>
            <w:r w:rsidRPr="00FF3F99">
              <w:rPr>
                <w:b/>
                <w:bCs/>
                <w:color w:val="000000" w:themeColor="text1"/>
                <w:sz w:val="15"/>
                <w:szCs w:val="15"/>
              </w:rPr>
              <w:t>Individual intake: type of data</w:t>
            </w:r>
          </w:p>
        </w:tc>
        <w:tc>
          <w:tcPr>
            <w:tcW w:w="1800" w:type="dxa"/>
            <w:tcBorders>
              <w:top w:val="single" w:sz="4" w:space="0" w:color="auto"/>
              <w:bottom w:val="single" w:sz="4" w:space="0" w:color="auto"/>
            </w:tcBorders>
            <w:shd w:val="clear" w:color="auto" w:fill="D9D9D9" w:themeFill="background1" w:themeFillShade="D9"/>
          </w:tcPr>
          <w:p w14:paraId="052270FC" w14:textId="77777777" w:rsidR="00681CDB" w:rsidRPr="00FF3F99" w:rsidRDefault="00681CDB" w:rsidP="005B0D26">
            <w:pPr>
              <w:autoSpaceDE w:val="0"/>
              <w:autoSpaceDN w:val="0"/>
              <w:adjustRightInd w:val="0"/>
              <w:ind w:left="0"/>
              <w:jc w:val="center"/>
              <w:rPr>
                <w:rFonts w:cs="Times New Roman"/>
                <w:b/>
                <w:bCs/>
                <w:color w:val="000000" w:themeColor="text1"/>
                <w:sz w:val="15"/>
                <w:szCs w:val="15"/>
              </w:rPr>
            </w:pPr>
            <w:r w:rsidRPr="00FF3F99">
              <w:rPr>
                <w:rFonts w:cs="Times New Roman"/>
                <w:b/>
                <w:bCs/>
                <w:color w:val="000000" w:themeColor="text1"/>
                <w:sz w:val="15"/>
                <w:szCs w:val="15"/>
              </w:rPr>
              <w:t>Individual intake: comparability to HCES</w:t>
            </w:r>
          </w:p>
        </w:tc>
        <w:tc>
          <w:tcPr>
            <w:tcW w:w="1350" w:type="dxa"/>
            <w:tcBorders>
              <w:top w:val="single" w:sz="4" w:space="0" w:color="auto"/>
              <w:bottom w:val="single" w:sz="4" w:space="0" w:color="auto"/>
              <w:right w:val="single" w:sz="4" w:space="0" w:color="auto"/>
            </w:tcBorders>
            <w:shd w:val="clear" w:color="auto" w:fill="D9D9D9" w:themeFill="background1" w:themeFillShade="D9"/>
          </w:tcPr>
          <w:p w14:paraId="1555174A" w14:textId="77777777" w:rsidR="00681CDB" w:rsidRPr="00FF3F99" w:rsidRDefault="00681CDB" w:rsidP="005B0D26">
            <w:pPr>
              <w:autoSpaceDE w:val="0"/>
              <w:autoSpaceDN w:val="0"/>
              <w:adjustRightInd w:val="0"/>
              <w:ind w:left="0"/>
              <w:jc w:val="center"/>
              <w:rPr>
                <w:rFonts w:cs="Times New Roman"/>
                <w:b/>
                <w:bCs/>
                <w:color w:val="000000" w:themeColor="text1"/>
                <w:sz w:val="15"/>
                <w:szCs w:val="15"/>
              </w:rPr>
            </w:pPr>
            <w:r w:rsidRPr="00FF3F99">
              <w:rPr>
                <w:rFonts w:cs="Times New Roman"/>
                <w:b/>
                <w:bCs/>
                <w:color w:val="000000" w:themeColor="text1"/>
                <w:sz w:val="15"/>
                <w:szCs w:val="15"/>
              </w:rPr>
              <w:t>Individual intake: demographics of individuals</w:t>
            </w:r>
          </w:p>
        </w:tc>
      </w:tr>
      <w:tr w:rsidR="00681CDB" w:rsidRPr="00E8387C" w14:paraId="05063A65" w14:textId="77777777" w:rsidTr="005B0D26">
        <w:tc>
          <w:tcPr>
            <w:tcW w:w="535" w:type="dxa"/>
            <w:tcBorders>
              <w:top w:val="single" w:sz="4" w:space="0" w:color="auto"/>
              <w:left w:val="single" w:sz="4" w:space="0" w:color="auto"/>
            </w:tcBorders>
            <w:shd w:val="clear" w:color="auto" w:fill="FFFFFF" w:themeFill="background1"/>
            <w:vAlign w:val="center"/>
          </w:tcPr>
          <w:p w14:paraId="3936C18C" w14:textId="7686E212" w:rsidR="00681CDB" w:rsidRPr="00FF3F99" w:rsidRDefault="00681CDB" w:rsidP="005B0D26">
            <w:pPr>
              <w:ind w:left="0"/>
              <w:rPr>
                <w:color w:val="000000" w:themeColor="text1"/>
                <w:sz w:val="15"/>
                <w:szCs w:val="15"/>
                <w:lang w:val="fr-FR"/>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{"citationItems":[{"id":"ITEM-1","itemData":{"abstract":"Pour élaborer les politiques nationales de sécurité alimentaire, il faudrait comprendre comment évoluent les consommations alimentaires. Les données de disponibilités alimentaires de la FAO sont généralement utilisées comme des “proxy” de ces consommations alimentaires. Elles montrent qu’au Cameroun, la disponibilité calorique s’est continuellement accrue depuis 1990 et se situe depuis 2001 au-dessus du seuil calorique moyen nécessaire pour couvrir les besoins quotidiens en calories et de la moyenne des calories disponibles dans les pays d’Afrique Subsaharienne. Cependant, les limites inhérentes aux approches de la FAO pour mesurer la consommation alimentaire, basées sur les bilans alimentaires conduisent à s’interroger sur la traduction de ces tendances nationales au niveau des ménages. L’objectif de cet article est d’analyser les évolutions de la consommation alimentaire à l’échelle du ménage en les mettant en rapport avec les évolutions des disponibilités alimentaires au niveau national. Nous utilisons pour cela, les données de disponibilités alimentaires de la FAO issues des bilans alimentaires et des enquêtes de niveau de vie des ménages réalisées par l’Institut National de la Statistique du Cameroun en 2001 et en 2007. Nous montrons que: (i) l’estimation des disponibilités caloriques à partir d’enquêtes ménages, représentatives au niveau national (ECAM) ou à partir des bilans alimentaires (FAO), donne des résultats proches en valeur agrégée, mais l’enquête ECAM montre une distribution entre les ménages beaucoup plus hétérogène que celle qui est utilisée par la FAO. (ii) Cette différence de distribution explique que la prévalence de la sous-alimentation calculée à partir des données d’enquêtes ECAM est plus élevée que celle calculée à partir des bilans alimentaires. Les politiques de sécurité alimentaire pour être efficaces devraient s’appuyer non pas sur l’évolution de la disponibilité alimentaire à l’échelle nationale mais sur celle de la consommation alimentaire à l’échelle des ménages, qui donne une meilleure lecture des évolutions et de la localisation de la sous-alimentation. L’hétérogénéité de la distribution des calories traduit l’accroissement des inégalités de consommation entre 2001 et 2007 et induit la nécessité de réorienter les politiques de sécurité alimentaire basées sur l’accroissement de la production agricole vers des politiques qui faciliteraient l’accès des pauvres et des ruraux à une alimentation suffisante.","author":[{"dropping-particle":"","family":"Ambagna","given":"Jean Joël","non-dropping-particle":"","parse-names":false,"suffix":""},{"dropping-particle":"","family":"Dury","given":"Sandrine","non-dropping-particle":"","parse-names":false,"suffix":""}],"container-title":"10 èmes Journées de Recherches en Sciences Sociales","id":"ITEM-1","issued":{"date-parts":[["2016"]]},"title":"De la disponibilité à la consommation alimentaire: analyse des évolutions de la consommation alimentaire à l’échelle nationale et des ménages au Cameroun","type":"article"},"uris":["http://www.mendeley.com/documents/?uuid=04e0c991-ba94-4fb7-bfbc-3ba34410ff7d"]}],"mendeley":{"formattedCitation":"&lt;sup&gt;(1)&lt;/sup&gt;","plainTextFormattedCitation":"(1)","previouslyFormattedCitation":"[1]"},"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lang w:val="fr-FR"/>
              </w:rPr>
              <w:t>(1)</w:t>
            </w:r>
            <w:r w:rsidRPr="00FF3F99">
              <w:rPr>
                <w:color w:val="000000" w:themeColor="text1"/>
                <w:sz w:val="15"/>
                <w:szCs w:val="15"/>
              </w:rPr>
              <w:fldChar w:fldCharType="end"/>
            </w:r>
          </w:p>
        </w:tc>
        <w:tc>
          <w:tcPr>
            <w:tcW w:w="2098" w:type="dxa"/>
            <w:tcBorders>
              <w:top w:val="single" w:sz="4" w:space="0" w:color="auto"/>
            </w:tcBorders>
            <w:shd w:val="clear" w:color="auto" w:fill="FFFFFF" w:themeFill="background1"/>
            <w:vAlign w:val="center"/>
          </w:tcPr>
          <w:p w14:paraId="04ABE437" w14:textId="77777777" w:rsidR="00681CDB" w:rsidRPr="00FF3F99" w:rsidRDefault="00681CDB" w:rsidP="005B0D26">
            <w:pPr>
              <w:ind w:left="0"/>
              <w:rPr>
                <w:color w:val="000000" w:themeColor="text1"/>
                <w:sz w:val="15"/>
                <w:szCs w:val="15"/>
                <w:lang w:val="fr-FR"/>
              </w:rPr>
            </w:pPr>
            <w:proofErr w:type="spellStart"/>
            <w:r w:rsidRPr="00FF3F99">
              <w:rPr>
                <w:color w:val="000000" w:themeColor="text1"/>
                <w:sz w:val="15"/>
                <w:szCs w:val="15"/>
                <w:lang w:val="fr-FR"/>
              </w:rPr>
              <w:t>Ambagna</w:t>
            </w:r>
            <w:proofErr w:type="spellEnd"/>
            <w:r w:rsidRPr="00FF3F99">
              <w:rPr>
                <w:color w:val="000000" w:themeColor="text1"/>
                <w:sz w:val="15"/>
                <w:szCs w:val="15"/>
                <w:lang w:val="fr-FR"/>
              </w:rPr>
              <w:t xml:space="preserve"> &amp; </w:t>
            </w:r>
            <w:proofErr w:type="spellStart"/>
            <w:r w:rsidRPr="00FF3F99">
              <w:rPr>
                <w:color w:val="000000" w:themeColor="text1"/>
                <w:sz w:val="15"/>
                <w:szCs w:val="15"/>
                <w:lang w:val="fr-FR"/>
              </w:rPr>
              <w:t>Dury</w:t>
            </w:r>
            <w:proofErr w:type="spellEnd"/>
            <w:r w:rsidRPr="00FF3F99">
              <w:rPr>
                <w:color w:val="000000" w:themeColor="text1"/>
                <w:sz w:val="15"/>
                <w:szCs w:val="15"/>
                <w:lang w:val="fr-FR"/>
              </w:rPr>
              <w:t xml:space="preserve"> (2016)</w:t>
            </w:r>
          </w:p>
        </w:tc>
        <w:tc>
          <w:tcPr>
            <w:tcW w:w="1322" w:type="dxa"/>
            <w:tcBorders>
              <w:top w:val="single" w:sz="4" w:space="0" w:color="auto"/>
            </w:tcBorders>
            <w:shd w:val="clear" w:color="auto" w:fill="FFFFFF" w:themeFill="background1"/>
            <w:vAlign w:val="center"/>
          </w:tcPr>
          <w:p w14:paraId="515EC8FA" w14:textId="77777777" w:rsidR="00681CDB" w:rsidRPr="00FF3F99" w:rsidRDefault="00681CDB" w:rsidP="005B0D26">
            <w:pPr>
              <w:ind w:left="0"/>
              <w:rPr>
                <w:color w:val="000000" w:themeColor="text1"/>
                <w:sz w:val="15"/>
                <w:szCs w:val="15"/>
                <w:lang w:val="fr-FR"/>
              </w:rPr>
            </w:pPr>
            <w:proofErr w:type="spellStart"/>
            <w:r w:rsidRPr="00FF3F99">
              <w:rPr>
                <w:color w:val="000000" w:themeColor="text1"/>
                <w:sz w:val="15"/>
                <w:szCs w:val="15"/>
                <w:lang w:val="fr-FR"/>
              </w:rPr>
              <w:t>Cameroon</w:t>
            </w:r>
            <w:proofErr w:type="spellEnd"/>
          </w:p>
        </w:tc>
        <w:tc>
          <w:tcPr>
            <w:tcW w:w="1980" w:type="dxa"/>
            <w:tcBorders>
              <w:top w:val="single" w:sz="4" w:space="0" w:color="auto"/>
            </w:tcBorders>
            <w:shd w:val="clear" w:color="auto" w:fill="FFFFFF" w:themeFill="background1"/>
            <w:vAlign w:val="center"/>
          </w:tcPr>
          <w:p w14:paraId="3C510519" w14:textId="77777777" w:rsidR="00681CDB" w:rsidRPr="00FF3F99" w:rsidRDefault="00681CDB" w:rsidP="005B0D26">
            <w:pPr>
              <w:ind w:left="0"/>
              <w:rPr>
                <w:color w:val="000000" w:themeColor="text1"/>
                <w:sz w:val="15"/>
                <w:szCs w:val="15"/>
                <w:lang w:val="fr-FR"/>
              </w:rPr>
            </w:pPr>
            <w:proofErr w:type="spellStart"/>
            <w:r w:rsidRPr="00FF3F99">
              <w:rPr>
                <w:color w:val="000000" w:themeColor="text1"/>
                <w:sz w:val="15"/>
                <w:szCs w:val="15"/>
                <w:lang w:val="fr-FR"/>
              </w:rPr>
              <w:t>Consumption</w:t>
            </w:r>
            <w:proofErr w:type="spellEnd"/>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tcBorders>
              <w:top w:val="single" w:sz="4" w:space="0" w:color="auto"/>
            </w:tcBorders>
            <w:shd w:val="clear" w:color="auto" w:fill="FFFFFF" w:themeFill="background1"/>
            <w:vAlign w:val="center"/>
          </w:tcPr>
          <w:p w14:paraId="0B3D679A" w14:textId="77777777" w:rsidR="00681CDB" w:rsidRPr="00FF3F99" w:rsidRDefault="00681CDB" w:rsidP="005B0D26">
            <w:pPr>
              <w:ind w:left="0"/>
              <w:jc w:val="center"/>
              <w:rPr>
                <w:color w:val="000000" w:themeColor="text1"/>
                <w:sz w:val="15"/>
                <w:szCs w:val="15"/>
                <w:lang w:val="fr-FR"/>
              </w:rPr>
            </w:pPr>
            <w:r w:rsidRPr="00FF3F99">
              <w:rPr>
                <w:color w:val="000000" w:themeColor="text1"/>
                <w:sz w:val="15"/>
                <w:szCs w:val="15"/>
                <w:lang w:val="fr-FR"/>
              </w:rPr>
              <w:t xml:space="preserve">10 </w:t>
            </w:r>
            <w:proofErr w:type="spellStart"/>
            <w:r w:rsidRPr="00FF3F99">
              <w:rPr>
                <w:color w:val="000000" w:themeColor="text1"/>
                <w:sz w:val="15"/>
                <w:szCs w:val="15"/>
                <w:lang w:val="fr-FR"/>
              </w:rPr>
              <w:t>days</w:t>
            </w:r>
            <w:proofErr w:type="spellEnd"/>
            <w:r w:rsidRPr="00FF3F99">
              <w:rPr>
                <w:color w:val="000000" w:themeColor="text1"/>
                <w:sz w:val="15"/>
                <w:szCs w:val="15"/>
                <w:lang w:val="fr-FR"/>
              </w:rPr>
              <w:t xml:space="preserve"> (rural) &amp; 15 </w:t>
            </w:r>
            <w:proofErr w:type="spellStart"/>
            <w:r w:rsidRPr="00FF3F99">
              <w:rPr>
                <w:color w:val="000000" w:themeColor="text1"/>
                <w:sz w:val="15"/>
                <w:szCs w:val="15"/>
                <w:lang w:val="fr-FR"/>
              </w:rPr>
              <w:t>days</w:t>
            </w:r>
            <w:proofErr w:type="spellEnd"/>
            <w:r w:rsidRPr="00FF3F99">
              <w:rPr>
                <w:color w:val="000000" w:themeColor="text1"/>
                <w:sz w:val="15"/>
                <w:szCs w:val="15"/>
                <w:lang w:val="fr-FR"/>
              </w:rPr>
              <w:t xml:space="preserve"> (</w:t>
            </w:r>
            <w:proofErr w:type="spellStart"/>
            <w:r w:rsidRPr="00FF3F99">
              <w:rPr>
                <w:color w:val="000000" w:themeColor="text1"/>
                <w:sz w:val="15"/>
                <w:szCs w:val="15"/>
                <w:lang w:val="fr-FR"/>
              </w:rPr>
              <w:t>urban</w:t>
            </w:r>
            <w:proofErr w:type="spellEnd"/>
            <w:r w:rsidRPr="00FF3F99">
              <w:rPr>
                <w:color w:val="000000" w:themeColor="text1"/>
                <w:sz w:val="15"/>
                <w:szCs w:val="15"/>
                <w:lang w:val="fr-FR"/>
              </w:rPr>
              <w:t>)</w:t>
            </w:r>
          </w:p>
        </w:tc>
        <w:tc>
          <w:tcPr>
            <w:tcW w:w="1260" w:type="dxa"/>
            <w:tcBorders>
              <w:top w:val="single" w:sz="4" w:space="0" w:color="auto"/>
            </w:tcBorders>
            <w:shd w:val="clear" w:color="auto" w:fill="FFFFFF" w:themeFill="background1"/>
            <w:vAlign w:val="center"/>
          </w:tcPr>
          <w:p w14:paraId="4DBC386A" w14:textId="77777777" w:rsidR="00681CDB" w:rsidRPr="00FF3F99" w:rsidRDefault="00681CDB" w:rsidP="005B0D26">
            <w:pPr>
              <w:ind w:left="0"/>
              <w:jc w:val="center"/>
              <w:rPr>
                <w:color w:val="000000" w:themeColor="text1"/>
                <w:sz w:val="15"/>
                <w:szCs w:val="15"/>
                <w:lang w:val="fr-FR"/>
              </w:rPr>
            </w:pPr>
          </w:p>
        </w:tc>
        <w:tc>
          <w:tcPr>
            <w:tcW w:w="1440" w:type="dxa"/>
            <w:tcBorders>
              <w:top w:val="single" w:sz="4" w:space="0" w:color="auto"/>
            </w:tcBorders>
            <w:shd w:val="clear" w:color="auto" w:fill="FFFFFF" w:themeFill="background1"/>
            <w:vAlign w:val="center"/>
          </w:tcPr>
          <w:p w14:paraId="48CD208F" w14:textId="77777777" w:rsidR="00681CDB" w:rsidRPr="00FF3F99" w:rsidRDefault="00681CDB" w:rsidP="005B0D26">
            <w:pPr>
              <w:ind w:left="0"/>
              <w:jc w:val="center"/>
              <w:rPr>
                <w:color w:val="000000" w:themeColor="text1"/>
                <w:sz w:val="15"/>
                <w:szCs w:val="15"/>
                <w:lang w:val="fr-FR"/>
              </w:rPr>
            </w:pPr>
          </w:p>
        </w:tc>
        <w:tc>
          <w:tcPr>
            <w:tcW w:w="1800" w:type="dxa"/>
            <w:tcBorders>
              <w:top w:val="single" w:sz="4" w:space="0" w:color="auto"/>
            </w:tcBorders>
            <w:shd w:val="clear" w:color="auto" w:fill="FFFFFF" w:themeFill="background1"/>
            <w:vAlign w:val="center"/>
          </w:tcPr>
          <w:p w14:paraId="0066F6EE" w14:textId="77777777" w:rsidR="00681CDB" w:rsidRPr="00FF3F99" w:rsidRDefault="00681CDB" w:rsidP="005B0D26">
            <w:pPr>
              <w:ind w:left="0"/>
              <w:jc w:val="center"/>
              <w:rPr>
                <w:color w:val="000000" w:themeColor="text1"/>
                <w:sz w:val="15"/>
                <w:szCs w:val="15"/>
                <w:lang w:val="fr-FR"/>
              </w:rPr>
            </w:pPr>
          </w:p>
        </w:tc>
        <w:tc>
          <w:tcPr>
            <w:tcW w:w="1350" w:type="dxa"/>
            <w:tcBorders>
              <w:top w:val="single" w:sz="4" w:space="0" w:color="auto"/>
              <w:right w:val="single" w:sz="4" w:space="0" w:color="auto"/>
            </w:tcBorders>
            <w:shd w:val="clear" w:color="auto" w:fill="FFFFFF" w:themeFill="background1"/>
          </w:tcPr>
          <w:p w14:paraId="091BA7EF" w14:textId="77777777" w:rsidR="00681CDB" w:rsidRPr="00FF3F99" w:rsidRDefault="00681CDB" w:rsidP="005B0D26">
            <w:pPr>
              <w:ind w:left="0"/>
              <w:jc w:val="center"/>
              <w:rPr>
                <w:color w:val="000000" w:themeColor="text1"/>
                <w:sz w:val="15"/>
                <w:szCs w:val="15"/>
                <w:lang w:val="fr-FR"/>
              </w:rPr>
            </w:pPr>
          </w:p>
        </w:tc>
      </w:tr>
      <w:tr w:rsidR="00681CDB" w:rsidRPr="00E8387C" w14:paraId="16A771D9" w14:textId="77777777" w:rsidTr="005B0D26">
        <w:tc>
          <w:tcPr>
            <w:tcW w:w="535" w:type="dxa"/>
            <w:tcBorders>
              <w:left w:val="single" w:sz="4" w:space="0" w:color="auto"/>
            </w:tcBorders>
            <w:shd w:val="clear" w:color="auto" w:fill="D9D9D9" w:themeFill="background1" w:themeFillShade="D9"/>
            <w:vAlign w:val="center"/>
          </w:tcPr>
          <w:p w14:paraId="5AFAE9E1" w14:textId="262DE378"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lang w:val="fr-FR"/>
              </w:rPr>
              <w:instrText>ADDIN CSL_CITATION {"citationItems":[{"id":"ITEM-1","itemData":{"DOI":"10.1016/j.jdeveco.2011.11.001","ISSN":"03043878","abstract":"Surveys of consumption expenditure vary widely across many dimensions, including the level of reporting, the length of the reference period, and the degree of commodity detail. These variations occur both across countries and also over time within countries, with little current understanding of the implications of such changes for spatially and temporally consistent measurement of household consumption and poverty. A field experiment in Tanzania tests eight alternative methods of measuring household consumption, finding significant differences between consumption reported by the benchmark personal diary and other diary and recall formats. Under-reporting is particularly apparent for illiterate households and for urban respondents completing household diaries; recall modules measure lower consumption than a personal diary, with larger gaps among poorer households and for households with more adult members. Variations in reporting accuracy by household characteristics are also discussed and differences in measured poverty as a result of survey design are explored. © 2011 Elsevier B.V.","author":[{"dropping-particle":"","family":"Beegle","given":"Kathleen","non-dropping-particle":"","parse-names":false,"suffix":""},{"dropping-particle":"","family":"Weerdt","given":"Joachim","non-dropping-particle":"De","parse-names":false,"suffix":""},{"dropping-particle":"","family":"Friedman","given":"Jed","non-dropping-particle":"","parse-names":false,"suffix":""},{"dropping-particle":"","family":"Gibson","given":"John","non-dropping-particle":"","parse-names":false,"suffix":""}],"container-title":"Journal of Development Economics","id":"ITEM-1","issue":"1","issued":{"date-parts":[["2012"]]},"note":"Abstract exclusion","page":"3-18","title":"Methods of household consumption measurement through surveys: Experimental results from Tanzania","type":"article-journal","volume":"98"},"uris":["http://www.mendeley.com/documents/?uuid=97efd56f-4331-4083-b415-1ac06d277a72"]}],"mendeley":{"formattedCitation":"&lt;sup&gt;(2)&lt;/sup&gt;","plainTextFormattedCitation":"(2)","previouslyFormattedCitation":"[2]"},"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w:t>
            </w:r>
            <w:r w:rsidRPr="00FF3F99">
              <w:rPr>
                <w:color w:val="000000" w:themeColor="text1"/>
                <w:sz w:val="15"/>
                <w:szCs w:val="15"/>
              </w:rPr>
              <w:fldChar w:fldCharType="end"/>
            </w:r>
          </w:p>
        </w:tc>
        <w:tc>
          <w:tcPr>
            <w:tcW w:w="2098" w:type="dxa"/>
            <w:shd w:val="clear" w:color="auto" w:fill="D9D9D9" w:themeFill="background1" w:themeFillShade="D9"/>
            <w:vAlign w:val="center"/>
          </w:tcPr>
          <w:p w14:paraId="66EB4C55" w14:textId="77777777" w:rsidR="00681CDB" w:rsidRPr="00FF3F99" w:rsidRDefault="00681CDB" w:rsidP="005B0D26">
            <w:pPr>
              <w:ind w:left="0"/>
              <w:rPr>
                <w:color w:val="000000" w:themeColor="text1"/>
                <w:sz w:val="15"/>
                <w:szCs w:val="15"/>
              </w:rPr>
            </w:pPr>
            <w:r w:rsidRPr="00FF3F99">
              <w:rPr>
                <w:color w:val="000000" w:themeColor="text1"/>
                <w:sz w:val="15"/>
                <w:szCs w:val="15"/>
              </w:rPr>
              <w:t>Beegle et al. (2010)</w:t>
            </w:r>
          </w:p>
        </w:tc>
        <w:tc>
          <w:tcPr>
            <w:tcW w:w="1322" w:type="dxa"/>
            <w:shd w:val="clear" w:color="auto" w:fill="D9D9D9" w:themeFill="background1" w:themeFillShade="D9"/>
            <w:vAlign w:val="center"/>
          </w:tcPr>
          <w:p w14:paraId="6BDC4BE4" w14:textId="77777777" w:rsidR="00681CDB" w:rsidRPr="00FF3F99" w:rsidRDefault="00681CDB" w:rsidP="005B0D26">
            <w:pPr>
              <w:ind w:left="0"/>
              <w:rPr>
                <w:color w:val="000000" w:themeColor="text1"/>
                <w:sz w:val="15"/>
                <w:szCs w:val="15"/>
              </w:rPr>
            </w:pPr>
            <w:r w:rsidRPr="00FF3F99">
              <w:rPr>
                <w:color w:val="000000" w:themeColor="text1"/>
                <w:sz w:val="15"/>
                <w:szCs w:val="15"/>
              </w:rPr>
              <w:t>Tanzania</w:t>
            </w:r>
          </w:p>
        </w:tc>
        <w:tc>
          <w:tcPr>
            <w:tcW w:w="1980" w:type="dxa"/>
            <w:shd w:val="clear" w:color="auto" w:fill="D9D9D9" w:themeFill="background1" w:themeFillShade="D9"/>
            <w:vAlign w:val="center"/>
          </w:tcPr>
          <w:p w14:paraId="7D58630F"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42DD32C1"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 14 days, &amp; 12 months</w:t>
            </w:r>
          </w:p>
        </w:tc>
        <w:tc>
          <w:tcPr>
            <w:tcW w:w="1260" w:type="dxa"/>
            <w:shd w:val="clear" w:color="auto" w:fill="D9D9D9" w:themeFill="background1" w:themeFillShade="D9"/>
            <w:vAlign w:val="center"/>
          </w:tcPr>
          <w:p w14:paraId="3AF0FD24" w14:textId="77777777" w:rsidR="00681CDB" w:rsidRPr="00FF3F99" w:rsidRDefault="00681CDB" w:rsidP="005B0D26">
            <w:pPr>
              <w:ind w:left="0"/>
              <w:jc w:val="center"/>
              <w:rPr>
                <w:color w:val="000000" w:themeColor="text1"/>
                <w:sz w:val="15"/>
                <w:szCs w:val="15"/>
              </w:rPr>
            </w:pPr>
          </w:p>
        </w:tc>
        <w:tc>
          <w:tcPr>
            <w:tcW w:w="1440" w:type="dxa"/>
            <w:shd w:val="clear" w:color="auto" w:fill="D9D9D9" w:themeFill="background1" w:themeFillShade="D9"/>
            <w:vAlign w:val="center"/>
          </w:tcPr>
          <w:p w14:paraId="4A2C1E8D"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199CE436" w14:textId="77777777" w:rsidR="00681CDB" w:rsidRPr="00FF3F99" w:rsidRDefault="00681CDB"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32EBAF0E" w14:textId="77777777" w:rsidR="00681CDB" w:rsidRPr="00FF3F99" w:rsidRDefault="00681CDB" w:rsidP="005B0D26">
            <w:pPr>
              <w:ind w:left="0"/>
              <w:jc w:val="center"/>
              <w:rPr>
                <w:color w:val="000000" w:themeColor="text1"/>
                <w:sz w:val="15"/>
                <w:szCs w:val="15"/>
              </w:rPr>
            </w:pPr>
          </w:p>
        </w:tc>
      </w:tr>
      <w:tr w:rsidR="00681CDB" w:rsidRPr="00E8387C" w14:paraId="05F430A7" w14:textId="77777777" w:rsidTr="005B0D26">
        <w:tc>
          <w:tcPr>
            <w:tcW w:w="535" w:type="dxa"/>
            <w:tcBorders>
              <w:left w:val="single" w:sz="4" w:space="0" w:color="auto"/>
            </w:tcBorders>
            <w:shd w:val="clear" w:color="auto" w:fill="FFFFFF" w:themeFill="background1"/>
            <w:vAlign w:val="center"/>
          </w:tcPr>
          <w:p w14:paraId="30C7496E" w14:textId="52835AA8"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{"citationItems":[{"id":"ITEM-1","itemData":{"DOI":"10.1017/S1368980018002847","ISSN":"14752727","abstract":"Objective The present paper aimed to demonstrate how 24 h dietary recall data can be used to generate a nutrition-relevant food list for household consumption and expenditure surveys (HCES) using contribution analysis and stepwise regression.Design The analysis used data from the 2011/12 Bangladesh Integrated Household Survey (BIHS), which is nationally representative of rural Bangladesh. A total of 325 primary sampling units (PSU=village) were surveyed through a two-stage stratified sampling approach. The household food consumption module used for the analysis consisted of a 24 h open dietary recall in which the female member in charge of preparing and serving food was asked about foods and quantities consumed by the whole household.Setting Rural Bangladesh.Participants A total of 6500 households.Results The original 24 h open dietary recall data in the BIHS were comprised of 288 individual foods that were grouped into ninety-four similar food groups. Contribution analysis and stepwise regression were based on nutrients of public health interest in Bangladesh (energy, protein, fat, Fe, Zn, vitamin A). These steps revealed that a list of fifty-nine food items captures approximately 90 % of the total intake and up to 90 % of the between-person variation for the key nutrients based on the diets of the population.Conclusions The study illustrates how 24 h open dietary recall data can be used to generate a country-specific nutrition-relevant food list that could be integrated into an HCES consumption module to enable more accurate and comprehensive household-level food and nutrient analyses.","author":[{"dropping-particle":"","family":"Bell","given":"Winnie","non-dropping-particle":"","parse-names":false,"suffix":""},{"dropping-particle":"","family":"Coates","given":"Jennifer C.","non-dropping-particle":"","parse-names":false,"suffix":""},{"dropping-particle":"","family":"Rogers","given":"Beatrice L.","non-dropping-particle":"","parse-names":false,"suffix":""},{"dropping-particle":"","family":"Bermudez","given":"Odilia I.","non-dropping-particle":"","parse-names":false,"suffix":""}],"container-title":"Public Health Nutrition","id":"ITEM-1","issue":"2","issued":{"date-parts":[["2019"]]},"page":"246-256","title":"Getting the food list 'right': An approach for the development of nutrition-relevant food lists for household consumption and expenditure surveys","type":"article-journal","volume":"22"},"uris":["http://www.mendeley.com/documents/?uuid=4ad5bd02-df25-42ab-a937-fb82de146c35"]}],"mendeley":{"formattedCitation":"&lt;sup&gt;(3)&lt;/sup&gt;","plainTextFormattedCitation":"(3)","previouslyFormattedCitation":"[3]"},"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w:t>
            </w:r>
            <w:r w:rsidRPr="00FF3F99">
              <w:rPr>
                <w:color w:val="000000" w:themeColor="text1"/>
                <w:sz w:val="15"/>
                <w:szCs w:val="15"/>
              </w:rPr>
              <w:fldChar w:fldCharType="end"/>
            </w:r>
          </w:p>
        </w:tc>
        <w:tc>
          <w:tcPr>
            <w:tcW w:w="2098" w:type="dxa"/>
            <w:shd w:val="clear" w:color="auto" w:fill="FFFFFF" w:themeFill="background1"/>
            <w:vAlign w:val="center"/>
          </w:tcPr>
          <w:p w14:paraId="6858D242" w14:textId="77777777" w:rsidR="00681CDB" w:rsidRPr="00FF3F99" w:rsidRDefault="00681CDB" w:rsidP="005B0D26">
            <w:pPr>
              <w:ind w:left="0"/>
              <w:rPr>
                <w:color w:val="000000" w:themeColor="text1"/>
                <w:sz w:val="15"/>
                <w:szCs w:val="15"/>
              </w:rPr>
            </w:pPr>
            <w:r w:rsidRPr="00FF3F99">
              <w:rPr>
                <w:color w:val="000000" w:themeColor="text1"/>
                <w:sz w:val="15"/>
                <w:szCs w:val="15"/>
              </w:rPr>
              <w:t>Bell et al. (2019)</w:t>
            </w:r>
          </w:p>
        </w:tc>
        <w:tc>
          <w:tcPr>
            <w:tcW w:w="1322" w:type="dxa"/>
            <w:shd w:val="clear" w:color="auto" w:fill="FFFFFF" w:themeFill="background1"/>
            <w:vAlign w:val="center"/>
          </w:tcPr>
          <w:p w14:paraId="32870AE4"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1980" w:type="dxa"/>
            <w:shd w:val="clear" w:color="auto" w:fill="FFFFFF" w:themeFill="background1"/>
            <w:vAlign w:val="center"/>
          </w:tcPr>
          <w:p w14:paraId="01B9894D"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FFFFFF" w:themeFill="background1"/>
            <w:vAlign w:val="center"/>
          </w:tcPr>
          <w:p w14:paraId="45D4F27D"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FFFFFF" w:themeFill="background1"/>
            <w:vAlign w:val="center"/>
          </w:tcPr>
          <w:p w14:paraId="15678300" w14:textId="77777777" w:rsidR="00681CDB" w:rsidRPr="00FF3F99" w:rsidRDefault="00681CDB" w:rsidP="005B0D26">
            <w:pPr>
              <w:ind w:left="0"/>
              <w:jc w:val="center"/>
              <w:rPr>
                <w:color w:val="000000" w:themeColor="text1"/>
                <w:sz w:val="15"/>
                <w:szCs w:val="15"/>
              </w:rPr>
            </w:pPr>
          </w:p>
        </w:tc>
        <w:tc>
          <w:tcPr>
            <w:tcW w:w="1440" w:type="dxa"/>
            <w:shd w:val="clear" w:color="auto" w:fill="FFFFFF" w:themeFill="background1"/>
            <w:vAlign w:val="center"/>
          </w:tcPr>
          <w:p w14:paraId="3F195C75" w14:textId="77777777" w:rsidR="00681CDB" w:rsidRPr="00FF3F99" w:rsidRDefault="00681CDB" w:rsidP="005B0D26">
            <w:pPr>
              <w:ind w:left="0"/>
              <w:jc w:val="center"/>
              <w:rPr>
                <w:color w:val="000000" w:themeColor="text1"/>
                <w:sz w:val="15"/>
                <w:szCs w:val="15"/>
              </w:rPr>
            </w:pPr>
          </w:p>
        </w:tc>
        <w:tc>
          <w:tcPr>
            <w:tcW w:w="1800" w:type="dxa"/>
            <w:shd w:val="clear" w:color="auto" w:fill="FFFFFF" w:themeFill="background1"/>
            <w:vAlign w:val="center"/>
          </w:tcPr>
          <w:p w14:paraId="4AFCDCF4" w14:textId="77777777" w:rsidR="00681CDB" w:rsidRPr="00FF3F99" w:rsidRDefault="00681CDB" w:rsidP="005B0D26">
            <w:pPr>
              <w:ind w:left="0"/>
              <w:jc w:val="center"/>
              <w:rPr>
                <w:color w:val="000000" w:themeColor="text1"/>
                <w:sz w:val="15"/>
                <w:szCs w:val="15"/>
              </w:rPr>
            </w:pPr>
          </w:p>
        </w:tc>
        <w:tc>
          <w:tcPr>
            <w:tcW w:w="1350" w:type="dxa"/>
            <w:tcBorders>
              <w:right w:val="single" w:sz="4" w:space="0" w:color="auto"/>
            </w:tcBorders>
            <w:shd w:val="clear" w:color="auto" w:fill="FFFFFF" w:themeFill="background1"/>
          </w:tcPr>
          <w:p w14:paraId="61B55E6C" w14:textId="77777777" w:rsidR="00681CDB" w:rsidRPr="00FF3F99" w:rsidRDefault="00681CDB" w:rsidP="005B0D26">
            <w:pPr>
              <w:ind w:left="0"/>
              <w:jc w:val="center"/>
              <w:rPr>
                <w:color w:val="000000" w:themeColor="text1"/>
                <w:sz w:val="15"/>
                <w:szCs w:val="15"/>
              </w:rPr>
            </w:pPr>
          </w:p>
        </w:tc>
      </w:tr>
      <w:tr w:rsidR="00681CDB" w:rsidRPr="00E8387C" w14:paraId="5FEAD712" w14:textId="77777777" w:rsidTr="005B0D26">
        <w:tc>
          <w:tcPr>
            <w:tcW w:w="535" w:type="dxa"/>
            <w:tcBorders>
              <w:left w:val="single" w:sz="4" w:space="0" w:color="auto"/>
            </w:tcBorders>
            <w:shd w:val="clear" w:color="auto" w:fill="D9D9D9" w:themeFill="background1" w:themeFillShade="D9"/>
            <w:vAlign w:val="center"/>
          </w:tcPr>
          <w:p w14:paraId="03FB1ADD" w14:textId="559D345E"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{"citationItems":[{"id":"ITEM-1","itemData":{"DOI":"10.1177/15648265120333s209","ISSN":"03795721","PMID":"23193772","abstract":"Globally, there is a scarcity of national food consumption data that could help to assess food patterns and nutrient intakes of population groups. Estimates of food consumption patterns and apparent intakes of energy and nutrients could be obtained from national Household Consumption and Expenditures Surveys (HCES). To use the HCES conducted in Bangladesh in 2005 (HIES2005) to estimate apparent intakes of vitamin A, iron, and zinc. Food acquisition data from HIES2005, which surveyed 10,080 households, were transformed into standard measurement units. Intrahousehold food and nutrient distribution was estimated with Adult Male Equivalent (AME) units. Adequacy of intake was assessed by comparing individual nutrient intakes with requirements and was then aggregated by households. The weighted mean energy intake for the population was 2,151 kcal/person/day, with a range among divisions from 1,950 in Barisal to 2,195 in Dhaka division. The apparent intakes of vitamin A and iron were insufficient to satisfy the recommended intakes for more than 80% of the population in Bangladesh, while apparent intakes of zinc, adjusted by bioavailability, satisfied the requirements of approximately 60% of the population. Using the HIES2005, we were able to produce estimates of apparent food consumption and intakes of some key micronutrients for the Bangladeshi population and observed wide differences among divisions. However, the methodological approaches reported here, although feasible and promising, need to be validated with other dietary intake methods.","author":[{"dropping-particle":"","family":"Bermudez","given":"Odilia I.","non-dropping-particle":"","parse-names":false,"suffix":""},{"dropping-particle":"","family":"Lividini","given":"Keith","non-dropping-particle":"","parse-names":false,"suffix":""},{"dropping-particle":"","family":"Smitz","given":"Marc Francois","non-dropping-particle":"","parse-names":false,"suffix":""},{"dropping-particle":"","family":"Fiedler","given":"John L.","non-dropping-particle":"","parse-names":false,"suffix":""}],"container-title":"Food and nutrition bulletin","id":"ITEM-1","issue":"3 Suppl","issued":{"date-parts":[["2012"]]},"page":"S208-13","title":"Estimating micronutrient intakes from Household Consumption and Expenditures Surveys (HCES): an example from Bangladesh.","type":"article-journal","volume":"33"},"uris":["http://www.mendeley.com/documents/?uuid=5f0607cd-9d90-4eeb-84ee-0777d82e1f28"]}],"mendeley":{"formattedCitation":"&lt;sup&gt;(4)&lt;/sup&gt;","plainTextFormattedCitation":"(4)","previouslyFormattedCitation":"[4]"},"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w:t>
            </w:r>
            <w:r w:rsidRPr="00FF3F99">
              <w:rPr>
                <w:color w:val="000000" w:themeColor="text1"/>
                <w:sz w:val="15"/>
                <w:szCs w:val="15"/>
              </w:rPr>
              <w:fldChar w:fldCharType="end"/>
            </w:r>
          </w:p>
        </w:tc>
        <w:tc>
          <w:tcPr>
            <w:tcW w:w="2098" w:type="dxa"/>
            <w:shd w:val="clear" w:color="auto" w:fill="D9D9D9" w:themeFill="background1" w:themeFillShade="D9"/>
            <w:vAlign w:val="center"/>
          </w:tcPr>
          <w:p w14:paraId="5342397F" w14:textId="77777777" w:rsidR="00681CDB" w:rsidRPr="00FF3F99" w:rsidRDefault="00681CDB" w:rsidP="005B0D26">
            <w:pPr>
              <w:ind w:left="0"/>
              <w:rPr>
                <w:color w:val="000000" w:themeColor="text1"/>
                <w:sz w:val="15"/>
                <w:szCs w:val="15"/>
              </w:rPr>
            </w:pPr>
            <w:r w:rsidRPr="00FF3F99">
              <w:rPr>
                <w:color w:val="000000" w:themeColor="text1"/>
                <w:sz w:val="15"/>
                <w:szCs w:val="15"/>
              </w:rPr>
              <w:t>Bermudez et al. (2012)</w:t>
            </w:r>
          </w:p>
        </w:tc>
        <w:tc>
          <w:tcPr>
            <w:tcW w:w="1322" w:type="dxa"/>
            <w:shd w:val="clear" w:color="auto" w:fill="D9D9D9" w:themeFill="background1" w:themeFillShade="D9"/>
            <w:vAlign w:val="center"/>
          </w:tcPr>
          <w:p w14:paraId="2EA4933B"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1980" w:type="dxa"/>
            <w:shd w:val="clear" w:color="auto" w:fill="D9D9D9" w:themeFill="background1" w:themeFillShade="D9"/>
            <w:vAlign w:val="center"/>
          </w:tcPr>
          <w:p w14:paraId="7AB10CF5" w14:textId="77777777" w:rsidR="00681CDB" w:rsidRPr="00FF3F99" w:rsidRDefault="00681CDB" w:rsidP="005B0D26">
            <w:pPr>
              <w:ind w:left="0"/>
              <w:rPr>
                <w:color w:val="000000" w:themeColor="text1"/>
                <w:sz w:val="15"/>
                <w:szCs w:val="15"/>
              </w:rPr>
            </w:pPr>
            <w:r w:rsidRPr="00FF3F99">
              <w:rPr>
                <w:color w:val="000000" w:themeColor="text1"/>
                <w:sz w:val="15"/>
                <w:szCs w:val="15"/>
              </w:rPr>
              <w:t>Acquisition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754AFAA0"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14 days</w:t>
            </w:r>
          </w:p>
        </w:tc>
        <w:tc>
          <w:tcPr>
            <w:tcW w:w="1260" w:type="dxa"/>
            <w:shd w:val="clear" w:color="auto" w:fill="D9D9D9" w:themeFill="background1" w:themeFillShade="D9"/>
            <w:vAlign w:val="center"/>
          </w:tcPr>
          <w:p w14:paraId="587DD46B" w14:textId="77777777" w:rsidR="00681CDB" w:rsidRPr="00FF3F99" w:rsidRDefault="00681CDB" w:rsidP="005B0D26">
            <w:pPr>
              <w:ind w:left="0"/>
              <w:jc w:val="center"/>
              <w:rPr>
                <w:color w:val="000000" w:themeColor="text1"/>
                <w:sz w:val="15"/>
                <w:szCs w:val="15"/>
              </w:rPr>
            </w:pPr>
          </w:p>
        </w:tc>
        <w:tc>
          <w:tcPr>
            <w:tcW w:w="1440" w:type="dxa"/>
            <w:shd w:val="clear" w:color="auto" w:fill="D9D9D9" w:themeFill="background1" w:themeFillShade="D9"/>
            <w:vAlign w:val="center"/>
          </w:tcPr>
          <w:p w14:paraId="6E4AF64B"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4CD78AE4" w14:textId="77777777" w:rsidR="00681CDB" w:rsidRPr="00FF3F99" w:rsidRDefault="00681CDB"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03F8192F" w14:textId="77777777" w:rsidR="00681CDB" w:rsidRPr="00FF3F99" w:rsidRDefault="00681CDB" w:rsidP="005B0D26">
            <w:pPr>
              <w:ind w:left="0"/>
              <w:jc w:val="center"/>
              <w:rPr>
                <w:color w:val="000000" w:themeColor="text1"/>
                <w:sz w:val="15"/>
                <w:szCs w:val="15"/>
              </w:rPr>
            </w:pPr>
          </w:p>
        </w:tc>
      </w:tr>
      <w:tr w:rsidR="00681CDB" w:rsidRPr="00E8387C" w14:paraId="33E83E09" w14:textId="77777777" w:rsidTr="005B0D26">
        <w:tc>
          <w:tcPr>
            <w:tcW w:w="535" w:type="dxa"/>
            <w:tcBorders>
              <w:left w:val="single" w:sz="4" w:space="0" w:color="auto"/>
            </w:tcBorders>
            <w:shd w:val="clear" w:color="auto" w:fill="FFFFFF" w:themeFill="background1"/>
            <w:vAlign w:val="center"/>
          </w:tcPr>
          <w:p w14:paraId="4F49B3D1" w14:textId="582B31A0"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{"citationItems":[{"id":"ITEM-1","itemData":{"DOI":"10.1017/S1368980016002615","ISSN":"14752727","abstract":"Objective Fish is the most important animal-source food (ASF) in Bangladesh, produced from capture fisheries (non-farmed) and aquaculture (farmed) sub-sectors. Large differences in micronutrient content of fish species from these sub-sectors exist. The importance of fish in diets of vulnerable groups compared with other ASF; contribution from non-farmed and farmed species to nutrient intakes; and differences in fish consumption among age, gender, wealth groups and geographic regions were analysed, using quantitative intra-household fish consumption data, focusing on the first 1000 d of life. Design Two-stage stratified sample. Setting Nationally representative of rural Bangladesh. Subjects Households (n 5503) and individuals (n 24 198). Results Fish consumption in poor households was almost half that in wealthiest households; and lower in females than males in all groups, except the wealthiest, and for those aged ≥15 years (P&lt;0·01). In infants of complementary feeding age, 56 % did not consume ASF on the survey day, despite 78 % of mothers knowing this was recommended. Non-farmed fish made a larger contribution to Fe, Zn, Ca, vitamin A and vitamin B12 intakes than farmed fish (P&lt;0·0001). Conclusions Policies and programmes aimed to increase fish consumption as a means to improve nutrition in rural Bangladesh should focus on women and young children, and on the poorest households. Aquaculture plays an important role in increasing availability and affordability of fish; however, non-farmed fish species are better placed to contribute to greater micronutrient intakes. This presents an opportunity for aquaculture to contribute to improved nutrition, utilising diverse production technologies and fish species, including small fish.","author":[{"dropping-particle":"","family":"Bogard","given":"Jessica R.","non-dropping-particle":"","parse-names":false,"suffix":""},{"dropping-particle":"","family":"Marks","given":"Geoffrey C.","non-dropping-particle":"","parse-names":false,"suffix":""},{"dropping-particle":"","family":"Mamun","given":"Abdullah","non-dropping-particle":"","parse-names":false,"suffix":""},{"dropping-particle":"","family":"Thilsted","given":"Shakuntala H.","non-dropping-particle":"","parse-names":false,"suffix":""}],"container-title":"Public Health Nutrition","id":"ITEM-1","issue":"4","issued":{"date-parts":[["2017"]]},"page":"702-711","title":"Non-farmed fish contribute to greater micronutrient intakes than farmed fish: Results from an intra-household survey in rural Bangladesh","type":"article-journal","volume":"20"},"uris":["http://www.mendeley.com/documents/?uuid=209940d3-8b0d-47e9-b334-fa27f82c949d"]}],"mendeley":{"formattedCitation":"&lt;sup&gt;(5)&lt;/sup&gt;","plainTextFormattedCitation":"(5)","previouslyFormattedCitation":"[5]"},"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w:t>
            </w:r>
            <w:r w:rsidRPr="00FF3F99">
              <w:rPr>
                <w:color w:val="000000" w:themeColor="text1"/>
                <w:sz w:val="15"/>
                <w:szCs w:val="15"/>
              </w:rPr>
              <w:fldChar w:fldCharType="end"/>
            </w:r>
          </w:p>
        </w:tc>
        <w:tc>
          <w:tcPr>
            <w:tcW w:w="2098" w:type="dxa"/>
            <w:shd w:val="clear" w:color="auto" w:fill="FFFFFF" w:themeFill="background1"/>
            <w:vAlign w:val="center"/>
          </w:tcPr>
          <w:p w14:paraId="59843071"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Bogard</w:t>
            </w:r>
            <w:proofErr w:type="spellEnd"/>
            <w:r w:rsidRPr="00FF3F99">
              <w:rPr>
                <w:color w:val="000000" w:themeColor="text1"/>
                <w:sz w:val="15"/>
                <w:szCs w:val="15"/>
              </w:rPr>
              <w:t xml:space="preserve"> &amp; Mamun (2016)</w:t>
            </w:r>
          </w:p>
        </w:tc>
        <w:tc>
          <w:tcPr>
            <w:tcW w:w="1322" w:type="dxa"/>
            <w:shd w:val="clear" w:color="auto" w:fill="FFFFFF" w:themeFill="background1"/>
            <w:vAlign w:val="center"/>
          </w:tcPr>
          <w:p w14:paraId="3F433EE2"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1980" w:type="dxa"/>
            <w:shd w:val="clear" w:color="auto" w:fill="FFFFFF" w:themeFill="background1"/>
            <w:vAlign w:val="center"/>
          </w:tcPr>
          <w:p w14:paraId="11D04A28"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FFFFFF" w:themeFill="background1"/>
            <w:vAlign w:val="center"/>
          </w:tcPr>
          <w:p w14:paraId="7EB9A324"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FFFFFF" w:themeFill="background1"/>
            <w:vAlign w:val="center"/>
          </w:tcPr>
          <w:p w14:paraId="32B48847" w14:textId="77777777" w:rsidR="00681CDB" w:rsidRPr="00FF3F99" w:rsidRDefault="00681CDB" w:rsidP="005B0D26">
            <w:pPr>
              <w:ind w:left="0"/>
              <w:jc w:val="center"/>
              <w:rPr>
                <w:color w:val="000000" w:themeColor="text1"/>
                <w:sz w:val="15"/>
                <w:szCs w:val="15"/>
              </w:rPr>
            </w:pPr>
          </w:p>
        </w:tc>
        <w:tc>
          <w:tcPr>
            <w:tcW w:w="1440" w:type="dxa"/>
            <w:shd w:val="clear" w:color="auto" w:fill="FFFFFF" w:themeFill="background1"/>
            <w:vAlign w:val="center"/>
          </w:tcPr>
          <w:p w14:paraId="52DCCA5B" w14:textId="77777777" w:rsidR="00681CDB" w:rsidRPr="00FF3F99" w:rsidRDefault="00681CDB" w:rsidP="005B0D26">
            <w:pPr>
              <w:ind w:left="0"/>
              <w:jc w:val="center"/>
              <w:rPr>
                <w:color w:val="000000" w:themeColor="text1"/>
                <w:sz w:val="15"/>
                <w:szCs w:val="15"/>
              </w:rPr>
            </w:pPr>
          </w:p>
        </w:tc>
        <w:tc>
          <w:tcPr>
            <w:tcW w:w="1800" w:type="dxa"/>
            <w:shd w:val="clear" w:color="auto" w:fill="FFFFFF" w:themeFill="background1"/>
            <w:vAlign w:val="center"/>
          </w:tcPr>
          <w:p w14:paraId="7B4BF898" w14:textId="77777777" w:rsidR="00681CDB" w:rsidRPr="00FF3F99" w:rsidRDefault="00681CDB" w:rsidP="005B0D26">
            <w:pPr>
              <w:ind w:left="0"/>
              <w:jc w:val="center"/>
              <w:rPr>
                <w:color w:val="000000" w:themeColor="text1"/>
                <w:sz w:val="15"/>
                <w:szCs w:val="15"/>
              </w:rPr>
            </w:pPr>
          </w:p>
        </w:tc>
        <w:tc>
          <w:tcPr>
            <w:tcW w:w="1350" w:type="dxa"/>
            <w:tcBorders>
              <w:right w:val="single" w:sz="4" w:space="0" w:color="auto"/>
            </w:tcBorders>
            <w:shd w:val="clear" w:color="auto" w:fill="FFFFFF" w:themeFill="background1"/>
          </w:tcPr>
          <w:p w14:paraId="2C8CE2DF" w14:textId="77777777" w:rsidR="00681CDB" w:rsidRPr="00FF3F99" w:rsidRDefault="00681CDB" w:rsidP="005B0D26">
            <w:pPr>
              <w:ind w:left="0"/>
              <w:jc w:val="center"/>
              <w:rPr>
                <w:color w:val="000000" w:themeColor="text1"/>
                <w:sz w:val="15"/>
                <w:szCs w:val="15"/>
              </w:rPr>
            </w:pPr>
          </w:p>
        </w:tc>
      </w:tr>
      <w:tr w:rsidR="00681CDB" w:rsidRPr="00E8387C" w14:paraId="180194D8" w14:textId="77777777" w:rsidTr="005B0D26">
        <w:tc>
          <w:tcPr>
            <w:tcW w:w="535" w:type="dxa"/>
            <w:tcBorders>
              <w:left w:val="single" w:sz="4" w:space="0" w:color="auto"/>
            </w:tcBorders>
            <w:shd w:val="clear" w:color="auto" w:fill="D9D9D9" w:themeFill="background1" w:themeFillShade="D9"/>
            <w:vAlign w:val="center"/>
          </w:tcPr>
          <w:p w14:paraId="6FA09B82" w14:textId="727E168E"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{"citationItems":[{"id":"ITEM-1","itemData":{"DOI":"10.1371/journal.pone.0175098","ISSN":"19326203","abstract":"Malnutrition is one of the biggest challenges of the 21st century, with one in three people in the world malnourished, combined with poor diets being the leading cause of the global burden of disease. Fish is an under-recognised and undervalued source of micronutrients, which could play a more significant role in addressing this global challenge. With rising pressures on capture fisheries, demand is increasingly being met from aquaculture. However, aquaculture systems are designed to maximise productivity, with little consideration for nutritional quality of fish produced. A global shift away from diverse capture species towards consumption of few farmed species, has implications for diet quality that are yet to be fully explored. Bangladesh provides a useful case study of this transition, as fish is the most important animal-source food in diets, and is increasingly supplied from aquaculture. We conducted a temporal analysis of fish consumption and nutrient intakes from fish in Bangladesh, using nationally representative household expenditure surveys from 1991, 2000 and 2010 (n = 25,425 households), combined with detailed species-level nutrient composition data. Fish consumption increased by 30% from 1991-2010. Consumption of non-farmed species declined by 33% over this period, compensated (in terms of quantity) by large increases in consumption of farmed species. Despite increased total fish consumption, there were significant decreases in iron and calcium intakes from fish (P&lt;0.01); and no significant change in intakes of zinc, vitamin A and vitamin B12 from fish, reflecting lower overall nutritional quality of fish available for consumption over time. Our results challenge the conventional narrative that increases in food supply lead to improvements in diet and nutrition. As aquaculture becomes an increasingly important food source, it must embrace a nutrition-sensitive approach, moving beyond maximising productivity to also consider nutritional quality. Doing so will optimise the complementary role that aquaculture and capture fisheries play in improving nutrition and health.","author":[{"dropping-particle":"","family":"Bogard","given":"Jessica R.","non-dropping-particle":"","parse-names":false,"suffix":""},{"dropping-particle":"","family":"Farook","given":"Sami","non-dropping-particle":"","parse-names":false,"suffix":""},{"dropping-particle":"","family":"Marks","given":"Geoffrey C.","non-dropping-particle":"","parse-names":false,"suffix":""},{"dropping-particle":"","family":"Waid","given":"Jillian","non-dropping-particle":"","parse-names":false,"suffix":""},{"dropping-particle":"","family":"Belton","given":"Ben","non-dropping-particle":"","parse-names":false,"suffix":""},{"dropping-particle":"","family":"Ali","given":"Masum","non-dropping-particle":"","parse-names":false,"suffix":""},{"dropping-particle":"","family":"Toufique","given":"Kazi","non-dropping-particle":"","parse-names":false,"suffix":""},{"dropping-particle":"","family":"Mamun","given":"Abdulla","non-dropping-particle":"","parse-names":false,"suffix":""},{"dropping-particle":"","family":"Thilsted","given":"Shakuntala H.","non-dropping-particle":"","parse-names":false,"suffix":""}],"container-title":"PLoS ONE","id":"ITEM-1","issue":"4","issued":{"date-parts":[["2017"]]},"page":"e0175098","title":"Higher fish but lower micronutrient intakes: Temporal changes in fish consumption from capture fisheries and aquaculture in Bangladesh","type":"article-journal","volume":"12"},"uris":["http://www.mendeley.com/documents/?uuid=c2f471f8-b75e-453d-abc3-5ac74119bc05"]}],"mendeley":{"formattedCitation":"&lt;sup&gt;(6)&lt;/sup&gt;","plainTextFormattedCitation":"(6)","previouslyFormattedCitation":"[6]"},"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(6)</w:t>
            </w:r>
            <w:r w:rsidRPr="00FF3F99">
              <w:rPr>
                <w:color w:val="000000" w:themeColor="text1"/>
                <w:sz w:val="15"/>
                <w:szCs w:val="15"/>
              </w:rPr>
              <w:fldChar w:fldCharType="end"/>
            </w:r>
          </w:p>
        </w:tc>
        <w:tc>
          <w:tcPr>
            <w:tcW w:w="2098" w:type="dxa"/>
            <w:shd w:val="clear" w:color="auto" w:fill="D9D9D9" w:themeFill="background1" w:themeFillShade="D9"/>
            <w:vAlign w:val="center"/>
          </w:tcPr>
          <w:p w14:paraId="7F7ACBED"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Bogard</w:t>
            </w:r>
            <w:proofErr w:type="spellEnd"/>
            <w:r w:rsidRPr="00FF3F99">
              <w:rPr>
                <w:color w:val="000000" w:themeColor="text1"/>
                <w:sz w:val="15"/>
                <w:szCs w:val="15"/>
              </w:rPr>
              <w:t xml:space="preserve"> et al. (2017)</w:t>
            </w:r>
          </w:p>
        </w:tc>
        <w:tc>
          <w:tcPr>
            <w:tcW w:w="1322" w:type="dxa"/>
            <w:shd w:val="clear" w:color="auto" w:fill="D9D9D9" w:themeFill="background1" w:themeFillShade="D9"/>
            <w:vAlign w:val="center"/>
          </w:tcPr>
          <w:p w14:paraId="24EE2D20"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1980" w:type="dxa"/>
            <w:shd w:val="clear" w:color="auto" w:fill="D9D9D9" w:themeFill="background1" w:themeFillShade="D9"/>
            <w:vAlign w:val="center"/>
          </w:tcPr>
          <w:p w14:paraId="6045D900"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72A2AD90"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65E961F9" w14:textId="77777777" w:rsidR="00681CDB" w:rsidRPr="00FF3F99" w:rsidRDefault="00681CDB" w:rsidP="005B0D26">
            <w:pPr>
              <w:ind w:left="0"/>
              <w:jc w:val="center"/>
              <w:rPr>
                <w:color w:val="000000" w:themeColor="text1"/>
                <w:sz w:val="15"/>
                <w:szCs w:val="15"/>
              </w:rPr>
            </w:pPr>
          </w:p>
        </w:tc>
        <w:tc>
          <w:tcPr>
            <w:tcW w:w="1440" w:type="dxa"/>
            <w:shd w:val="clear" w:color="auto" w:fill="D9D9D9" w:themeFill="background1" w:themeFillShade="D9"/>
            <w:vAlign w:val="center"/>
          </w:tcPr>
          <w:p w14:paraId="4560869E"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23192A3A" w14:textId="77777777" w:rsidR="00681CDB" w:rsidRPr="00FF3F99" w:rsidRDefault="00681CDB"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1775A9D8" w14:textId="77777777" w:rsidR="00681CDB" w:rsidRPr="00FF3F99" w:rsidRDefault="00681CDB" w:rsidP="005B0D26">
            <w:pPr>
              <w:ind w:left="0"/>
              <w:jc w:val="center"/>
              <w:rPr>
                <w:color w:val="000000" w:themeColor="text1"/>
                <w:sz w:val="15"/>
                <w:szCs w:val="15"/>
              </w:rPr>
            </w:pPr>
          </w:p>
        </w:tc>
      </w:tr>
      <w:tr w:rsidR="00681CDB" w:rsidRPr="00E8387C" w14:paraId="60A9096E" w14:textId="77777777" w:rsidTr="005B0D26">
        <w:tc>
          <w:tcPr>
            <w:tcW w:w="535" w:type="dxa"/>
            <w:tcBorders>
              <w:left w:val="single" w:sz="4" w:space="0" w:color="auto"/>
            </w:tcBorders>
            <w:shd w:val="clear" w:color="auto" w:fill="FFFFFF" w:themeFill="background1"/>
            <w:vAlign w:val="center"/>
          </w:tcPr>
          <w:p w14:paraId="0FB7DFFD" w14:textId="4A3B4792"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{"citationItems":[{"id":"ITEM-1","itemData":{"DOI":"10.3390/nu10060703","ISSN":"20726643","abstract":"Household consumption and expenditure surveys are frequently conducted around the world and they usually include data on household food consumption, but their applicability to nutrition research is limited by their collection at the household level. Using data from Mongolia, this study evaluated four approaches for estimating diet from household surveys: direct inference from per-capita household consumption; disaggregation of household consumption using a statistical method and the “adult male equivalent” method, and direct prediction of dietary intake. Per-capita household consumption overestimated dietary energy in single- and multi-person households by factors of 2.63 and 1.89, respectively. Performance of disaggregation methods was variable across two household surveys analyzed, while the statistical method exhibited less bias in estimating intake densities (per 100 kcal) of most dietary components in both of the surveys. Increasingly complex prediction models explained 54% to 72% of in-sample variation in dietary energy, with consistent benefits incurred by inclusion of basic dietary measurements. In conclusion, in Mongolia and elsewhere, differences in how household and dietary measurements are recorded make their comparison challenging. Validity of disaggregation methods depends on household survey characteristics and the dietary components that are considered. Relatively precise prediction models of dietary intake can be achieved by integrating basic dietary assessment into household surveys.","author":[{"dropping-particle":"","family":"Bromage","given":"Sabri","non-dropping-particle":"","parse-names":false,"suffix":""},{"dropping-particle":"","family":"Rosner","given":"Bernard","non-dropping-particle":"","parse-names":false,"suffix":""},{"dropping-particle":"","family":"Rich-Edwards","given":"Janet W.","non-dropping-particle":"","parse-names":false,"suffix":""},{"dropping-particle":"","family":"Ganmaa","given":"Davaasambuu","non-dropping-particle":"","parse-names":false,"suffix":""},{"dropping-particle":"","family":"Tsolmon","given":"Soninkhishig","non-dropping-particle":"","parse-names":false,"suffix":""},{"dropping-particle":"","family":"Tserendejid","given":"Zuunnast","non-dropping-particle":"","parse-names":false,"suffix":""},{"dropping-particle":"","family":"Odbayar","given":"Tseye Oidov","non-dropping-particle":"","parse-names":false,"suffix":""},{"dropping-particle":"","family":"Traeger","given":"Margaret","non-dropping-particle":"","parse-names":false,"suffix":""},{"dropping-particle":"","family":"Fawzi","given":"Wafaie W.","non-dropping-particle":"","parse-names":false,"suffix":""}],"container-title":"Nutrients","id":"ITEM-1","issue":"6","issued":{"date-parts":[["2018"]]},"page":"703","title":"Comparison of methods for estimating dietary food and nutrient intakes and intake densities from household consumption and expenditure data in Mongolia","type":"article-journal","volume":"10"},"uris":["http://www.mendeley.com/documents/?uuid=337c4197-a54b-47b1-9e2a-a328cd26acb1"]}],"mendeley":{"formattedCitation":"&lt;sup&gt;(7)&lt;/sup&gt;","plainTextFormattedCitation":"(7)","previouslyFormattedCitation":"[7]"},"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(7)</w:t>
            </w:r>
            <w:r w:rsidRPr="00FF3F99">
              <w:rPr>
                <w:color w:val="000000" w:themeColor="text1"/>
                <w:sz w:val="15"/>
                <w:szCs w:val="15"/>
              </w:rPr>
              <w:fldChar w:fldCharType="end"/>
            </w:r>
          </w:p>
        </w:tc>
        <w:tc>
          <w:tcPr>
            <w:tcW w:w="2098" w:type="dxa"/>
            <w:shd w:val="clear" w:color="auto" w:fill="FFFFFF" w:themeFill="background1"/>
            <w:vAlign w:val="center"/>
          </w:tcPr>
          <w:p w14:paraId="1C18A542"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Bromage</w:t>
            </w:r>
            <w:proofErr w:type="spellEnd"/>
            <w:r w:rsidRPr="00FF3F99">
              <w:rPr>
                <w:color w:val="000000" w:themeColor="text1"/>
                <w:sz w:val="15"/>
                <w:szCs w:val="15"/>
              </w:rPr>
              <w:t xml:space="preserve"> et al. (2018)</w:t>
            </w:r>
          </w:p>
        </w:tc>
        <w:tc>
          <w:tcPr>
            <w:tcW w:w="1322" w:type="dxa"/>
            <w:shd w:val="clear" w:color="auto" w:fill="FFFFFF" w:themeFill="background1"/>
            <w:vAlign w:val="center"/>
          </w:tcPr>
          <w:p w14:paraId="78889F3A" w14:textId="77777777" w:rsidR="00681CDB" w:rsidRPr="00FF3F99" w:rsidRDefault="00681CDB" w:rsidP="005B0D26">
            <w:pPr>
              <w:ind w:left="0"/>
              <w:rPr>
                <w:color w:val="000000" w:themeColor="text1"/>
                <w:sz w:val="15"/>
                <w:szCs w:val="15"/>
              </w:rPr>
            </w:pPr>
            <w:r w:rsidRPr="00FF3F99">
              <w:rPr>
                <w:color w:val="000000" w:themeColor="text1"/>
                <w:sz w:val="15"/>
                <w:szCs w:val="15"/>
              </w:rPr>
              <w:t>Mongolia</w:t>
            </w:r>
          </w:p>
        </w:tc>
        <w:tc>
          <w:tcPr>
            <w:tcW w:w="1980" w:type="dxa"/>
            <w:shd w:val="clear" w:color="auto" w:fill="FFFFFF" w:themeFill="background1"/>
            <w:vAlign w:val="center"/>
          </w:tcPr>
          <w:p w14:paraId="2C517480"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2250" w:type="dxa"/>
            <w:shd w:val="clear" w:color="auto" w:fill="FFFFFF" w:themeFill="background1"/>
            <w:vAlign w:val="center"/>
          </w:tcPr>
          <w:p w14:paraId="4BEF12DD"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 (rural) &amp; 10 to 30 days (urban)</w:t>
            </w:r>
          </w:p>
        </w:tc>
        <w:tc>
          <w:tcPr>
            <w:tcW w:w="1260" w:type="dxa"/>
            <w:shd w:val="clear" w:color="auto" w:fill="FFFFFF" w:themeFill="background1"/>
            <w:vAlign w:val="center"/>
          </w:tcPr>
          <w:p w14:paraId="2DB38340"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X</w:t>
            </w:r>
          </w:p>
        </w:tc>
        <w:tc>
          <w:tcPr>
            <w:tcW w:w="1440" w:type="dxa"/>
            <w:shd w:val="clear" w:color="auto" w:fill="FFFFFF" w:themeFill="background1"/>
            <w:vAlign w:val="center"/>
          </w:tcPr>
          <w:p w14:paraId="5ABEF55B" w14:textId="77777777" w:rsidR="00681CDB" w:rsidRPr="00FF3F99" w:rsidRDefault="00681CDB" w:rsidP="005B0D26">
            <w:pPr>
              <w:ind w:left="0"/>
              <w:jc w:val="center"/>
              <w:rPr>
                <w:color w:val="000000" w:themeColor="text1"/>
                <w:sz w:val="15"/>
                <w:szCs w:val="15"/>
              </w:rPr>
            </w:pPr>
            <w:proofErr w:type="spellStart"/>
            <w:r w:rsidRPr="00FF3F99">
              <w:rPr>
                <w:color w:val="000000" w:themeColor="text1"/>
                <w:sz w:val="15"/>
                <w:szCs w:val="15"/>
              </w:rPr>
              <w:t>Multipass</w:t>
            </w:r>
            <w:proofErr w:type="spellEnd"/>
            <w:r w:rsidRPr="00FF3F99">
              <w:rPr>
                <w:color w:val="000000" w:themeColor="text1"/>
                <w:sz w:val="15"/>
                <w:szCs w:val="15"/>
              </w:rPr>
              <w:t xml:space="preserve"> 24-hour individual recall</w:t>
            </w:r>
          </w:p>
        </w:tc>
        <w:tc>
          <w:tcPr>
            <w:tcW w:w="1800" w:type="dxa"/>
            <w:shd w:val="clear" w:color="auto" w:fill="FFFFFF" w:themeFill="background1"/>
            <w:vAlign w:val="center"/>
          </w:tcPr>
          <w:p w14:paraId="6AD78C5B" w14:textId="77777777" w:rsidR="00681CDB" w:rsidRPr="00FF3F99" w:rsidRDefault="00681CDB" w:rsidP="005B0D26">
            <w:pPr>
              <w:ind w:left="0"/>
              <w:jc w:val="center"/>
              <w:rPr>
                <w:color w:val="000000" w:themeColor="text1"/>
                <w:sz w:val="15"/>
                <w:szCs w:val="15"/>
                <w:vertAlign w:val="superscript"/>
              </w:rPr>
            </w:pPr>
            <w:r w:rsidRPr="00FF3F99">
              <w:rPr>
                <w:color w:val="000000" w:themeColor="text1"/>
                <w:sz w:val="15"/>
                <w:szCs w:val="15"/>
              </w:rPr>
              <w:t>Individuals of households from HCES sample</w:t>
            </w:r>
          </w:p>
        </w:tc>
        <w:tc>
          <w:tcPr>
            <w:tcW w:w="1350" w:type="dxa"/>
            <w:tcBorders>
              <w:right w:val="single" w:sz="4" w:space="0" w:color="auto"/>
            </w:tcBorders>
            <w:shd w:val="clear" w:color="auto" w:fill="FFFFFF" w:themeFill="background1"/>
          </w:tcPr>
          <w:p w14:paraId="6A307944" w14:textId="1277924A" w:rsidR="00681CDB" w:rsidRPr="00FF3F99" w:rsidRDefault="00681CDB" w:rsidP="005B0D26">
            <w:pPr>
              <w:ind w:left="0"/>
              <w:jc w:val="center"/>
              <w:rPr>
                <w:color w:val="000000" w:themeColor="text1"/>
                <w:sz w:val="15"/>
                <w:szCs w:val="15"/>
              </w:rPr>
            </w:pPr>
            <w:r w:rsidRPr="00FF3F99">
              <w:rPr>
                <w:color w:val="000000" w:themeColor="text1"/>
                <w:sz w:val="15"/>
                <w:szCs w:val="15"/>
              </w:rPr>
              <w:t xml:space="preserve">All household </w:t>
            </w:r>
            <w:r w:rsidR="00FF3F99" w:rsidRPr="00FF3F99">
              <w:rPr>
                <w:color w:val="000000" w:themeColor="text1"/>
                <w:sz w:val="15"/>
                <w:szCs w:val="15"/>
              </w:rPr>
              <w:t>members</w:t>
            </w:r>
          </w:p>
        </w:tc>
      </w:tr>
      <w:tr w:rsidR="00681CDB" w:rsidRPr="00E8387C" w14:paraId="3A86F0A9" w14:textId="77777777" w:rsidTr="005B0D26">
        <w:tc>
          <w:tcPr>
            <w:tcW w:w="535" w:type="dxa"/>
            <w:tcBorders>
              <w:left w:val="single" w:sz="4" w:space="0" w:color="auto"/>
            </w:tcBorders>
            <w:shd w:val="clear" w:color="auto" w:fill="D9D9D9" w:themeFill="background1" w:themeFillShade="D9"/>
            <w:vAlign w:val="center"/>
          </w:tcPr>
          <w:p w14:paraId="4FDBB819" w14:textId="50488E66"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{"citationItems":[{"id":"ITEM-1","itemData":{"DOI":"10.1017/S1368980018000903","ISSN":"14752727","abstract":"Objective Anaemia is a major contributor to the global disease burden and half of pregnant women in India were anaemic in 2016. The aetiology of anaemia is complex, yet anaemia determinants are frequently examined in isolation. We sought to explore how shifts in sociodemographic (wealth, age at pregnancy, education, open defecation, cooking fuel type, household size), programmatic (iron-folic acid tablet consumption, antenatal care visits) and dietary factors (intake of Fe, folic acid, vitamin B12, phytate) predicted changes in anaemia prevalence.Design Nutrient levels for eighty-eight food items were multiplied by household consumption of these foods to estimate household-level nutrient supply. A synthetic panel data set was created from two rounds of the District Level Household and Facility Survey (2002-04 and 2012-13) and Household Consumer Expenditures Survey (2004-05 and 2011-12). Ordinary least-squares multivariate regression models were used.Setting Districts (n 446) spanning north, north-east, central and south India.Subjects Pregnant women aged 15-49 years (n 17 138).Results In the model accounting for both non-dietary and dietary factors, increased age at pregnancy (P&lt;0·001), reduced village-level open defecation (P=0·001), consuming more Fe (P&lt;0·001) and folic acid (P=0·018) and less phytate (P=0·002), and urbanization (P=0·015) were associated with anaemia reductions. A 10 mg increase in daily household Fe supply from 2012 levels was associated with a 10 % reduction in anaemia.Conclusions Public health interventions to combat anaemia in pregnant women should use a holistic approach, including promotion of delayed marriage, construction and use of toilets, and measures that facilitate adoption of nutrient-rich diets.","author":[{"dropping-particle":"","family":"Chakrabarti","given":"Suman","non-dropping-particle":"","parse-names":false,"suffix":""},{"dropping-particle":"","family":"George","given":"Nitya","non-dropping-particle":"","parse-names":false,"suffix":""},{"dropping-particle":"","family":"Majumder","given":"Moutushi","non-dropping-particle":"","parse-names":false,"suffix":""},{"dropping-particle":"","family":"Raykar","given":"Neha","non-dropping-particle":"","parse-names":false,"suffix":""},{"dropping-particle":"","family":"Scott","given":"Samuel","non-dropping-particle":"","parse-names":false,"suffix":""}],"container-title":"Public Health Nutrition","id":"ITEM-1","issue":"13","issued":{"date-parts":[["2018"]]},"page":"2424-2433","title":"Identifying sociodemographic, programmatic and dietary drivers of anaemia reduction in pregnant Indian women over 10 years","type":"article-journal","volume":"21"},"uris":["http://www.mendeley.com/documents/?uuid=eae1b190-d86e-42db-bc3a-9029de841bbf"]}],"mendeley":{"formattedCitation":"&lt;sup&gt;(8)&lt;/sup&gt;","plainTextFormattedCitation":"(8)","previouslyFormattedCitation":"[8]"},"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(8)</w:t>
            </w:r>
            <w:r w:rsidRPr="00FF3F99">
              <w:rPr>
                <w:color w:val="000000" w:themeColor="text1"/>
                <w:sz w:val="15"/>
                <w:szCs w:val="15"/>
              </w:rPr>
              <w:fldChar w:fldCharType="end"/>
            </w:r>
          </w:p>
        </w:tc>
        <w:tc>
          <w:tcPr>
            <w:tcW w:w="2098" w:type="dxa"/>
            <w:shd w:val="clear" w:color="auto" w:fill="D9D9D9" w:themeFill="background1" w:themeFillShade="D9"/>
            <w:vAlign w:val="center"/>
          </w:tcPr>
          <w:p w14:paraId="3B326994" w14:textId="77777777" w:rsidR="00681CDB" w:rsidRPr="00FF3F99" w:rsidRDefault="00681CDB" w:rsidP="005B0D26">
            <w:pPr>
              <w:ind w:left="0"/>
              <w:rPr>
                <w:color w:val="000000" w:themeColor="text1"/>
                <w:sz w:val="15"/>
                <w:szCs w:val="15"/>
              </w:rPr>
            </w:pPr>
            <w:r w:rsidRPr="00FF3F99">
              <w:rPr>
                <w:color w:val="000000" w:themeColor="text1"/>
                <w:sz w:val="15"/>
                <w:szCs w:val="15"/>
              </w:rPr>
              <w:t>Chakrabarti et al. (2018)</w:t>
            </w:r>
          </w:p>
        </w:tc>
        <w:tc>
          <w:tcPr>
            <w:tcW w:w="1322" w:type="dxa"/>
            <w:shd w:val="clear" w:color="auto" w:fill="D9D9D9" w:themeFill="background1" w:themeFillShade="D9"/>
            <w:vAlign w:val="center"/>
          </w:tcPr>
          <w:p w14:paraId="18092C15" w14:textId="77777777" w:rsidR="00681CDB" w:rsidRPr="00FF3F99" w:rsidRDefault="00681CDB" w:rsidP="005B0D26">
            <w:pPr>
              <w:ind w:left="0"/>
              <w:rPr>
                <w:color w:val="000000" w:themeColor="text1"/>
                <w:sz w:val="15"/>
                <w:szCs w:val="15"/>
              </w:rPr>
            </w:pPr>
            <w:r w:rsidRPr="00FF3F99">
              <w:rPr>
                <w:color w:val="000000" w:themeColor="text1"/>
                <w:sz w:val="15"/>
                <w:szCs w:val="15"/>
              </w:rPr>
              <w:t>India</w:t>
            </w:r>
          </w:p>
        </w:tc>
        <w:tc>
          <w:tcPr>
            <w:tcW w:w="1980" w:type="dxa"/>
            <w:shd w:val="clear" w:color="auto" w:fill="D9D9D9" w:themeFill="background1" w:themeFillShade="D9"/>
            <w:vAlign w:val="center"/>
          </w:tcPr>
          <w:p w14:paraId="32ECE8E3"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45AF1C57"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month</w:t>
            </w:r>
          </w:p>
        </w:tc>
        <w:tc>
          <w:tcPr>
            <w:tcW w:w="1260" w:type="dxa"/>
            <w:shd w:val="clear" w:color="auto" w:fill="D9D9D9" w:themeFill="background1" w:themeFillShade="D9"/>
            <w:vAlign w:val="center"/>
          </w:tcPr>
          <w:p w14:paraId="69DF0135" w14:textId="77777777" w:rsidR="00681CDB" w:rsidRPr="00FF3F99" w:rsidRDefault="00681CDB" w:rsidP="005B0D26">
            <w:pPr>
              <w:ind w:left="0"/>
              <w:jc w:val="center"/>
              <w:rPr>
                <w:color w:val="000000" w:themeColor="text1"/>
                <w:sz w:val="15"/>
                <w:szCs w:val="15"/>
              </w:rPr>
            </w:pPr>
          </w:p>
        </w:tc>
        <w:tc>
          <w:tcPr>
            <w:tcW w:w="1440" w:type="dxa"/>
            <w:shd w:val="clear" w:color="auto" w:fill="D9D9D9" w:themeFill="background1" w:themeFillShade="D9"/>
            <w:vAlign w:val="center"/>
          </w:tcPr>
          <w:p w14:paraId="2B3E32A9"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0C2A4029" w14:textId="77777777" w:rsidR="00681CDB" w:rsidRPr="00FF3F99" w:rsidRDefault="00681CDB"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4BEC124D" w14:textId="77777777" w:rsidR="00681CDB" w:rsidRPr="00FF3F99" w:rsidRDefault="00681CDB" w:rsidP="005B0D26">
            <w:pPr>
              <w:ind w:left="0"/>
              <w:jc w:val="center"/>
              <w:rPr>
                <w:color w:val="000000" w:themeColor="text1"/>
                <w:sz w:val="15"/>
                <w:szCs w:val="15"/>
              </w:rPr>
            </w:pPr>
          </w:p>
        </w:tc>
      </w:tr>
      <w:tr w:rsidR="00681CDB" w:rsidRPr="00E8387C" w14:paraId="26D67B62" w14:textId="77777777" w:rsidTr="005B0D26">
        <w:tc>
          <w:tcPr>
            <w:tcW w:w="535" w:type="dxa"/>
            <w:tcBorders>
              <w:left w:val="single" w:sz="4" w:space="0" w:color="auto"/>
            </w:tcBorders>
            <w:shd w:val="clear" w:color="auto" w:fill="FFFFFF" w:themeFill="background1"/>
            <w:vAlign w:val="center"/>
          </w:tcPr>
          <w:p w14:paraId="65CB5151" w14:textId="5C10545B"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{"citationItems":[{"id":"ITEM-1","itemData":{"DOI":"10.1016/j.worlddev.2015.03.016","ISSN":"18735991","abstract":"Many developing countries experience a food system transformation with a rapid growth of supermarkets. We analyze impacts of supermarkets on farm household nutrition with survey data from Kenya. Participation in supermarket channels is associated with significantly higher calorie, vitamin A, iron, and zinc consumption. We use simultaneous equation models to analyze impact pathways. Supermarket-supplying households have higher incomes, a higher share of land under vegetables, and a higher likelihood of male control of revenues. Furthermore, income and the share of land under vegetables have positive impacts, while male control of revenues has negative impacts on dietary quality. Policy and further research implications are discussed.","author":[{"dropping-particle":"","family":"Chege","given":"Christine G.K.","non-dropping-particle":"","parse-names":false,"suffix":""},{"dropping-particle":"","family":"Andersson","given":"Camilla I.M.","non-dropping-particle":"","parse-names":false,"suffix":""},{"dropping-particle":"","family":"Qaim","given":"Matin","non-dropping-particle":"","parse-names":false,"suffix":""}],"container-title":"World Development","id":"ITEM-1","issued":{"date-parts":[["2015"]]},"page":"394-407","title":"Impacts of Supermarkets on Farm Household Nutrition in Kenya","type":"article-journal","volume":"72"},"uris":["http://www.mendeley.com/documents/?uuid=bfedbce1-f305-44b6-862a-1873fb4bf2d7"]}],"mendeley":{"formattedCitation":"&lt;sup&gt;(9)&lt;/sup&gt;","plainTextFormattedCitation":"(9)","previouslyFormattedCitation":"[9]"},"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(9)</w:t>
            </w:r>
            <w:r w:rsidRPr="00FF3F99">
              <w:rPr>
                <w:color w:val="000000" w:themeColor="text1"/>
                <w:sz w:val="15"/>
                <w:szCs w:val="15"/>
              </w:rPr>
              <w:fldChar w:fldCharType="end"/>
            </w:r>
          </w:p>
        </w:tc>
        <w:tc>
          <w:tcPr>
            <w:tcW w:w="2098" w:type="dxa"/>
            <w:shd w:val="clear" w:color="auto" w:fill="FFFFFF" w:themeFill="background1"/>
            <w:vAlign w:val="center"/>
          </w:tcPr>
          <w:p w14:paraId="43FB8D08"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Chege</w:t>
            </w:r>
            <w:proofErr w:type="spellEnd"/>
            <w:r w:rsidRPr="00FF3F99">
              <w:rPr>
                <w:color w:val="000000" w:themeColor="text1"/>
                <w:sz w:val="15"/>
                <w:szCs w:val="15"/>
              </w:rPr>
              <w:t xml:space="preserve"> et al. (2015)</w:t>
            </w:r>
          </w:p>
        </w:tc>
        <w:tc>
          <w:tcPr>
            <w:tcW w:w="1322" w:type="dxa"/>
            <w:shd w:val="clear" w:color="auto" w:fill="FFFFFF" w:themeFill="background1"/>
            <w:vAlign w:val="center"/>
          </w:tcPr>
          <w:p w14:paraId="245E485F" w14:textId="77777777" w:rsidR="00681CDB" w:rsidRPr="00FF3F99" w:rsidRDefault="00681CDB" w:rsidP="005B0D26">
            <w:pPr>
              <w:ind w:left="0"/>
              <w:rPr>
                <w:color w:val="000000" w:themeColor="text1"/>
                <w:sz w:val="15"/>
                <w:szCs w:val="15"/>
              </w:rPr>
            </w:pPr>
            <w:r w:rsidRPr="00FF3F99">
              <w:rPr>
                <w:color w:val="000000" w:themeColor="text1"/>
                <w:sz w:val="15"/>
                <w:szCs w:val="15"/>
              </w:rPr>
              <w:t>Kenya</w:t>
            </w:r>
          </w:p>
        </w:tc>
        <w:tc>
          <w:tcPr>
            <w:tcW w:w="1980" w:type="dxa"/>
            <w:shd w:val="clear" w:color="auto" w:fill="FFFFFF" w:themeFill="background1"/>
            <w:vAlign w:val="center"/>
          </w:tcPr>
          <w:p w14:paraId="500B1D88"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FFFFFF" w:themeFill="background1"/>
            <w:vAlign w:val="center"/>
          </w:tcPr>
          <w:p w14:paraId="5578CD03"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FFFFFF" w:themeFill="background1"/>
            <w:vAlign w:val="center"/>
          </w:tcPr>
          <w:p w14:paraId="165DC76E" w14:textId="77777777" w:rsidR="00681CDB" w:rsidRPr="00FF3F99" w:rsidRDefault="00681CDB" w:rsidP="005B0D26">
            <w:pPr>
              <w:ind w:left="0"/>
              <w:jc w:val="center"/>
              <w:rPr>
                <w:color w:val="000000" w:themeColor="text1"/>
                <w:sz w:val="15"/>
                <w:szCs w:val="15"/>
              </w:rPr>
            </w:pPr>
          </w:p>
        </w:tc>
        <w:tc>
          <w:tcPr>
            <w:tcW w:w="1440" w:type="dxa"/>
            <w:shd w:val="clear" w:color="auto" w:fill="FFFFFF" w:themeFill="background1"/>
            <w:vAlign w:val="center"/>
          </w:tcPr>
          <w:p w14:paraId="26B88A8C" w14:textId="77777777" w:rsidR="00681CDB" w:rsidRPr="00FF3F99" w:rsidRDefault="00681CDB" w:rsidP="005B0D26">
            <w:pPr>
              <w:ind w:left="0"/>
              <w:jc w:val="center"/>
              <w:rPr>
                <w:color w:val="000000" w:themeColor="text1"/>
                <w:sz w:val="15"/>
                <w:szCs w:val="15"/>
              </w:rPr>
            </w:pPr>
          </w:p>
        </w:tc>
        <w:tc>
          <w:tcPr>
            <w:tcW w:w="1800" w:type="dxa"/>
            <w:shd w:val="clear" w:color="auto" w:fill="FFFFFF" w:themeFill="background1"/>
            <w:vAlign w:val="center"/>
          </w:tcPr>
          <w:p w14:paraId="10A7F08F" w14:textId="77777777" w:rsidR="00681CDB" w:rsidRPr="00FF3F99" w:rsidRDefault="00681CDB" w:rsidP="005B0D26">
            <w:pPr>
              <w:ind w:left="0"/>
              <w:jc w:val="center"/>
              <w:rPr>
                <w:color w:val="000000" w:themeColor="text1"/>
                <w:sz w:val="15"/>
                <w:szCs w:val="15"/>
              </w:rPr>
            </w:pPr>
          </w:p>
        </w:tc>
        <w:tc>
          <w:tcPr>
            <w:tcW w:w="1350" w:type="dxa"/>
            <w:tcBorders>
              <w:right w:val="single" w:sz="4" w:space="0" w:color="auto"/>
            </w:tcBorders>
            <w:shd w:val="clear" w:color="auto" w:fill="FFFFFF" w:themeFill="background1"/>
          </w:tcPr>
          <w:p w14:paraId="15C44D4F" w14:textId="77777777" w:rsidR="00681CDB" w:rsidRPr="00FF3F99" w:rsidRDefault="00681CDB" w:rsidP="005B0D26">
            <w:pPr>
              <w:ind w:left="0"/>
              <w:jc w:val="center"/>
              <w:rPr>
                <w:color w:val="000000" w:themeColor="text1"/>
                <w:sz w:val="15"/>
                <w:szCs w:val="15"/>
              </w:rPr>
            </w:pPr>
          </w:p>
        </w:tc>
      </w:tr>
      <w:tr w:rsidR="00EC3718" w:rsidRPr="00E8387C" w14:paraId="0323B55B" w14:textId="77777777" w:rsidTr="005B0D26">
        <w:tc>
          <w:tcPr>
            <w:tcW w:w="535" w:type="dxa"/>
            <w:tcBorders>
              <w:left w:val="single" w:sz="4" w:space="0" w:color="auto"/>
            </w:tcBorders>
            <w:shd w:val="clear" w:color="auto" w:fill="D9D9D9" w:themeFill="background1" w:themeFillShade="D9"/>
            <w:vAlign w:val="center"/>
          </w:tcPr>
          <w:p w14:paraId="094C527A" w14:textId="1E343A21"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{"citationItems":[{"id":"ITEM-1","itemData":{"DOI":"10.1086/698311","ISSN":"00130079","abstract":"I. Introduction Despite substantial improvements in nutrition and health over the past few decades, high levels of undernourishment and malnourishment persist in Bangladesh (Headey et al. 2015). Inequities in household consumption are particularly important to policymakers and researchers. Although undernourishment is a characteristic of the individual, much of its measurement has centered on national-level and, more recently, household-level statistics (FAO 2013; Rosen et al. 2014). The absence of individual-level food consumption data necessitates the identification of undernourished and food-insecure populations using aggregate data (i.e., household or national). These types of assessments have difficulty in precisely estimating how total available calories are distributed across individuals and subsequently can provide misleading assessments of undernourishment (Barrett 2010). In particular, assessments based on household-level consumption data make strict assumptions about the division of calories within a household such that all members share the same food security classification. Such assumptions can make it difficult to effectively target aid programs at populations that most need assistance. In this article, we use data from the Bangladesh Integrated Household Survey (BIHS) to explore the intrahousehold allocation of food. First, we examine potential inequities in consumption between household members. Second, we examine how inequities in consumption are related to household characteristics, such as women’s empowerment and economic well-being.","author":[{"dropping-particle":"","family":"D’Souza","given":"Anna","non-dropping-particle":"","parse-names":false,"suffix":""},{"dropping-particle":"","family":"Tandon","given":"Sharad","non-dropping-particle":"","parse-names":false,"suffix":""}],"container-title":"ERR-190","id":"ITEM-1","issued":{"date-parts":[["2015"]]},"publisher-place":"Washington, D.C.","title":"Using Household and Intrahousehold Data To Assess Food Insecurity: Evidence From Bangladesh","type":"report"},"uris":["http://www.mendeley.com/documents/?uuid=7c9327fb-d670-437f-adc0-b9ca1009cab3"]}],"mendeley":{"formattedCitation":"&lt;sup&gt;(10)&lt;/sup&gt;","plainTextFormattedCitation":"(10)","previouslyFormattedCitation":"[10]"},"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(10)</w:t>
            </w:r>
            <w:r w:rsidRPr="00FF3F99">
              <w:rPr>
                <w:color w:val="000000" w:themeColor="text1"/>
                <w:sz w:val="15"/>
                <w:szCs w:val="15"/>
              </w:rPr>
              <w:fldChar w:fldCharType="end"/>
            </w:r>
          </w:p>
        </w:tc>
        <w:tc>
          <w:tcPr>
            <w:tcW w:w="2098" w:type="dxa"/>
            <w:shd w:val="clear" w:color="auto" w:fill="D9D9D9" w:themeFill="background1" w:themeFillShade="D9"/>
            <w:vAlign w:val="center"/>
          </w:tcPr>
          <w:p w14:paraId="5004C4D2" w14:textId="77777777" w:rsidR="00EC3718" w:rsidRPr="00FF3F99" w:rsidRDefault="00EC3718" w:rsidP="005B0D26">
            <w:pPr>
              <w:ind w:left="0"/>
              <w:rPr>
                <w:color w:val="000000" w:themeColor="text1"/>
                <w:sz w:val="15"/>
                <w:szCs w:val="15"/>
              </w:rPr>
            </w:pPr>
            <w:r w:rsidRPr="00FF3F99">
              <w:rPr>
                <w:color w:val="000000" w:themeColor="text1"/>
                <w:sz w:val="15"/>
                <w:szCs w:val="15"/>
              </w:rPr>
              <w:t>D’Souza &amp; Tandon (2019)</w:t>
            </w:r>
          </w:p>
        </w:tc>
        <w:tc>
          <w:tcPr>
            <w:tcW w:w="1322" w:type="dxa"/>
            <w:shd w:val="clear" w:color="auto" w:fill="D9D9D9" w:themeFill="background1" w:themeFillShade="D9"/>
            <w:vAlign w:val="center"/>
          </w:tcPr>
          <w:p w14:paraId="61FF9676" w14:textId="77777777" w:rsidR="00EC3718" w:rsidRPr="00FF3F99" w:rsidRDefault="00EC3718" w:rsidP="005B0D26">
            <w:pPr>
              <w:ind w:left="0"/>
              <w:rPr>
                <w:color w:val="000000" w:themeColor="text1"/>
                <w:sz w:val="15"/>
                <w:szCs w:val="15"/>
              </w:rPr>
            </w:pPr>
            <w:r w:rsidRPr="00FF3F99">
              <w:rPr>
                <w:color w:val="000000" w:themeColor="text1"/>
                <w:sz w:val="15"/>
                <w:szCs w:val="15"/>
              </w:rPr>
              <w:t>Bangladesh</w:t>
            </w:r>
          </w:p>
        </w:tc>
        <w:tc>
          <w:tcPr>
            <w:tcW w:w="1980" w:type="dxa"/>
            <w:shd w:val="clear" w:color="auto" w:fill="D9D9D9" w:themeFill="background1" w:themeFillShade="D9"/>
            <w:vAlign w:val="center"/>
          </w:tcPr>
          <w:p w14:paraId="253C1578"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0D1065F4"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4923EE73"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027F7D16"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6FEE5728"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25929325" w14:textId="77777777" w:rsidR="00EC3718" w:rsidRPr="00FF3F99" w:rsidRDefault="00EC3718" w:rsidP="005B0D26">
            <w:pPr>
              <w:ind w:left="0"/>
              <w:jc w:val="center"/>
              <w:rPr>
                <w:color w:val="000000" w:themeColor="text1"/>
                <w:sz w:val="15"/>
                <w:szCs w:val="15"/>
              </w:rPr>
            </w:pPr>
          </w:p>
        </w:tc>
      </w:tr>
      <w:tr w:rsidR="00EC3718" w:rsidRPr="00E8387C" w14:paraId="1323141A" w14:textId="77777777" w:rsidTr="005B0D26">
        <w:tc>
          <w:tcPr>
            <w:tcW w:w="535" w:type="dxa"/>
            <w:tcBorders>
              <w:left w:val="single" w:sz="4" w:space="0" w:color="auto"/>
            </w:tcBorders>
            <w:vAlign w:val="center"/>
          </w:tcPr>
          <w:p w14:paraId="0BF11F68" w14:textId="77263746"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(11)</w:t>
            </w:r>
            <w:r w:rsidRPr="00FF3F99">
              <w:rPr>
                <w:color w:val="000000" w:themeColor="text1"/>
                <w:sz w:val="15"/>
                <w:szCs w:val="15"/>
              </w:rPr>
              <w:fldChar w:fldCharType="end"/>
            </w:r>
          </w:p>
        </w:tc>
        <w:tc>
          <w:tcPr>
            <w:tcW w:w="2098" w:type="dxa"/>
            <w:vAlign w:val="center"/>
          </w:tcPr>
          <w:p w14:paraId="3C4E86DD" w14:textId="77777777" w:rsidR="00EC3718" w:rsidRPr="00FF3F99" w:rsidRDefault="00EC3718" w:rsidP="005B0D26">
            <w:pPr>
              <w:ind w:left="0"/>
              <w:rPr>
                <w:color w:val="000000" w:themeColor="text1"/>
                <w:sz w:val="15"/>
                <w:szCs w:val="15"/>
              </w:rPr>
            </w:pPr>
            <w:proofErr w:type="spellStart"/>
            <w:r w:rsidRPr="00FF3F99">
              <w:rPr>
                <w:color w:val="000000" w:themeColor="text1"/>
                <w:sz w:val="15"/>
                <w:szCs w:val="15"/>
              </w:rPr>
              <w:t>Dary</w:t>
            </w:r>
            <w:proofErr w:type="spellEnd"/>
            <w:r w:rsidRPr="00FF3F99">
              <w:rPr>
                <w:color w:val="000000" w:themeColor="text1"/>
                <w:sz w:val="15"/>
                <w:szCs w:val="15"/>
              </w:rPr>
              <w:t xml:space="preserve"> &amp; </w:t>
            </w:r>
            <w:proofErr w:type="spellStart"/>
            <w:r w:rsidRPr="00FF3F99">
              <w:rPr>
                <w:color w:val="000000" w:themeColor="text1"/>
                <w:sz w:val="15"/>
                <w:szCs w:val="15"/>
              </w:rPr>
              <w:t>Jariseta</w:t>
            </w:r>
            <w:proofErr w:type="spellEnd"/>
            <w:r w:rsidRPr="00FF3F99">
              <w:rPr>
                <w:color w:val="000000" w:themeColor="text1"/>
                <w:sz w:val="15"/>
                <w:szCs w:val="15"/>
              </w:rPr>
              <w:t xml:space="preserve"> (2012)</w:t>
            </w:r>
          </w:p>
        </w:tc>
        <w:tc>
          <w:tcPr>
            <w:tcW w:w="1322" w:type="dxa"/>
            <w:vAlign w:val="center"/>
          </w:tcPr>
          <w:p w14:paraId="2B98B1F4" w14:textId="77777777" w:rsidR="00EC3718" w:rsidRPr="00FF3F99" w:rsidRDefault="00EC3718" w:rsidP="005B0D26">
            <w:pPr>
              <w:ind w:left="0"/>
              <w:rPr>
                <w:color w:val="000000" w:themeColor="text1"/>
                <w:sz w:val="15"/>
                <w:szCs w:val="15"/>
              </w:rPr>
            </w:pPr>
            <w:r w:rsidRPr="00FF3F99">
              <w:rPr>
                <w:color w:val="000000" w:themeColor="text1"/>
                <w:sz w:val="15"/>
                <w:szCs w:val="15"/>
              </w:rPr>
              <w:t>Uganda</w:t>
            </w:r>
          </w:p>
        </w:tc>
        <w:tc>
          <w:tcPr>
            <w:tcW w:w="1980" w:type="dxa"/>
            <w:vAlign w:val="center"/>
          </w:tcPr>
          <w:p w14:paraId="1BEFBADB"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56E01589"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6DA70887"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X</w:t>
            </w:r>
          </w:p>
        </w:tc>
        <w:tc>
          <w:tcPr>
            <w:tcW w:w="1440" w:type="dxa"/>
            <w:vAlign w:val="center"/>
          </w:tcPr>
          <w:p w14:paraId="3BFF0221" w14:textId="77777777" w:rsidR="00EC3718" w:rsidRPr="00FF3F99" w:rsidRDefault="00EC3718" w:rsidP="005B0D26">
            <w:pPr>
              <w:ind w:left="0"/>
              <w:jc w:val="center"/>
              <w:rPr>
                <w:color w:val="000000" w:themeColor="text1"/>
                <w:sz w:val="15"/>
                <w:szCs w:val="15"/>
              </w:rPr>
            </w:pPr>
            <w:proofErr w:type="spellStart"/>
            <w:r w:rsidRPr="00FF3F99">
              <w:rPr>
                <w:color w:val="000000" w:themeColor="text1"/>
                <w:sz w:val="15"/>
                <w:szCs w:val="15"/>
              </w:rPr>
              <w:t>Multipass</w:t>
            </w:r>
            <w:proofErr w:type="spellEnd"/>
            <w:r w:rsidRPr="00FF3F99">
              <w:rPr>
                <w:color w:val="000000" w:themeColor="text1"/>
                <w:sz w:val="15"/>
                <w:szCs w:val="15"/>
              </w:rPr>
              <w:t xml:space="preserve"> 24-hour individual recall</w:t>
            </w:r>
          </w:p>
        </w:tc>
        <w:tc>
          <w:tcPr>
            <w:tcW w:w="1800" w:type="dxa"/>
            <w:vAlign w:val="center"/>
          </w:tcPr>
          <w:p w14:paraId="410172CC"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Different sample</w:t>
            </w:r>
            <w:r w:rsidRPr="00FF3F99">
              <w:rPr>
                <w:color w:val="000000" w:themeColor="text1"/>
                <w:sz w:val="15"/>
                <w:szCs w:val="15"/>
                <w:vertAlign w:val="superscript"/>
              </w:rPr>
              <w:t>1</w:t>
            </w:r>
          </w:p>
        </w:tc>
        <w:tc>
          <w:tcPr>
            <w:tcW w:w="1350" w:type="dxa"/>
            <w:tcBorders>
              <w:right w:val="single" w:sz="4" w:space="0" w:color="auto"/>
            </w:tcBorders>
          </w:tcPr>
          <w:p w14:paraId="6F9DC889"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Children &lt;5 years old &amp; women</w:t>
            </w:r>
          </w:p>
        </w:tc>
      </w:tr>
      <w:tr w:rsidR="00EC3718" w:rsidRPr="00E8387C" w14:paraId="44B1C928" w14:textId="77777777" w:rsidTr="005B0D26">
        <w:tc>
          <w:tcPr>
            <w:tcW w:w="535" w:type="dxa"/>
            <w:tcBorders>
              <w:left w:val="single" w:sz="4" w:space="0" w:color="auto"/>
            </w:tcBorders>
            <w:shd w:val="clear" w:color="auto" w:fill="D9D9D9" w:themeFill="background1" w:themeFillShade="D9"/>
            <w:vAlign w:val="center"/>
          </w:tcPr>
          <w:p w14:paraId="43C6E550" w14:textId="403AC236"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{"citationItems":[{"id":"ITEM-1","itemData":{"DOI":"10.1086/686669","ISSN":"0013-0079","abstract":"There is widespread interest in the number of hungry people in the world and trends in hunger. Current global counts rely on combining each country's total food balance with information on distribution patterns from household consumption expenditure surveys. Recent research has advocated for calculating hunger numbers directly from these same surveys. For either approach, embedded in this effort are a number of important details about how household surveys are designed and how these data are then used. Using a survey experiment in Tanzania, this study finds great fragility in hunger counts stemming from alternative survey designs. As a consequence, comparable and valid hunger numbers will be lacking until more effort is made to either harmonize survey designs or better understand the consequences of survey design variation.","author":[{"dropping-particle":"","family":"Weerdt","given":"Joachim","non-dropping-particle":"De","parse-names":false,"suffix":""},{"dropping-particle":"","family":"Beegle","given":"Kathleen","non-dropping-particle":"","parse-names":false,"suffix":""},{"dropping-particle":"","family":"Friedman","given":"Jed","non-dropping-particle":"","parse-names":false,"suffix":""},{"dropping-particle":"","family":"Gibson","given":"John","non-dropping-particle":"","parse-names":false,"suffix":""},{"dropping-particle":"","family":"Bank.","given":"World","non-dropping-particle":"","parse-names":false,"suffix":""}],"container-title":"Policy Research Working Paper","id":"ITEM-1","issued":{"date-parts":[["2014"]]},"number":"6736","publisher-place":"Washington, DC","title":"The Challenge of Measuring Hunger","type":"report"},"uris":["http://www.mendeley.com/documents/?uuid=fc51208a-f627-4981-b786-4c389a72d7da"]}],"mendeley":{"formattedCitation":"&lt;sup&gt;(12)&lt;/sup&gt;","plainTextFormattedCitation":"(12)","previouslyFormattedCitation":"[12]"},"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(12)</w:t>
            </w:r>
            <w:r w:rsidRPr="00FF3F99">
              <w:rPr>
                <w:color w:val="000000" w:themeColor="text1"/>
                <w:sz w:val="15"/>
                <w:szCs w:val="15"/>
              </w:rPr>
              <w:fldChar w:fldCharType="end"/>
            </w:r>
          </w:p>
        </w:tc>
        <w:tc>
          <w:tcPr>
            <w:tcW w:w="2098" w:type="dxa"/>
            <w:shd w:val="clear" w:color="auto" w:fill="D9D9D9" w:themeFill="background1" w:themeFillShade="D9"/>
            <w:vAlign w:val="center"/>
          </w:tcPr>
          <w:p w14:paraId="40580CEC" w14:textId="77777777" w:rsidR="00EC3718" w:rsidRPr="00FF3F99" w:rsidRDefault="00EC3718" w:rsidP="005B0D26">
            <w:pPr>
              <w:ind w:left="0"/>
              <w:rPr>
                <w:color w:val="000000" w:themeColor="text1"/>
                <w:sz w:val="15"/>
                <w:szCs w:val="15"/>
              </w:rPr>
            </w:pPr>
            <w:r w:rsidRPr="00FF3F99">
              <w:rPr>
                <w:color w:val="000000" w:themeColor="text1"/>
                <w:sz w:val="15"/>
                <w:szCs w:val="15"/>
              </w:rPr>
              <w:t xml:space="preserve">de </w:t>
            </w:r>
            <w:proofErr w:type="spellStart"/>
            <w:r w:rsidRPr="00FF3F99">
              <w:rPr>
                <w:color w:val="000000" w:themeColor="text1"/>
                <w:sz w:val="15"/>
                <w:szCs w:val="15"/>
              </w:rPr>
              <w:t>Weerdt</w:t>
            </w:r>
            <w:proofErr w:type="spellEnd"/>
            <w:r w:rsidRPr="00FF3F99">
              <w:rPr>
                <w:color w:val="000000" w:themeColor="text1"/>
                <w:sz w:val="15"/>
                <w:szCs w:val="15"/>
              </w:rPr>
              <w:t xml:space="preserve"> et al. (2014)</w:t>
            </w:r>
          </w:p>
        </w:tc>
        <w:tc>
          <w:tcPr>
            <w:tcW w:w="1322" w:type="dxa"/>
            <w:shd w:val="clear" w:color="auto" w:fill="D9D9D9" w:themeFill="background1" w:themeFillShade="D9"/>
            <w:vAlign w:val="center"/>
          </w:tcPr>
          <w:p w14:paraId="0CF491EE" w14:textId="77777777" w:rsidR="00EC3718" w:rsidRPr="00FF3F99" w:rsidRDefault="00EC3718" w:rsidP="005B0D26">
            <w:pPr>
              <w:ind w:left="0"/>
              <w:rPr>
                <w:color w:val="000000" w:themeColor="text1"/>
                <w:sz w:val="15"/>
                <w:szCs w:val="15"/>
              </w:rPr>
            </w:pPr>
            <w:r w:rsidRPr="00FF3F99">
              <w:rPr>
                <w:color w:val="000000" w:themeColor="text1"/>
                <w:sz w:val="15"/>
                <w:szCs w:val="15"/>
              </w:rPr>
              <w:t>Tanzania</w:t>
            </w:r>
          </w:p>
        </w:tc>
        <w:tc>
          <w:tcPr>
            <w:tcW w:w="1980" w:type="dxa"/>
            <w:shd w:val="clear" w:color="auto" w:fill="D9D9D9" w:themeFill="background1" w:themeFillShade="D9"/>
            <w:vAlign w:val="center"/>
          </w:tcPr>
          <w:p w14:paraId="1D8F02EC"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126FD8B3"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 14 days, &amp; 12 months</w:t>
            </w:r>
          </w:p>
        </w:tc>
        <w:tc>
          <w:tcPr>
            <w:tcW w:w="1260" w:type="dxa"/>
            <w:shd w:val="clear" w:color="auto" w:fill="D9D9D9" w:themeFill="background1" w:themeFillShade="D9"/>
            <w:vAlign w:val="center"/>
          </w:tcPr>
          <w:p w14:paraId="67D91102"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0D6E6C98"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6048C827"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63335E33" w14:textId="77777777" w:rsidR="00EC3718" w:rsidRPr="00FF3F99" w:rsidRDefault="00EC3718" w:rsidP="005B0D26">
            <w:pPr>
              <w:ind w:left="0"/>
              <w:jc w:val="center"/>
              <w:rPr>
                <w:color w:val="000000" w:themeColor="text1"/>
                <w:sz w:val="15"/>
                <w:szCs w:val="15"/>
              </w:rPr>
            </w:pPr>
          </w:p>
        </w:tc>
      </w:tr>
      <w:tr w:rsidR="00EC3718" w:rsidRPr="00E8387C" w14:paraId="287193C8" w14:textId="77777777" w:rsidTr="005B0D26">
        <w:tc>
          <w:tcPr>
            <w:tcW w:w="535" w:type="dxa"/>
            <w:tcBorders>
              <w:left w:val="single" w:sz="4" w:space="0" w:color="auto"/>
            </w:tcBorders>
            <w:vAlign w:val="center"/>
          </w:tcPr>
          <w:p w14:paraId="737EDC52" w14:textId="15B84D4C"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{"citationItems":[{"id":"ITEM-1","itemData":{"DOI":"10.1177/0379572118783492","ISSN":"03795721","PMID":"30068220","abstract":"Background: Production of rice and wheat increased dramatically in India over the past decades, with reduced proportion of coarse cereals in the food supply. Objective: We assess impacts of changes in cereal consumption in India on intake of iron and other micronutrients and whether increased consumption of coarse cereals could help alleviate anemia prevalence. Methods: With consumption data from over 800 000 households, we calculate intake of iron and other micronutrients from 84 food items from 1983 to 2011. We use mixed-effect models to relate state-level anemia prevalence in women and children to micronutrient consumption and household characteristics. Results: Coarse cereals reduced from 23% to 6% of calories from cereals in rural households (10% to 3% in urban households) between 1983 and 2011, with wide variations across states. Loss of iron from coarse cereals was only partially compensated by increased iron from other cereals and food groups, with a 21% (rural) and 11% (urban) net loss of total iron intake. Models indicate negative association between iron from cereals and anemia prevalence in women. The benefit from increased iron from coarse cereals is partially offset by the adverse effects from antinutrients. For children, anemia was negatively associated with heme–iron consumption but not with iron from cereals. Conclusions: Loss of coarse cereals in the Indian diet has substantially reduced iron intake without compensation from other food groups, particularly in states where rice rather than wheat replaced coarse cereals. Increased consumption of coarse cereals could reduce anemia prevalence in Indian women along with other interventions.","author":[{"dropping-particle":"","family":"DeFries","given":"Ruth","non-dropping-particle":"","parse-names":false,"suffix":""},{"dropping-particle":"","family":"Chhatre","given":"Ashwini","non-dropping-particle":"","parse-names":false,"suffix":""},{"dropping-particle":"","family":"Davis","given":"Kyle Frankel","non-dropping-particle":"","parse-names":false,"suffix":""},{"dropping-particle":"","family":"Dutta","given":"Arnab","non-dropping-particle":"","parse-names":false,"suffix":""},{"dropping-particle":"","family":"Fanzo","given":"Jessica","non-dropping-particle":"","parse-names":false,"suffix":""},{"dropping-particle":"","family":"Ghosh-Jerath","given":"Suparna","non-dropping-particle":"","parse-names":false,"suffix":""},{"dropping-particle":"","family":"Myers","given":"Samuel","non-dropping-particle":"","parse-names":false,"suffix":""},{"dropping-particle":"","family":"Rao","given":"Narasimha D.","non-dropping-particle":"","parse-names":false,"suffix":""},{"dropping-particle":"","family":"Smith","given":"Matthew R.","non-dropping-particle":"","parse-names":false,"suffix":""}],"container-title":"Food and Nutrition Bulletin","id":"ITEM-1","issue":"3","issued":{"date-parts":[["2018"]]},"page":"377-392","title":"Impact of Historical Changes in Coarse Cereals Consumption in India on Micronutrient Intake and Anemia Prevalence","type":"article-journal","volume":"39"},"uris":["http://www.mendeley.com/documents/?uuid=f41b0412-09df-4829-a060-7f2295fd9025"]}],"mendeley":{"formattedCitation":"&lt;sup&gt;(13)&lt;/sup&gt;","plainTextFormattedCitation":"(13)","previouslyFormattedCitation":"[13]"},"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(13)</w:t>
            </w:r>
            <w:r w:rsidRPr="00FF3F99">
              <w:rPr>
                <w:color w:val="000000" w:themeColor="text1"/>
                <w:sz w:val="15"/>
                <w:szCs w:val="15"/>
              </w:rPr>
              <w:fldChar w:fldCharType="end"/>
            </w:r>
          </w:p>
        </w:tc>
        <w:tc>
          <w:tcPr>
            <w:tcW w:w="2098" w:type="dxa"/>
            <w:vAlign w:val="center"/>
          </w:tcPr>
          <w:p w14:paraId="64D718FE" w14:textId="77777777" w:rsidR="00EC3718" w:rsidRPr="00FF3F99" w:rsidRDefault="00EC3718" w:rsidP="005B0D26">
            <w:pPr>
              <w:ind w:left="0"/>
              <w:rPr>
                <w:color w:val="000000" w:themeColor="text1"/>
                <w:sz w:val="15"/>
                <w:szCs w:val="15"/>
              </w:rPr>
            </w:pPr>
            <w:proofErr w:type="spellStart"/>
            <w:r w:rsidRPr="00FF3F99">
              <w:rPr>
                <w:color w:val="000000" w:themeColor="text1"/>
                <w:sz w:val="15"/>
                <w:szCs w:val="15"/>
              </w:rPr>
              <w:t>DeFries</w:t>
            </w:r>
            <w:proofErr w:type="spellEnd"/>
            <w:r w:rsidRPr="00FF3F99">
              <w:rPr>
                <w:color w:val="000000" w:themeColor="text1"/>
                <w:sz w:val="15"/>
                <w:szCs w:val="15"/>
              </w:rPr>
              <w:t xml:space="preserve"> et al. (2018)</w:t>
            </w:r>
          </w:p>
        </w:tc>
        <w:tc>
          <w:tcPr>
            <w:tcW w:w="1322" w:type="dxa"/>
            <w:vAlign w:val="center"/>
          </w:tcPr>
          <w:p w14:paraId="2AE6B4FF" w14:textId="77777777" w:rsidR="00EC3718" w:rsidRPr="00FF3F99" w:rsidRDefault="00EC3718" w:rsidP="005B0D26">
            <w:pPr>
              <w:ind w:left="0"/>
              <w:rPr>
                <w:color w:val="000000" w:themeColor="text1"/>
                <w:sz w:val="15"/>
                <w:szCs w:val="15"/>
              </w:rPr>
            </w:pPr>
            <w:r w:rsidRPr="00FF3F99">
              <w:rPr>
                <w:color w:val="000000" w:themeColor="text1"/>
                <w:sz w:val="15"/>
                <w:szCs w:val="15"/>
              </w:rPr>
              <w:t>India</w:t>
            </w:r>
          </w:p>
        </w:tc>
        <w:tc>
          <w:tcPr>
            <w:tcW w:w="1980" w:type="dxa"/>
            <w:vAlign w:val="center"/>
          </w:tcPr>
          <w:p w14:paraId="6FBA639D"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 &amp; expenditure</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5C8C7B17"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1 month</w:t>
            </w:r>
          </w:p>
        </w:tc>
        <w:tc>
          <w:tcPr>
            <w:tcW w:w="1260" w:type="dxa"/>
            <w:vAlign w:val="center"/>
          </w:tcPr>
          <w:p w14:paraId="145B0157" w14:textId="77777777" w:rsidR="00EC3718" w:rsidRPr="00FF3F99" w:rsidRDefault="00EC3718" w:rsidP="005B0D26">
            <w:pPr>
              <w:ind w:left="0"/>
              <w:jc w:val="center"/>
              <w:rPr>
                <w:color w:val="000000" w:themeColor="text1"/>
                <w:sz w:val="15"/>
                <w:szCs w:val="15"/>
              </w:rPr>
            </w:pPr>
          </w:p>
        </w:tc>
        <w:tc>
          <w:tcPr>
            <w:tcW w:w="1440" w:type="dxa"/>
            <w:vAlign w:val="center"/>
          </w:tcPr>
          <w:p w14:paraId="024F343C" w14:textId="77777777" w:rsidR="00EC3718" w:rsidRPr="00FF3F99" w:rsidRDefault="00EC3718" w:rsidP="005B0D26">
            <w:pPr>
              <w:ind w:left="0"/>
              <w:jc w:val="center"/>
              <w:rPr>
                <w:color w:val="000000" w:themeColor="text1"/>
                <w:sz w:val="15"/>
                <w:szCs w:val="15"/>
              </w:rPr>
            </w:pPr>
          </w:p>
        </w:tc>
        <w:tc>
          <w:tcPr>
            <w:tcW w:w="1800" w:type="dxa"/>
            <w:vAlign w:val="center"/>
          </w:tcPr>
          <w:p w14:paraId="33939C2B"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40DAE435" w14:textId="77777777" w:rsidR="00EC3718" w:rsidRPr="00FF3F99" w:rsidRDefault="00EC3718" w:rsidP="005B0D26">
            <w:pPr>
              <w:ind w:left="0"/>
              <w:jc w:val="center"/>
              <w:rPr>
                <w:color w:val="000000" w:themeColor="text1"/>
                <w:sz w:val="15"/>
                <w:szCs w:val="15"/>
              </w:rPr>
            </w:pPr>
          </w:p>
        </w:tc>
      </w:tr>
      <w:tr w:rsidR="00EC3718" w:rsidRPr="00E8387C" w14:paraId="4C37D3C1" w14:textId="77777777" w:rsidTr="005B0D26">
        <w:tc>
          <w:tcPr>
            <w:tcW w:w="535" w:type="dxa"/>
            <w:tcBorders>
              <w:left w:val="single" w:sz="4" w:space="0" w:color="auto"/>
            </w:tcBorders>
            <w:shd w:val="clear" w:color="auto" w:fill="D9D9D9" w:themeFill="background1" w:themeFillShade="D9"/>
            <w:vAlign w:val="center"/>
          </w:tcPr>
          <w:p w14:paraId="283F20EC" w14:textId="52D58840"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{"citationItems":[{"id":"ITEM-1","itemData":{"DOI":"10.1177/15648265070282s212","ISSN":"03795721","abstract":"Background. As the public sector and civil society develop intervention programs to deal with the HIV/AIDS epidemic, there has been an increasing emphasis on the relationship between nutrition and the disease. Drug interventions may be ineffective, and the progression from HIV infection to full-blown AIDS may be accelerated without adequate nutrition. Mozambique is still fighting an increasing prevalence rate of HIV, including in rural areas. Rural households in Mozambique rely heavily on their own agricultural production for the basic macronutrients. Objectives. To evaluate the extent to which household agricultural production of basic staples meets overall household needs for major macronutrients, comparing households affected and not directly affected by HIV/AIDS and other major illnesses over two time periods. Methods. This research analyzes nationally representative panel data from rural household surveys conducted in 2002 and 2005 to evaluate whether households that have suffered the chronic illness or illness-related death of prime-age adult members (15 to 49 years of age) are more vulnerable to macronutrient gaps. Results. Households in the South and in the North with a male illness or death in 2002 produced significantly less macronutrients from crops in 2005 than nonaffected households. These households also had significantly lower income per adult equivalent. Conclusions. Mortality or illness from HIV/AIDS affects the ability of agricultural households dependent on own-food production to produce macronutrients. Interventions to improve access to food may be needed for affected households, particularly in light of their inability to recover over time. More analysis is needed to understand income sources, crop diversification, and access to macronutrients through the market. © 2007, The United Nations University.","author":[{"dropping-particle":"","family":"Donovan","given":"Cynthia","non-dropping-particle":"","parse-names":false,"suffix":""},{"dropping-particle":"","family":"Massingue","given":"Jaquelino","non-dropping-particle":"","parse-names":false,"suffix":""}],"container-title":"Food and Nutrition Bulletin","id":"ITEM-1","issue":"2 Suppl","issued":{"date-parts":[["2007"]]},"page":"S331-8","title":"Illness, death, and macronutrients: Adequacy of rural Mozambican household production of macronutrients in the face of HIV/AIDS","type":"article-journal","volume":"28"},"uris":["http://www.mendeley.com/documents/?uuid=89d294c4-9234-4e36-8ec6-43fd2b86fec4"]}],"mendeley":{"formattedCitation":"&lt;sup&gt;(14)&lt;/sup&gt;","plainTextFormattedCitation":"(14)","previouslyFormattedCitation":"[14]"},"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(14)</w:t>
            </w:r>
            <w:r w:rsidRPr="00FF3F99">
              <w:rPr>
                <w:color w:val="000000" w:themeColor="text1"/>
                <w:sz w:val="15"/>
                <w:szCs w:val="15"/>
              </w:rPr>
              <w:fldChar w:fldCharType="end"/>
            </w:r>
          </w:p>
        </w:tc>
        <w:tc>
          <w:tcPr>
            <w:tcW w:w="2098" w:type="dxa"/>
            <w:shd w:val="clear" w:color="auto" w:fill="D9D9D9" w:themeFill="background1" w:themeFillShade="D9"/>
            <w:vAlign w:val="center"/>
          </w:tcPr>
          <w:p w14:paraId="18DEB93B" w14:textId="77777777" w:rsidR="00EC3718" w:rsidRPr="00FF3F99" w:rsidRDefault="00EC3718" w:rsidP="005B0D26">
            <w:pPr>
              <w:ind w:left="0"/>
              <w:rPr>
                <w:color w:val="000000" w:themeColor="text1"/>
                <w:sz w:val="15"/>
                <w:szCs w:val="15"/>
              </w:rPr>
            </w:pPr>
            <w:r w:rsidRPr="00FF3F99">
              <w:rPr>
                <w:color w:val="000000" w:themeColor="text1"/>
                <w:sz w:val="15"/>
                <w:szCs w:val="15"/>
              </w:rPr>
              <w:t xml:space="preserve">Donovan &amp; </w:t>
            </w:r>
            <w:proofErr w:type="spellStart"/>
            <w:r w:rsidRPr="00FF3F99">
              <w:rPr>
                <w:color w:val="000000" w:themeColor="text1"/>
                <w:sz w:val="15"/>
                <w:szCs w:val="15"/>
              </w:rPr>
              <w:t>Massingue</w:t>
            </w:r>
            <w:proofErr w:type="spellEnd"/>
            <w:r w:rsidRPr="00FF3F99">
              <w:rPr>
                <w:color w:val="000000" w:themeColor="text1"/>
                <w:sz w:val="15"/>
                <w:szCs w:val="15"/>
              </w:rPr>
              <w:t xml:space="preserve"> (2007)</w:t>
            </w:r>
          </w:p>
        </w:tc>
        <w:tc>
          <w:tcPr>
            <w:tcW w:w="1322" w:type="dxa"/>
            <w:shd w:val="clear" w:color="auto" w:fill="D9D9D9" w:themeFill="background1" w:themeFillShade="D9"/>
            <w:vAlign w:val="center"/>
          </w:tcPr>
          <w:p w14:paraId="3374C874" w14:textId="77777777" w:rsidR="00EC3718" w:rsidRPr="00FF3F99" w:rsidRDefault="00EC3718" w:rsidP="005B0D26">
            <w:pPr>
              <w:ind w:left="0"/>
              <w:rPr>
                <w:color w:val="000000" w:themeColor="text1"/>
                <w:sz w:val="15"/>
                <w:szCs w:val="15"/>
              </w:rPr>
            </w:pPr>
            <w:r w:rsidRPr="00FF3F99">
              <w:rPr>
                <w:color w:val="000000" w:themeColor="text1"/>
                <w:sz w:val="15"/>
                <w:szCs w:val="15"/>
              </w:rPr>
              <w:t>Mozambique</w:t>
            </w:r>
          </w:p>
        </w:tc>
        <w:tc>
          <w:tcPr>
            <w:tcW w:w="1980" w:type="dxa"/>
            <w:shd w:val="clear" w:color="auto" w:fill="D9D9D9" w:themeFill="background1" w:themeFillShade="D9"/>
            <w:vAlign w:val="center"/>
          </w:tcPr>
          <w:p w14:paraId="223AD093" w14:textId="77777777" w:rsidR="00EC3718" w:rsidRPr="00FF3F99" w:rsidRDefault="00EC3718" w:rsidP="005B0D26">
            <w:pPr>
              <w:ind w:left="0"/>
              <w:rPr>
                <w:color w:val="000000" w:themeColor="text1"/>
                <w:sz w:val="15"/>
                <w:szCs w:val="15"/>
              </w:rPr>
            </w:pPr>
            <w:r w:rsidRPr="00FF3F99">
              <w:rPr>
                <w:color w:val="000000" w:themeColor="text1"/>
                <w:sz w:val="15"/>
                <w:szCs w:val="15"/>
              </w:rPr>
              <w:t>Acquisition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4560675A"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1 year</w:t>
            </w:r>
          </w:p>
        </w:tc>
        <w:tc>
          <w:tcPr>
            <w:tcW w:w="1260" w:type="dxa"/>
            <w:shd w:val="clear" w:color="auto" w:fill="D9D9D9" w:themeFill="background1" w:themeFillShade="D9"/>
            <w:vAlign w:val="center"/>
          </w:tcPr>
          <w:p w14:paraId="1E69BA45"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591BA2FC"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1448870D"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3D71A79C" w14:textId="77777777" w:rsidR="00EC3718" w:rsidRPr="00FF3F99" w:rsidRDefault="00EC3718" w:rsidP="005B0D26">
            <w:pPr>
              <w:ind w:left="0"/>
              <w:jc w:val="center"/>
              <w:rPr>
                <w:color w:val="000000" w:themeColor="text1"/>
                <w:sz w:val="15"/>
                <w:szCs w:val="15"/>
              </w:rPr>
            </w:pPr>
          </w:p>
        </w:tc>
      </w:tr>
      <w:tr w:rsidR="00EC3718" w:rsidRPr="00E8387C" w14:paraId="554B377B" w14:textId="77777777" w:rsidTr="005B0D26">
        <w:tc>
          <w:tcPr>
            <w:tcW w:w="535" w:type="dxa"/>
            <w:tcBorders>
              <w:left w:val="single" w:sz="4" w:space="0" w:color="auto"/>
            </w:tcBorders>
            <w:vAlign w:val="center"/>
          </w:tcPr>
          <w:p w14:paraId="14C362EA" w14:textId="31959D78" w:rsidR="00EC3718" w:rsidRPr="00FF3F99" w:rsidRDefault="00EC3718" w:rsidP="005B0D26">
            <w:pPr>
              <w:ind w:left="0"/>
              <w:rPr>
                <w:color w:val="000000" w:themeColor="text1"/>
                <w:sz w:val="15"/>
                <w:szCs w:val="15"/>
                <w:lang w:val="fr-FR"/>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{"citationItems":[{"id":"ITEM-1","itemData":{"DOI":"10.1177/15648265120333s211","ISSN":"03795721","PMID":"23193774","abstract":"Few surveys of food and nutrient intakes are conducted at the individual level in low- and middle-income countries, whereas Household Consumption and Expenditures Surveys (HCES) are regularly carried out to monitor economic conditions. Because of the paucity of individual-level data, there is interest in using HCES to aid in the design of food and nutrition policies. Data from the 2001/02 HCES from Cape Verde were used to assess household dietary intakes in the context of the country's nutrition transition. The survey included weighed measurements of household food intake and measurements of the weight and height of all household members. Households were classified as \"underweight\" if they had at least one underweight member, \"overweight\" if they had at least one overweight member, and \"dual burden\" if they had at least one underweight and one overweight member. The proportion of households classified as underweight, overweight, and dual burden was 18%, 41%, and 14%, respectively. Household food and nutrient intakes were higher in the overweight households (particularly protein, vitamin A, and calcium) and lower in the underweight households, while there was no clear pattern of intakes in the dual burden group. Overweight households consumed more animal food groups than other households. Intakes of fruits and vegetables were low in all groups. The HCES data for Cape Verde were useful for assessing the extent of the nutrition transition and characterizing dietary intakes by anthropometric classification. Analysis of nutrient and food intakes showed that ensuring sufficient energy availability is no longer the most important issue for Cape Verde, but that ensuring dietary quality is equally crucial, in particular increasing access to fruits and vegetables.","author":[{"dropping-particle":"","family":"Dop","given":"Marie Claude","non-dropping-particle":"","parse-names":false,"suffix":""},{"dropping-particle":"","family":"Pereira","given":"Clodomir","non-dropping-particle":"","parse-names":false,"suffix":""},{"dropping-particle":"","family":"Mistura","given":"Lorenza","non-dropping-particle":"","parse-names":false,"suffix":""},{"dropping-particle":"","family":"Martinez","given":"Claudio","non-dropping-particle":"","parse-names":false,"suffix":""},{"dropping-particle":"","family":"Cardoso","given":"Edith","non-dropping-particle":"","parse-names":false,"suffix":""}],"container-title":"Food and nutrition bulletin","id":"ITEM-1","issue":"3 Suppl","issued":{"date-parts":[["2012"]]},"page":"S221-7","title":"Using Household Consumption and Expenditures Survey (HCES) data to assess dietary intake in relation to the nutrition transition: a case study from Cape Verde.","type":"article-journal","volume":"33"},"uris":["http://www.mendeley.com/documents/?uuid=2a99d64a-d28e-45b5-8a68-85958572d579"]}],"mendeley":{"formattedCitation":"&lt;sup&gt;(15)&lt;/sup&gt;","plainTextFormattedCitation":"(15)","previouslyFormattedCitation":"[15]"},"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lang w:val="fr-FR"/>
              </w:rPr>
              <w:t>(15)</w:t>
            </w:r>
            <w:r w:rsidRPr="00FF3F99">
              <w:rPr>
                <w:color w:val="000000" w:themeColor="text1"/>
                <w:sz w:val="15"/>
                <w:szCs w:val="15"/>
              </w:rPr>
              <w:fldChar w:fldCharType="end"/>
            </w:r>
          </w:p>
        </w:tc>
        <w:tc>
          <w:tcPr>
            <w:tcW w:w="2098" w:type="dxa"/>
            <w:vAlign w:val="center"/>
          </w:tcPr>
          <w:p w14:paraId="26B66FA5" w14:textId="77777777" w:rsidR="00EC3718" w:rsidRPr="00FF3F99" w:rsidRDefault="00EC3718" w:rsidP="005B0D26">
            <w:pPr>
              <w:ind w:left="0"/>
              <w:rPr>
                <w:color w:val="000000" w:themeColor="text1"/>
                <w:sz w:val="15"/>
                <w:szCs w:val="15"/>
                <w:lang w:val="fr-FR"/>
              </w:rPr>
            </w:pPr>
            <w:r w:rsidRPr="00FF3F99">
              <w:rPr>
                <w:color w:val="000000" w:themeColor="text1"/>
                <w:sz w:val="15"/>
                <w:szCs w:val="15"/>
                <w:lang w:val="fr-FR"/>
              </w:rPr>
              <w:t>Dop et al. (2012)</w:t>
            </w:r>
          </w:p>
        </w:tc>
        <w:tc>
          <w:tcPr>
            <w:tcW w:w="1322" w:type="dxa"/>
            <w:vAlign w:val="center"/>
          </w:tcPr>
          <w:p w14:paraId="3FE5CF1A" w14:textId="77777777" w:rsidR="00EC3718" w:rsidRPr="00FF3F99" w:rsidRDefault="00EC3718" w:rsidP="005B0D26">
            <w:pPr>
              <w:ind w:left="0"/>
              <w:rPr>
                <w:color w:val="000000" w:themeColor="text1"/>
                <w:sz w:val="15"/>
                <w:szCs w:val="15"/>
                <w:lang w:val="fr-FR"/>
              </w:rPr>
            </w:pPr>
            <w:r w:rsidRPr="00FF3F99">
              <w:rPr>
                <w:color w:val="000000" w:themeColor="text1"/>
                <w:sz w:val="15"/>
                <w:szCs w:val="15"/>
                <w:lang w:val="fr-FR"/>
              </w:rPr>
              <w:t>Cape Verde</w:t>
            </w:r>
          </w:p>
        </w:tc>
        <w:tc>
          <w:tcPr>
            <w:tcW w:w="1980" w:type="dxa"/>
            <w:vAlign w:val="center"/>
          </w:tcPr>
          <w:p w14:paraId="6E470131" w14:textId="77777777" w:rsidR="00EC3718" w:rsidRPr="00FF3F99" w:rsidRDefault="00EC3718" w:rsidP="005B0D26">
            <w:pPr>
              <w:ind w:left="0"/>
              <w:rPr>
                <w:color w:val="000000" w:themeColor="text1"/>
                <w:sz w:val="15"/>
                <w:szCs w:val="15"/>
                <w:lang w:val="fr-FR"/>
              </w:rPr>
            </w:pPr>
            <w:r w:rsidRPr="00FF3F99">
              <w:rPr>
                <w:color w:val="000000" w:themeColor="text1"/>
                <w:sz w:val="15"/>
                <w:szCs w:val="15"/>
                <w:lang w:val="fr-FR"/>
              </w:rPr>
              <w:t xml:space="preserve">Direct </w:t>
            </w:r>
            <w:proofErr w:type="spellStart"/>
            <w:r w:rsidRPr="00FF3F99">
              <w:rPr>
                <w:color w:val="000000" w:themeColor="text1"/>
                <w:sz w:val="15"/>
                <w:szCs w:val="15"/>
                <w:lang w:val="fr-FR"/>
              </w:rPr>
              <w:t>weighed</w:t>
            </w:r>
            <w:proofErr w:type="spellEnd"/>
            <w:r w:rsidRPr="00FF3F99">
              <w:rPr>
                <w:color w:val="000000" w:themeColor="text1"/>
                <w:sz w:val="15"/>
                <w:szCs w:val="15"/>
                <w:lang w:val="fr-FR"/>
              </w:rPr>
              <w:t xml:space="preserve"> observation</w:t>
            </w:r>
          </w:p>
        </w:tc>
        <w:tc>
          <w:tcPr>
            <w:tcW w:w="2250" w:type="dxa"/>
            <w:vAlign w:val="center"/>
          </w:tcPr>
          <w:p w14:paraId="3505B275" w14:textId="77777777" w:rsidR="00EC3718" w:rsidRPr="00FF3F99" w:rsidRDefault="00EC3718" w:rsidP="005B0D26">
            <w:pPr>
              <w:ind w:left="0"/>
              <w:jc w:val="center"/>
              <w:rPr>
                <w:color w:val="000000" w:themeColor="text1"/>
                <w:sz w:val="15"/>
                <w:szCs w:val="15"/>
                <w:lang w:val="fr-FR"/>
              </w:rPr>
            </w:pPr>
            <w:r w:rsidRPr="00FF3F99">
              <w:rPr>
                <w:color w:val="000000" w:themeColor="text1"/>
                <w:sz w:val="15"/>
                <w:szCs w:val="15"/>
                <w:lang w:val="fr-FR"/>
              </w:rPr>
              <w:t xml:space="preserve">7 </w:t>
            </w:r>
            <w:proofErr w:type="spellStart"/>
            <w:r w:rsidRPr="00FF3F99">
              <w:rPr>
                <w:color w:val="000000" w:themeColor="text1"/>
                <w:sz w:val="15"/>
                <w:szCs w:val="15"/>
                <w:lang w:val="fr-FR"/>
              </w:rPr>
              <w:t>days</w:t>
            </w:r>
            <w:proofErr w:type="spellEnd"/>
          </w:p>
        </w:tc>
        <w:tc>
          <w:tcPr>
            <w:tcW w:w="1260" w:type="dxa"/>
            <w:vAlign w:val="center"/>
          </w:tcPr>
          <w:p w14:paraId="369BFD82" w14:textId="77777777" w:rsidR="00EC3718" w:rsidRPr="00FF3F99" w:rsidRDefault="00EC3718" w:rsidP="005B0D26">
            <w:pPr>
              <w:ind w:left="0"/>
              <w:jc w:val="center"/>
              <w:rPr>
                <w:color w:val="000000" w:themeColor="text1"/>
                <w:sz w:val="15"/>
                <w:szCs w:val="15"/>
                <w:lang w:val="fr-FR"/>
              </w:rPr>
            </w:pPr>
          </w:p>
        </w:tc>
        <w:tc>
          <w:tcPr>
            <w:tcW w:w="1440" w:type="dxa"/>
            <w:vAlign w:val="center"/>
          </w:tcPr>
          <w:p w14:paraId="19593740" w14:textId="77777777" w:rsidR="00EC3718" w:rsidRPr="00FF3F99" w:rsidRDefault="00EC3718" w:rsidP="005B0D26">
            <w:pPr>
              <w:ind w:left="0"/>
              <w:jc w:val="center"/>
              <w:rPr>
                <w:color w:val="000000" w:themeColor="text1"/>
                <w:sz w:val="15"/>
                <w:szCs w:val="15"/>
                <w:lang w:val="fr-FR"/>
              </w:rPr>
            </w:pPr>
          </w:p>
        </w:tc>
        <w:tc>
          <w:tcPr>
            <w:tcW w:w="1800" w:type="dxa"/>
            <w:vAlign w:val="center"/>
          </w:tcPr>
          <w:p w14:paraId="0EA94F9F" w14:textId="77777777" w:rsidR="00EC3718" w:rsidRPr="00FF3F99" w:rsidRDefault="00EC3718" w:rsidP="005B0D26">
            <w:pPr>
              <w:ind w:left="0"/>
              <w:jc w:val="center"/>
              <w:rPr>
                <w:color w:val="000000" w:themeColor="text1"/>
                <w:sz w:val="15"/>
                <w:szCs w:val="15"/>
                <w:lang w:val="fr-FR"/>
              </w:rPr>
            </w:pPr>
          </w:p>
        </w:tc>
        <w:tc>
          <w:tcPr>
            <w:tcW w:w="1350" w:type="dxa"/>
            <w:tcBorders>
              <w:right w:val="single" w:sz="4" w:space="0" w:color="auto"/>
            </w:tcBorders>
          </w:tcPr>
          <w:p w14:paraId="1060312D" w14:textId="77777777" w:rsidR="00EC3718" w:rsidRPr="00FF3F99" w:rsidRDefault="00EC3718" w:rsidP="005B0D26">
            <w:pPr>
              <w:ind w:left="0"/>
              <w:jc w:val="center"/>
              <w:rPr>
                <w:color w:val="000000" w:themeColor="text1"/>
                <w:sz w:val="15"/>
                <w:szCs w:val="15"/>
                <w:lang w:val="fr-FR"/>
              </w:rPr>
            </w:pPr>
          </w:p>
        </w:tc>
      </w:tr>
      <w:tr w:rsidR="00EC3718" w:rsidRPr="00E8387C" w14:paraId="65C245C7" w14:textId="77777777" w:rsidTr="005B0D26">
        <w:trPr>
          <w:trHeight w:val="126"/>
        </w:trPr>
        <w:tc>
          <w:tcPr>
            <w:tcW w:w="535" w:type="dxa"/>
            <w:tcBorders>
              <w:left w:val="single" w:sz="4" w:space="0" w:color="auto"/>
            </w:tcBorders>
            <w:shd w:val="clear" w:color="auto" w:fill="D9D9D9" w:themeFill="background1" w:themeFillShade="D9"/>
            <w:vAlign w:val="center"/>
          </w:tcPr>
          <w:p w14:paraId="419C4300" w14:textId="6A4AA86D"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lang w:val="fr-FR"/>
              </w:rPr>
              <w:instrText>ADDIN CSL_CITATION {"citationItems":[{"id":"ITEM-1","itemData":{"DOI":"10.1016/j.worlddev.2010.08.002","ISSN":"0305750X","abstract":"Widespread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Development","id":"ITEM-1","issue":"3","issued":{"date-parts":[["2011"]]},"page":"412-428","title":"Analyzing Nutritional Impacts of Policies: An Empirical Study for Malawi","type":"article-journal","volume":"39"},"uris":["http://www.mendeley.com/documents/?uuid=7892bf86-385a-43cd-9418-78b8111b4c77"]}],"mendeley":{"formattedCitation":"&lt;sup&gt;(16)&lt;/sup&gt;","plainTextFormattedCitation":"(16)","previouslyFormattedCitation":"[16]"},"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(16)</w:t>
            </w:r>
            <w:r w:rsidRPr="00FF3F99">
              <w:rPr>
                <w:color w:val="000000" w:themeColor="text1"/>
                <w:sz w:val="15"/>
                <w:szCs w:val="15"/>
              </w:rPr>
              <w:fldChar w:fldCharType="end"/>
            </w:r>
          </w:p>
        </w:tc>
        <w:tc>
          <w:tcPr>
            <w:tcW w:w="2098" w:type="dxa"/>
            <w:shd w:val="clear" w:color="auto" w:fill="D9D9D9" w:themeFill="background1" w:themeFillShade="D9"/>
            <w:vAlign w:val="center"/>
          </w:tcPr>
          <w:p w14:paraId="22C31E42" w14:textId="77777777" w:rsidR="00EC3718" w:rsidRPr="00FF3F99" w:rsidRDefault="00EC3718" w:rsidP="005B0D26">
            <w:pPr>
              <w:ind w:left="0"/>
              <w:rPr>
                <w:color w:val="000000" w:themeColor="text1"/>
                <w:sz w:val="15"/>
                <w:szCs w:val="15"/>
              </w:rPr>
            </w:pPr>
            <w:r w:rsidRPr="00FF3F99">
              <w:rPr>
                <w:color w:val="000000" w:themeColor="text1"/>
                <w:sz w:val="15"/>
                <w:szCs w:val="15"/>
              </w:rPr>
              <w:t xml:space="preserve">Ecker &amp; </w:t>
            </w:r>
            <w:proofErr w:type="spellStart"/>
            <w:r w:rsidRPr="00FF3F99">
              <w:rPr>
                <w:color w:val="000000" w:themeColor="text1"/>
                <w:sz w:val="15"/>
                <w:szCs w:val="15"/>
              </w:rPr>
              <w:t>Qaim</w:t>
            </w:r>
            <w:proofErr w:type="spellEnd"/>
            <w:r w:rsidRPr="00FF3F99">
              <w:rPr>
                <w:color w:val="000000" w:themeColor="text1"/>
                <w:sz w:val="15"/>
                <w:szCs w:val="15"/>
              </w:rPr>
              <w:t xml:space="preserve"> (2011)</w:t>
            </w:r>
          </w:p>
        </w:tc>
        <w:tc>
          <w:tcPr>
            <w:tcW w:w="1322" w:type="dxa"/>
            <w:shd w:val="clear" w:color="auto" w:fill="D9D9D9" w:themeFill="background1" w:themeFillShade="D9"/>
            <w:vAlign w:val="center"/>
          </w:tcPr>
          <w:p w14:paraId="326C99DA" w14:textId="77777777" w:rsidR="00EC3718" w:rsidRPr="00FF3F99" w:rsidRDefault="00EC3718" w:rsidP="005B0D26">
            <w:pPr>
              <w:ind w:left="0"/>
              <w:rPr>
                <w:color w:val="000000" w:themeColor="text1"/>
                <w:sz w:val="15"/>
                <w:szCs w:val="15"/>
              </w:rPr>
            </w:pPr>
            <w:r w:rsidRPr="00FF3F99">
              <w:rPr>
                <w:color w:val="000000" w:themeColor="text1"/>
                <w:sz w:val="15"/>
                <w:szCs w:val="15"/>
              </w:rPr>
              <w:t>Malawi</w:t>
            </w:r>
          </w:p>
        </w:tc>
        <w:tc>
          <w:tcPr>
            <w:tcW w:w="1980" w:type="dxa"/>
            <w:shd w:val="clear" w:color="auto" w:fill="D9D9D9" w:themeFill="background1" w:themeFillShade="D9"/>
            <w:vAlign w:val="center"/>
          </w:tcPr>
          <w:p w14:paraId="0B570BCD"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256C7584"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4CE50BB7"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09FF3F41"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202A56F0"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1356031E" w14:textId="77777777" w:rsidR="00EC3718" w:rsidRPr="00FF3F99" w:rsidRDefault="00EC3718" w:rsidP="005B0D26">
            <w:pPr>
              <w:ind w:left="0"/>
              <w:jc w:val="center"/>
              <w:rPr>
                <w:color w:val="000000" w:themeColor="text1"/>
                <w:sz w:val="15"/>
                <w:szCs w:val="15"/>
              </w:rPr>
            </w:pPr>
          </w:p>
        </w:tc>
      </w:tr>
      <w:tr w:rsidR="00EC3718" w:rsidRPr="00E8387C" w14:paraId="321EB5B1" w14:textId="77777777" w:rsidTr="005B0D26">
        <w:tc>
          <w:tcPr>
            <w:tcW w:w="535" w:type="dxa"/>
            <w:tcBorders>
              <w:left w:val="single" w:sz="4" w:space="0" w:color="auto"/>
            </w:tcBorders>
            <w:vAlign w:val="center"/>
          </w:tcPr>
          <w:p w14:paraId="68FBBFC1" w14:textId="7925ACDF"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{"citationItems":[{"id":"ITEM-1","itemData":{"abstract":"Widespread malnutrition in developing countries calls for appropriate interventions, presupposing good knowledge about the nutritional impacts of policies. Little previous work has been carried out in this direction. We present a comprehensive analytical framework, which we apply for Malawi. Using household data and a demand systems approach, we estimate income and price elasticities of food, calorie, and micronutrient consumption. These estimates are used for policy simulations. Given multiple nutrient deficiencies, income-related policies are better suited than price policies to improve nutrition. While consumer subsidies for maize increase calorie and mineral consumption, they contribute to a higher prevalence of vitamin deficiencies.","author":[{"dropping-particle":"","family":"Ecker","given":"Olivier","non-dropping-particle":"","parse-names":false,"suffix":""},{"dropping-particle":"","family":"Qaim","given":"M","non-dropping-particle":"","parse-names":false,"suffix":""}],"container-title":"American Agricultural Economics Association Annual Meeting","id":"ITEM-1","issued":{"date-parts":[["2008"]]},"page":"6349","publisher":"American Agricultural Economics Association","publisher-place":"Orlando, Florida","title":"Income and Price Elasticities of Food Demand and Nutrient Consumption in Malawi","type":"paper-conference"},"uris":["http://www.mendeley.com/documents/?uuid=df94cf7e-ba11-467a-804b-864cc5b217a3"]}],"mendeley":{"formattedCitation":"&lt;sup&gt;(17)&lt;/sup&gt;","plainTextFormattedCitation":"(17)","previouslyFormattedCitation":"[17]"},"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(17)</w:t>
            </w:r>
            <w:r w:rsidRPr="00FF3F99">
              <w:rPr>
                <w:color w:val="000000" w:themeColor="text1"/>
                <w:sz w:val="15"/>
                <w:szCs w:val="15"/>
              </w:rPr>
              <w:fldChar w:fldCharType="end"/>
            </w:r>
          </w:p>
        </w:tc>
        <w:tc>
          <w:tcPr>
            <w:tcW w:w="2098" w:type="dxa"/>
            <w:vAlign w:val="center"/>
          </w:tcPr>
          <w:p w14:paraId="1CF82E80" w14:textId="77777777" w:rsidR="00EC3718" w:rsidRPr="00FF3F99" w:rsidRDefault="00EC3718" w:rsidP="005B0D26">
            <w:pPr>
              <w:ind w:left="0"/>
              <w:rPr>
                <w:color w:val="000000" w:themeColor="text1"/>
                <w:sz w:val="15"/>
                <w:szCs w:val="15"/>
              </w:rPr>
            </w:pPr>
            <w:r w:rsidRPr="00FF3F99">
              <w:rPr>
                <w:color w:val="000000" w:themeColor="text1"/>
                <w:sz w:val="15"/>
                <w:szCs w:val="15"/>
              </w:rPr>
              <w:t xml:space="preserve">Ecker &amp; </w:t>
            </w:r>
            <w:proofErr w:type="spellStart"/>
            <w:r w:rsidRPr="00FF3F99">
              <w:rPr>
                <w:color w:val="000000" w:themeColor="text1"/>
                <w:sz w:val="15"/>
                <w:szCs w:val="15"/>
              </w:rPr>
              <w:t>Qaim</w:t>
            </w:r>
            <w:proofErr w:type="spellEnd"/>
            <w:r w:rsidRPr="00FF3F99">
              <w:rPr>
                <w:color w:val="000000" w:themeColor="text1"/>
                <w:sz w:val="15"/>
                <w:szCs w:val="15"/>
              </w:rPr>
              <w:t xml:space="preserve"> (2008)</w:t>
            </w:r>
          </w:p>
        </w:tc>
        <w:tc>
          <w:tcPr>
            <w:tcW w:w="1322" w:type="dxa"/>
            <w:vAlign w:val="center"/>
          </w:tcPr>
          <w:p w14:paraId="781CA0BD" w14:textId="77777777" w:rsidR="00EC3718" w:rsidRPr="00FF3F99" w:rsidRDefault="00EC3718" w:rsidP="005B0D26">
            <w:pPr>
              <w:ind w:left="0"/>
              <w:rPr>
                <w:color w:val="000000" w:themeColor="text1"/>
                <w:sz w:val="15"/>
                <w:szCs w:val="15"/>
              </w:rPr>
            </w:pPr>
            <w:r w:rsidRPr="00FF3F99">
              <w:rPr>
                <w:color w:val="000000" w:themeColor="text1"/>
                <w:sz w:val="15"/>
                <w:szCs w:val="15"/>
              </w:rPr>
              <w:t>Malawi</w:t>
            </w:r>
          </w:p>
        </w:tc>
        <w:tc>
          <w:tcPr>
            <w:tcW w:w="1980" w:type="dxa"/>
            <w:vAlign w:val="center"/>
          </w:tcPr>
          <w:p w14:paraId="7D4F745C"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6C2FD771"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02690B28" w14:textId="77777777" w:rsidR="00EC3718" w:rsidRPr="00FF3F99" w:rsidRDefault="00EC3718" w:rsidP="005B0D26">
            <w:pPr>
              <w:ind w:left="0"/>
              <w:jc w:val="center"/>
              <w:rPr>
                <w:color w:val="000000" w:themeColor="text1"/>
                <w:sz w:val="15"/>
                <w:szCs w:val="15"/>
              </w:rPr>
            </w:pPr>
          </w:p>
        </w:tc>
        <w:tc>
          <w:tcPr>
            <w:tcW w:w="1440" w:type="dxa"/>
            <w:vAlign w:val="center"/>
          </w:tcPr>
          <w:p w14:paraId="12DDAFD0" w14:textId="77777777" w:rsidR="00EC3718" w:rsidRPr="00FF3F99" w:rsidRDefault="00EC3718" w:rsidP="005B0D26">
            <w:pPr>
              <w:ind w:left="0"/>
              <w:jc w:val="center"/>
              <w:rPr>
                <w:color w:val="000000" w:themeColor="text1"/>
                <w:sz w:val="15"/>
                <w:szCs w:val="15"/>
              </w:rPr>
            </w:pPr>
          </w:p>
        </w:tc>
        <w:tc>
          <w:tcPr>
            <w:tcW w:w="1800" w:type="dxa"/>
            <w:vAlign w:val="center"/>
          </w:tcPr>
          <w:p w14:paraId="5DAE6D78"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07AA7A33" w14:textId="77777777" w:rsidR="00EC3718" w:rsidRPr="00FF3F99" w:rsidRDefault="00EC3718" w:rsidP="005B0D26">
            <w:pPr>
              <w:ind w:left="0"/>
              <w:jc w:val="center"/>
              <w:rPr>
                <w:color w:val="000000" w:themeColor="text1"/>
                <w:sz w:val="15"/>
                <w:szCs w:val="15"/>
              </w:rPr>
            </w:pPr>
          </w:p>
        </w:tc>
      </w:tr>
      <w:tr w:rsidR="00EC3718" w:rsidRPr="00E8387C" w14:paraId="59DE781C" w14:textId="77777777" w:rsidTr="005B0D26">
        <w:tc>
          <w:tcPr>
            <w:tcW w:w="535" w:type="dxa"/>
            <w:tcBorders>
              <w:left w:val="single" w:sz="4" w:space="0" w:color="auto"/>
            </w:tcBorders>
            <w:shd w:val="clear" w:color="auto" w:fill="D9D9D9" w:themeFill="background1" w:themeFillShade="D9"/>
            <w:vAlign w:val="center"/>
          </w:tcPr>
          <w:p w14:paraId="5F2D25DC" w14:textId="6F40B027"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{"citationItems":[{"id":"ITEM-1","itemData":{"DOI":"10.1177/0379572115587272","ISSN":"03795721","abstract":"Background: Household Consumption and Expenditures Surveys (HCES) are potential sources of data on dietary patterns for planning fortification programs, but they rarely have been compared with individual-level dietary assessment methods. Objective: To compare apparent consumption of fortifiable foods estimated from the Third Cameroon Household Survey (ECAM3) with the results of a national dietary survey using food frequency questionnaire (FFQ) and 24-hour recall (24HR) methods among women aged 15 to 49 years and children aged 12 to 59 months. Methods: We estimated coverage and frequency of consumption in the previous week (ECAM3 and FFQ) and coverage and amount consumed on the previous day (ECAM3 and 24HR) of refined vegetable oil, wheat flour, sugar, and bouillon cubes. Results: Coverage in the past week as measured by the ECAM3 and FFQ, respectively, was 64% vs. 54% for oil, 60% vs. 92% for flour, 69% vs. 78% for sugar, and 85% vs. 96% for bouillon cubes. The different methods identified similar patterns of coverage among subgroups for oil, but patterns for other foods were variable. Frequency of consumption and previous-day coverage were lower with the ECAM3 than with the FFQ and 24HR, likely reflecting infrequent acquisition relative to intake. For women, the mean amounts consumed on the previous day (among consumers) were 43 vs. 29 g of oil, 71 vs. 83 g of flour, 42 vs. 32 g of sugar, and 5.0 vs. 2.4 g of bouillon cubes (ECAM and 24HR, respectively). Conclusions: HCES provide useful information on patterns of food access but inadequate information on individual consumption amounts to estimate appropriate food fortification levels.","author":[{"dropping-particle":"","family":"Engle-Stone","given":"Reina","non-dropping-particle":"","parse-names":false,"suffix":""},{"dropping-particle":"","family":"Brown","given":"Kenneth H.","non-dropping-particle":"","parse-names":false,"suffix":""}],"container-title":"Food and Nutrition Bulletin","id":"ITEM-1","issue":"2","issued":{"date-parts":[["2015"]]},"page":"211-30","title":"Comparison of a household consumption and expenditures survey with nationally representative food frequency questionnaire and 24-hour dietary recall data for assessing consumption of fortifiable foods by women and young children in Cameroon","type":"article-journal","volume":"36"},"uris":["http://www.mendeley.com/documents/?uuid=a0fa259a-1290-4768-953d-777a1601ee29"]}],"mendeley":{"formattedCitation":"&lt;sup&gt;(18)&lt;/sup&gt;","plainTextFormattedCitation":"(18)","previouslyFormattedCitation":"[18]"},"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(18)</w:t>
            </w:r>
            <w:r w:rsidRPr="00FF3F99">
              <w:rPr>
                <w:color w:val="000000" w:themeColor="text1"/>
                <w:sz w:val="15"/>
                <w:szCs w:val="15"/>
              </w:rPr>
              <w:fldChar w:fldCharType="end"/>
            </w:r>
          </w:p>
        </w:tc>
        <w:tc>
          <w:tcPr>
            <w:tcW w:w="2098" w:type="dxa"/>
            <w:shd w:val="clear" w:color="auto" w:fill="D9D9D9" w:themeFill="background1" w:themeFillShade="D9"/>
            <w:vAlign w:val="center"/>
          </w:tcPr>
          <w:p w14:paraId="62124B9A" w14:textId="77777777" w:rsidR="00EC3718" w:rsidRPr="00FF3F99" w:rsidRDefault="00EC3718" w:rsidP="005B0D26">
            <w:pPr>
              <w:ind w:left="0"/>
              <w:rPr>
                <w:color w:val="000000" w:themeColor="text1"/>
                <w:sz w:val="15"/>
                <w:szCs w:val="15"/>
              </w:rPr>
            </w:pPr>
            <w:r w:rsidRPr="00FF3F99">
              <w:rPr>
                <w:color w:val="000000" w:themeColor="text1"/>
                <w:sz w:val="15"/>
                <w:szCs w:val="15"/>
              </w:rPr>
              <w:t>Engle-Stone &amp; Brown (2015)</w:t>
            </w:r>
          </w:p>
        </w:tc>
        <w:tc>
          <w:tcPr>
            <w:tcW w:w="1322" w:type="dxa"/>
            <w:shd w:val="clear" w:color="auto" w:fill="D9D9D9" w:themeFill="background1" w:themeFillShade="D9"/>
            <w:vAlign w:val="center"/>
          </w:tcPr>
          <w:p w14:paraId="72EB3540" w14:textId="77777777" w:rsidR="00EC3718" w:rsidRPr="00FF3F99" w:rsidRDefault="00EC3718" w:rsidP="005B0D26">
            <w:pPr>
              <w:ind w:left="0"/>
              <w:rPr>
                <w:color w:val="000000" w:themeColor="text1"/>
                <w:sz w:val="15"/>
                <w:szCs w:val="15"/>
              </w:rPr>
            </w:pPr>
            <w:r w:rsidRPr="00FF3F99">
              <w:rPr>
                <w:color w:val="000000" w:themeColor="text1"/>
                <w:sz w:val="15"/>
                <w:szCs w:val="15"/>
              </w:rPr>
              <w:t>Cameroon</w:t>
            </w:r>
          </w:p>
        </w:tc>
        <w:tc>
          <w:tcPr>
            <w:tcW w:w="1980" w:type="dxa"/>
            <w:shd w:val="clear" w:color="auto" w:fill="D9D9D9" w:themeFill="background1" w:themeFillShade="D9"/>
            <w:vAlign w:val="center"/>
          </w:tcPr>
          <w:p w14:paraId="4466BE14" w14:textId="77777777" w:rsidR="00EC3718" w:rsidRPr="00FF3F99" w:rsidRDefault="00EC3718" w:rsidP="005B0D26">
            <w:pPr>
              <w:ind w:left="0"/>
              <w:rPr>
                <w:color w:val="000000" w:themeColor="text1"/>
                <w:sz w:val="15"/>
                <w:szCs w:val="15"/>
                <w:lang w:val="fr-FR"/>
              </w:rPr>
            </w:pPr>
            <w:r w:rsidRPr="00FF3F99">
              <w:rPr>
                <w:color w:val="000000" w:themeColor="text1"/>
                <w:sz w:val="15"/>
                <w:szCs w:val="15"/>
                <w:lang w:val="fr-FR"/>
              </w:rPr>
              <w:t xml:space="preserve">Acquisition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3496D969" w14:textId="77777777" w:rsidR="00EC3718" w:rsidRPr="00FF3F99" w:rsidRDefault="00EC3718" w:rsidP="005B0D26">
            <w:pPr>
              <w:ind w:left="0"/>
              <w:jc w:val="center"/>
              <w:rPr>
                <w:color w:val="000000" w:themeColor="text1"/>
                <w:sz w:val="15"/>
                <w:szCs w:val="15"/>
                <w:lang w:val="fr-FR"/>
              </w:rPr>
            </w:pPr>
            <w:r w:rsidRPr="00FF3F99">
              <w:rPr>
                <w:color w:val="000000" w:themeColor="text1"/>
                <w:sz w:val="15"/>
                <w:szCs w:val="15"/>
                <w:lang w:val="fr-FR"/>
              </w:rPr>
              <w:t xml:space="preserve">3 &amp; 7 </w:t>
            </w:r>
            <w:proofErr w:type="spellStart"/>
            <w:r w:rsidRPr="00FF3F99">
              <w:rPr>
                <w:color w:val="000000" w:themeColor="text1"/>
                <w:sz w:val="15"/>
                <w:szCs w:val="15"/>
                <w:lang w:val="fr-FR"/>
              </w:rPr>
              <w:t>days</w:t>
            </w:r>
            <w:proofErr w:type="spellEnd"/>
          </w:p>
        </w:tc>
        <w:tc>
          <w:tcPr>
            <w:tcW w:w="1260" w:type="dxa"/>
            <w:shd w:val="clear" w:color="auto" w:fill="D9D9D9" w:themeFill="background1" w:themeFillShade="D9"/>
            <w:vAlign w:val="center"/>
          </w:tcPr>
          <w:p w14:paraId="1A1F6A50"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X</w:t>
            </w:r>
          </w:p>
        </w:tc>
        <w:tc>
          <w:tcPr>
            <w:tcW w:w="1440" w:type="dxa"/>
            <w:shd w:val="clear" w:color="auto" w:fill="D9D9D9" w:themeFill="background1" w:themeFillShade="D9"/>
            <w:vAlign w:val="center"/>
          </w:tcPr>
          <w:p w14:paraId="423E3862"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Single-pass 24-hour individual recall</w:t>
            </w:r>
            <w:r w:rsidRPr="00FF3F99">
              <w:rPr>
                <w:color w:val="000000" w:themeColor="text1"/>
                <w:sz w:val="15"/>
                <w:szCs w:val="15"/>
                <w:vertAlign w:val="superscript"/>
              </w:rPr>
              <w:t>2</w:t>
            </w:r>
          </w:p>
        </w:tc>
        <w:tc>
          <w:tcPr>
            <w:tcW w:w="1800" w:type="dxa"/>
            <w:shd w:val="clear" w:color="auto" w:fill="D9D9D9" w:themeFill="background1" w:themeFillShade="D9"/>
            <w:vAlign w:val="center"/>
          </w:tcPr>
          <w:p w14:paraId="6805DFB7" w14:textId="77777777" w:rsidR="00EC3718" w:rsidRPr="00FF3F99" w:rsidRDefault="00EC3718" w:rsidP="005B0D26">
            <w:pPr>
              <w:ind w:left="0"/>
              <w:jc w:val="center"/>
              <w:rPr>
                <w:color w:val="000000" w:themeColor="text1"/>
                <w:sz w:val="15"/>
                <w:szCs w:val="15"/>
                <w:vertAlign w:val="superscript"/>
              </w:rPr>
            </w:pPr>
            <w:r w:rsidRPr="00FF3F99">
              <w:rPr>
                <w:color w:val="000000" w:themeColor="text1"/>
                <w:sz w:val="15"/>
                <w:szCs w:val="15"/>
              </w:rPr>
              <w:t>Different sample</w:t>
            </w:r>
            <w:r w:rsidRPr="00FF3F99">
              <w:rPr>
                <w:color w:val="000000" w:themeColor="text1"/>
                <w:sz w:val="15"/>
                <w:szCs w:val="15"/>
                <w:vertAlign w:val="superscript"/>
              </w:rPr>
              <w:t>1</w:t>
            </w:r>
          </w:p>
        </w:tc>
        <w:tc>
          <w:tcPr>
            <w:tcW w:w="1350" w:type="dxa"/>
            <w:tcBorders>
              <w:right w:val="single" w:sz="4" w:space="0" w:color="auto"/>
            </w:tcBorders>
            <w:shd w:val="clear" w:color="auto" w:fill="D9D9D9" w:themeFill="background1" w:themeFillShade="D9"/>
          </w:tcPr>
          <w:p w14:paraId="446460B2"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Children &lt;5 years old &amp; women</w:t>
            </w:r>
          </w:p>
        </w:tc>
      </w:tr>
      <w:tr w:rsidR="00EC3718" w:rsidRPr="00E8387C" w14:paraId="63E27D30" w14:textId="77777777" w:rsidTr="005B0D26">
        <w:tc>
          <w:tcPr>
            <w:tcW w:w="535" w:type="dxa"/>
            <w:tcBorders>
              <w:left w:val="single" w:sz="4" w:space="0" w:color="auto"/>
            </w:tcBorders>
          </w:tcPr>
          <w:p w14:paraId="46B2B625" w14:textId="05A233DA"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{"citationItems":[{"id":"ITEM-1","itemData":{"DOI":"10.1016/j.foodpol.2017.08.014","ISSN":"03069192","abstract":"Efforts to improve the use of Household Income and Expenditure Surveys (HIES) for nutrition policy decisions face numerous methodological issues. Our objective was to explore how nutrition indicators vary by data collection period (number of days of household consumption data available) using the 2010 Bangladesh HIES. Household availability and individual apparent consumption of nutrients, foods, and food groups were estimated for each of 7 consecutive 2-day recall periods, both separately and in combinations representing 2, 4, 6, 8, 10, 12, or 14 days of data. Differences among cumulative data collection periods in mean apparent nutrient consumption and proportion with low values were statistically significant but small (&lt;4 percentage points), suggesting that a data collection period of one week or less would yield the same conclusions as a longer (and more costly) data collection period of 14 days for these outcomes if the recall period were held constant. For all food groups except staple foods, the proportion of households consuming food groups and selected potentially fortified foods increased, and the mean amount consumed among consumers (the ‘conditional mean’) decreased with longer data collection periods; this observation is likely related to frequency of consumption and suggests that the choice of data collection period for these items will be determined by the intended application. Additional research is necessary to confirm the external validity of these findings.","author":[{"dropping-particle":"","family":"Engle-Stone","given":"Reina","non-dropping-particle":"","parse-names":false,"suffix":""},{"dropping-particle":"","family":"Sununtnasuk","given":"Celeste","non-dropping-particle":"","parse-names":false,"suffix":""},{"dropping-particle":"","family":"Fiedler","given":"John L.","non-dropping-particle":"","parse-names":false,"suffix":""}],"container-title":"Food Policy","id":"ITEM-1","issued":{"date-parts":[["2017"]]},"page":"72-80","title":"Investigating the significance of the data collection period of household consumption and expenditures surveys for food and nutrition policymaking: Analysis of the 2010 Bangladesh household income and expenditure survey","type":"article-journal","volume":"72"},"uris":["http://www.mendeley.com/documents/?uuid=2b76baf4-1151-49de-8118-1075b73ae1e7"]}],"mendeley":{"formattedCitation":"&lt;sup&gt;(19)&lt;/sup&gt;","plainTextFormattedCitation":"(19)","previouslyFormattedCitation":"[19]"},"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(19)</w:t>
            </w:r>
            <w:r w:rsidRPr="00FF3F99">
              <w:rPr>
                <w:color w:val="000000" w:themeColor="text1"/>
                <w:sz w:val="15"/>
                <w:szCs w:val="15"/>
              </w:rPr>
              <w:fldChar w:fldCharType="end"/>
            </w:r>
          </w:p>
        </w:tc>
        <w:tc>
          <w:tcPr>
            <w:tcW w:w="2098" w:type="dxa"/>
          </w:tcPr>
          <w:p w14:paraId="51027977" w14:textId="77777777" w:rsidR="00EC3718" w:rsidRPr="00FF3F99" w:rsidRDefault="00EC3718" w:rsidP="005B0D26">
            <w:pPr>
              <w:ind w:left="0"/>
              <w:rPr>
                <w:color w:val="000000" w:themeColor="text1"/>
                <w:sz w:val="15"/>
                <w:szCs w:val="15"/>
              </w:rPr>
            </w:pPr>
            <w:r w:rsidRPr="00FF3F99">
              <w:rPr>
                <w:color w:val="000000" w:themeColor="text1"/>
                <w:sz w:val="15"/>
                <w:szCs w:val="15"/>
              </w:rPr>
              <w:t>Engle-Stone et al. (2017)</w:t>
            </w:r>
          </w:p>
        </w:tc>
        <w:tc>
          <w:tcPr>
            <w:tcW w:w="1322" w:type="dxa"/>
          </w:tcPr>
          <w:p w14:paraId="66FAA3C5" w14:textId="77777777" w:rsidR="00EC3718" w:rsidRPr="00FF3F99" w:rsidRDefault="00EC3718" w:rsidP="005B0D26">
            <w:pPr>
              <w:ind w:left="0"/>
              <w:rPr>
                <w:color w:val="000000" w:themeColor="text1"/>
                <w:sz w:val="15"/>
                <w:szCs w:val="15"/>
              </w:rPr>
            </w:pPr>
            <w:r w:rsidRPr="00FF3F99">
              <w:rPr>
                <w:color w:val="000000" w:themeColor="text1"/>
                <w:sz w:val="15"/>
                <w:szCs w:val="15"/>
              </w:rPr>
              <w:t>Bangladesh</w:t>
            </w:r>
          </w:p>
        </w:tc>
        <w:tc>
          <w:tcPr>
            <w:tcW w:w="1980" w:type="dxa"/>
          </w:tcPr>
          <w:p w14:paraId="386998BB"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46150172"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2 days</w:t>
            </w:r>
          </w:p>
        </w:tc>
        <w:tc>
          <w:tcPr>
            <w:tcW w:w="1260" w:type="dxa"/>
            <w:vAlign w:val="center"/>
          </w:tcPr>
          <w:p w14:paraId="2EE53F24" w14:textId="77777777" w:rsidR="00EC3718" w:rsidRPr="00FF3F99" w:rsidRDefault="00EC3718" w:rsidP="005B0D26">
            <w:pPr>
              <w:ind w:left="0"/>
              <w:jc w:val="center"/>
              <w:rPr>
                <w:color w:val="000000" w:themeColor="text1"/>
                <w:sz w:val="15"/>
                <w:szCs w:val="15"/>
              </w:rPr>
            </w:pPr>
          </w:p>
        </w:tc>
        <w:tc>
          <w:tcPr>
            <w:tcW w:w="1440" w:type="dxa"/>
            <w:vAlign w:val="center"/>
          </w:tcPr>
          <w:p w14:paraId="2BB421EB" w14:textId="77777777" w:rsidR="00EC3718" w:rsidRPr="00FF3F99" w:rsidRDefault="00EC3718" w:rsidP="005B0D26">
            <w:pPr>
              <w:ind w:left="0"/>
              <w:jc w:val="center"/>
              <w:rPr>
                <w:color w:val="000000" w:themeColor="text1"/>
                <w:sz w:val="15"/>
                <w:szCs w:val="15"/>
              </w:rPr>
            </w:pPr>
          </w:p>
        </w:tc>
        <w:tc>
          <w:tcPr>
            <w:tcW w:w="1800" w:type="dxa"/>
            <w:vAlign w:val="center"/>
          </w:tcPr>
          <w:p w14:paraId="3886060B"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08A2AD64" w14:textId="77777777" w:rsidR="00EC3718" w:rsidRPr="00FF3F99" w:rsidRDefault="00EC3718" w:rsidP="005B0D26">
            <w:pPr>
              <w:ind w:left="0"/>
              <w:jc w:val="center"/>
              <w:rPr>
                <w:color w:val="000000" w:themeColor="text1"/>
                <w:sz w:val="15"/>
                <w:szCs w:val="15"/>
              </w:rPr>
            </w:pPr>
          </w:p>
        </w:tc>
      </w:tr>
      <w:tr w:rsidR="00EC3718" w:rsidRPr="00E8387C" w14:paraId="36847CCC" w14:textId="77777777" w:rsidTr="005B0D26">
        <w:tc>
          <w:tcPr>
            <w:tcW w:w="535" w:type="dxa"/>
            <w:tcBorders>
              <w:left w:val="single" w:sz="4" w:space="0" w:color="auto"/>
            </w:tcBorders>
            <w:shd w:val="clear" w:color="auto" w:fill="D9D9D9" w:themeFill="background1" w:themeFillShade="D9"/>
          </w:tcPr>
          <w:p w14:paraId="02E98C8F" w14:textId="08FECD22"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{"citationItems":[{"id":"ITEM-1","itemData":{"DOI":"10.1016/j.worlddev.2016.12.019","ISSN":"18735991","abstract":"Oil palm is one of the most rapidly expanding crops throughout the humid tropics. In Indonesia, the expansion is largely driven by smallholder farmers. While recent research has studied effects for the environment and climate change, socioeconomic impacts in the small farm sector have hardly been analyzed. Here, we address this research gap by analyzing effects of oil palm adoption on farm household living standards and nutrition in Sumatra. Using survey data and econometric models, we estimate average impacts, impact pathways, and impact heterogeneity. Results show that oil palm adoption improves household living standards and nutrition. Mean impacts on food and non-food expenditures, as well as on calorie consumption and dietary quality, are all positive and significant. A sizeable part of the total effects is attributable to oil palm adopters expanding their farm size rather than realizing higher profits per hectare. Oil palm has lower labor requirements than alternative crops (especially rubber), so that adopting farmers are able to manage larger land areas. Labor saved through switching from rubber to oil palm is also used to increase off-farm incomes. Impact heterogeneity is analyzed with quantile regressions. We find positive effects of oil palm adoption across the entire expenditure distribution. However, the absolute gains in total expenditures and non-food expenditures are larger for the better-off, suggesting that oil palm may contribute to rising inequality.","author":[{"dropping-particle":"","family":"Euler","given":"Michael","non-dropping-particle":"","parse-names":false,"suffix":""},{"dropping-particle":"","family":"Krishna","given":"Vijesh","non-dropping-particle":"","parse-names":false,"suffix":""},{"dropping-particle":"","family":"Schwarze","given":"Stefan","non-dropping-particle":"","parse-names":false,"suffix":""},{"dropping-particle":"","family":"Siregar","given":"Hermanto","non-dropping-particle":"","parse-names":false,"suffix":""},{"dropping-particle":"","family":"Qaim","given":"Matin","non-dropping-particle":"","parse-names":false,"suffix":""}],"container-title":"World Development","id":"ITEM-1","issued":{"date-parts":[["2017"]]},"page":"219-235","title":"Oil Palm Adoption, Household Welfare, and Nutrition Among Smallholder Farmers in Indonesia","type":"article-journal","volume":"93"},"uris":["http://www.mendeley.com/documents/?uuid=e712391a-aaa6-4293-b91b-6a24392032e6"]}],"mendeley":{"formattedCitation":"&lt;sup&gt;(20)&lt;/sup&gt;","plainTextFormattedCitation":"(20)","previouslyFormattedCitation":"[20]"},"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(20)</w:t>
            </w:r>
            <w:r w:rsidRPr="00FF3F99">
              <w:rPr>
                <w:color w:val="000000" w:themeColor="text1"/>
                <w:sz w:val="15"/>
                <w:szCs w:val="15"/>
              </w:rPr>
              <w:fldChar w:fldCharType="end"/>
            </w:r>
          </w:p>
        </w:tc>
        <w:tc>
          <w:tcPr>
            <w:tcW w:w="2098" w:type="dxa"/>
            <w:shd w:val="clear" w:color="auto" w:fill="D9D9D9" w:themeFill="background1" w:themeFillShade="D9"/>
          </w:tcPr>
          <w:p w14:paraId="54C1EF90" w14:textId="77777777" w:rsidR="00EC3718" w:rsidRPr="00FF3F99" w:rsidRDefault="00EC3718" w:rsidP="005B0D26">
            <w:pPr>
              <w:ind w:left="0"/>
              <w:rPr>
                <w:color w:val="000000" w:themeColor="text1"/>
                <w:sz w:val="15"/>
                <w:szCs w:val="15"/>
              </w:rPr>
            </w:pPr>
            <w:r w:rsidRPr="00FF3F99">
              <w:rPr>
                <w:color w:val="000000" w:themeColor="text1"/>
                <w:sz w:val="15"/>
                <w:szCs w:val="15"/>
              </w:rPr>
              <w:t>Euler et al. (2017)</w:t>
            </w:r>
          </w:p>
        </w:tc>
        <w:tc>
          <w:tcPr>
            <w:tcW w:w="1322" w:type="dxa"/>
            <w:shd w:val="clear" w:color="auto" w:fill="D9D9D9" w:themeFill="background1" w:themeFillShade="D9"/>
          </w:tcPr>
          <w:p w14:paraId="2F104833" w14:textId="77777777" w:rsidR="00EC3718" w:rsidRPr="00FF3F99" w:rsidRDefault="00EC3718" w:rsidP="005B0D26">
            <w:pPr>
              <w:ind w:left="0"/>
              <w:rPr>
                <w:color w:val="000000" w:themeColor="text1"/>
                <w:sz w:val="15"/>
                <w:szCs w:val="15"/>
              </w:rPr>
            </w:pPr>
            <w:r w:rsidRPr="00FF3F99">
              <w:rPr>
                <w:color w:val="000000" w:themeColor="text1"/>
                <w:sz w:val="15"/>
                <w:szCs w:val="15"/>
              </w:rPr>
              <w:t>Indonesia</w:t>
            </w:r>
          </w:p>
        </w:tc>
        <w:tc>
          <w:tcPr>
            <w:tcW w:w="1980" w:type="dxa"/>
            <w:shd w:val="clear" w:color="auto" w:fill="D9D9D9" w:themeFill="background1" w:themeFillShade="D9"/>
          </w:tcPr>
          <w:p w14:paraId="1EAE91B0"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2A17D984"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700068DA"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5AC37379"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1731C19A"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6ADCDFD9" w14:textId="77777777" w:rsidR="00EC3718" w:rsidRPr="00FF3F99" w:rsidRDefault="00EC3718" w:rsidP="005B0D26">
            <w:pPr>
              <w:ind w:left="0"/>
              <w:jc w:val="center"/>
              <w:rPr>
                <w:color w:val="000000" w:themeColor="text1"/>
                <w:sz w:val="15"/>
                <w:szCs w:val="15"/>
              </w:rPr>
            </w:pPr>
          </w:p>
        </w:tc>
      </w:tr>
      <w:tr w:rsidR="00EC3718" w:rsidRPr="00E8387C" w14:paraId="7DAAA443" w14:textId="77777777" w:rsidTr="005B0D26">
        <w:tc>
          <w:tcPr>
            <w:tcW w:w="535" w:type="dxa"/>
            <w:tcBorders>
              <w:left w:val="single" w:sz="4" w:space="0" w:color="auto"/>
            </w:tcBorders>
          </w:tcPr>
          <w:p w14:paraId="13B4666B" w14:textId="7296FB35"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{"citationItems":[{"id":"ITEM-1","itemData":{"DOI":"10.1177/156482651403500410","ISSN":"03795721","abstract":"Background. Systematic collection of national agricultural data has been neglected in many low- and middleincome countries for the past 20 years. Commonly conducted nationally representative household surveys collect substantial quantities of highly underutilized food crop production data. Objective. To demonstrate the potential usefulness of commonly available household survey databases for analyzing the agriculture-nutrition nexus. Methods. Using household data from the 2010 Bangladesh Household Income and Expenditure Survey, the role and significance of crop selection, area planted, yield, nutrient production, and the disposition of 34 food crops in affecting the adequacy of farming households' nutrient availability and nutrient intake status are explored. The adequacy of each farming household's available energy, Vitamin A, calcium, iron, and zinc and households' apparent intakes and intake adequacies are estimated. Each household's total apparent nutrient intake adequacies are estimated, taking into account the amount of each crop that households consume from their own production, together with food purchased or obtained from other sources. Results. Even though rice contains relatively small amounts of micronutrients, has relatively low nutrient density, and is a relatively poor source of nutrients compared with what other crops can produce on a given tract of land, because so much rice is produced in Bangladesh, it is the source of 90% of the total available energy, 85% of the zinc, 67% of the calcium, and 55% of the iron produced by the agricultural sector. The domination of agriculture and diet by rice is a major constraint to improving nutrition in Bangladesh. Simple examples of how minor changes in the five most common cropping patterns could improve farming households' nutritional status are provided. Conclusions. Household surveys' agricultural modules can provide a useful tool for better understanding national nutrient production realities and possibilities.","author":[{"dropping-particle":"","family":"Fiedler","given":"John L.","non-dropping-particle":"","parse-names":false,"suffix":""}],"container-title":"Food and Nutrition Bulletin","id":"ITEM-1","issue":"4","issued":{"date-parts":[["2014"]]},"page":"487-508","title":"Food crop production, nutrient availability, and nutrient intakes in Bangladesh: Exploring the agriculture-nutrition nexus with the 2010 Household Income and Expenditure Survey","type":"article-journal","volume":"35"},"uris":["http://www.mendeley.com/documents/?uuid=3f52de82-6262-486a-adf8-721a9b1a37af"]}],"mendeley":{"formattedCitation":"&lt;sup&gt;(21)&lt;/sup&gt;","plainTextFormattedCitation":"(21)","previouslyFormattedCitation":"[21]"},"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(21)</w:t>
            </w:r>
            <w:r w:rsidRPr="00FF3F99">
              <w:rPr>
                <w:color w:val="000000" w:themeColor="text1"/>
                <w:sz w:val="15"/>
                <w:szCs w:val="15"/>
              </w:rPr>
              <w:fldChar w:fldCharType="end"/>
            </w:r>
          </w:p>
        </w:tc>
        <w:tc>
          <w:tcPr>
            <w:tcW w:w="2098" w:type="dxa"/>
          </w:tcPr>
          <w:p w14:paraId="0AC9D537" w14:textId="77777777" w:rsidR="00EC3718" w:rsidRPr="00FF3F99" w:rsidRDefault="00EC3718" w:rsidP="005B0D26">
            <w:pPr>
              <w:ind w:left="0"/>
              <w:rPr>
                <w:color w:val="000000" w:themeColor="text1"/>
                <w:sz w:val="15"/>
                <w:szCs w:val="15"/>
              </w:rPr>
            </w:pPr>
            <w:r w:rsidRPr="00FF3F99">
              <w:rPr>
                <w:color w:val="000000" w:themeColor="text1"/>
                <w:sz w:val="15"/>
                <w:szCs w:val="15"/>
              </w:rPr>
              <w:t>Fiedler (2014)</w:t>
            </w:r>
          </w:p>
        </w:tc>
        <w:tc>
          <w:tcPr>
            <w:tcW w:w="1322" w:type="dxa"/>
          </w:tcPr>
          <w:p w14:paraId="7C055740" w14:textId="77777777" w:rsidR="00EC3718" w:rsidRPr="00FF3F99" w:rsidRDefault="00EC3718" w:rsidP="005B0D26">
            <w:pPr>
              <w:ind w:left="0"/>
              <w:rPr>
                <w:color w:val="000000" w:themeColor="text1"/>
                <w:sz w:val="15"/>
                <w:szCs w:val="15"/>
              </w:rPr>
            </w:pPr>
            <w:r w:rsidRPr="00FF3F99">
              <w:rPr>
                <w:color w:val="000000" w:themeColor="text1"/>
                <w:sz w:val="15"/>
                <w:szCs w:val="15"/>
              </w:rPr>
              <w:t>Bangladesh</w:t>
            </w:r>
          </w:p>
        </w:tc>
        <w:tc>
          <w:tcPr>
            <w:tcW w:w="1980" w:type="dxa"/>
          </w:tcPr>
          <w:p w14:paraId="73F11BE5"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03C824E5"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2 days</w:t>
            </w:r>
          </w:p>
        </w:tc>
        <w:tc>
          <w:tcPr>
            <w:tcW w:w="1260" w:type="dxa"/>
            <w:vAlign w:val="center"/>
          </w:tcPr>
          <w:p w14:paraId="303C0CAE" w14:textId="77777777" w:rsidR="00EC3718" w:rsidRPr="00FF3F99" w:rsidRDefault="00EC3718" w:rsidP="005B0D26">
            <w:pPr>
              <w:ind w:left="0"/>
              <w:jc w:val="center"/>
              <w:rPr>
                <w:color w:val="000000" w:themeColor="text1"/>
                <w:sz w:val="15"/>
                <w:szCs w:val="15"/>
              </w:rPr>
            </w:pPr>
          </w:p>
        </w:tc>
        <w:tc>
          <w:tcPr>
            <w:tcW w:w="1440" w:type="dxa"/>
            <w:vAlign w:val="center"/>
          </w:tcPr>
          <w:p w14:paraId="0ABF3E7D" w14:textId="77777777" w:rsidR="00EC3718" w:rsidRPr="00FF3F99" w:rsidRDefault="00EC3718" w:rsidP="005B0D26">
            <w:pPr>
              <w:ind w:left="0"/>
              <w:jc w:val="center"/>
              <w:rPr>
                <w:color w:val="000000" w:themeColor="text1"/>
                <w:sz w:val="15"/>
                <w:szCs w:val="15"/>
              </w:rPr>
            </w:pPr>
          </w:p>
        </w:tc>
        <w:tc>
          <w:tcPr>
            <w:tcW w:w="1800" w:type="dxa"/>
            <w:vAlign w:val="center"/>
          </w:tcPr>
          <w:p w14:paraId="65CCFBA1"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03DE2E80" w14:textId="77777777" w:rsidR="00EC3718" w:rsidRPr="00FF3F99" w:rsidRDefault="00EC3718" w:rsidP="005B0D26">
            <w:pPr>
              <w:ind w:left="0"/>
              <w:jc w:val="center"/>
              <w:rPr>
                <w:color w:val="000000" w:themeColor="text1"/>
                <w:sz w:val="15"/>
                <w:szCs w:val="15"/>
              </w:rPr>
            </w:pPr>
          </w:p>
        </w:tc>
      </w:tr>
      <w:tr w:rsidR="00EC3718" w:rsidRPr="00E8387C" w14:paraId="15EF9EDA" w14:textId="77777777" w:rsidTr="005B0D26">
        <w:tc>
          <w:tcPr>
            <w:tcW w:w="535" w:type="dxa"/>
            <w:tcBorders>
              <w:left w:val="single" w:sz="4" w:space="0" w:color="auto"/>
            </w:tcBorders>
            <w:shd w:val="clear" w:color="auto" w:fill="D9D9D9" w:themeFill="background1" w:themeFillShade="D9"/>
          </w:tcPr>
          <w:p w14:paraId="166C8E49" w14:textId="7DC74BAD"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{"citationItems":[{"id":"ITEM-1","itemData":{"DOI":"10.1177/156482651203300102","ISSN":"03795721","PMID":"22624295","abstract":"Background. Micronutrient deficiencies exact an enormous health burden on India. The release of the National Family Health Survey results-showing the relatively wealthy state of Gujarat having deficiency levels exceeding national averages-prompted Gujarat officials to introduce fortified wheat flour in their social safety net programs (SSNPs). Objective. To provide a case study of the introduction of fortified wheat flour in Gujarat's Public Distribution System (PDS), Integrated Child Development Scheme (ICDS), and Mid-Day Meal (MDM) Programme to assess the coverage, costs, impact, and cost-effectiveness of the initiative. Methods. India's 2004/05 National Sample Survey data were used to identify beneficiaries of each of Gujarat's three SSNPs and to estimate usual intake levels of vitamin A, iron, and zinc. Comparing age- and sex-specific usual intakes to Estimated Average Requirements, the proportion of the population with inadequate intakes was estimated. Postfortification intake levels and reductions in inadequate intake were estimated. The incremental cost of fortifying wheat flour and the costeffectiveness of each program were estimated. Results. When each program was assessed independently, the proportion of the population with inadequate vitamin A intakes was reduced by 34% and 74% among MDM and ICDS beneficiaries, respectively. Both programs effectively eliminated inadequate intakes of both iron and zinc. Among PDS beneficiaries, the proportion with inadequate iron intakes was reduced by 94%. Conclusions. Gujarat's substitution of fortified wheat flour for wheat grain is dramatically increasing the intake of micronutrients among its SSNP beneficiaries. The incremental cost of introducing fortification in each of the programs is low, and, according to World Health Organization criteria, each program is \"highly costeffective.\"The introduction of similar reforms throughout India would largely eliminate the inadequate iron intake among persons participating in any of the three SSNPs and would have a significant impact on the global prevalence rate of inadequate iron intake. © 2012, The United Nations University.","author":[{"dropping-particle":"","family":"Fiedler","given":"John L.","non-dropping-particle":"","parse-names":false,"suffix":""},{"dropping-particle":"","family":"Babu","given":"Sunil","non-dropping-particle":"","parse-names":false,"suffix":""},{"dropping-particle":"","family":"Smitz","given":"Marc Francois","non-dropping-particle":"","parse-names":false,"suffix":""},{"dropping-particle":"","family":"Lividini","given":"Keith","non-dropping-particle":"","parse-names":false,"suffix":""},{"dropping-particle":"","family":"Bermudez","given":"Odilia","non-dropping-particle":"","parse-names":false,"suffix":""}],"container-title":"Food and Nutrition Bulletin","id":"ITEM-1","issue":"1","issued":{"date-parts":[["2012"]]},"page":"11-30","title":"Indian social safety net programs as platforms for introducing wheat flour fortification: A case study of Gujarat, India","type":"article-journal","volume":"33"},"uris":["http://www.mendeley.com/documents/?uuid=e58755bf-fc96-4984-87a9-a20be9b192d9"]}],"mendeley":{"formattedCitation":"&lt;sup&gt;(22)&lt;/sup&gt;","plainTextFormattedCitation":"(22)","previouslyFormattedCitation":"[22]"},"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(22)</w:t>
            </w:r>
            <w:r w:rsidRPr="00FF3F99">
              <w:rPr>
                <w:color w:val="000000" w:themeColor="text1"/>
                <w:sz w:val="15"/>
                <w:szCs w:val="15"/>
              </w:rPr>
              <w:fldChar w:fldCharType="end"/>
            </w:r>
          </w:p>
        </w:tc>
        <w:tc>
          <w:tcPr>
            <w:tcW w:w="2098" w:type="dxa"/>
            <w:shd w:val="clear" w:color="auto" w:fill="D9D9D9" w:themeFill="background1" w:themeFillShade="D9"/>
          </w:tcPr>
          <w:p w14:paraId="5D9B4861" w14:textId="77777777" w:rsidR="00EC3718" w:rsidRPr="00FF3F99" w:rsidRDefault="00EC3718" w:rsidP="005B0D26">
            <w:pPr>
              <w:ind w:left="0"/>
              <w:rPr>
                <w:color w:val="000000" w:themeColor="text1"/>
                <w:sz w:val="15"/>
                <w:szCs w:val="15"/>
              </w:rPr>
            </w:pPr>
            <w:r w:rsidRPr="00FF3F99">
              <w:rPr>
                <w:color w:val="000000" w:themeColor="text1"/>
                <w:sz w:val="15"/>
                <w:szCs w:val="15"/>
              </w:rPr>
              <w:t>Fiedler et al. (2012)</w:t>
            </w:r>
          </w:p>
        </w:tc>
        <w:tc>
          <w:tcPr>
            <w:tcW w:w="1322" w:type="dxa"/>
            <w:shd w:val="clear" w:color="auto" w:fill="D9D9D9" w:themeFill="background1" w:themeFillShade="D9"/>
          </w:tcPr>
          <w:p w14:paraId="2934A47B" w14:textId="77777777" w:rsidR="00EC3718" w:rsidRPr="00FF3F99" w:rsidRDefault="00EC3718" w:rsidP="005B0D26">
            <w:pPr>
              <w:ind w:left="0"/>
              <w:rPr>
                <w:color w:val="000000" w:themeColor="text1"/>
                <w:sz w:val="15"/>
                <w:szCs w:val="15"/>
              </w:rPr>
            </w:pPr>
            <w:r w:rsidRPr="00FF3F99">
              <w:rPr>
                <w:color w:val="000000" w:themeColor="text1"/>
                <w:sz w:val="15"/>
                <w:szCs w:val="15"/>
              </w:rPr>
              <w:t>India</w:t>
            </w:r>
          </w:p>
        </w:tc>
        <w:tc>
          <w:tcPr>
            <w:tcW w:w="1980" w:type="dxa"/>
            <w:shd w:val="clear" w:color="auto" w:fill="D9D9D9" w:themeFill="background1" w:themeFillShade="D9"/>
          </w:tcPr>
          <w:p w14:paraId="6396C418"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29EDBC83"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1 month</w:t>
            </w:r>
          </w:p>
        </w:tc>
        <w:tc>
          <w:tcPr>
            <w:tcW w:w="1260" w:type="dxa"/>
            <w:shd w:val="clear" w:color="auto" w:fill="D9D9D9" w:themeFill="background1" w:themeFillShade="D9"/>
            <w:vAlign w:val="center"/>
          </w:tcPr>
          <w:p w14:paraId="2065C7BB"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7BAC181D"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1425FFCF"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10D351A3" w14:textId="77777777" w:rsidR="00EC3718" w:rsidRPr="00FF3F99" w:rsidRDefault="00EC3718" w:rsidP="005B0D26">
            <w:pPr>
              <w:ind w:left="0"/>
              <w:jc w:val="center"/>
              <w:rPr>
                <w:color w:val="000000" w:themeColor="text1"/>
                <w:sz w:val="15"/>
                <w:szCs w:val="15"/>
              </w:rPr>
            </w:pPr>
          </w:p>
        </w:tc>
      </w:tr>
      <w:tr w:rsidR="00EC3718" w:rsidRPr="00E8387C" w14:paraId="7F0AE135" w14:textId="77777777" w:rsidTr="005B0D26">
        <w:tc>
          <w:tcPr>
            <w:tcW w:w="535" w:type="dxa"/>
            <w:tcBorders>
              <w:left w:val="single" w:sz="4" w:space="0" w:color="auto"/>
            </w:tcBorders>
          </w:tcPr>
          <w:p w14:paraId="24ADD35C" w14:textId="4B45977F"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{"citationItems":[{"id":"ITEM-1","itemData":{"DOI":"10.1177/156482651403500112","ISSN":"03795721","abstract":"Background. Micronutrient deficiencies continue to constitute a major burden of disease, particularly in Africa and South Asia. Programs to address micronutrient deficiencies have been increasing in number, type, and scale in recent years, creating an ever-growing need to understand their combined coverage levels, costs, and impacts so as to more effectively combat deficiencies, avoid putting individuals at risk for excess intakes, and ensure the efficient use of public health resources. Objective. To analyze combinations of the two current programs - sugar fortification and Child Health Week (CHW) - together with four prospective programs - vegetable oil fortification, wheat flour fortification, maize meal fortification, and biofortified vitamin A maize - to identify Zambia's optimal vitamin A portfolio. Methods. Combining program cost estimates and 30-year Zambian food demand projections, together with the Zambian 2005 Living Conditions Monitoring Survey, the annual costs, coverage, impact, and cost-effectiveness of 62 Zambian portfolios were modeled for the period from 2013 to 2042. Results. Optimal portfolios are identified for each of five alternative criteria: average cost-effectiveness, incremental cost-effectiveness, coverage maximization, health impact maximization, and affordability. The most likely scenario is identified to be one that starts with the current portfolio and takes into account all five criteria. Starting with CHW and sugar fortification, it phases in vitamin A maize, oil, wheat flour, and maize meal (in that order) to eventually include all six individual interventions. Conclusions. Combining cost and Household Consumption and Expenditure Survey (HCES) data provides a powerful evidence-generating tool with which to understand how individual micronutrient programs interact and to quantify the tradeoffs involved in selecting alternative program portfolios.","author":[{"dropping-particle":"","family":"Fiedler","given":"John L.","non-dropping-particle":"","parse-names":false,"suffix":""},{"dropping-particle":"","family":"Lividini","given":"Keith","non-dropping-particle":"","parse-names":false,"suffix":""}],"container-title":"Food and Nutrition Bulletin","id":"ITEM-1","issue":"1","issued":{"date-parts":[["2014"]]},"page":"105-25","title":"Managing the vitamin A program portfolio: A case study of Zambia, 2013-2042","type":"article-journal","volume":"35"},"uris":["http://www.mendeley.com/documents/?uuid=cad65294-e2ff-4a0a-af0b-eae956c0be91"]}],"mendeley":{"formattedCitation":"&lt;sup&gt;(23)&lt;/sup&gt;","plainTextFormattedCitation":"(23)","previouslyFormattedCitation":"[23]"},"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(23)</w:t>
            </w:r>
            <w:r w:rsidRPr="00FF3F99">
              <w:rPr>
                <w:color w:val="000000" w:themeColor="text1"/>
                <w:sz w:val="15"/>
                <w:szCs w:val="15"/>
              </w:rPr>
              <w:fldChar w:fldCharType="end"/>
            </w:r>
          </w:p>
        </w:tc>
        <w:tc>
          <w:tcPr>
            <w:tcW w:w="2098" w:type="dxa"/>
          </w:tcPr>
          <w:p w14:paraId="3B9232CF" w14:textId="77777777" w:rsidR="00EC3718" w:rsidRPr="00FF3F99" w:rsidRDefault="00EC3718" w:rsidP="005B0D26">
            <w:pPr>
              <w:ind w:left="0"/>
              <w:rPr>
                <w:color w:val="000000" w:themeColor="text1"/>
                <w:sz w:val="15"/>
                <w:szCs w:val="15"/>
              </w:rPr>
            </w:pPr>
            <w:r w:rsidRPr="00FF3F99">
              <w:rPr>
                <w:color w:val="000000" w:themeColor="text1"/>
                <w:sz w:val="15"/>
                <w:szCs w:val="15"/>
              </w:rPr>
              <w:t xml:space="preserve">Fiedler &amp; </w:t>
            </w:r>
            <w:proofErr w:type="spellStart"/>
            <w:r w:rsidRPr="00FF3F99">
              <w:rPr>
                <w:color w:val="000000" w:themeColor="text1"/>
                <w:sz w:val="15"/>
                <w:szCs w:val="15"/>
              </w:rPr>
              <w:t>Lividini</w:t>
            </w:r>
            <w:proofErr w:type="spellEnd"/>
            <w:r w:rsidRPr="00FF3F99">
              <w:rPr>
                <w:color w:val="000000" w:themeColor="text1"/>
                <w:sz w:val="15"/>
                <w:szCs w:val="15"/>
              </w:rPr>
              <w:t xml:space="preserve"> (2014)</w:t>
            </w:r>
          </w:p>
        </w:tc>
        <w:tc>
          <w:tcPr>
            <w:tcW w:w="1322" w:type="dxa"/>
          </w:tcPr>
          <w:p w14:paraId="72B4067D" w14:textId="77777777" w:rsidR="00EC3718" w:rsidRPr="00FF3F99" w:rsidRDefault="00EC3718" w:rsidP="005B0D26">
            <w:pPr>
              <w:ind w:left="0"/>
              <w:rPr>
                <w:color w:val="000000" w:themeColor="text1"/>
                <w:sz w:val="15"/>
                <w:szCs w:val="15"/>
              </w:rPr>
            </w:pPr>
            <w:r w:rsidRPr="00FF3F99">
              <w:rPr>
                <w:color w:val="000000" w:themeColor="text1"/>
                <w:sz w:val="15"/>
                <w:szCs w:val="15"/>
              </w:rPr>
              <w:t>Zambia</w:t>
            </w:r>
          </w:p>
        </w:tc>
        <w:tc>
          <w:tcPr>
            <w:tcW w:w="1980" w:type="dxa"/>
          </w:tcPr>
          <w:p w14:paraId="7F69DAB3" w14:textId="77777777" w:rsidR="00EC3718" w:rsidRPr="00FF3F99" w:rsidRDefault="00EC3718" w:rsidP="005B0D26">
            <w:pPr>
              <w:ind w:left="0"/>
              <w:rPr>
                <w:color w:val="000000" w:themeColor="text1"/>
                <w:sz w:val="15"/>
                <w:szCs w:val="15"/>
              </w:rPr>
            </w:pPr>
            <w:r w:rsidRPr="00FF3F99">
              <w:rPr>
                <w:color w:val="000000" w:themeColor="text1"/>
                <w:sz w:val="15"/>
                <w:szCs w:val="15"/>
              </w:rPr>
              <w:t>Acquisition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1AF7F772"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14 days</w:t>
            </w:r>
          </w:p>
        </w:tc>
        <w:tc>
          <w:tcPr>
            <w:tcW w:w="1260" w:type="dxa"/>
            <w:vAlign w:val="center"/>
          </w:tcPr>
          <w:p w14:paraId="35DC91FA" w14:textId="77777777" w:rsidR="00EC3718" w:rsidRPr="00FF3F99" w:rsidRDefault="00EC3718" w:rsidP="005B0D26">
            <w:pPr>
              <w:ind w:left="0"/>
              <w:jc w:val="center"/>
              <w:rPr>
                <w:color w:val="000000" w:themeColor="text1"/>
                <w:sz w:val="15"/>
                <w:szCs w:val="15"/>
              </w:rPr>
            </w:pPr>
          </w:p>
        </w:tc>
        <w:tc>
          <w:tcPr>
            <w:tcW w:w="1440" w:type="dxa"/>
            <w:vAlign w:val="center"/>
          </w:tcPr>
          <w:p w14:paraId="69D8FB2F" w14:textId="77777777" w:rsidR="00EC3718" w:rsidRPr="00FF3F99" w:rsidRDefault="00EC3718" w:rsidP="005B0D26">
            <w:pPr>
              <w:ind w:left="0"/>
              <w:jc w:val="center"/>
              <w:rPr>
                <w:color w:val="000000" w:themeColor="text1"/>
                <w:sz w:val="15"/>
                <w:szCs w:val="15"/>
              </w:rPr>
            </w:pPr>
          </w:p>
        </w:tc>
        <w:tc>
          <w:tcPr>
            <w:tcW w:w="1800" w:type="dxa"/>
            <w:vAlign w:val="center"/>
          </w:tcPr>
          <w:p w14:paraId="44293256"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7B7CD52C" w14:textId="77777777" w:rsidR="00EC3718" w:rsidRPr="00FF3F99" w:rsidRDefault="00EC3718" w:rsidP="005B0D26">
            <w:pPr>
              <w:ind w:left="0"/>
              <w:jc w:val="center"/>
              <w:rPr>
                <w:color w:val="000000" w:themeColor="text1"/>
                <w:sz w:val="15"/>
                <w:szCs w:val="15"/>
              </w:rPr>
            </w:pPr>
          </w:p>
        </w:tc>
      </w:tr>
      <w:tr w:rsidR="00EC3718" w:rsidRPr="00E8387C" w14:paraId="63357FD5" w14:textId="77777777" w:rsidTr="005B0D26">
        <w:tc>
          <w:tcPr>
            <w:tcW w:w="535" w:type="dxa"/>
            <w:tcBorders>
              <w:left w:val="single" w:sz="4" w:space="0" w:color="auto"/>
            </w:tcBorders>
            <w:shd w:val="clear" w:color="auto" w:fill="D9D9D9" w:themeFill="background1" w:themeFillShade="D9"/>
          </w:tcPr>
          <w:p w14:paraId="5F6EA191" w14:textId="01846E7A"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{"citationItems":[{"id":"ITEM-1","itemData":{"DOI":"10.1017/S1368980014000640","ISSN":"14752727","abstract":"Objective: Vitamin A deficiency is a serious health problem in Bangladesh. The 2011-12 Bangladesh Micronutrient Survey found 76·8 % of children of pre-school age were vitamin A deficient. In the absence of nationally representative, individual dietary assessment data, we use an alternative - household income and expenditure survey data - to estimate the potential impact of the introduction of vitamin A-fortified vegetable oil in Bangladesh. Design: Items in the household income and expenditure survey were matched to food composition tables to estimate households' usual vitamin A intakes. Then, assuming (i) the intra-household distribution of food is in direct proportion to household members' share of the household's total adult male consumption equivalents, (ii) all vegetable oil that is made from other-than mustard seed and that is purchased is fortifiable and (iii) oil fortification standards are implemented, we modelled the additional vitamin A intake due to the new fortification initiative. Setting: Nationwide in Bangladesh. Subjects: A weighted sample of 12240 households comprised of 55580 individuals. Results: Ninety-nine per cent of the Bangladesh population consumes vegetable oil. The quantities consumed are sufficiently large and, varying little by socio-economic status, are able to provide an important, large-scale impact. At full implementation, vegetable oil fortification will reduce the number of persons with inadequate vitamin A intake from 115 million to 86 million and decrease the prevalence of inadequate vitamin A intake from 80 % to 60 %. Conclusions: Vegetable oil is an ideal fortification vehicle in Bangladesh. Its fortification with vitamin A is an important public health intervention.","author":[{"dropping-particle":"","family":"Fiedler","given":"John L.","non-dropping-particle":"","parse-names":false,"suffix":""},{"dropping-particle":"","family":"Lividini","given":"Keith","non-dropping-particle":"","parse-names":false,"suffix":""},{"dropping-particle":"","family":"Bermudez","given":"Odilia I.","non-dropping-particle":"","parse-names":false,"suffix":""}],"container-title":"Public Health Nutrition","id":"ITEM-1","issue":"3","issued":{"date-parts":[["2015"]]},"page":"414-20","title":"Estimating the impact of vitamin A-fortified vegetable oil in Bangladesh in the absence of dietary assessment data","type":"article-journal","volume":"18"},"uris":["http://www.mendeley.com/documents/?uuid=a2de9bb0-f2a5-48ab-a0d4-ad853277cfeb"]}],"mendeley":{"formattedCitation":"&lt;sup&gt;(24)&lt;/sup&gt;","plainTextFormattedCitation":"(24)","previouslyFormattedCitation":"[24]"},"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(24)</w:t>
            </w:r>
            <w:r w:rsidRPr="00FF3F99">
              <w:rPr>
                <w:color w:val="000000" w:themeColor="text1"/>
                <w:sz w:val="15"/>
                <w:szCs w:val="15"/>
              </w:rPr>
              <w:fldChar w:fldCharType="end"/>
            </w:r>
          </w:p>
        </w:tc>
        <w:tc>
          <w:tcPr>
            <w:tcW w:w="2098" w:type="dxa"/>
            <w:shd w:val="clear" w:color="auto" w:fill="D9D9D9" w:themeFill="background1" w:themeFillShade="D9"/>
          </w:tcPr>
          <w:p w14:paraId="3239267F" w14:textId="77777777" w:rsidR="00EC3718" w:rsidRPr="00FF3F99" w:rsidRDefault="00EC3718" w:rsidP="005B0D26">
            <w:pPr>
              <w:ind w:left="0"/>
              <w:rPr>
                <w:color w:val="000000" w:themeColor="text1"/>
                <w:sz w:val="15"/>
                <w:szCs w:val="15"/>
              </w:rPr>
            </w:pPr>
            <w:r w:rsidRPr="00FF3F99">
              <w:rPr>
                <w:color w:val="000000" w:themeColor="text1"/>
                <w:sz w:val="15"/>
                <w:szCs w:val="15"/>
              </w:rPr>
              <w:t>Fiedler et al. (2015)</w:t>
            </w:r>
          </w:p>
        </w:tc>
        <w:tc>
          <w:tcPr>
            <w:tcW w:w="1322" w:type="dxa"/>
            <w:shd w:val="clear" w:color="auto" w:fill="D9D9D9" w:themeFill="background1" w:themeFillShade="D9"/>
          </w:tcPr>
          <w:p w14:paraId="5586A26A" w14:textId="77777777" w:rsidR="00EC3718" w:rsidRPr="00FF3F99" w:rsidRDefault="00EC3718" w:rsidP="005B0D26">
            <w:pPr>
              <w:ind w:left="0"/>
              <w:rPr>
                <w:color w:val="000000" w:themeColor="text1"/>
                <w:sz w:val="15"/>
                <w:szCs w:val="15"/>
              </w:rPr>
            </w:pPr>
            <w:r w:rsidRPr="00FF3F99">
              <w:rPr>
                <w:color w:val="000000" w:themeColor="text1"/>
                <w:sz w:val="15"/>
                <w:szCs w:val="15"/>
              </w:rPr>
              <w:t>Bangladesh</w:t>
            </w:r>
          </w:p>
        </w:tc>
        <w:tc>
          <w:tcPr>
            <w:tcW w:w="1980" w:type="dxa"/>
            <w:shd w:val="clear" w:color="auto" w:fill="D9D9D9" w:themeFill="background1" w:themeFillShade="D9"/>
          </w:tcPr>
          <w:p w14:paraId="291192E7" w14:textId="77777777" w:rsidR="00EC3718" w:rsidRPr="00FF3F99" w:rsidRDefault="00EC3718" w:rsidP="005B0D26">
            <w:pPr>
              <w:ind w:left="0"/>
              <w:rPr>
                <w:color w:val="000000" w:themeColor="text1"/>
                <w:sz w:val="15"/>
                <w:szCs w:val="15"/>
              </w:rPr>
            </w:pPr>
            <w:r w:rsidRPr="00FF3F99">
              <w:rPr>
                <w:color w:val="000000" w:themeColor="text1"/>
                <w:sz w:val="15"/>
                <w:szCs w:val="15"/>
              </w:rPr>
              <w:t>Acquisition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223D6BF4"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14 days</w:t>
            </w:r>
          </w:p>
        </w:tc>
        <w:tc>
          <w:tcPr>
            <w:tcW w:w="1260" w:type="dxa"/>
            <w:shd w:val="clear" w:color="auto" w:fill="D9D9D9" w:themeFill="background1" w:themeFillShade="D9"/>
            <w:vAlign w:val="center"/>
          </w:tcPr>
          <w:p w14:paraId="296346C9"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609F4A02"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59E72962"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142B7BB5" w14:textId="77777777" w:rsidR="00EC3718" w:rsidRPr="00FF3F99" w:rsidRDefault="00EC3718" w:rsidP="005B0D26">
            <w:pPr>
              <w:ind w:left="0"/>
              <w:jc w:val="center"/>
              <w:rPr>
                <w:color w:val="000000" w:themeColor="text1"/>
                <w:sz w:val="15"/>
                <w:szCs w:val="15"/>
              </w:rPr>
            </w:pPr>
          </w:p>
        </w:tc>
      </w:tr>
      <w:tr w:rsidR="00EC3718" w:rsidRPr="00E8387C" w14:paraId="751CE60A" w14:textId="77777777" w:rsidTr="005B0D26">
        <w:tc>
          <w:tcPr>
            <w:tcW w:w="535" w:type="dxa"/>
            <w:tcBorders>
              <w:left w:val="single" w:sz="4" w:space="0" w:color="auto"/>
            </w:tcBorders>
          </w:tcPr>
          <w:p w14:paraId="1675E73F" w14:textId="1BF71327"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{"citationItems":[{"id":"ITEM-1","itemData":{"DOI":"10.1016/j.aquaculture.2015.11.004","ISSN":"00448486","abstract":"Background: Since 1961, global per capita fish consumption has nearly doubled. Much of the increase has been due to aquaculture. Bangladesh, the world's eighth largest fish producing country, has been part of this transformation. Despite having vitamin A supplementation and fortification programs, the prevalence of inadequate vitamin A intake (IVAI) in Bangladesh is very high, estimated to be 60%. The promotion of a small indigenous fish, high in vitamin A - mola carplet - offers a promising food-based approach to improving vitamin A status of the 98% of Bangladeshis who eat fish. The objective of this paper was to conduct a benefit-cost analysis of a national household pond Mola Promotion Program (MPP) in Bangladesh. Methods: Using the 2005 Bangladesh Household Income and Expenditure Survey (HIES) and nutrition and health statistics, we developed baseline estimates of usual vitamin A intake, the prevalence of IVAI and disability-adjusted life years (DALYs) attributable to vitamin A deficiency (VAD). Drawing on a WorldFish project and HIES data, we designed and modeled the implementation of a MPP, and calculated the additional vitamin A intake it would provide, calculated new incidence rates of VAD-related health outcomes and estimated MPP-attributable annual changes in DALYs. The MPP's total health benefits were calculated over the program's 11-year phase-in as the annual sum of DALYs saved. The MPP's costs were estimated as the sum of the costs of a small fish program of the Fisheries Development Program plus the costs of mola brood stock, other inputs and additional farmer training-related costs. Program costs and benefits were combined to produce estimates of the cost-effectiveness of the program. Results: An 11-year, $23 million project would increase average daily vitamin A intakes by 7. μg retinol activity equivalent (RAE), reduce the prevalence of IVAI by 1.1 percentage points, and save 3000 lives and 100,000 DALYs, at a cost of $194 per DALY saved. The MPP's impact would be concentrated among homestead pond-fishing households that would consume 60% of the additional mola produced. Among these, it would reduce IVAI prevalence by 7 percentage points. If the MPP was implemented for at least 20. years, it would dominate - have higher health benefits and lower total costs - than a national vitamin A wheat flour fortification program. Conclusion: By World Bank and World Health Organization criteria, the MPP is a cost-effective approach to reduce the …","author":[{"dropping-particle":"","family":"Fiedler","given":"John L.","non-dropping-particle":"","parse-names":false,"suffix":""},{"dropping-particle":"","family":"Lividini","given":"Keith","non-dropping-particle":"","parse-names":false,"suffix":""},{"dropping-particle":"","family":"Drummond","given":"Elizabeth","non-dropping-particle":"","parse-names":false,"suffix":""},{"dropping-particle":"","family":"Thilsted","given":"Shakuntala H.","non-dropping-particle":"","parse-names":false,"suffix":""}],"container-title":"Aquaculture","id":"ITEM-1","issued":{"date-parts":[["2016"]]},"page":"291-303","title":"Strengthening the contribution of aquaculture to food and nutrition security: The potential of a vitamin A-rich, small fish in Bangladesh","type":"article-journal","volume":"452"},"uris":["http://www.mendeley.com/documents/?uuid=2261737a-851e-4947-8733-1a25bd8563b9"]}],"mendeley":{"formattedCitation":"&lt;sup&gt;(25)&lt;/sup&gt;","plainTextFormattedCitation":"(25)","previouslyFormattedCitation":"[25]"},"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(25)</w:t>
            </w:r>
            <w:r w:rsidRPr="00FF3F99">
              <w:rPr>
                <w:color w:val="000000" w:themeColor="text1"/>
                <w:sz w:val="15"/>
                <w:szCs w:val="15"/>
              </w:rPr>
              <w:fldChar w:fldCharType="end"/>
            </w:r>
          </w:p>
        </w:tc>
        <w:tc>
          <w:tcPr>
            <w:tcW w:w="2098" w:type="dxa"/>
          </w:tcPr>
          <w:p w14:paraId="44351FB2" w14:textId="77777777" w:rsidR="00EC3718" w:rsidRPr="00FF3F99" w:rsidRDefault="00EC3718" w:rsidP="005B0D26">
            <w:pPr>
              <w:ind w:left="0"/>
              <w:rPr>
                <w:color w:val="000000" w:themeColor="text1"/>
                <w:sz w:val="15"/>
                <w:szCs w:val="15"/>
              </w:rPr>
            </w:pPr>
            <w:r w:rsidRPr="00FF3F99">
              <w:rPr>
                <w:color w:val="000000" w:themeColor="text1"/>
                <w:sz w:val="15"/>
                <w:szCs w:val="15"/>
              </w:rPr>
              <w:t>Fiedler et al. (2016)</w:t>
            </w:r>
          </w:p>
        </w:tc>
        <w:tc>
          <w:tcPr>
            <w:tcW w:w="1322" w:type="dxa"/>
          </w:tcPr>
          <w:p w14:paraId="450DD844" w14:textId="77777777" w:rsidR="00EC3718" w:rsidRPr="00FF3F99" w:rsidRDefault="00EC3718" w:rsidP="005B0D26">
            <w:pPr>
              <w:ind w:left="0"/>
              <w:rPr>
                <w:color w:val="000000" w:themeColor="text1"/>
                <w:sz w:val="15"/>
                <w:szCs w:val="15"/>
              </w:rPr>
            </w:pPr>
            <w:r w:rsidRPr="00FF3F99">
              <w:rPr>
                <w:color w:val="000000" w:themeColor="text1"/>
                <w:sz w:val="15"/>
                <w:szCs w:val="15"/>
              </w:rPr>
              <w:t>Bangladesh</w:t>
            </w:r>
          </w:p>
        </w:tc>
        <w:tc>
          <w:tcPr>
            <w:tcW w:w="1980" w:type="dxa"/>
          </w:tcPr>
          <w:p w14:paraId="3F2E720F"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73DA7C9E"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2 days</w:t>
            </w:r>
          </w:p>
        </w:tc>
        <w:tc>
          <w:tcPr>
            <w:tcW w:w="1260" w:type="dxa"/>
            <w:vAlign w:val="center"/>
          </w:tcPr>
          <w:p w14:paraId="1FEBAB11" w14:textId="77777777" w:rsidR="00EC3718" w:rsidRPr="00FF3F99" w:rsidRDefault="00EC3718" w:rsidP="005B0D26">
            <w:pPr>
              <w:ind w:left="0"/>
              <w:jc w:val="center"/>
              <w:rPr>
                <w:color w:val="000000" w:themeColor="text1"/>
                <w:sz w:val="15"/>
                <w:szCs w:val="15"/>
              </w:rPr>
            </w:pPr>
          </w:p>
        </w:tc>
        <w:tc>
          <w:tcPr>
            <w:tcW w:w="1440" w:type="dxa"/>
            <w:vAlign w:val="center"/>
          </w:tcPr>
          <w:p w14:paraId="2F0E73C8" w14:textId="77777777" w:rsidR="00EC3718" w:rsidRPr="00FF3F99" w:rsidRDefault="00EC3718" w:rsidP="005B0D26">
            <w:pPr>
              <w:ind w:left="0"/>
              <w:jc w:val="center"/>
              <w:rPr>
                <w:color w:val="000000" w:themeColor="text1"/>
                <w:sz w:val="15"/>
                <w:szCs w:val="15"/>
              </w:rPr>
            </w:pPr>
          </w:p>
        </w:tc>
        <w:tc>
          <w:tcPr>
            <w:tcW w:w="1800" w:type="dxa"/>
            <w:vAlign w:val="center"/>
          </w:tcPr>
          <w:p w14:paraId="587C99DE"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3F27CE2A" w14:textId="77777777" w:rsidR="00EC3718" w:rsidRPr="00FF3F99" w:rsidRDefault="00EC3718" w:rsidP="005B0D26">
            <w:pPr>
              <w:ind w:left="0"/>
              <w:jc w:val="center"/>
              <w:rPr>
                <w:color w:val="000000" w:themeColor="text1"/>
                <w:sz w:val="15"/>
                <w:szCs w:val="15"/>
              </w:rPr>
            </w:pPr>
          </w:p>
        </w:tc>
      </w:tr>
      <w:tr w:rsidR="00EC3718" w:rsidRPr="00E8387C" w14:paraId="34DBA33E" w14:textId="77777777" w:rsidTr="005B0D26">
        <w:tc>
          <w:tcPr>
            <w:tcW w:w="535" w:type="dxa"/>
            <w:tcBorders>
              <w:left w:val="single" w:sz="4" w:space="0" w:color="auto"/>
            </w:tcBorders>
            <w:shd w:val="clear" w:color="auto" w:fill="D9D9D9" w:themeFill="background1" w:themeFillShade="D9"/>
          </w:tcPr>
          <w:p w14:paraId="70B20418" w14:textId="1D122133"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{"citationItems":[{"id":"ITEM-1","itemData":{"DOI":"10.1177/156482651303400413","ISSN":"03795721","abstract":"Background. Since fortification of sugar with vitamin A was mandated in 1998, Zambia's fortification program has not changed, while the country remains plagued by high rates of micronutrient deficiencies. Objective. To provide evidence-based fortification options with the hope of reinvigorating the Zambian fortification program. Methods. Zambia's 2006 Living Conditions Monitoring Survey is used to estimate the apparent intakes of vitamin A, iron, and zinc, as well as the apparent consumption levels and coverage of four fortification vehicles. Fourteen alternative food fortification portfolios are modeled, and their costs, impacts, average cost-effectiveness, and incremental cost-effectiveness are calculated using three alternative impact measures. Results. Alternative impact measures result in different rank orderings of the portfolios. The most costeffective portfolio is vegetable oil, which has a cost per disability-adjusted life-year (DALY) saved ranging from 12% to 25% of that of sugar, depending on the impact measure used. The public health impact of fortified vegetable oil, however, is relatively modest. Additional criteria beyond cost-effectiveness are introduced and used to rank order the portfolios. The size of the public health impact, the total cost, and the incremental cost-effectiveness of phasing in multiple vehicle portfolios over time are analyzed. Conclusions. Assessing fortification portfolios by measuring changes in the prevalence of inadequate intakes underestimates impact. A more sensitive measure, which also takes into account change in the Estimated Average Requirement (EAR) gap, is provided by a dose-response-based approach to estimating the number of DALYs saved. There exist highly cost-effective fortification intervention portfolios with substantial public health impacts and variable price tags that could help improve Zambians' nutrition status. © 2013, The Nevin Scrimshaw International Nutrition Foundation.","author":[{"dropping-particle":"","family":"Fiedler","given":"John L.","non-dropping-particle":"","parse-names":false,"suffix":""},{"dropping-particle":"","family":"Lividini","given":"Keith","non-dropping-particle":"","parse-names":false,"suffix":""},{"dropping-particle":"","family":"Kabaghe","given":"Gladys","non-dropping-particle":"","parse-names":false,"suffix":""},{"dropping-particle":"","family":"Zulu","given":"Rodah","non-dropping-particle":"","parse-names":false,"suffix":""},{"dropping-particle":"","family":"Tehinse","given":"John","non-dropping-particle":"","parse-names":false,"suffix":""},{"dropping-particle":"","family":"Bermudez","given":"Odilia I.","non-dropping-particle":"","parse-names":false,"suffix":""},{"dropping-particle":"","family":"Jallier","given":"Vincent","non-dropping-particle":"","parse-names":false,"suffix":""},{"dropping-particle":"","family":"Guyondet","given":"Christophe","non-dropping-particle":"","parse-names":false,"suffix":""}],"container-title":"Food and Nutrition Bulletin","id":"ITEM-1","issue":"4","issued":{"date-parts":[["2013"]]},"page":"501-19","title":"Assessing Zambia's industrial fortification options: Getting beyond changes in prevalence and cost-effectiveness","type":"article-journal","volume":"34"},"uris":["http://www.mendeley.com/documents/?uuid=113b401e-e9da-4043-91da-6bb73ee32c1f"]}],"mendeley":{"formattedCitation":"&lt;sup&gt;(26)&lt;/sup&gt;","plainTextFormattedCitation":"(26)","previouslyFormattedCitation":"[26]"},"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(26)</w:t>
            </w:r>
            <w:r w:rsidRPr="00FF3F99">
              <w:rPr>
                <w:color w:val="000000" w:themeColor="text1"/>
                <w:sz w:val="15"/>
                <w:szCs w:val="15"/>
              </w:rPr>
              <w:fldChar w:fldCharType="end"/>
            </w:r>
          </w:p>
        </w:tc>
        <w:tc>
          <w:tcPr>
            <w:tcW w:w="2098" w:type="dxa"/>
            <w:shd w:val="clear" w:color="auto" w:fill="D9D9D9" w:themeFill="background1" w:themeFillShade="D9"/>
          </w:tcPr>
          <w:p w14:paraId="7853ED4C" w14:textId="77777777" w:rsidR="00EC3718" w:rsidRPr="00FF3F99" w:rsidRDefault="00EC3718" w:rsidP="005B0D26">
            <w:pPr>
              <w:ind w:left="0"/>
              <w:rPr>
                <w:color w:val="000000" w:themeColor="text1"/>
                <w:sz w:val="15"/>
                <w:szCs w:val="15"/>
              </w:rPr>
            </w:pPr>
            <w:r w:rsidRPr="00FF3F99">
              <w:rPr>
                <w:color w:val="000000" w:themeColor="text1"/>
                <w:sz w:val="15"/>
                <w:szCs w:val="15"/>
              </w:rPr>
              <w:t>Fiedler et al. (2015)</w:t>
            </w:r>
          </w:p>
        </w:tc>
        <w:tc>
          <w:tcPr>
            <w:tcW w:w="1322" w:type="dxa"/>
            <w:shd w:val="clear" w:color="auto" w:fill="D9D9D9" w:themeFill="background1" w:themeFillShade="D9"/>
          </w:tcPr>
          <w:p w14:paraId="46C3820E" w14:textId="77777777" w:rsidR="00EC3718" w:rsidRPr="00FF3F99" w:rsidRDefault="00EC3718" w:rsidP="005B0D26">
            <w:pPr>
              <w:ind w:left="0"/>
              <w:rPr>
                <w:color w:val="000000" w:themeColor="text1"/>
                <w:sz w:val="15"/>
                <w:szCs w:val="15"/>
              </w:rPr>
            </w:pPr>
            <w:r w:rsidRPr="00FF3F99">
              <w:rPr>
                <w:color w:val="000000" w:themeColor="text1"/>
                <w:sz w:val="15"/>
                <w:szCs w:val="15"/>
              </w:rPr>
              <w:t>Bangladesh</w:t>
            </w:r>
          </w:p>
        </w:tc>
        <w:tc>
          <w:tcPr>
            <w:tcW w:w="1980" w:type="dxa"/>
            <w:shd w:val="clear" w:color="auto" w:fill="D9D9D9" w:themeFill="background1" w:themeFillShade="D9"/>
          </w:tcPr>
          <w:p w14:paraId="55614041"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0EEAF068"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2 days</w:t>
            </w:r>
          </w:p>
        </w:tc>
        <w:tc>
          <w:tcPr>
            <w:tcW w:w="1260" w:type="dxa"/>
            <w:shd w:val="clear" w:color="auto" w:fill="D9D9D9" w:themeFill="background1" w:themeFillShade="D9"/>
            <w:vAlign w:val="center"/>
          </w:tcPr>
          <w:p w14:paraId="661583BF"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626C188A"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67F66463"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72760646" w14:textId="77777777" w:rsidR="00EC3718" w:rsidRPr="00FF3F99" w:rsidRDefault="00EC3718" w:rsidP="005B0D26">
            <w:pPr>
              <w:ind w:left="0"/>
              <w:jc w:val="center"/>
              <w:rPr>
                <w:color w:val="000000" w:themeColor="text1"/>
                <w:sz w:val="15"/>
                <w:szCs w:val="15"/>
              </w:rPr>
            </w:pPr>
          </w:p>
        </w:tc>
      </w:tr>
      <w:tr w:rsidR="00EC3718" w:rsidRPr="00E8387C" w14:paraId="19DDE628" w14:textId="77777777" w:rsidTr="005B0D26">
        <w:tc>
          <w:tcPr>
            <w:tcW w:w="535" w:type="dxa"/>
            <w:tcBorders>
              <w:left w:val="single" w:sz="4" w:space="0" w:color="auto"/>
            </w:tcBorders>
          </w:tcPr>
          <w:p w14:paraId="69124615" w14:textId="2C4BF3C9"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{"citationItems":[{"id":"ITEM-1","itemData":{"DOI":"10.1177/156482651303400413","ISSN":"03795721","abstract":"Background. Since fortification of sugar with vitamin A was mandated in 1998, Zambia's fortification program has not changed, while the country remains plagued by high rates of micronutrient deficiencies. Objective. To provide evidence-based fortification options with the hope of reinvigorating the Zambian fortification program. Methods. Zambia's 2006 Living Conditions Monitoring Survey is used to estimate the apparent intakes of vitamin A, iron, and zinc, as well as the apparent consumption levels and coverage of four fortification vehicles. Fourteen alternative food fortification portfolios are modeled, and their costs, impacts, average cost-effectiveness, and incremental cost-effectiveness are calculated using three alternative impact measures. Results. Alternative impact measures result in different rank orderings of the portfolios. The most costeffective portfolio is vegetable oil, which has a cost per disability-adjusted life-year (DALY) saved ranging from 12% to 25% of that of sugar, depending on the impact measure used. The public health impact of fortified vegetable oil, however, is relatively modest. Additional criteria beyond cost-effectiveness are introduced and used to rank order the portfolios. The size of the public health impact, the total cost, and the incremental cost-effectiveness of phasing in multiple vehicle portfolios over time are analyzed. Conclusions. Assessing fortification portfolios by measuring changes in the prevalence of inadequate intakes underestimates impact. A more sensitive measure, which also takes into account change in the Estimated Average Requirement (EAR) gap, is provided by a dose-response-based approach to estimating the number of DALYs saved. There exist highly cost-effective fortification intervention portfolios with substantial public health impacts and variable price tags that could help improve Zambians' nutrition status. © 2013, The Nevin Scrimshaw International Nutrition Foundation.","author":[{"dropping-particle":"","family":"Fiedler","given":"John L.","non-dropping-particle":"","parse-names":false,"suffix":""},{"dropping-particle":"","family":"Lividini","given":"Keith","non-dropping-particle":"","parse-names":false,"suffix":""},{"dropping-particle":"","family":"Kabaghe","given":"Gladys","non-dropping-particle":"","parse-names":false,"suffix":""},{"dropping-particle":"","family":"Zulu","given":"Rodah","non-dropping-particle":"","parse-names":false,"suffix":""},{"dropping-particle":"","family":"Tehinse","given":"John","non-dropping-particle":"","parse-names":false,"suffix":""},{"dropping-particle":"","family":"Bermudez","given":"Odilia I.","non-dropping-particle":"","parse-names":false,"suffix":""},{"dropping-particle":"","family":"Jallier","given":"Vincent","non-dropping-particle":"","parse-names":false,"suffix":""},{"dropping-particle":"","family":"Guyondet","given":"Christophe","non-dropping-particle":"","parse-names":false,"suffix":""}],"container-title":"Food and Nutrition Bulletin","id":"ITEM-1","issue":"4","issued":{"date-parts":[["2013"]]},"page":"501-19","title":"Assessing Zambia's industrial fortification options: Getting beyond changes in prevalence and cost-effectiveness","type":"article-journal","volume":"34"},"uris":["http://www.mendeley.com/documents/?uuid=113b401e-e9da-4043-91da-6bb73ee32c1f"]}],"mendeley":{"formattedCitation":"&lt;sup&gt;(26)&lt;/sup&gt;","plainTextFormattedCitation":"(26)","previouslyFormattedCitation":"[26]"},"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(26)</w:t>
            </w:r>
            <w:r w:rsidRPr="00FF3F99">
              <w:rPr>
                <w:color w:val="000000" w:themeColor="text1"/>
                <w:sz w:val="15"/>
                <w:szCs w:val="15"/>
              </w:rPr>
              <w:fldChar w:fldCharType="end"/>
            </w:r>
          </w:p>
        </w:tc>
        <w:tc>
          <w:tcPr>
            <w:tcW w:w="2098" w:type="dxa"/>
          </w:tcPr>
          <w:p w14:paraId="7D17752F" w14:textId="77777777" w:rsidR="00EC3718" w:rsidRPr="00FF3F99" w:rsidRDefault="00EC3718" w:rsidP="005B0D26">
            <w:pPr>
              <w:ind w:left="0"/>
              <w:rPr>
                <w:color w:val="000000" w:themeColor="text1"/>
                <w:sz w:val="15"/>
                <w:szCs w:val="15"/>
              </w:rPr>
            </w:pPr>
            <w:r w:rsidRPr="00FF3F99">
              <w:rPr>
                <w:color w:val="000000" w:themeColor="text1"/>
                <w:sz w:val="15"/>
                <w:szCs w:val="15"/>
              </w:rPr>
              <w:t>Fiedler et al. (2013)</w:t>
            </w:r>
          </w:p>
        </w:tc>
        <w:tc>
          <w:tcPr>
            <w:tcW w:w="1322" w:type="dxa"/>
          </w:tcPr>
          <w:p w14:paraId="07F778F3" w14:textId="77777777" w:rsidR="00EC3718" w:rsidRPr="00FF3F99" w:rsidRDefault="00EC3718" w:rsidP="005B0D26">
            <w:pPr>
              <w:ind w:left="0"/>
              <w:rPr>
                <w:color w:val="000000" w:themeColor="text1"/>
                <w:sz w:val="15"/>
                <w:szCs w:val="15"/>
              </w:rPr>
            </w:pPr>
            <w:r w:rsidRPr="00FF3F99">
              <w:rPr>
                <w:color w:val="000000" w:themeColor="text1"/>
                <w:sz w:val="15"/>
                <w:szCs w:val="15"/>
              </w:rPr>
              <w:t>Zambia</w:t>
            </w:r>
          </w:p>
        </w:tc>
        <w:tc>
          <w:tcPr>
            <w:tcW w:w="1980" w:type="dxa"/>
          </w:tcPr>
          <w:p w14:paraId="3BE7B2E8" w14:textId="77777777" w:rsidR="00EC3718" w:rsidRPr="00FF3F99" w:rsidRDefault="00EC3718" w:rsidP="005B0D26">
            <w:pPr>
              <w:ind w:left="0"/>
              <w:rPr>
                <w:color w:val="000000" w:themeColor="text1"/>
                <w:sz w:val="15"/>
                <w:szCs w:val="15"/>
              </w:rPr>
            </w:pPr>
            <w:r w:rsidRPr="00FF3F99">
              <w:rPr>
                <w:color w:val="000000" w:themeColor="text1"/>
                <w:sz w:val="15"/>
                <w:szCs w:val="15"/>
              </w:rPr>
              <w:t>Acquisition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42C743B3"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14 days</w:t>
            </w:r>
          </w:p>
        </w:tc>
        <w:tc>
          <w:tcPr>
            <w:tcW w:w="1260" w:type="dxa"/>
            <w:vAlign w:val="center"/>
          </w:tcPr>
          <w:p w14:paraId="717D0690" w14:textId="77777777" w:rsidR="00EC3718" w:rsidRPr="00FF3F99" w:rsidRDefault="00EC3718" w:rsidP="005B0D26">
            <w:pPr>
              <w:ind w:left="0"/>
              <w:jc w:val="center"/>
              <w:rPr>
                <w:color w:val="000000" w:themeColor="text1"/>
                <w:sz w:val="15"/>
                <w:szCs w:val="15"/>
              </w:rPr>
            </w:pPr>
          </w:p>
        </w:tc>
        <w:tc>
          <w:tcPr>
            <w:tcW w:w="1440" w:type="dxa"/>
            <w:vAlign w:val="center"/>
          </w:tcPr>
          <w:p w14:paraId="6471A8AA" w14:textId="77777777" w:rsidR="00EC3718" w:rsidRPr="00FF3F99" w:rsidRDefault="00EC3718" w:rsidP="005B0D26">
            <w:pPr>
              <w:ind w:left="0"/>
              <w:jc w:val="center"/>
              <w:rPr>
                <w:color w:val="000000" w:themeColor="text1"/>
                <w:sz w:val="15"/>
                <w:szCs w:val="15"/>
              </w:rPr>
            </w:pPr>
          </w:p>
        </w:tc>
        <w:tc>
          <w:tcPr>
            <w:tcW w:w="1800" w:type="dxa"/>
            <w:vAlign w:val="center"/>
          </w:tcPr>
          <w:p w14:paraId="77606064"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475EC5FA" w14:textId="77777777" w:rsidR="00EC3718" w:rsidRPr="00FF3F99" w:rsidRDefault="00EC3718" w:rsidP="005B0D26">
            <w:pPr>
              <w:ind w:left="0"/>
              <w:jc w:val="center"/>
              <w:rPr>
                <w:color w:val="000000" w:themeColor="text1"/>
                <w:sz w:val="15"/>
                <w:szCs w:val="15"/>
              </w:rPr>
            </w:pPr>
          </w:p>
        </w:tc>
      </w:tr>
      <w:tr w:rsidR="00EC3718" w:rsidRPr="00E8387C" w14:paraId="5AAF9D8B" w14:textId="77777777" w:rsidTr="005B0D26">
        <w:tc>
          <w:tcPr>
            <w:tcW w:w="535" w:type="dxa"/>
            <w:tcBorders>
              <w:left w:val="single" w:sz="4" w:space="0" w:color="auto"/>
            </w:tcBorders>
            <w:shd w:val="clear" w:color="auto" w:fill="D9D9D9" w:themeFill="background1" w:themeFillShade="D9"/>
          </w:tcPr>
          <w:p w14:paraId="70D35A4E" w14:textId="3B8DE32F"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{"citationItems":[{"id":"ITEM-1","itemData":{"DOI":"10.1177/156482651303400412","ISSN":"03795721","abstract":"Background. Zambia was a pioneer when it started fortifying sugar with vitamin A in 1998. Micronutrient deficiencies-especially among young children-have changed little over the past decade. In 2008 an initiative to introduce fortified flours was halted when last-hour questions about the program could not be answered. Objective. To provide information about the need, coverage, and impact of alternative fortification portfolio options to help Zambia overcome its fortification impasse. Methods. Using household data from the 2006 Living Conditions Monitoring Survey, apparent micronutrient intake levels and apparent consumption levels of sugar, vegetable oil, wheat flour and maize meal were estimated. The household level data were used to estimate individual intakes by assuming that food was distributed among household members in direct proportion to their share of the household's total adult consumption equivalent. Intake adequacy was measured relative to age- and gender-specific Estimated Average Requirements. Combining information on the industrial structure and estimated fortifiable quantities consumed of each food, and assuming the nutrient content is that specified in official regulations, simulations were conducted of the coverage and impact of 14 fortification portfolios. Results. Maize, the most commonly consumed food, is consumed in a fortifiable form by only 23% of the population. Sugar fortification is estimated to have reduced inadequate intake of vitamin A from 87% to 79%. Introducing oil fortification could reduce the prevalence of inadequate vitamin A intake to 61%, and fortifying roller and breakfast maize meal would further reduce it to 57%, and reduce inadequate iron and zinc intakes by 2.2% and 5.5%, respectively. Implementing WHO flour guidelines would triple the potential iron and zinc impacts. Conclusion. Analysis of LCMS apparent consumption data have helped address important information gaps and provide better understanding of the coverage and impacts of alternative fortification portfolios. © 2013, The Nevin Scrimshaw International Nutrition Foundation.","author":[{"dropping-particle":"","family":"Fiedler","given":"John L.","non-dropping-particle":"","parse-names":false,"suffix":""},{"dropping-particle":"","family":"Lividini","given":"Keith","non-dropping-particle":"","parse-names":false,"suffix":""},{"dropping-particle":"","family":"Zulu","given":"Rodah","non-dropping-particle":"","parse-names":false,"suffix":""},{"dropping-particle":"","family":"Kabaghe","given":"Gladys","non-dropping-particle":"","parse-names":false,"suffix":""},{"dropping-particle":"","family":"Tehinse","given":"John","non-dropping-particle":"","parse-names":false,"suffix":""},{"dropping-particle":"","family":"Bermudez","given":"Odilia I.","non-dropping-particle":"","parse-names":false,"suffix":""}],"container-title":"Food and Nutrition Bulletin","id":"ITEM-1","issue":"4","issued":{"date-parts":[["2013"]]},"page":"480-500","title":"Identifying Zambia's industrial fortification options: Toward overcoming the food and nutrition information gap-induced impasse","type":"article-journal","volume":"34"},"uris":["http://www.mendeley.com/documents/?uuid=969d6584-966d-4bce-8f6e-93feefebf16c"]}],"mendeley":{"formattedCitation":"&lt;sup&gt;(27)&lt;/sup&gt;","plainTextFormattedCitation":"(27)","previouslyFormattedCitation":"[27]"},"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(27)</w:t>
            </w:r>
            <w:r w:rsidRPr="00FF3F99">
              <w:rPr>
                <w:color w:val="000000" w:themeColor="text1"/>
                <w:sz w:val="15"/>
                <w:szCs w:val="15"/>
              </w:rPr>
              <w:fldChar w:fldCharType="end"/>
            </w:r>
          </w:p>
        </w:tc>
        <w:tc>
          <w:tcPr>
            <w:tcW w:w="2098" w:type="dxa"/>
            <w:shd w:val="clear" w:color="auto" w:fill="D9D9D9" w:themeFill="background1" w:themeFillShade="D9"/>
          </w:tcPr>
          <w:p w14:paraId="773C5101" w14:textId="77777777" w:rsidR="00EC3718" w:rsidRPr="00FF3F99" w:rsidRDefault="00EC3718" w:rsidP="005B0D26">
            <w:pPr>
              <w:ind w:left="0"/>
              <w:rPr>
                <w:color w:val="000000" w:themeColor="text1"/>
                <w:sz w:val="15"/>
                <w:szCs w:val="15"/>
              </w:rPr>
            </w:pPr>
            <w:r w:rsidRPr="00FF3F99">
              <w:rPr>
                <w:color w:val="000000" w:themeColor="text1"/>
                <w:sz w:val="15"/>
                <w:szCs w:val="15"/>
              </w:rPr>
              <w:t>Fiedler et al. (2013)</w:t>
            </w:r>
          </w:p>
        </w:tc>
        <w:tc>
          <w:tcPr>
            <w:tcW w:w="1322" w:type="dxa"/>
            <w:shd w:val="clear" w:color="auto" w:fill="D9D9D9" w:themeFill="background1" w:themeFillShade="D9"/>
          </w:tcPr>
          <w:p w14:paraId="5FFC7824" w14:textId="77777777" w:rsidR="00EC3718" w:rsidRPr="00FF3F99" w:rsidRDefault="00EC3718" w:rsidP="005B0D26">
            <w:pPr>
              <w:ind w:left="0"/>
              <w:rPr>
                <w:color w:val="000000" w:themeColor="text1"/>
                <w:sz w:val="15"/>
                <w:szCs w:val="15"/>
              </w:rPr>
            </w:pPr>
            <w:r w:rsidRPr="00FF3F99">
              <w:rPr>
                <w:color w:val="000000" w:themeColor="text1"/>
                <w:sz w:val="15"/>
                <w:szCs w:val="15"/>
              </w:rPr>
              <w:t>Zambia</w:t>
            </w:r>
          </w:p>
        </w:tc>
        <w:tc>
          <w:tcPr>
            <w:tcW w:w="1980" w:type="dxa"/>
            <w:shd w:val="clear" w:color="auto" w:fill="D9D9D9" w:themeFill="background1" w:themeFillShade="D9"/>
          </w:tcPr>
          <w:p w14:paraId="7399E2C1" w14:textId="77777777" w:rsidR="00EC3718" w:rsidRPr="00FF3F99" w:rsidRDefault="00EC3718" w:rsidP="005B0D26">
            <w:pPr>
              <w:ind w:left="0"/>
              <w:rPr>
                <w:color w:val="000000" w:themeColor="text1"/>
                <w:sz w:val="15"/>
                <w:szCs w:val="15"/>
              </w:rPr>
            </w:pPr>
            <w:r w:rsidRPr="00FF3F99">
              <w:rPr>
                <w:color w:val="000000" w:themeColor="text1"/>
                <w:sz w:val="15"/>
                <w:szCs w:val="15"/>
              </w:rPr>
              <w:t>Acquisition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719CF29B"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14 days</w:t>
            </w:r>
          </w:p>
        </w:tc>
        <w:tc>
          <w:tcPr>
            <w:tcW w:w="1260" w:type="dxa"/>
            <w:shd w:val="clear" w:color="auto" w:fill="D9D9D9" w:themeFill="background1" w:themeFillShade="D9"/>
            <w:vAlign w:val="center"/>
          </w:tcPr>
          <w:p w14:paraId="2D14251D"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78E0864D"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588D1DB9"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38BA35D2" w14:textId="77777777" w:rsidR="00EC3718" w:rsidRPr="00FF3F99" w:rsidRDefault="00EC3718" w:rsidP="005B0D26">
            <w:pPr>
              <w:ind w:left="0"/>
              <w:jc w:val="center"/>
              <w:rPr>
                <w:color w:val="000000" w:themeColor="text1"/>
                <w:sz w:val="15"/>
                <w:szCs w:val="15"/>
              </w:rPr>
            </w:pPr>
          </w:p>
        </w:tc>
      </w:tr>
      <w:tr w:rsidR="00EC3718" w:rsidRPr="00E8387C" w14:paraId="7E6B0951" w14:textId="77777777" w:rsidTr="005B0D26">
        <w:tc>
          <w:tcPr>
            <w:tcW w:w="535" w:type="dxa"/>
            <w:tcBorders>
              <w:left w:val="single" w:sz="4" w:space="0" w:color="auto"/>
            </w:tcBorders>
          </w:tcPr>
          <w:p w14:paraId="1E3BB8B0" w14:textId="337F2675"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{"citationItems":[{"id":"ITEM-1","itemData":{"DOI":"10.2499/p15738coll2.133522","abstract":"This paper provides an updated analysis of the dietary patterns of Malawian households and their consumption of select nutrients - calories, protein, iron, vitamin A, zinc, and folate - using data from the third (2010/11) and fourth (2016/17) rounds of the Malawi Integrated Household Survey (IHS). Changes in food and nutrient consumption patterns between the two survey periods are examined across household wealth categories and across regions. Dietary diversity and patterns of food and nutrient consumption are found to differ significantly between rural and urban areas. Whereas urban households largely saw slightly increased or stable nutrient consumption between 2010/11 and 2016/17, most households in rural areas saw declines over this period. We also document small shifts in the relative amounts of foods consumed over this six-year period in both rural and urban households, with increased consumption of fish and pulses, legumes, and nuts, and decreases in meat, fruit, dairy, and root and tuber consumption. The contribution of animal-source foods as a share of total protein consumption remains low at between 10 and 20 percent, depending on the region, with the overall share of protein from animal-source foods falling slightly between the two surveys. With regards to adequacy of household diets for meeting nutrient requirements, in the absence of nutrient supplementation, many individuals will be subject to iron, vitamin A, and folate inadequacies. Of particular concern, the poorest households have very low nutrient consumption per person and have diets that rely on only a few foods from a small number of food groups. For all six nutrients, nationally just over half of the total amount of nutrient consumed came from food that was purchased. While we would expect this for urban households, even for rural households more than half of all calories and protein consumed came from foods that were purchased. For micronutrients consumed by rural households, between 40 and 50 percent came from purchased foods. While in the past, own production of food may have provided most Malawian households with most of the nutrients they consumed, this is no longer the case. For most Malawian households, including in rural communities, their food security and dietary nutritional needs now are equally tied to the market as to their own farming, if not more so. Drawing lessons from the analysis here for improving the food consumption data collected in the IHS surveys, more det…","author":[{"dropping-particle":"","family":"Gilbert","given":"Rachel","non-dropping-particle":"","parse-names":false,"suffix":""},{"dropping-particle":"","family":"Benson","given":"Todd","non-dropping-particle":"","parse-names":false,"suffix":""},{"dropping-particle":"","family":"Ecker","given":"Olivier","non-dropping-particle":"","parse-names":false,"suffix":""}],"container-title":"MaSSP Working Paper 30","id":"ITEM-1","issued":{"date-parts":[["2019"]]},"publisher-place":"Washington, DC","title":"Are Malawian diets changing? An assessment of nutrient consumption and dietary patterns using household-level evidence from 2010/11 and 2016/17","type":"report"},"uris":["http://www.mendeley.com/documents/?uuid=25752f21-9add-42fa-8bb9-270c5cee35d2"]}],"mendeley":{"formattedCitation":"&lt;sup&gt;(28)&lt;/sup&gt;","plainTextFormattedCitation":"(28)","previouslyFormattedCitation":"[28]"},"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(28)</w:t>
            </w:r>
            <w:r w:rsidRPr="00FF3F99">
              <w:rPr>
                <w:color w:val="000000" w:themeColor="text1"/>
                <w:sz w:val="15"/>
                <w:szCs w:val="15"/>
              </w:rPr>
              <w:fldChar w:fldCharType="end"/>
            </w:r>
          </w:p>
        </w:tc>
        <w:tc>
          <w:tcPr>
            <w:tcW w:w="2098" w:type="dxa"/>
          </w:tcPr>
          <w:p w14:paraId="7428ED95" w14:textId="77777777" w:rsidR="00EC3718" w:rsidRPr="00FF3F99" w:rsidRDefault="00EC3718" w:rsidP="005B0D26">
            <w:pPr>
              <w:ind w:left="0"/>
              <w:rPr>
                <w:color w:val="000000" w:themeColor="text1"/>
                <w:sz w:val="15"/>
                <w:szCs w:val="15"/>
              </w:rPr>
            </w:pPr>
            <w:r w:rsidRPr="00FF3F99">
              <w:rPr>
                <w:color w:val="000000" w:themeColor="text1"/>
                <w:sz w:val="15"/>
                <w:szCs w:val="15"/>
              </w:rPr>
              <w:t>Gilbert et al. (2019)</w:t>
            </w:r>
          </w:p>
        </w:tc>
        <w:tc>
          <w:tcPr>
            <w:tcW w:w="1322" w:type="dxa"/>
          </w:tcPr>
          <w:p w14:paraId="612F6F6D" w14:textId="77777777" w:rsidR="00EC3718" w:rsidRPr="00FF3F99" w:rsidRDefault="00EC3718" w:rsidP="005B0D26">
            <w:pPr>
              <w:ind w:left="0"/>
              <w:rPr>
                <w:color w:val="000000" w:themeColor="text1"/>
                <w:sz w:val="15"/>
                <w:szCs w:val="15"/>
              </w:rPr>
            </w:pPr>
            <w:r w:rsidRPr="00FF3F99">
              <w:rPr>
                <w:color w:val="000000" w:themeColor="text1"/>
                <w:sz w:val="15"/>
                <w:szCs w:val="15"/>
              </w:rPr>
              <w:t>Malawi</w:t>
            </w:r>
          </w:p>
        </w:tc>
        <w:tc>
          <w:tcPr>
            <w:tcW w:w="1980" w:type="dxa"/>
          </w:tcPr>
          <w:p w14:paraId="73D2A400"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72EA9A6B"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2D32F5FB" w14:textId="77777777" w:rsidR="00EC3718" w:rsidRPr="00FF3F99" w:rsidRDefault="00EC3718" w:rsidP="005B0D26">
            <w:pPr>
              <w:ind w:left="0"/>
              <w:jc w:val="center"/>
              <w:rPr>
                <w:color w:val="000000" w:themeColor="text1"/>
                <w:sz w:val="15"/>
                <w:szCs w:val="15"/>
              </w:rPr>
            </w:pPr>
          </w:p>
        </w:tc>
        <w:tc>
          <w:tcPr>
            <w:tcW w:w="1440" w:type="dxa"/>
            <w:vAlign w:val="center"/>
          </w:tcPr>
          <w:p w14:paraId="17136272" w14:textId="77777777" w:rsidR="00EC3718" w:rsidRPr="00FF3F99" w:rsidRDefault="00EC3718" w:rsidP="005B0D26">
            <w:pPr>
              <w:ind w:left="0"/>
              <w:jc w:val="center"/>
              <w:rPr>
                <w:color w:val="000000" w:themeColor="text1"/>
                <w:sz w:val="15"/>
                <w:szCs w:val="15"/>
              </w:rPr>
            </w:pPr>
          </w:p>
        </w:tc>
        <w:tc>
          <w:tcPr>
            <w:tcW w:w="1800" w:type="dxa"/>
            <w:vAlign w:val="center"/>
          </w:tcPr>
          <w:p w14:paraId="5DB47519"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6EFD1712" w14:textId="77777777" w:rsidR="00EC3718" w:rsidRPr="00FF3F99" w:rsidRDefault="00EC3718" w:rsidP="005B0D26">
            <w:pPr>
              <w:ind w:left="0"/>
              <w:jc w:val="center"/>
              <w:rPr>
                <w:color w:val="000000" w:themeColor="text1"/>
                <w:sz w:val="15"/>
                <w:szCs w:val="15"/>
              </w:rPr>
            </w:pPr>
          </w:p>
        </w:tc>
      </w:tr>
      <w:tr w:rsidR="00EC3718" w:rsidRPr="00E8387C" w14:paraId="29FE5720" w14:textId="77777777" w:rsidTr="005B0D26">
        <w:tc>
          <w:tcPr>
            <w:tcW w:w="535" w:type="dxa"/>
            <w:tcBorders>
              <w:left w:val="single" w:sz="4" w:space="0" w:color="auto"/>
            </w:tcBorders>
            <w:shd w:val="clear" w:color="auto" w:fill="D9D9D9" w:themeFill="background1" w:themeFillShade="D9"/>
          </w:tcPr>
          <w:p w14:paraId="6B516B53" w14:textId="281A731B"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{"citationItems":[{"id":"ITEM-1","itemData":{"DOI":"10.1007/s12571-019-00923-0","ISSN":"18764525","abstract":"The importance of forests in supporting the well-being of poor rural communities cannot be overstated, not only for improving food security but also for biodiversity conservation. For many people living in developing regions of the world, forests provide healthy and nutrient-dense foods which can improve overall diet quality and act as a safety net during times of hardship. Forests can also provide a source of income and facilitate certain agricultural practices, potentially allowing for poverty alleviation and mitigation. This study examined whether there was a relationship between forest cover and diet quality at the household level in rural southern Malawi. Nutrition data for 2084 households, collected as part of the 2010/11 Third Integrated Household Survey for Malawi (IHS3), were compared with a satellite-based land-cover map of Malawi. Households located in areas with a high percentage forest cover had significantly improved vitamin A adequacy compared to households in less forested areas. Also, vitamin A intake was significantly improved by consumption of wild plant foods. Forest cover was not associated with any other indicators of diet quality, but a number of social and demographic factors were significant determinants, including household size, education and access to markets. Further investigation of these associations is imperative at a time when forests are being cleared at an alarming rate to make way for agricultural production.","author":[{"dropping-particle":"","family":"Hall","given":"C.","non-dropping-particle":"","parse-names":false,"suffix":""},{"dropping-particle":"","family":"Macdiarmid","given":"J. I.","non-dropping-particle":"","parse-names":false,"suffix":""},{"dropping-particle":"","family":"Matthews","given":"R. B.","non-dropping-particle":"","parse-names":false,"suffix":""},{"dropping-particle":"","family":"Smith","given":"P.","non-dropping-particle":"","parse-names":false,"suffix":""},{"dropping-particle":"","family":"Hubbard","given":"S. F.","non-dropping-particle":"","parse-names":false,"suffix":""},{"dropping-particle":"","family":"Dawson","given":"T. P.","non-dropping-particle":"","parse-names":false,"suffix":""}],"container-title":"Food Security","id":"ITEM-1","issue":"3","issued":{"date-parts":[["2019"]]},"page":"635-650","title":"The relationship between forest cover and diet quality: a case study of rural southern Malawi","type":"article-journal","volume":"11"},"uris":["http://www.mendeley.com/documents/?uuid=decf7c62-f69e-485b-8dd4-0bf009339ee4"]}],"mendeley":{"formattedCitation":"&lt;sup&gt;(29)&lt;/sup&gt;","plainTextFormattedCitation":"(29)","previouslyFormattedCitation":"[29]"},"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(29)</w:t>
            </w:r>
            <w:r w:rsidRPr="00FF3F99">
              <w:rPr>
                <w:color w:val="000000" w:themeColor="text1"/>
                <w:sz w:val="15"/>
                <w:szCs w:val="15"/>
              </w:rPr>
              <w:fldChar w:fldCharType="end"/>
            </w:r>
          </w:p>
        </w:tc>
        <w:tc>
          <w:tcPr>
            <w:tcW w:w="2098" w:type="dxa"/>
            <w:shd w:val="clear" w:color="auto" w:fill="D9D9D9" w:themeFill="background1" w:themeFillShade="D9"/>
          </w:tcPr>
          <w:p w14:paraId="2D8F3595" w14:textId="77777777" w:rsidR="00EC3718" w:rsidRPr="00FF3F99" w:rsidRDefault="00EC3718" w:rsidP="005B0D26">
            <w:pPr>
              <w:ind w:left="0"/>
              <w:rPr>
                <w:color w:val="000000" w:themeColor="text1"/>
                <w:sz w:val="15"/>
                <w:szCs w:val="15"/>
              </w:rPr>
            </w:pPr>
            <w:r w:rsidRPr="00FF3F99">
              <w:rPr>
                <w:color w:val="000000" w:themeColor="text1"/>
                <w:sz w:val="15"/>
                <w:szCs w:val="15"/>
              </w:rPr>
              <w:t>Hall et al. (2019)</w:t>
            </w:r>
          </w:p>
        </w:tc>
        <w:tc>
          <w:tcPr>
            <w:tcW w:w="1322" w:type="dxa"/>
            <w:shd w:val="clear" w:color="auto" w:fill="D9D9D9" w:themeFill="background1" w:themeFillShade="D9"/>
          </w:tcPr>
          <w:p w14:paraId="6A07544B" w14:textId="77777777" w:rsidR="00EC3718" w:rsidRPr="00FF3F99" w:rsidRDefault="00EC3718" w:rsidP="005B0D26">
            <w:pPr>
              <w:ind w:left="0"/>
              <w:rPr>
                <w:color w:val="000000" w:themeColor="text1"/>
                <w:sz w:val="15"/>
                <w:szCs w:val="15"/>
              </w:rPr>
            </w:pPr>
            <w:r w:rsidRPr="00FF3F99">
              <w:rPr>
                <w:color w:val="000000" w:themeColor="text1"/>
                <w:sz w:val="15"/>
                <w:szCs w:val="15"/>
              </w:rPr>
              <w:t>Malawi</w:t>
            </w:r>
          </w:p>
        </w:tc>
        <w:tc>
          <w:tcPr>
            <w:tcW w:w="1980" w:type="dxa"/>
            <w:shd w:val="clear" w:color="auto" w:fill="D9D9D9" w:themeFill="background1" w:themeFillShade="D9"/>
          </w:tcPr>
          <w:p w14:paraId="36399FCE"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shd w:val="clear" w:color="auto" w:fill="D9D9D9" w:themeFill="background1" w:themeFillShade="D9"/>
            <w:vAlign w:val="center"/>
          </w:tcPr>
          <w:p w14:paraId="5BB48484"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374C9E43" w14:textId="77777777" w:rsidR="00EC3718" w:rsidRPr="00FF3F99" w:rsidRDefault="00EC3718" w:rsidP="005B0D26">
            <w:pPr>
              <w:ind w:left="0"/>
              <w:jc w:val="center"/>
              <w:rPr>
                <w:color w:val="000000" w:themeColor="text1"/>
                <w:sz w:val="15"/>
                <w:szCs w:val="15"/>
              </w:rPr>
            </w:pPr>
          </w:p>
        </w:tc>
        <w:tc>
          <w:tcPr>
            <w:tcW w:w="1440" w:type="dxa"/>
            <w:shd w:val="clear" w:color="auto" w:fill="D9D9D9" w:themeFill="background1" w:themeFillShade="D9"/>
            <w:vAlign w:val="center"/>
          </w:tcPr>
          <w:p w14:paraId="11602FCF" w14:textId="77777777" w:rsidR="00EC3718" w:rsidRPr="00FF3F99" w:rsidRDefault="00EC3718" w:rsidP="005B0D26">
            <w:pPr>
              <w:ind w:left="0"/>
              <w:jc w:val="center"/>
              <w:rPr>
                <w:color w:val="000000" w:themeColor="text1"/>
                <w:sz w:val="15"/>
                <w:szCs w:val="15"/>
              </w:rPr>
            </w:pPr>
          </w:p>
        </w:tc>
        <w:tc>
          <w:tcPr>
            <w:tcW w:w="1800" w:type="dxa"/>
            <w:shd w:val="clear" w:color="auto" w:fill="D9D9D9" w:themeFill="background1" w:themeFillShade="D9"/>
            <w:vAlign w:val="center"/>
          </w:tcPr>
          <w:p w14:paraId="3216C5E8"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shd w:val="clear" w:color="auto" w:fill="D9D9D9" w:themeFill="background1" w:themeFillShade="D9"/>
          </w:tcPr>
          <w:p w14:paraId="2EB3277B" w14:textId="77777777" w:rsidR="00EC3718" w:rsidRPr="00FF3F99" w:rsidRDefault="00EC3718" w:rsidP="005B0D26">
            <w:pPr>
              <w:ind w:left="0"/>
              <w:jc w:val="center"/>
              <w:rPr>
                <w:color w:val="000000" w:themeColor="text1"/>
                <w:sz w:val="15"/>
                <w:szCs w:val="15"/>
              </w:rPr>
            </w:pPr>
          </w:p>
        </w:tc>
      </w:tr>
      <w:tr w:rsidR="00EC3718" w:rsidRPr="00E8387C" w14:paraId="7CCCB9DF" w14:textId="77777777" w:rsidTr="005B0D26">
        <w:tc>
          <w:tcPr>
            <w:tcW w:w="535" w:type="dxa"/>
            <w:tcBorders>
              <w:left w:val="single" w:sz="4" w:space="0" w:color="auto"/>
            </w:tcBorders>
          </w:tcPr>
          <w:p w14:paraId="1D613E5E" w14:textId="71AD823F"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{"citationItems":[{"id":"ITEM-1","itemData":{"DOI":"10.1017/S1368980015003237","ISSN":"14752727","abstract":"Objective To revisit seasonality by assessing how household diets vary across agricultural seasons in rural and urban Ethiopia. The role of seasonality on the sources and intake of energy (per capita) and household dietary diversity score (HDDS) was analysed. Design The use of nationally representative household-level data collected each month over one year to study the seasonal changes in the sources and intake of energy and HDDS. Setting Eleven regions of Ethiopia, including rural and urban settings. Subjects Total of 27 835 households were interviewed between July 2010 and July 2011 in all eleven regions of the country. On average each month saw 2300 household interviews, yielding nationally representative data for each calendar month. Results For rural households, the mean daily per capita energy intake was 10 288 kJ (2459 kcal) in February (post-harvest period) and lower in the lean season: 9703 kJ (2319 kcal) in June (P&lt;0·05) and 9552 kJ (2283 kcal) in July (P&lt;0·001). HDDS for rural households was highest in February (6·73) and lowest in June (5·98; P&lt;0·001) but high again in July (6·57). Urban energy intake was also lower in the lean season but HDDS varied less by season. Considerable seasonal variation was also found in energy sources in rural areas, less so in urban areas. Conclusions Household diets in Ethiopia remain subjected to significant seasonal stress. HDDS and food security measured using energy intake do not always agree. Preferably, HDDS and energy intake data should be used together to assess food security.","author":[{"dropping-particle":"","family":"Hirvonen","given":"Kalle","non-dropping-particle":"","parse-names":false,"suffix":""},{"dropping-particle":"","family":"Taffesse","given":"Alemayehu Seyoum","non-dropping-particle":"","parse-names":false,"suffix":""},{"dropping-particle":"","family":"Worku Hassen","given":"Ibrahim","non-dropping-particle":"","parse-names":false,"suffix":""}],"container-title":"Public Health Nutrition","id":"ITEM-1","issue":"10","issued":{"date-parts":[["2016"]]},"page":"1723-1730","title":"Seasonality and household diets in Ethiopia","type":"article-journal","volume":"19"},"uris":["http://www.mendeley.com/documents/?uuid=ca7001f0-feff-4b8c-a2e9-a7b953668e7a"]}],"mendeley":{"formattedCitation":"&lt;sup&gt;(30)&lt;/sup&gt;","plainTextFormattedCitation":"(30)","previouslyFormattedCitation":"[30]"},"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(30)</w:t>
            </w:r>
            <w:r w:rsidRPr="00FF3F99">
              <w:rPr>
                <w:color w:val="000000" w:themeColor="text1"/>
                <w:sz w:val="15"/>
                <w:szCs w:val="15"/>
              </w:rPr>
              <w:fldChar w:fldCharType="end"/>
            </w:r>
          </w:p>
        </w:tc>
        <w:tc>
          <w:tcPr>
            <w:tcW w:w="2098" w:type="dxa"/>
          </w:tcPr>
          <w:p w14:paraId="36A26A86" w14:textId="77777777" w:rsidR="00EC3718" w:rsidRPr="00FF3F99" w:rsidRDefault="00EC3718" w:rsidP="005B0D26">
            <w:pPr>
              <w:ind w:left="0"/>
              <w:rPr>
                <w:color w:val="000000" w:themeColor="text1"/>
                <w:sz w:val="15"/>
                <w:szCs w:val="15"/>
              </w:rPr>
            </w:pPr>
            <w:proofErr w:type="spellStart"/>
            <w:r w:rsidRPr="00FF3F99">
              <w:rPr>
                <w:color w:val="000000" w:themeColor="text1"/>
                <w:sz w:val="15"/>
                <w:szCs w:val="15"/>
              </w:rPr>
              <w:t>Hirvonen</w:t>
            </w:r>
            <w:proofErr w:type="spellEnd"/>
            <w:r w:rsidRPr="00FF3F99">
              <w:rPr>
                <w:color w:val="000000" w:themeColor="text1"/>
                <w:sz w:val="15"/>
                <w:szCs w:val="15"/>
              </w:rPr>
              <w:t xml:space="preserve"> et al. (2016)</w:t>
            </w:r>
          </w:p>
        </w:tc>
        <w:tc>
          <w:tcPr>
            <w:tcW w:w="1322" w:type="dxa"/>
          </w:tcPr>
          <w:p w14:paraId="0FDD705F" w14:textId="77777777" w:rsidR="00EC3718" w:rsidRPr="00FF3F99" w:rsidRDefault="00EC3718" w:rsidP="005B0D26">
            <w:pPr>
              <w:ind w:left="0"/>
              <w:rPr>
                <w:color w:val="000000" w:themeColor="text1"/>
                <w:sz w:val="15"/>
                <w:szCs w:val="15"/>
              </w:rPr>
            </w:pPr>
            <w:r w:rsidRPr="00FF3F99">
              <w:rPr>
                <w:color w:val="000000" w:themeColor="text1"/>
                <w:sz w:val="15"/>
                <w:szCs w:val="15"/>
              </w:rPr>
              <w:t>Ethiopia</w:t>
            </w:r>
          </w:p>
        </w:tc>
        <w:tc>
          <w:tcPr>
            <w:tcW w:w="1980" w:type="dxa"/>
          </w:tcPr>
          <w:p w14:paraId="3D2CB03F" w14:textId="77777777" w:rsidR="00EC3718" w:rsidRPr="00FF3F99" w:rsidRDefault="00EC3718"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vAlign w:val="center"/>
          </w:tcPr>
          <w:p w14:paraId="76724284"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3 &amp; 4 days</w:t>
            </w:r>
          </w:p>
        </w:tc>
        <w:tc>
          <w:tcPr>
            <w:tcW w:w="1260" w:type="dxa"/>
            <w:vAlign w:val="center"/>
          </w:tcPr>
          <w:p w14:paraId="186EB5CC" w14:textId="77777777" w:rsidR="00EC3718" w:rsidRPr="00FF3F99" w:rsidRDefault="00EC3718" w:rsidP="005B0D26">
            <w:pPr>
              <w:ind w:left="0"/>
              <w:jc w:val="center"/>
              <w:rPr>
                <w:color w:val="000000" w:themeColor="text1"/>
                <w:sz w:val="15"/>
                <w:szCs w:val="15"/>
              </w:rPr>
            </w:pPr>
          </w:p>
        </w:tc>
        <w:tc>
          <w:tcPr>
            <w:tcW w:w="1440" w:type="dxa"/>
            <w:vAlign w:val="center"/>
          </w:tcPr>
          <w:p w14:paraId="6A40FFB1" w14:textId="77777777" w:rsidR="00EC3718" w:rsidRPr="00FF3F99" w:rsidRDefault="00EC3718" w:rsidP="005B0D26">
            <w:pPr>
              <w:ind w:left="0"/>
              <w:jc w:val="center"/>
              <w:rPr>
                <w:color w:val="000000" w:themeColor="text1"/>
                <w:sz w:val="15"/>
                <w:szCs w:val="15"/>
              </w:rPr>
            </w:pPr>
          </w:p>
        </w:tc>
        <w:tc>
          <w:tcPr>
            <w:tcW w:w="1800" w:type="dxa"/>
            <w:vAlign w:val="center"/>
          </w:tcPr>
          <w:p w14:paraId="5A9E0610" w14:textId="77777777" w:rsidR="00EC3718" w:rsidRPr="00FF3F99" w:rsidRDefault="00EC3718" w:rsidP="005B0D26">
            <w:pPr>
              <w:ind w:left="0"/>
              <w:jc w:val="center"/>
              <w:rPr>
                <w:color w:val="000000" w:themeColor="text1"/>
                <w:sz w:val="15"/>
                <w:szCs w:val="15"/>
              </w:rPr>
            </w:pPr>
          </w:p>
        </w:tc>
        <w:tc>
          <w:tcPr>
            <w:tcW w:w="1350" w:type="dxa"/>
            <w:tcBorders>
              <w:right w:val="single" w:sz="4" w:space="0" w:color="auto"/>
            </w:tcBorders>
          </w:tcPr>
          <w:p w14:paraId="7B5B68B4" w14:textId="77777777" w:rsidR="00EC3718" w:rsidRPr="00FF3F99" w:rsidRDefault="00EC3718" w:rsidP="005B0D26">
            <w:pPr>
              <w:ind w:left="0"/>
              <w:jc w:val="center"/>
              <w:rPr>
                <w:color w:val="000000" w:themeColor="text1"/>
                <w:sz w:val="15"/>
                <w:szCs w:val="15"/>
              </w:rPr>
            </w:pPr>
          </w:p>
        </w:tc>
      </w:tr>
      <w:tr w:rsidR="00EC3718" w:rsidRPr="00E8387C" w14:paraId="31E5C400" w14:textId="77777777" w:rsidTr="005B0D26">
        <w:tc>
          <w:tcPr>
            <w:tcW w:w="535" w:type="dxa"/>
            <w:tcBorders>
              <w:left w:val="single" w:sz="4" w:space="0" w:color="auto"/>
              <w:bottom w:val="single" w:sz="4" w:space="0" w:color="auto"/>
            </w:tcBorders>
            <w:shd w:val="clear" w:color="auto" w:fill="D9D9D9" w:themeFill="background1" w:themeFillShade="D9"/>
            <w:vAlign w:val="center"/>
          </w:tcPr>
          <w:p w14:paraId="5503A336" w14:textId="252ADE10" w:rsidR="00EC3718" w:rsidRPr="00FF3F99" w:rsidRDefault="00EC3718"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{"citationItems":[{"id":"ITEM-1","itemData":{"DOI":"10.1177/0379572116653509","ISSN":"03795721","abstract":"Background: Poverty and food insecurity are intrinsically linked as poor households often lack the resources required to access sufficient nutritious food to live an active and healthy life. Consumption and expenditure surveys are typically used to identify poor versus nonpoor households but are detailed and costly. Measures of wealth based on asset ownership and housing characteristics can be generated from lighter, less costly surveys. Objective: To examine whether indices based on asset ownership and housing characteristics (stock) complement household consumption (flow) when used to analyze inequalities in food security outcomes. Methods: Comprehensive data from Nepal, Malawi, Tanzania, Uganda, and Madagascar are used to examine correlations and overlaps in classification between indices of household wealth and consumption per capita. Inequality in food security indicators representing quantity, quality, and vulnerability is examined across wealth and consumption per capita quintiles. Results: Wealth indices are correlated with consumption per capita, with coefficients between 0.5 and 0.6. The prevalence of food insecurity decreases from poorer to wealthier quintiles for all variables and for all food security measures in all countries. Energy deficiency varies much more across consumption quintiles than wealth index quintiles. Interestingly, inequalities in the share of consumption of food are more pronounced across the wealth index quintiles than per capita consumption. Conclusion: Although wealth indices and consumption per capita are related and both are drivers of food security, they cannot be used interchangeably for food security analysis. Each inequality measure is important for describing different aspects of food security.","author":[{"dropping-particle":"","family":"Hjelm","given":"Lisa","non-dropping-particle":"","parse-names":false,"suffix":""},{"dropping-particle":"","family":"Mathiassen","given":"Astrid","non-dropping-particle":"","parse-names":false,"suffix":""},{"dropping-particle":"","family":"Wadhwa","given":"Amit","non-dropping-particle":"","parse-names":false,"suffix":""}],"container-title":"Food and Nutrition Bulletin","id":"ITEM-1","issue":"3","issued":{"date-parts":[["2016"]]},"page":"275-289","title":"Measuring Poverty for Food Security Analysis: Consumption-Versus Asset-Based Approaches","type":"article-journal","volume":"37"},"uris":["http://www.mendeley.com/documents/?uuid=f7853e84-2ac2-443e-8e43-dae60c1a83ae"]}],"mendeley":{"formattedCitation":"&lt;sup&gt;(31)&lt;/sup&gt;","plainTextFormattedCitation":"(31)","previouslyFormattedCitation":"[31]"},"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(31)</w:t>
            </w:r>
            <w:r w:rsidRPr="00FF3F99">
              <w:rPr>
                <w:color w:val="000000" w:themeColor="text1"/>
                <w:sz w:val="15"/>
                <w:szCs w:val="15"/>
              </w:rPr>
              <w:fldChar w:fldCharType="end"/>
            </w:r>
          </w:p>
        </w:tc>
        <w:tc>
          <w:tcPr>
            <w:tcW w:w="2098" w:type="dxa"/>
            <w:tcBorders>
              <w:bottom w:val="single" w:sz="4" w:space="0" w:color="auto"/>
            </w:tcBorders>
            <w:shd w:val="clear" w:color="auto" w:fill="D9D9D9" w:themeFill="background1" w:themeFillShade="D9"/>
            <w:vAlign w:val="center"/>
          </w:tcPr>
          <w:p w14:paraId="07992A8F" w14:textId="77777777" w:rsidR="00EC3718" w:rsidRPr="00FF3F99" w:rsidRDefault="00EC3718" w:rsidP="005B0D26">
            <w:pPr>
              <w:ind w:left="0"/>
              <w:rPr>
                <w:color w:val="000000" w:themeColor="text1"/>
                <w:sz w:val="15"/>
                <w:szCs w:val="15"/>
              </w:rPr>
            </w:pPr>
            <w:proofErr w:type="spellStart"/>
            <w:r w:rsidRPr="00FF3F99">
              <w:rPr>
                <w:color w:val="000000" w:themeColor="text1"/>
                <w:sz w:val="15"/>
                <w:szCs w:val="15"/>
              </w:rPr>
              <w:t>Hjelm</w:t>
            </w:r>
            <w:proofErr w:type="spellEnd"/>
            <w:r w:rsidRPr="00FF3F99">
              <w:rPr>
                <w:color w:val="000000" w:themeColor="text1"/>
                <w:sz w:val="15"/>
                <w:szCs w:val="15"/>
              </w:rPr>
              <w:t xml:space="preserve"> et al. (2016)</w:t>
            </w:r>
          </w:p>
        </w:tc>
        <w:tc>
          <w:tcPr>
            <w:tcW w:w="1322" w:type="dxa"/>
            <w:tcBorders>
              <w:bottom w:val="single" w:sz="4" w:space="0" w:color="auto"/>
            </w:tcBorders>
            <w:shd w:val="clear" w:color="auto" w:fill="D9D9D9" w:themeFill="background1" w:themeFillShade="D9"/>
            <w:vAlign w:val="center"/>
          </w:tcPr>
          <w:p w14:paraId="1A025E8F" w14:textId="77777777" w:rsidR="00EC3718" w:rsidRPr="00FF3F99" w:rsidRDefault="00EC3718" w:rsidP="005B0D26">
            <w:pPr>
              <w:ind w:left="0"/>
              <w:rPr>
                <w:color w:val="000000" w:themeColor="text1"/>
                <w:sz w:val="15"/>
                <w:szCs w:val="15"/>
              </w:rPr>
            </w:pPr>
            <w:r w:rsidRPr="00FF3F99">
              <w:rPr>
                <w:color w:val="000000" w:themeColor="text1"/>
                <w:sz w:val="15"/>
                <w:szCs w:val="15"/>
                <w:lang w:val="fr-FR"/>
              </w:rPr>
              <w:t xml:space="preserve">Madagascar, Malawi, </w:t>
            </w:r>
            <w:proofErr w:type="spellStart"/>
            <w:r w:rsidRPr="00FF3F99">
              <w:rPr>
                <w:color w:val="000000" w:themeColor="text1"/>
                <w:sz w:val="15"/>
                <w:szCs w:val="15"/>
                <w:lang w:val="fr-FR"/>
              </w:rPr>
              <w:t>Nepal</w:t>
            </w:r>
            <w:proofErr w:type="spellEnd"/>
            <w:r w:rsidRPr="00FF3F99">
              <w:rPr>
                <w:color w:val="000000" w:themeColor="text1"/>
                <w:sz w:val="15"/>
                <w:szCs w:val="15"/>
                <w:lang w:val="fr-FR"/>
              </w:rPr>
              <w:t xml:space="preserve">, </w:t>
            </w:r>
            <w:proofErr w:type="spellStart"/>
            <w:r w:rsidRPr="00FF3F99">
              <w:rPr>
                <w:color w:val="000000" w:themeColor="text1"/>
                <w:sz w:val="15"/>
                <w:szCs w:val="15"/>
                <w:lang w:val="fr-FR"/>
              </w:rPr>
              <w:t>Tanzania</w:t>
            </w:r>
            <w:proofErr w:type="spellEnd"/>
            <w:r w:rsidRPr="00FF3F99">
              <w:rPr>
                <w:color w:val="000000" w:themeColor="text1"/>
                <w:sz w:val="15"/>
                <w:szCs w:val="15"/>
                <w:lang w:val="fr-FR"/>
              </w:rPr>
              <w:t>, Uganda</w:t>
            </w:r>
          </w:p>
        </w:tc>
        <w:tc>
          <w:tcPr>
            <w:tcW w:w="1980" w:type="dxa"/>
            <w:tcBorders>
              <w:bottom w:val="single" w:sz="4" w:space="0" w:color="auto"/>
            </w:tcBorders>
            <w:shd w:val="clear" w:color="auto" w:fill="D9D9D9" w:themeFill="background1" w:themeFillShade="D9"/>
            <w:vAlign w:val="center"/>
          </w:tcPr>
          <w:p w14:paraId="67F246AC" w14:textId="77777777" w:rsidR="00EC3718" w:rsidRPr="00FF3F99" w:rsidRDefault="00EC3718" w:rsidP="005B0D26">
            <w:pPr>
              <w:ind w:left="0"/>
              <w:rPr>
                <w:color w:val="000000" w:themeColor="text1"/>
                <w:sz w:val="15"/>
                <w:szCs w:val="15"/>
              </w:rPr>
            </w:pPr>
            <w:r w:rsidRPr="00FF3F99">
              <w:rPr>
                <w:color w:val="000000" w:themeColor="text1"/>
                <w:sz w:val="15"/>
                <w:szCs w:val="15"/>
              </w:rPr>
              <w:t>Acquisition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2250" w:type="dxa"/>
            <w:tcBorders>
              <w:bottom w:val="single" w:sz="4" w:space="0" w:color="auto"/>
            </w:tcBorders>
            <w:shd w:val="clear" w:color="auto" w:fill="D9D9D9" w:themeFill="background1" w:themeFillShade="D9"/>
            <w:vAlign w:val="center"/>
          </w:tcPr>
          <w:p w14:paraId="548E3390" w14:textId="77777777" w:rsidR="00EC3718" w:rsidRPr="00FF3F99" w:rsidRDefault="00EC3718" w:rsidP="005B0D26">
            <w:pPr>
              <w:ind w:left="0"/>
              <w:jc w:val="center"/>
              <w:rPr>
                <w:color w:val="000000" w:themeColor="text1"/>
                <w:sz w:val="15"/>
                <w:szCs w:val="15"/>
              </w:rPr>
            </w:pPr>
            <w:r w:rsidRPr="00FF3F99">
              <w:rPr>
                <w:color w:val="000000" w:themeColor="text1"/>
                <w:sz w:val="15"/>
                <w:szCs w:val="15"/>
              </w:rPr>
              <w:t>Varies</w:t>
            </w:r>
          </w:p>
        </w:tc>
        <w:tc>
          <w:tcPr>
            <w:tcW w:w="1260" w:type="dxa"/>
            <w:tcBorders>
              <w:bottom w:val="single" w:sz="4" w:space="0" w:color="auto"/>
            </w:tcBorders>
            <w:shd w:val="clear" w:color="auto" w:fill="D9D9D9" w:themeFill="background1" w:themeFillShade="D9"/>
            <w:vAlign w:val="center"/>
          </w:tcPr>
          <w:p w14:paraId="6E5CF78C" w14:textId="77777777" w:rsidR="00EC3718" w:rsidRPr="00FF3F99" w:rsidRDefault="00EC3718" w:rsidP="005B0D26">
            <w:pPr>
              <w:ind w:left="0"/>
              <w:jc w:val="center"/>
              <w:rPr>
                <w:color w:val="000000" w:themeColor="text1"/>
                <w:sz w:val="15"/>
                <w:szCs w:val="15"/>
              </w:rPr>
            </w:pPr>
          </w:p>
        </w:tc>
        <w:tc>
          <w:tcPr>
            <w:tcW w:w="1440" w:type="dxa"/>
            <w:tcBorders>
              <w:bottom w:val="single" w:sz="4" w:space="0" w:color="auto"/>
            </w:tcBorders>
            <w:shd w:val="clear" w:color="auto" w:fill="D9D9D9" w:themeFill="background1" w:themeFillShade="D9"/>
            <w:vAlign w:val="center"/>
          </w:tcPr>
          <w:p w14:paraId="7F91A6B3" w14:textId="77777777" w:rsidR="00EC3718" w:rsidRPr="00FF3F99" w:rsidRDefault="00EC3718" w:rsidP="005B0D26">
            <w:pPr>
              <w:ind w:left="0"/>
              <w:jc w:val="center"/>
              <w:rPr>
                <w:color w:val="000000" w:themeColor="text1"/>
                <w:sz w:val="15"/>
                <w:szCs w:val="15"/>
              </w:rPr>
            </w:pPr>
          </w:p>
        </w:tc>
        <w:tc>
          <w:tcPr>
            <w:tcW w:w="1800" w:type="dxa"/>
            <w:tcBorders>
              <w:bottom w:val="single" w:sz="4" w:space="0" w:color="auto"/>
            </w:tcBorders>
            <w:shd w:val="clear" w:color="auto" w:fill="D9D9D9" w:themeFill="background1" w:themeFillShade="D9"/>
            <w:vAlign w:val="center"/>
          </w:tcPr>
          <w:p w14:paraId="11B51026" w14:textId="77777777" w:rsidR="00EC3718" w:rsidRPr="00FF3F99" w:rsidRDefault="00EC3718" w:rsidP="005B0D26">
            <w:pPr>
              <w:ind w:left="0"/>
              <w:jc w:val="center"/>
              <w:rPr>
                <w:color w:val="000000" w:themeColor="text1"/>
                <w:sz w:val="15"/>
                <w:szCs w:val="15"/>
              </w:rPr>
            </w:pPr>
          </w:p>
        </w:tc>
        <w:tc>
          <w:tcPr>
            <w:tcW w:w="1350" w:type="dxa"/>
            <w:tcBorders>
              <w:bottom w:val="single" w:sz="4" w:space="0" w:color="auto"/>
              <w:right w:val="single" w:sz="4" w:space="0" w:color="auto"/>
            </w:tcBorders>
            <w:shd w:val="clear" w:color="auto" w:fill="D9D9D9" w:themeFill="background1" w:themeFillShade="D9"/>
          </w:tcPr>
          <w:p w14:paraId="6A3943AA" w14:textId="77777777" w:rsidR="00EC3718" w:rsidRPr="00FF3F99" w:rsidRDefault="00EC3718" w:rsidP="005B0D26">
            <w:pPr>
              <w:ind w:left="0"/>
              <w:jc w:val="center"/>
              <w:rPr>
                <w:color w:val="000000" w:themeColor="text1"/>
                <w:sz w:val="15"/>
                <w:szCs w:val="15"/>
                <w:lang w:val="fr-FR"/>
              </w:rPr>
            </w:pPr>
          </w:p>
        </w:tc>
      </w:tr>
    </w:tbl>
    <w:p w14:paraId="569CF569" w14:textId="77777777" w:rsidR="00681CDB" w:rsidRPr="00FF3F99" w:rsidRDefault="00681CDB" w:rsidP="00681CDB">
      <w:pPr>
        <w:rPr>
          <w:color w:val="000000" w:themeColor="text1"/>
        </w:rPr>
      </w:pPr>
      <w:r w:rsidRPr="00FF3F99">
        <w:rPr>
          <w:color w:val="000000" w:themeColor="text1"/>
          <w:vertAlign w:val="superscript"/>
        </w:rPr>
        <w:t>1</w:t>
      </w:r>
      <w:r w:rsidRPr="00FF3F99">
        <w:rPr>
          <w:color w:val="000000" w:themeColor="text1"/>
        </w:rPr>
        <w:t xml:space="preserve"> Individual dietary data surveyed from a different sample of household compared to HCES sample</w:t>
      </w:r>
    </w:p>
    <w:p w14:paraId="5E7FACF0" w14:textId="77777777" w:rsidR="00681CDB" w:rsidRPr="00E8387C" w:rsidRDefault="00681CDB" w:rsidP="00681CDB">
      <w:pPr>
        <w:rPr>
          <w:color w:val="FF0000"/>
        </w:rPr>
      </w:pPr>
      <w:r w:rsidRPr="00FF3F99">
        <w:rPr>
          <w:color w:val="000000" w:themeColor="text1"/>
          <w:vertAlign w:val="superscript"/>
        </w:rPr>
        <w:t xml:space="preserve">2 </w:t>
      </w:r>
      <w:r w:rsidRPr="00FF3F99">
        <w:rPr>
          <w:color w:val="000000" w:themeColor="text1"/>
        </w:rPr>
        <w:t xml:space="preserve">10% of individuals in the total sample were randomly selected for </w:t>
      </w:r>
      <w:proofErr w:type="spellStart"/>
      <w:r w:rsidRPr="00FF3F99">
        <w:rPr>
          <w:color w:val="000000" w:themeColor="text1"/>
        </w:rPr>
        <w:t>multipass</w:t>
      </w:r>
      <w:proofErr w:type="spellEnd"/>
      <w:r w:rsidRPr="00FF3F99">
        <w:rPr>
          <w:color w:val="000000" w:themeColor="text1"/>
        </w:rPr>
        <w:t xml:space="preserve"> dietary recall methods</w:t>
      </w:r>
      <w:r w:rsidRPr="00E8387C">
        <w:rPr>
          <w:color w:val="FF0000"/>
        </w:rPr>
        <w:br w:type="page"/>
      </w:r>
    </w:p>
    <w:p w14:paraId="631A4D53" w14:textId="77777777" w:rsidR="00681CDB" w:rsidRDefault="00681CDB" w:rsidP="00681CDB">
      <w:pPr>
        <w:sectPr w:rsidR="00681CDB" w:rsidSect="003863B6">
          <w:pgSz w:w="15840" w:h="12240" w:orient="landscape"/>
          <w:pgMar w:top="1440" w:right="1440" w:bottom="1440" w:left="1440" w:header="720" w:footer="720" w:gutter="0"/>
          <w:cols w:space="720"/>
          <w:docGrid w:linePitch="360"/>
        </w:sectPr>
      </w:pPr>
    </w:p>
    <w:tbl>
      <w:tblPr>
        <w:tblStyle w:val="TableGrid"/>
        <w:tblpPr w:leftFromText="180" w:rightFromText="180" w:vertAnchor="text" w:tblpY="1"/>
        <w:tblOverlap w:val="never"/>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2066"/>
        <w:gridCol w:w="1350"/>
        <w:gridCol w:w="2252"/>
        <w:gridCol w:w="1350"/>
        <w:gridCol w:w="1260"/>
        <w:gridCol w:w="1890"/>
        <w:gridCol w:w="1800"/>
        <w:gridCol w:w="1440"/>
      </w:tblGrid>
      <w:tr w:rsidR="00681CDB" w:rsidRPr="00E8387C" w14:paraId="5BA8C50A" w14:textId="77777777" w:rsidTr="005B0D26">
        <w:tc>
          <w:tcPr>
            <w:tcW w:w="537" w:type="dxa"/>
            <w:tcBorders>
              <w:top w:val="single" w:sz="4" w:space="0" w:color="auto"/>
              <w:left w:val="single" w:sz="4" w:space="0" w:color="auto"/>
              <w:bottom w:val="single" w:sz="4" w:space="0" w:color="auto"/>
            </w:tcBorders>
            <w:vAlign w:val="center"/>
          </w:tcPr>
          <w:p w14:paraId="031556B4"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lastRenderedPageBreak/>
              <w:t>Ref #</w:t>
            </w:r>
          </w:p>
        </w:tc>
        <w:tc>
          <w:tcPr>
            <w:tcW w:w="2066" w:type="dxa"/>
            <w:tcBorders>
              <w:top w:val="single" w:sz="4" w:space="0" w:color="auto"/>
              <w:bottom w:val="single" w:sz="4" w:space="0" w:color="auto"/>
            </w:tcBorders>
            <w:vAlign w:val="center"/>
          </w:tcPr>
          <w:p w14:paraId="64ABD9EE"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Reference</w:t>
            </w:r>
          </w:p>
        </w:tc>
        <w:tc>
          <w:tcPr>
            <w:tcW w:w="1350" w:type="dxa"/>
            <w:tcBorders>
              <w:top w:val="single" w:sz="4" w:space="0" w:color="auto"/>
              <w:bottom w:val="single" w:sz="4" w:space="0" w:color="auto"/>
            </w:tcBorders>
            <w:vAlign w:val="center"/>
          </w:tcPr>
          <w:p w14:paraId="2FD4758D"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Country</w:t>
            </w:r>
          </w:p>
        </w:tc>
        <w:tc>
          <w:tcPr>
            <w:tcW w:w="2252" w:type="dxa"/>
            <w:tcBorders>
              <w:top w:val="single" w:sz="4" w:space="0" w:color="auto"/>
              <w:bottom w:val="single" w:sz="4" w:space="0" w:color="auto"/>
            </w:tcBorders>
            <w:vAlign w:val="center"/>
          </w:tcPr>
          <w:p w14:paraId="04AE76E5"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HCES: Type of dietary data</w:t>
            </w:r>
          </w:p>
        </w:tc>
        <w:tc>
          <w:tcPr>
            <w:tcW w:w="1350" w:type="dxa"/>
            <w:tcBorders>
              <w:top w:val="single" w:sz="4" w:space="0" w:color="auto"/>
              <w:bottom w:val="single" w:sz="4" w:space="0" w:color="auto"/>
            </w:tcBorders>
            <w:vAlign w:val="center"/>
          </w:tcPr>
          <w:p w14:paraId="3413EC69"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HCES: Time horizon</w:t>
            </w:r>
          </w:p>
        </w:tc>
        <w:tc>
          <w:tcPr>
            <w:tcW w:w="1260" w:type="dxa"/>
            <w:tcBorders>
              <w:top w:val="single" w:sz="4" w:space="0" w:color="auto"/>
              <w:bottom w:val="single" w:sz="4" w:space="0" w:color="auto"/>
            </w:tcBorders>
            <w:vAlign w:val="center"/>
          </w:tcPr>
          <w:p w14:paraId="7B613AFA" w14:textId="77777777" w:rsidR="00681CDB" w:rsidRPr="00FF3F99" w:rsidRDefault="00681CDB" w:rsidP="005B0D26">
            <w:pPr>
              <w:ind w:left="0"/>
              <w:rPr>
                <w:b/>
                <w:bCs/>
                <w:color w:val="000000" w:themeColor="text1"/>
                <w:sz w:val="15"/>
                <w:szCs w:val="15"/>
              </w:rPr>
            </w:pPr>
            <w:r w:rsidRPr="00FF3F99">
              <w:rPr>
                <w:rFonts w:cs="Times New Roman"/>
                <w:b/>
                <w:bCs/>
                <w:color w:val="000000" w:themeColor="text1"/>
                <w:sz w:val="15"/>
                <w:szCs w:val="15"/>
              </w:rPr>
              <w:t>Compared to individual intake data?</w:t>
            </w:r>
          </w:p>
        </w:tc>
        <w:tc>
          <w:tcPr>
            <w:tcW w:w="1890" w:type="dxa"/>
            <w:tcBorders>
              <w:top w:val="single" w:sz="4" w:space="0" w:color="auto"/>
              <w:bottom w:val="single" w:sz="4" w:space="0" w:color="auto"/>
            </w:tcBorders>
            <w:vAlign w:val="center"/>
          </w:tcPr>
          <w:p w14:paraId="5C2089EC" w14:textId="77777777" w:rsidR="00681CDB" w:rsidRPr="00FF3F99" w:rsidRDefault="00681CDB" w:rsidP="005B0D26">
            <w:pPr>
              <w:ind w:left="0"/>
              <w:rPr>
                <w:b/>
                <w:bCs/>
                <w:color w:val="000000" w:themeColor="text1"/>
                <w:sz w:val="15"/>
                <w:szCs w:val="15"/>
              </w:rPr>
            </w:pPr>
            <w:r w:rsidRPr="00FF3F99">
              <w:rPr>
                <w:b/>
                <w:bCs/>
                <w:color w:val="000000" w:themeColor="text1"/>
                <w:sz w:val="15"/>
                <w:szCs w:val="15"/>
              </w:rPr>
              <w:t>Individual intake: type of data</w:t>
            </w:r>
          </w:p>
        </w:tc>
        <w:tc>
          <w:tcPr>
            <w:tcW w:w="1800" w:type="dxa"/>
            <w:tcBorders>
              <w:top w:val="single" w:sz="4" w:space="0" w:color="auto"/>
              <w:bottom w:val="single" w:sz="4" w:space="0" w:color="auto"/>
            </w:tcBorders>
            <w:vAlign w:val="center"/>
          </w:tcPr>
          <w:p w14:paraId="6757FB5F" w14:textId="77777777" w:rsidR="00681CDB" w:rsidRPr="00FF3F99" w:rsidRDefault="00681CDB" w:rsidP="005B0D26">
            <w:pPr>
              <w:autoSpaceDE w:val="0"/>
              <w:autoSpaceDN w:val="0"/>
              <w:adjustRightInd w:val="0"/>
              <w:ind w:left="0"/>
              <w:rPr>
                <w:rFonts w:cs="Times New Roman"/>
                <w:b/>
                <w:bCs/>
                <w:color w:val="000000" w:themeColor="text1"/>
                <w:sz w:val="15"/>
                <w:szCs w:val="15"/>
              </w:rPr>
            </w:pPr>
            <w:r w:rsidRPr="00FF3F99">
              <w:rPr>
                <w:rFonts w:cs="Times New Roman"/>
                <w:b/>
                <w:bCs/>
                <w:color w:val="000000" w:themeColor="text1"/>
                <w:sz w:val="15"/>
                <w:szCs w:val="15"/>
              </w:rPr>
              <w:t>Individual intake: comparability to HCES</w:t>
            </w:r>
          </w:p>
        </w:tc>
        <w:tc>
          <w:tcPr>
            <w:tcW w:w="1440" w:type="dxa"/>
            <w:tcBorders>
              <w:top w:val="single" w:sz="4" w:space="0" w:color="auto"/>
              <w:bottom w:val="single" w:sz="4" w:space="0" w:color="auto"/>
              <w:right w:val="single" w:sz="4" w:space="0" w:color="auto"/>
            </w:tcBorders>
            <w:vAlign w:val="center"/>
          </w:tcPr>
          <w:p w14:paraId="35536725" w14:textId="77777777" w:rsidR="00681CDB" w:rsidRPr="00FF3F99" w:rsidRDefault="00681CDB" w:rsidP="005B0D26">
            <w:pPr>
              <w:autoSpaceDE w:val="0"/>
              <w:autoSpaceDN w:val="0"/>
              <w:adjustRightInd w:val="0"/>
              <w:ind w:left="0"/>
              <w:rPr>
                <w:rFonts w:cs="Times New Roman"/>
                <w:b/>
                <w:bCs/>
                <w:color w:val="000000" w:themeColor="text1"/>
                <w:sz w:val="15"/>
                <w:szCs w:val="15"/>
              </w:rPr>
            </w:pPr>
            <w:r w:rsidRPr="00FF3F99">
              <w:rPr>
                <w:rFonts w:cs="Times New Roman"/>
                <w:b/>
                <w:bCs/>
                <w:color w:val="000000" w:themeColor="text1"/>
                <w:sz w:val="15"/>
                <w:szCs w:val="15"/>
              </w:rPr>
              <w:t>Individual intake:  demographics of individuals</w:t>
            </w:r>
          </w:p>
        </w:tc>
      </w:tr>
      <w:tr w:rsidR="00681CDB" w:rsidRPr="00E8387C" w14:paraId="2EEF6DBD" w14:textId="77777777" w:rsidTr="005B0D26">
        <w:tc>
          <w:tcPr>
            <w:tcW w:w="537" w:type="dxa"/>
            <w:tcBorders>
              <w:top w:val="single" w:sz="4" w:space="0" w:color="auto"/>
              <w:left w:val="single" w:sz="4" w:space="0" w:color="auto"/>
            </w:tcBorders>
            <w:shd w:val="clear" w:color="auto" w:fill="D9D9D9" w:themeFill="background1" w:themeFillShade="D9"/>
            <w:vAlign w:val="center"/>
          </w:tcPr>
          <w:p w14:paraId="749BFF39" w14:textId="18FFBB56" w:rsidR="00681CDB" w:rsidRPr="00FF3F99" w:rsidRDefault="00681CDB" w:rsidP="005B0D26">
            <w:pPr>
              <w:ind w:left="0"/>
              <w:rPr>
                <w:color w:val="000000" w:themeColor="text1"/>
                <w:sz w:val="15"/>
                <w:szCs w:val="15"/>
              </w:rPr>
            </w:pPr>
            <w:r w:rsidRPr="00FF3F99">
              <w:rPr>
                <w:color w:val="000000" w:themeColor="text1"/>
                <w:sz w:val="15"/>
                <w:szCs w:val="15"/>
                <w:lang w:val="fr-FR"/>
              </w:rPr>
              <w:fldChar w:fldCharType="begin" w:fldLock="1"/>
            </w:r>
            <w:r w:rsidR="005B0D26">
              <w:rPr>
                <w:color w:val="000000" w:themeColor="text1"/>
                <w:sz w:val="15"/>
                <w:szCs w:val="15"/>
                <w:lang w:val="fr-FR"/>
              </w:rPr>
              <w:instrText>ADDIN CSL_CITATION {"citationItems":[{"id":"ITEM-1","itemData":{"DOI":"10.1177/15648265120333s206","ISSN":"03795721","PMID":"23193769","abstract":"Micronutrient malnutrition, caused largely by inadequate dietary intake, is a global public health problem that adversely affects health, child growth and development, work capacity, and quality of life. Mass fortification of widely consumed edible products has the potential to increase micronutrient intakes and thus alleviate some nutritional deficiencies. Although individual-level data about food consumption patterns are ideal for informing the design of food fortification programs, they are often unavailable. Household Consumption and Expenditures Surveys (HCES) are nationally representative cross-sectional surveys conducted over a 12-month period every 2 to 5 years, primarily to characterize household expenditures. We describe how expenditure data from HCES can serve as a proxy for household food consumption and thus aid in choosing which foods to fortify and in determining how much of a micronutrient to add to that food. We describe methods of using HCES data to characterize apparent food consumption patterns among different strata within a population. There are several limitations of using HCES data to describe apparent food consumption. HCES do not directly capture information about true food intake, but rather describe food expenditures. We assume that purchased foods are not shared with guests, wasted, fed to animals, gifted, or stockpiled for later use. We also assume that foods are allocated within each household based on energy needs. Despite the limitations of using HCES data to estimate apparent food consumption, the dearth of individual-level data about food intake renders HCES data useful in designing food fortification programs.","author":[{"dropping-particle":"","family":"Imhoff-Kunsch","given":"Beth","non-dropping-particle":"","parse-names":false,"suffix":""},{"dropping-particle":"","family":"Flores","given":"Rafael","non-dropping-particle":"","parse-names":false,"suffix":""},{"dropping-particle":"","family":"Dary","given":"Omar","non-dropping-particle":"","parse-names":false,"suffix":""},{"dropping-particle":"","family":"Martorell","given":"Reynaldo","non-dropping-particle":"","parse-names":false,"suffix":""}],"container-title":"Food and nutrition bulletin","id":"ITEM-1","issue":"3 Suppl","issued":{"date-parts":[["2012"]]},"note":"Abstract exclusion","page":"S185-9","title":"Methods of using household consumption and expenditures survey (HCES) data to estimate the potential nutritional impact of fortified staple foods.","type":"article-journal","volume":"33"},"uris":["http://www.mendeley.com/documents/?uuid=a0546c46-e52d-4767-ac64-9d372924c6a4"]}],"mendeley":{"formattedCitation":"&lt;sup&gt;(32)&lt;/sup&gt;","plainTextFormattedCitation":"(32)","previouslyFormattedCitation":"[32]"},"properties":{"noteIndex":0},"schema":"https://github.com/citation-style-language/schema/raw/master/csl-citation.json"}</w:instrText>
            </w:r>
            <w:r w:rsidRPr="00FF3F99">
              <w:rPr>
                <w:color w:val="000000" w:themeColor="text1"/>
                <w:sz w:val="15"/>
                <w:szCs w:val="15"/>
                <w:lang w:val="fr-FR"/>
              </w:rPr>
              <w:fldChar w:fldCharType="separate"/>
            </w:r>
            <w:r w:rsidR="005B0D26" w:rsidRPr="005B0D26">
              <w:rPr>
                <w:noProof/>
                <w:color w:val="000000" w:themeColor="text1"/>
                <w:sz w:val="15"/>
                <w:szCs w:val="15"/>
                <w:vertAlign w:val="superscript"/>
              </w:rPr>
              <w:t>(32)</w:t>
            </w:r>
            <w:r w:rsidRPr="00FF3F99">
              <w:rPr>
                <w:color w:val="000000" w:themeColor="text1"/>
                <w:sz w:val="15"/>
                <w:szCs w:val="15"/>
                <w:lang w:val="fr-FR"/>
              </w:rPr>
              <w:fldChar w:fldCharType="end"/>
            </w:r>
          </w:p>
        </w:tc>
        <w:tc>
          <w:tcPr>
            <w:tcW w:w="2066" w:type="dxa"/>
            <w:tcBorders>
              <w:top w:val="single" w:sz="4" w:space="0" w:color="auto"/>
            </w:tcBorders>
            <w:shd w:val="clear" w:color="auto" w:fill="D9D9D9" w:themeFill="background1" w:themeFillShade="D9"/>
            <w:vAlign w:val="center"/>
          </w:tcPr>
          <w:p w14:paraId="1F9B31CF" w14:textId="77777777" w:rsidR="00681CDB" w:rsidRPr="00FF3F99" w:rsidRDefault="00681CDB" w:rsidP="005B0D26">
            <w:pPr>
              <w:ind w:left="0"/>
              <w:rPr>
                <w:color w:val="000000" w:themeColor="text1"/>
                <w:sz w:val="15"/>
                <w:szCs w:val="15"/>
              </w:rPr>
            </w:pPr>
            <w:r w:rsidRPr="00FF3F99">
              <w:rPr>
                <w:color w:val="000000" w:themeColor="text1"/>
                <w:sz w:val="15"/>
                <w:szCs w:val="15"/>
              </w:rPr>
              <w:t>Imhoff-</w:t>
            </w:r>
            <w:proofErr w:type="spellStart"/>
            <w:r w:rsidRPr="00FF3F99">
              <w:rPr>
                <w:color w:val="000000" w:themeColor="text1"/>
                <w:sz w:val="15"/>
                <w:szCs w:val="15"/>
              </w:rPr>
              <w:t>Kunsch</w:t>
            </w:r>
            <w:proofErr w:type="spellEnd"/>
            <w:r w:rsidRPr="00FF3F99">
              <w:rPr>
                <w:color w:val="000000" w:themeColor="text1"/>
                <w:sz w:val="15"/>
                <w:szCs w:val="15"/>
              </w:rPr>
              <w:t xml:space="preserve"> et al. (2019)</w:t>
            </w:r>
          </w:p>
        </w:tc>
        <w:tc>
          <w:tcPr>
            <w:tcW w:w="1350" w:type="dxa"/>
            <w:tcBorders>
              <w:top w:val="single" w:sz="4" w:space="0" w:color="auto"/>
            </w:tcBorders>
            <w:shd w:val="clear" w:color="auto" w:fill="D9D9D9" w:themeFill="background1" w:themeFillShade="D9"/>
          </w:tcPr>
          <w:p w14:paraId="1FD28EAB" w14:textId="77777777" w:rsidR="00681CDB" w:rsidRPr="00FF3F99" w:rsidRDefault="00681CDB" w:rsidP="005B0D26">
            <w:pPr>
              <w:ind w:left="0"/>
              <w:rPr>
                <w:color w:val="000000" w:themeColor="text1"/>
                <w:sz w:val="15"/>
                <w:szCs w:val="15"/>
              </w:rPr>
            </w:pPr>
            <w:r w:rsidRPr="00FF3F99">
              <w:rPr>
                <w:color w:val="000000" w:themeColor="text1"/>
                <w:sz w:val="15"/>
                <w:szCs w:val="15"/>
              </w:rPr>
              <w:t>Solomon Islands</w:t>
            </w:r>
          </w:p>
        </w:tc>
        <w:tc>
          <w:tcPr>
            <w:tcW w:w="2252" w:type="dxa"/>
            <w:tcBorders>
              <w:top w:val="single" w:sz="4" w:space="0" w:color="auto"/>
            </w:tcBorders>
            <w:shd w:val="clear" w:color="auto" w:fill="D9D9D9" w:themeFill="background1" w:themeFillShade="D9"/>
          </w:tcPr>
          <w:p w14:paraId="6BB80000"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diary</w:t>
            </w:r>
          </w:p>
        </w:tc>
        <w:tc>
          <w:tcPr>
            <w:tcW w:w="1350" w:type="dxa"/>
            <w:tcBorders>
              <w:top w:val="single" w:sz="4" w:space="0" w:color="auto"/>
            </w:tcBorders>
            <w:shd w:val="clear" w:color="auto" w:fill="D9D9D9" w:themeFill="background1" w:themeFillShade="D9"/>
            <w:vAlign w:val="center"/>
          </w:tcPr>
          <w:p w14:paraId="0CE4DD97"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14 days</w:t>
            </w:r>
          </w:p>
        </w:tc>
        <w:tc>
          <w:tcPr>
            <w:tcW w:w="1260" w:type="dxa"/>
            <w:tcBorders>
              <w:top w:val="single" w:sz="4" w:space="0" w:color="auto"/>
            </w:tcBorders>
            <w:shd w:val="clear" w:color="auto" w:fill="D9D9D9" w:themeFill="background1" w:themeFillShade="D9"/>
            <w:vAlign w:val="center"/>
          </w:tcPr>
          <w:p w14:paraId="43159863" w14:textId="77777777" w:rsidR="00681CDB" w:rsidRPr="00FF3F99" w:rsidRDefault="00681CDB" w:rsidP="005B0D26">
            <w:pPr>
              <w:ind w:left="0"/>
              <w:jc w:val="center"/>
              <w:rPr>
                <w:color w:val="000000" w:themeColor="text1"/>
                <w:sz w:val="15"/>
                <w:szCs w:val="15"/>
              </w:rPr>
            </w:pPr>
          </w:p>
        </w:tc>
        <w:tc>
          <w:tcPr>
            <w:tcW w:w="1890" w:type="dxa"/>
            <w:tcBorders>
              <w:top w:val="single" w:sz="4" w:space="0" w:color="auto"/>
            </w:tcBorders>
            <w:shd w:val="clear" w:color="auto" w:fill="D9D9D9" w:themeFill="background1" w:themeFillShade="D9"/>
            <w:vAlign w:val="center"/>
          </w:tcPr>
          <w:p w14:paraId="2E83E016" w14:textId="77777777" w:rsidR="00681CDB" w:rsidRPr="00FF3F99" w:rsidRDefault="00681CDB" w:rsidP="005B0D26">
            <w:pPr>
              <w:ind w:left="0"/>
              <w:jc w:val="center"/>
              <w:rPr>
                <w:color w:val="000000" w:themeColor="text1"/>
                <w:sz w:val="15"/>
                <w:szCs w:val="15"/>
              </w:rPr>
            </w:pPr>
          </w:p>
        </w:tc>
        <w:tc>
          <w:tcPr>
            <w:tcW w:w="1800" w:type="dxa"/>
            <w:tcBorders>
              <w:top w:val="single" w:sz="4" w:space="0" w:color="auto"/>
            </w:tcBorders>
            <w:shd w:val="clear" w:color="auto" w:fill="D9D9D9" w:themeFill="background1" w:themeFillShade="D9"/>
            <w:vAlign w:val="center"/>
          </w:tcPr>
          <w:p w14:paraId="143888D5" w14:textId="77777777" w:rsidR="00681CDB" w:rsidRPr="00FF3F99" w:rsidRDefault="00681CDB" w:rsidP="005B0D26">
            <w:pPr>
              <w:ind w:left="0"/>
              <w:jc w:val="center"/>
              <w:rPr>
                <w:color w:val="000000" w:themeColor="text1"/>
                <w:sz w:val="15"/>
                <w:szCs w:val="15"/>
              </w:rPr>
            </w:pPr>
          </w:p>
        </w:tc>
        <w:tc>
          <w:tcPr>
            <w:tcW w:w="1440" w:type="dxa"/>
            <w:tcBorders>
              <w:top w:val="single" w:sz="4" w:space="0" w:color="auto"/>
              <w:right w:val="single" w:sz="4" w:space="0" w:color="auto"/>
            </w:tcBorders>
            <w:shd w:val="clear" w:color="auto" w:fill="D9D9D9" w:themeFill="background1" w:themeFillShade="D9"/>
          </w:tcPr>
          <w:p w14:paraId="57E608E0" w14:textId="77777777" w:rsidR="00681CDB" w:rsidRPr="00FF3F99" w:rsidRDefault="00681CDB" w:rsidP="005B0D26">
            <w:pPr>
              <w:ind w:left="0"/>
              <w:jc w:val="center"/>
              <w:rPr>
                <w:color w:val="000000" w:themeColor="text1"/>
                <w:sz w:val="15"/>
                <w:szCs w:val="15"/>
              </w:rPr>
            </w:pPr>
          </w:p>
        </w:tc>
      </w:tr>
      <w:tr w:rsidR="00681CDB" w:rsidRPr="00E8387C" w14:paraId="6E1F625D" w14:textId="77777777" w:rsidTr="005B0D26">
        <w:tc>
          <w:tcPr>
            <w:tcW w:w="537" w:type="dxa"/>
            <w:tcBorders>
              <w:left w:val="single" w:sz="4" w:space="0" w:color="auto"/>
            </w:tcBorders>
            <w:vAlign w:val="center"/>
          </w:tcPr>
          <w:p w14:paraId="3251C8DF" w14:textId="3C04032E"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{"citationItems":[{"id":"ITEM-1","itemData":{"DOI":"10.1177/15648265120333s208","ISSN":"03795721","PMID":"23193771","abstract":"Individual dietary intake data are important for informing national nutrition policy but are rarely available. National Household Consumption and Expenditures Surveys (HCES) may be an alternative method, but there is no evidence to assess their relative performance. To compare HCES-based estimates of the nutrient density of foods consumed by Ugandan women (15 to 49 years of age) and children (24 to 59 months of age) with estimates based on 24-hour recall. The 52 food items of the Uganda 2006 HCES were matched with nutrient content of foods in a 2008 24-hour recall survey, which were used to refine the HCES-based estimates of nutrient intakes. Two methods were used to match the surveys'food items. Model 1 identified the four or five most commonly consumed foods from the 24-hour recall survey and calculated their unweighted average nutrient contents. Model 2 used the nutrient contents of the single most consumed food from the 24-hour recall. For each model, 14 estimates of nutrient densities of the diet were made and 84 differences were compared. Models 1 and 2 were not significantly different. Of the model 2 HCES-24-hour recall comparisons, 67 (80%) did not find a significant difference. No significant differences were found for protein, fat, fiber, iron, thiamin, riboflavin, and vitamin B6 intakes. HCES overestimated intakes of vitamins C and B12 and underestimated intakes of vitamin A,folate, niacin, calcium, and zinc in at least one of the groups. The HCES-based estimates are a relatively good proxy for 24-hour recall measures of nutrient density of the diet. Further work is needed to ascertain nutrient adequacy using this method in several countries.","author":[{"dropping-particle":"","family":"Jariseta","given":"Zo Rambeloson","non-dropping-particle":"","parse-names":false,"suffix":""},{"dropping-particle":"","family":"Dary","given":"Omar","non-dropping-particle":"","parse-names":false,"suffix":""},{"dropping-particle":"","family":"Fiedler","given":"John L.","non-dropping-particle":"","parse-names":false,"suffix":""},{"dropping-particle":"","family":"Franklin","given":"Nadra","non-dropping-particle":"","parse-names":false,"suffix":""}],"container-title":"Food and nutrition bulletin","id":"ITEM-1","issue":"3 Suppl","issued":{"date-parts":[["2012"]]},"page":"S199-207","title":"Comparison of estimates of the nutrient density of the diet of women and children in Uganda by Household Consumption and Expenditures Surveys (HCES) and 24-hour recall.","type":"article-journal","volume":"33"},"uris":["http://www.mendeley.com/documents/?uuid=879c57be-eeb4-4c4c-b34d-1514cfae390d"]}],"mendeley":{"formattedCitation":"&lt;sup&gt;(33)&lt;/sup&gt;","plainTextFormattedCitation":"(33)","previouslyFormattedCitation":"[33]"},"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(33)</w:t>
            </w:r>
            <w:r w:rsidRPr="00FF3F99">
              <w:rPr>
                <w:color w:val="000000" w:themeColor="text1"/>
                <w:sz w:val="15"/>
                <w:szCs w:val="15"/>
              </w:rPr>
              <w:fldChar w:fldCharType="end"/>
            </w:r>
          </w:p>
        </w:tc>
        <w:tc>
          <w:tcPr>
            <w:tcW w:w="2066" w:type="dxa"/>
            <w:vAlign w:val="center"/>
          </w:tcPr>
          <w:p w14:paraId="0693EB5B"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Jarista</w:t>
            </w:r>
            <w:proofErr w:type="spellEnd"/>
            <w:r w:rsidRPr="00FF3F99">
              <w:rPr>
                <w:color w:val="000000" w:themeColor="text1"/>
                <w:sz w:val="15"/>
                <w:szCs w:val="15"/>
              </w:rPr>
              <w:t xml:space="preserve"> et al. (2012)</w:t>
            </w:r>
          </w:p>
        </w:tc>
        <w:tc>
          <w:tcPr>
            <w:tcW w:w="1350" w:type="dxa"/>
          </w:tcPr>
          <w:p w14:paraId="73B8BB73" w14:textId="77777777" w:rsidR="00681CDB" w:rsidRPr="00FF3F99" w:rsidRDefault="00681CDB" w:rsidP="005B0D26">
            <w:pPr>
              <w:ind w:left="0"/>
              <w:rPr>
                <w:color w:val="000000" w:themeColor="text1"/>
                <w:sz w:val="15"/>
                <w:szCs w:val="15"/>
              </w:rPr>
            </w:pPr>
            <w:r w:rsidRPr="00FF3F99">
              <w:rPr>
                <w:color w:val="000000" w:themeColor="text1"/>
                <w:sz w:val="15"/>
                <w:szCs w:val="15"/>
              </w:rPr>
              <w:t>Uganda</w:t>
            </w:r>
          </w:p>
        </w:tc>
        <w:tc>
          <w:tcPr>
            <w:tcW w:w="2252" w:type="dxa"/>
          </w:tcPr>
          <w:p w14:paraId="10FC303A"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w:t>
            </w:r>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1350" w:type="dxa"/>
            <w:vAlign w:val="center"/>
          </w:tcPr>
          <w:p w14:paraId="35D2E7E1"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77166F29" w14:textId="77777777" w:rsidR="00681CDB" w:rsidRPr="00FF3F99" w:rsidRDefault="00681CDB" w:rsidP="005B0D26">
            <w:pPr>
              <w:ind w:left="0"/>
              <w:jc w:val="center"/>
              <w:rPr>
                <w:color w:val="000000" w:themeColor="text1"/>
                <w:sz w:val="15"/>
                <w:szCs w:val="15"/>
              </w:rPr>
            </w:pPr>
          </w:p>
        </w:tc>
        <w:tc>
          <w:tcPr>
            <w:tcW w:w="1890" w:type="dxa"/>
            <w:vAlign w:val="center"/>
          </w:tcPr>
          <w:p w14:paraId="32B38297" w14:textId="77777777" w:rsidR="00681CDB" w:rsidRPr="00FF3F99" w:rsidRDefault="00681CDB" w:rsidP="005B0D26">
            <w:pPr>
              <w:ind w:left="0"/>
              <w:jc w:val="center"/>
              <w:rPr>
                <w:color w:val="000000" w:themeColor="text1"/>
                <w:sz w:val="15"/>
                <w:szCs w:val="15"/>
              </w:rPr>
            </w:pPr>
          </w:p>
        </w:tc>
        <w:tc>
          <w:tcPr>
            <w:tcW w:w="1800" w:type="dxa"/>
            <w:vAlign w:val="center"/>
          </w:tcPr>
          <w:p w14:paraId="2BA596BA"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0A941612" w14:textId="77777777" w:rsidR="00681CDB" w:rsidRPr="00FF3F99" w:rsidRDefault="00681CDB" w:rsidP="005B0D26">
            <w:pPr>
              <w:ind w:left="0"/>
              <w:jc w:val="center"/>
              <w:rPr>
                <w:color w:val="000000" w:themeColor="text1"/>
                <w:sz w:val="15"/>
                <w:szCs w:val="15"/>
              </w:rPr>
            </w:pPr>
          </w:p>
        </w:tc>
      </w:tr>
      <w:tr w:rsidR="00681CDB" w:rsidRPr="00E8387C" w14:paraId="3521428E" w14:textId="77777777" w:rsidTr="005B0D26">
        <w:tc>
          <w:tcPr>
            <w:tcW w:w="537" w:type="dxa"/>
            <w:tcBorders>
              <w:left w:val="single" w:sz="4" w:space="0" w:color="auto"/>
            </w:tcBorders>
            <w:shd w:val="clear" w:color="auto" w:fill="D9D9D9" w:themeFill="background1" w:themeFillShade="D9"/>
            <w:vAlign w:val="center"/>
          </w:tcPr>
          <w:p w14:paraId="450D81F8" w14:textId="62F335FA"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{"citationItems":[{"id":"ITEM-1","itemData":{"DOI":"10.1017/S1368980012001139","ISSN":"13689800","abstract":"Objective The present research aimed to analyse the nutrient density (ND), nutrient adequacy score (NAS) and energy density (ED) of Indonesian foods and to formulate a balanced diet using linear programming. Design Data on typical Indonesian diets were obtained from the Indonesian Socio-Economic Survey 2008. ND was investigated for 122 Indonesian foods. NAS was calculated for single nutrients such as Fe, Zn and vitamin A. Correlation analysis was performed between ND and ED, as well as between monthly expenditure class and food consumption pattern in Indonesia. Linear programming calculations were performed using the software POM-QM for Windows version 3. Setting Republic of Indonesia, 2008. Subjects Public households (n 68 800). Results Vegetables had the highest ND of the food groups, followed by animal-based foods, fruits and staple foods. Based on NAS, the top ten food items for each food group were identified. Most of the staple foods had high ED and contributed towards daily energy fulfillment, followed by animal-based foods, vegetables and fruits. Commodities with high ND tended to have low ED. Linear programming could be used to formulate a balanced diet. In contrast to staple foods, purchases of fruit, vegetables and animal-based foods increased with the rise of monthly expenditure. Conclusions People should select food items based on ND and NAS to alleviate micronutrient deficiencies in Indonesia. Dietary formulation calculated using linear programming to achieve RDA levels for micronutrients could be recommended for different age groups of the Indonesian population. Copyright © 2012 The Authors.","author":[{"dropping-particle":"","family":"Jati","given":"Ignasius Radix A.P.","non-dropping-particle":"","parse-names":false,"suffix":""},{"dropping-particle":"","family":"Vadivel","given":"Vellingiri","non-dropping-particle":"","parse-names":false,"suffix":""},{"dropping-particle":"","family":"Nöhr","given":"Donatus","non-dropping-particle":"","parse-names":false,"suffix":""},{"dropping-particle":"","family":"Biesalski","given":"Hans Konrad","non-dropping-particle":"","parse-names":false,"suffix":""}],"container-title":"Public Health Nutrition","id":"ITEM-1","issue":"12","issued":{"date-parts":[["2012"]]},"page":"2185-92","title":"Nutrient density score of typical Indonesian foods and dietary formulation using linear programming","type":"article-journal","volume":"15"},"uris":["http://www.mendeley.com/documents/?uuid=1010e381-59b2-445d-89de-539c015bbb74"]}],"mendeley":{"formattedCitation":"&lt;sup&gt;(34)&lt;/sup&gt;","plainTextFormattedCitation":"(34)","previouslyFormattedCitation":"[34]"},"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(34)</w:t>
            </w:r>
            <w:r w:rsidRPr="00FF3F99">
              <w:rPr>
                <w:color w:val="000000" w:themeColor="text1"/>
                <w:sz w:val="15"/>
                <w:szCs w:val="15"/>
              </w:rPr>
              <w:fldChar w:fldCharType="end"/>
            </w:r>
          </w:p>
        </w:tc>
        <w:tc>
          <w:tcPr>
            <w:tcW w:w="2066" w:type="dxa"/>
            <w:shd w:val="clear" w:color="auto" w:fill="D9D9D9" w:themeFill="background1" w:themeFillShade="D9"/>
            <w:vAlign w:val="center"/>
          </w:tcPr>
          <w:p w14:paraId="323FEE6C"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Jati</w:t>
            </w:r>
            <w:proofErr w:type="spellEnd"/>
            <w:r w:rsidRPr="00FF3F99">
              <w:rPr>
                <w:color w:val="000000" w:themeColor="text1"/>
                <w:sz w:val="15"/>
                <w:szCs w:val="15"/>
              </w:rPr>
              <w:t xml:space="preserve"> et al. (2012)</w:t>
            </w:r>
          </w:p>
        </w:tc>
        <w:tc>
          <w:tcPr>
            <w:tcW w:w="1350" w:type="dxa"/>
            <w:shd w:val="clear" w:color="auto" w:fill="D9D9D9" w:themeFill="background1" w:themeFillShade="D9"/>
          </w:tcPr>
          <w:p w14:paraId="59AA6B37" w14:textId="77777777" w:rsidR="00681CDB" w:rsidRPr="00FF3F99" w:rsidRDefault="00681CDB" w:rsidP="005B0D26">
            <w:pPr>
              <w:ind w:left="0"/>
              <w:rPr>
                <w:color w:val="000000" w:themeColor="text1"/>
                <w:sz w:val="15"/>
                <w:szCs w:val="15"/>
              </w:rPr>
            </w:pPr>
            <w:r w:rsidRPr="00FF3F99">
              <w:rPr>
                <w:color w:val="000000" w:themeColor="text1"/>
                <w:sz w:val="15"/>
                <w:szCs w:val="15"/>
              </w:rPr>
              <w:t>Indonesia</w:t>
            </w:r>
          </w:p>
        </w:tc>
        <w:tc>
          <w:tcPr>
            <w:tcW w:w="2252" w:type="dxa"/>
            <w:shd w:val="clear" w:color="auto" w:fill="D9D9D9" w:themeFill="background1" w:themeFillShade="D9"/>
          </w:tcPr>
          <w:p w14:paraId="79E00FD8"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shd w:val="clear" w:color="auto" w:fill="D9D9D9" w:themeFill="background1" w:themeFillShade="D9"/>
            <w:vAlign w:val="center"/>
          </w:tcPr>
          <w:p w14:paraId="23CCBCC5"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0072893E"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4507C16D"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55944B63"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351D03A3" w14:textId="77777777" w:rsidR="00681CDB" w:rsidRPr="00FF3F99" w:rsidRDefault="00681CDB" w:rsidP="005B0D26">
            <w:pPr>
              <w:ind w:left="0"/>
              <w:jc w:val="center"/>
              <w:rPr>
                <w:color w:val="000000" w:themeColor="text1"/>
                <w:sz w:val="15"/>
                <w:szCs w:val="15"/>
              </w:rPr>
            </w:pPr>
          </w:p>
        </w:tc>
      </w:tr>
      <w:tr w:rsidR="00681CDB" w:rsidRPr="00E8387C" w14:paraId="7B4D8F65" w14:textId="77777777" w:rsidTr="005B0D26">
        <w:tc>
          <w:tcPr>
            <w:tcW w:w="537" w:type="dxa"/>
            <w:tcBorders>
              <w:left w:val="single" w:sz="4" w:space="0" w:color="auto"/>
            </w:tcBorders>
            <w:vAlign w:val="center"/>
          </w:tcPr>
          <w:p w14:paraId="58032038" w14:textId="64AFC8DD"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{"citationItems":[{"id":"ITEM-1","itemData":{"DOI":"10.1177/156482650702800101","ISSN":"03795721","abstract":"Background. Two large-scale studies, the National Surveillance System (NSS) Pilot Study (2003-2004) and the National Risk and Vulnerability Assessment (NRVA) 2003, were conducted by government, United Nations, and nongovernmental organizations in Afghanistan, as part of wider efforts characterizing Afghan livelihoods in relation to particular outcomes of interest: vulnerability to poverty, food insecurity, and malnutrition. Objective. To present the data from these two surveys with nutrition as the key outcome of interest, and to further construct the understanding of the underlying causes of malnutrition, thus providing public health practitioners and other sector specialists with insight into how a variety of sectoral programs can impact nutritional outcomes in Afghanistan. Methods. The NSS gathered information on livelihoods, food security, and nutrition from 20 to 40 randomly selected households in each of 26 purposively selected sentinel sites (representative of livelihood zones) during November-December 2003 and May-June 2004. The NRVA gathered information nationally from households selected with a two-stage sampling (based on livelihood zone and then socioeconomic group) during July-September 2004. Results. Acute malnutrition is below emergency levels for children under five. The level of chronic malnutrition in children underfive indicates a problem of public health importance. Dietary diversity in Afghanistan is not as low as expected but still shows roomfor improvement, particularly in remote areas and with respect to food groups associated with adequate micronutrient intake. The findings also suggest that in addition to lack of adequate householdfood intake, recurrent illness and suboptimal infant and young child feeding and hygiene practices contribute to poor nutritional outcomes in this age group. The survey also found poor access to health care, markets, and waterfor household use. Conclusions. Improving nutritional status requires a multipronged approach, directly targeting malnutrition, coupled with economic growth, household livelihood security, social protection, access to public health services, and water and sanitation. Nutrition policy, programming, and monitoring need to reflect the immediate and underlying causes of malnutrition. Future research needs to be designed to quantify the relative contribution of underlying causes of poor nutrition, allowing practitioners to prioritize responses aimed at improving nutritional outomes. ©…","author":[{"dropping-particle":"","family":"Johnecheck","given":"Wendy A.","non-dropping-particle":"","parse-names":false,"suffix":""},{"dropping-particle":"","family":"Holland","given":"Diane E.","non-dropping-particle":"","parse-names":false,"suffix":""}],"container-title":"Food and Nutrition Bulletin","id":"ITEM-1","issue":"1","issued":{"date-parts":[["2007"]]},"page":"3-17","title":"Nutritional status in postconflict Afghanistan: Evidence from the National Surveillance System Pilot and National Risk and Vulnerability Assessment","type":"article-journal","volume":"28"},"uris":["http://www.mendeley.com/documents/?uuid=2d3a8875-3b17-4683-8e50-c2122236d684"]}],"mendeley":{"formattedCitation":"&lt;sup&gt;(35)&lt;/sup&gt;","plainTextFormattedCitation":"(35)","previouslyFormattedCitation":"[35]"},"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(35)</w:t>
            </w:r>
            <w:r w:rsidRPr="00FF3F99">
              <w:rPr>
                <w:color w:val="000000" w:themeColor="text1"/>
                <w:sz w:val="15"/>
                <w:szCs w:val="15"/>
              </w:rPr>
              <w:fldChar w:fldCharType="end"/>
            </w:r>
          </w:p>
        </w:tc>
        <w:tc>
          <w:tcPr>
            <w:tcW w:w="2066" w:type="dxa"/>
            <w:vAlign w:val="center"/>
          </w:tcPr>
          <w:p w14:paraId="0AF7EDFF"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Johnecheck</w:t>
            </w:r>
            <w:proofErr w:type="spellEnd"/>
            <w:r w:rsidRPr="00FF3F99">
              <w:rPr>
                <w:color w:val="000000" w:themeColor="text1"/>
                <w:sz w:val="15"/>
                <w:szCs w:val="15"/>
              </w:rPr>
              <w:t xml:space="preserve"> &amp; Holland (2007)</w:t>
            </w:r>
          </w:p>
        </w:tc>
        <w:tc>
          <w:tcPr>
            <w:tcW w:w="1350" w:type="dxa"/>
          </w:tcPr>
          <w:p w14:paraId="64720775" w14:textId="77777777" w:rsidR="00681CDB" w:rsidRPr="00FF3F99" w:rsidRDefault="00681CDB" w:rsidP="005B0D26">
            <w:pPr>
              <w:ind w:left="0"/>
              <w:rPr>
                <w:color w:val="000000" w:themeColor="text1"/>
                <w:sz w:val="15"/>
                <w:szCs w:val="15"/>
              </w:rPr>
            </w:pPr>
            <w:r w:rsidRPr="00FF3F99">
              <w:rPr>
                <w:color w:val="000000" w:themeColor="text1"/>
                <w:sz w:val="15"/>
                <w:szCs w:val="15"/>
              </w:rPr>
              <w:t>Afghanistan</w:t>
            </w:r>
          </w:p>
        </w:tc>
        <w:tc>
          <w:tcPr>
            <w:tcW w:w="2252" w:type="dxa"/>
          </w:tcPr>
          <w:p w14:paraId="0594F9B6"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vAlign w:val="center"/>
          </w:tcPr>
          <w:p w14:paraId="3F3C654D"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0B071EEE" w14:textId="77777777" w:rsidR="00681CDB" w:rsidRPr="00FF3F99" w:rsidRDefault="00681CDB" w:rsidP="005B0D26">
            <w:pPr>
              <w:ind w:left="0"/>
              <w:jc w:val="center"/>
              <w:rPr>
                <w:color w:val="000000" w:themeColor="text1"/>
                <w:sz w:val="15"/>
                <w:szCs w:val="15"/>
              </w:rPr>
            </w:pPr>
          </w:p>
        </w:tc>
        <w:tc>
          <w:tcPr>
            <w:tcW w:w="1890" w:type="dxa"/>
            <w:vAlign w:val="center"/>
          </w:tcPr>
          <w:p w14:paraId="2B3A4FC7" w14:textId="77777777" w:rsidR="00681CDB" w:rsidRPr="00FF3F99" w:rsidRDefault="00681CDB" w:rsidP="005B0D26">
            <w:pPr>
              <w:ind w:left="0"/>
              <w:jc w:val="center"/>
              <w:rPr>
                <w:color w:val="000000" w:themeColor="text1"/>
                <w:sz w:val="15"/>
                <w:szCs w:val="15"/>
              </w:rPr>
            </w:pPr>
          </w:p>
        </w:tc>
        <w:tc>
          <w:tcPr>
            <w:tcW w:w="1800" w:type="dxa"/>
            <w:vAlign w:val="center"/>
          </w:tcPr>
          <w:p w14:paraId="77134B6C"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3A416F09" w14:textId="77777777" w:rsidR="00681CDB" w:rsidRPr="00FF3F99" w:rsidRDefault="00681CDB" w:rsidP="005B0D26">
            <w:pPr>
              <w:ind w:left="0"/>
              <w:jc w:val="center"/>
              <w:rPr>
                <w:color w:val="000000" w:themeColor="text1"/>
                <w:sz w:val="15"/>
                <w:szCs w:val="15"/>
              </w:rPr>
            </w:pPr>
          </w:p>
        </w:tc>
      </w:tr>
      <w:tr w:rsidR="00681CDB" w:rsidRPr="00E8387C" w14:paraId="57F4C8AD" w14:textId="77777777" w:rsidTr="005B0D26">
        <w:tc>
          <w:tcPr>
            <w:tcW w:w="537" w:type="dxa"/>
            <w:tcBorders>
              <w:left w:val="single" w:sz="4" w:space="0" w:color="auto"/>
            </w:tcBorders>
            <w:shd w:val="clear" w:color="auto" w:fill="D9D9D9" w:themeFill="background1" w:themeFillShade="D9"/>
            <w:vAlign w:val="center"/>
          </w:tcPr>
          <w:p w14:paraId="698321CE" w14:textId="230D435E"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{"citationItems":[{"id":"ITEM-1","itemData":{"DOI":"10.1186/s40795-015-0036-4","ISSN":"2055-0928","abstract":"Dietary mineral deficiencies are widespread globally causing a large disease burden. However, estimates of deficiency prevalence are often only available at national scales or for small population sub-groups with limited relevance for policy makers.","author":[{"dropping-particle":"","family":"Joy","given":"Edward J. M.","non-dropping-particle":"","parse-names":false,"suffix":""},{"dropping-particle":"","family":"Kumssa","given":"Diriba B.","non-dropping-particle":"","parse-names":false,"suffix":""},{"dropping-particle":"","family":"Broadley","given":"Martin R.","non-dropping-particle":"","parse-names":false,"suffix":""},{"dropping-particle":"","family":"Watts","given":"Michael J.","non-dropping-particle":"","parse-names":false,"suffix":""},{"dropping-particle":"","family":"Young","given":"Scott D.","non-dropping-particle":"","parse-names":false,"suffix":""},{"dropping-particle":"","family":"Chilimba","given":"Allan D. C.","non-dropping-particle":"","parse-names":false,"suffix":""},{"dropping-particle":"","family":"Ander","given":"E. Louise","non-dropping-particle":"","parse-names":false,"suffix":""}],"container-title":"BMC Nutrition","id":"ITEM-1","issued":{"date-parts":[["2015"]]},"page":"42","title":"Dietary mineral supplies in Malawi: spatial and socioeconomic assessment","type":"article-journal","volume":"1"},"uris":["http://www.mendeley.com/documents/?uuid=083096d8-d81b-445d-8ac7-f267b5ff4fce"]}],"mendeley":{"formattedCitation":"&lt;sup&gt;(36)&lt;/sup&gt;","plainTextFormattedCitation":"(36)","previouslyFormattedCitation":"[36]"},"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(36)</w:t>
            </w:r>
            <w:r w:rsidRPr="00FF3F99">
              <w:rPr>
                <w:color w:val="000000" w:themeColor="text1"/>
                <w:sz w:val="15"/>
                <w:szCs w:val="15"/>
              </w:rPr>
              <w:fldChar w:fldCharType="end"/>
            </w:r>
          </w:p>
        </w:tc>
        <w:tc>
          <w:tcPr>
            <w:tcW w:w="2066" w:type="dxa"/>
            <w:shd w:val="clear" w:color="auto" w:fill="D9D9D9" w:themeFill="background1" w:themeFillShade="D9"/>
            <w:vAlign w:val="center"/>
          </w:tcPr>
          <w:p w14:paraId="66B4CF73" w14:textId="77777777" w:rsidR="00681CDB" w:rsidRPr="00FF3F99" w:rsidRDefault="00681CDB" w:rsidP="005B0D26">
            <w:pPr>
              <w:ind w:left="0"/>
              <w:rPr>
                <w:color w:val="000000" w:themeColor="text1"/>
                <w:sz w:val="15"/>
                <w:szCs w:val="15"/>
              </w:rPr>
            </w:pPr>
            <w:r w:rsidRPr="00FF3F99">
              <w:rPr>
                <w:color w:val="000000" w:themeColor="text1"/>
                <w:sz w:val="15"/>
                <w:szCs w:val="15"/>
              </w:rPr>
              <w:t>Joy et al. (2015)</w:t>
            </w:r>
          </w:p>
        </w:tc>
        <w:tc>
          <w:tcPr>
            <w:tcW w:w="1350" w:type="dxa"/>
            <w:shd w:val="clear" w:color="auto" w:fill="D9D9D9" w:themeFill="background1" w:themeFillShade="D9"/>
          </w:tcPr>
          <w:p w14:paraId="41875308" w14:textId="77777777" w:rsidR="00681CDB" w:rsidRPr="00FF3F99" w:rsidRDefault="00681CDB" w:rsidP="005B0D26">
            <w:pPr>
              <w:ind w:left="0"/>
              <w:rPr>
                <w:color w:val="000000" w:themeColor="text1"/>
                <w:sz w:val="15"/>
                <w:szCs w:val="15"/>
              </w:rPr>
            </w:pPr>
            <w:r w:rsidRPr="00FF3F99">
              <w:rPr>
                <w:color w:val="000000" w:themeColor="text1"/>
                <w:sz w:val="15"/>
                <w:szCs w:val="15"/>
              </w:rPr>
              <w:t>Malawi</w:t>
            </w:r>
          </w:p>
        </w:tc>
        <w:tc>
          <w:tcPr>
            <w:tcW w:w="2252" w:type="dxa"/>
            <w:shd w:val="clear" w:color="auto" w:fill="D9D9D9" w:themeFill="background1" w:themeFillShade="D9"/>
          </w:tcPr>
          <w:p w14:paraId="7F893517"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shd w:val="clear" w:color="auto" w:fill="D9D9D9" w:themeFill="background1" w:themeFillShade="D9"/>
            <w:vAlign w:val="center"/>
          </w:tcPr>
          <w:p w14:paraId="4DC6B5BB"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5B36A2DF"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5A1319FB"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29D88B46"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7363D524" w14:textId="77777777" w:rsidR="00681CDB" w:rsidRPr="00FF3F99" w:rsidRDefault="00681CDB" w:rsidP="005B0D26">
            <w:pPr>
              <w:ind w:left="0"/>
              <w:jc w:val="center"/>
              <w:rPr>
                <w:color w:val="000000" w:themeColor="text1"/>
                <w:sz w:val="15"/>
                <w:szCs w:val="15"/>
              </w:rPr>
            </w:pPr>
          </w:p>
        </w:tc>
      </w:tr>
      <w:tr w:rsidR="00681CDB" w:rsidRPr="00E8387C" w14:paraId="0BE6BA6A" w14:textId="77777777" w:rsidTr="005B0D26">
        <w:tc>
          <w:tcPr>
            <w:tcW w:w="537" w:type="dxa"/>
            <w:tcBorders>
              <w:left w:val="single" w:sz="4" w:space="0" w:color="auto"/>
            </w:tcBorders>
            <w:vAlign w:val="center"/>
          </w:tcPr>
          <w:p w14:paraId="64C385C3" w14:textId="48495FD8"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{"citationItems":[{"id":"ITEM-1","itemData":{"ISBN":"9788578110796","ISSN":"1098-6596","abstract":"Ending extreme hunger requires interaction of both household and community level infrastructural investments. When communities and households are capital infrastructure constrained, effects of extreme events such as droughts can fetter consumption growth and food security. This paper assesses the impact of household shocks on daily per capita food consumption in Malawi. Secondly, the study assesses the impact of community level public infrastructural investment on household food security. The study uses fixed effects regression combined with propensity score matching techniques on a Malawian panel data collected between 2010 and 2016. The study uses three indicators for food security namely food consumption expenditure, the Berry Index of dietary variety and number of days a household went without food. To measure idiosyncratic and covariate shocks, self-reported survey and high-resolution weather station-based data used. To measure infrastructure, survey data, triangulated with remote sensed night time lights, were used to construct an infrastructure index. Results show that while a standard deviation deficit in the one to three-month interval drought reduces consumption by over 80%, access to infrastructure increased consumption by a factor of two during shocks.","author":[{"dropping-particle":"","family":"Kankwamba","given":"Henry","non-dropping-particle":"","parse-names":false,"suffix":""},{"dropping-particle":"","family":"Kornher","given":"Lukas","non-dropping-particle":"","parse-names":false,"suffix":""}],"container-title":"93rd Annual Conference of the Agricultural Economics Society","id":"ITEM-1","issued":{"date-parts":[["2019"]]},"publisher":"Agricultural Economics Society","publisher-place":"Coventry, UK","title":"Household shocks, infrastructural investments, food and nutrition security linkages in Malawi","type":"paper-conference"},"uris":["http://www.mendeley.com/documents/?uuid=cdeeab33-0d76-4105-93e6-e57428d5f4e9"]}],"mendeley":{"formattedCitation":"&lt;sup&gt;(37)&lt;/sup&gt;","plainTextFormattedCitation":"(37)","previouslyFormattedCitation":"[37]"},"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(37)</w:t>
            </w:r>
            <w:r w:rsidRPr="00FF3F99">
              <w:rPr>
                <w:color w:val="000000" w:themeColor="text1"/>
                <w:sz w:val="15"/>
                <w:szCs w:val="15"/>
              </w:rPr>
              <w:fldChar w:fldCharType="end"/>
            </w:r>
          </w:p>
        </w:tc>
        <w:tc>
          <w:tcPr>
            <w:tcW w:w="2066" w:type="dxa"/>
            <w:vAlign w:val="center"/>
          </w:tcPr>
          <w:p w14:paraId="3BEF7FC7"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Kankwamba</w:t>
            </w:r>
            <w:proofErr w:type="spellEnd"/>
            <w:r w:rsidRPr="00FF3F99">
              <w:rPr>
                <w:color w:val="000000" w:themeColor="text1"/>
                <w:sz w:val="15"/>
                <w:szCs w:val="15"/>
              </w:rPr>
              <w:t xml:space="preserve"> &amp; </w:t>
            </w:r>
            <w:proofErr w:type="spellStart"/>
            <w:r w:rsidRPr="00FF3F99">
              <w:rPr>
                <w:color w:val="000000" w:themeColor="text1"/>
                <w:sz w:val="15"/>
                <w:szCs w:val="15"/>
              </w:rPr>
              <w:t>Kornher</w:t>
            </w:r>
            <w:proofErr w:type="spellEnd"/>
            <w:r w:rsidRPr="00FF3F99">
              <w:rPr>
                <w:color w:val="000000" w:themeColor="text1"/>
                <w:sz w:val="15"/>
                <w:szCs w:val="15"/>
              </w:rPr>
              <w:t xml:space="preserve"> (2019)</w:t>
            </w:r>
          </w:p>
        </w:tc>
        <w:tc>
          <w:tcPr>
            <w:tcW w:w="1350" w:type="dxa"/>
          </w:tcPr>
          <w:p w14:paraId="6E05CB62" w14:textId="77777777" w:rsidR="00681CDB" w:rsidRPr="00FF3F99" w:rsidRDefault="00681CDB" w:rsidP="005B0D26">
            <w:pPr>
              <w:ind w:left="0"/>
              <w:rPr>
                <w:color w:val="000000" w:themeColor="text1"/>
                <w:sz w:val="15"/>
                <w:szCs w:val="15"/>
              </w:rPr>
            </w:pPr>
            <w:r w:rsidRPr="00FF3F99">
              <w:rPr>
                <w:color w:val="000000" w:themeColor="text1"/>
                <w:sz w:val="15"/>
                <w:szCs w:val="15"/>
              </w:rPr>
              <w:t>Malawi</w:t>
            </w:r>
          </w:p>
        </w:tc>
        <w:tc>
          <w:tcPr>
            <w:tcW w:w="2252" w:type="dxa"/>
          </w:tcPr>
          <w:p w14:paraId="6F58637D"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vAlign w:val="center"/>
          </w:tcPr>
          <w:p w14:paraId="2CED9A0A"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323B2D34" w14:textId="77777777" w:rsidR="00681CDB" w:rsidRPr="00FF3F99" w:rsidRDefault="00681CDB" w:rsidP="005B0D26">
            <w:pPr>
              <w:ind w:left="0"/>
              <w:jc w:val="center"/>
              <w:rPr>
                <w:color w:val="000000" w:themeColor="text1"/>
                <w:sz w:val="15"/>
                <w:szCs w:val="15"/>
              </w:rPr>
            </w:pPr>
          </w:p>
        </w:tc>
        <w:tc>
          <w:tcPr>
            <w:tcW w:w="1890" w:type="dxa"/>
            <w:vAlign w:val="center"/>
          </w:tcPr>
          <w:p w14:paraId="2341E6E1" w14:textId="77777777" w:rsidR="00681CDB" w:rsidRPr="00FF3F99" w:rsidRDefault="00681CDB" w:rsidP="005B0D26">
            <w:pPr>
              <w:ind w:left="0"/>
              <w:jc w:val="center"/>
              <w:rPr>
                <w:color w:val="000000" w:themeColor="text1"/>
                <w:sz w:val="15"/>
                <w:szCs w:val="15"/>
              </w:rPr>
            </w:pPr>
          </w:p>
        </w:tc>
        <w:tc>
          <w:tcPr>
            <w:tcW w:w="1800" w:type="dxa"/>
            <w:vAlign w:val="center"/>
          </w:tcPr>
          <w:p w14:paraId="3243080D"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5098AB0C" w14:textId="77777777" w:rsidR="00681CDB" w:rsidRPr="00FF3F99" w:rsidRDefault="00681CDB" w:rsidP="005B0D26">
            <w:pPr>
              <w:ind w:left="0"/>
              <w:jc w:val="center"/>
              <w:rPr>
                <w:color w:val="000000" w:themeColor="text1"/>
                <w:sz w:val="15"/>
                <w:szCs w:val="15"/>
              </w:rPr>
            </w:pPr>
          </w:p>
        </w:tc>
      </w:tr>
      <w:tr w:rsidR="00681CDB" w:rsidRPr="00E8387C" w14:paraId="18E69F26" w14:textId="77777777" w:rsidTr="005B0D26">
        <w:tc>
          <w:tcPr>
            <w:tcW w:w="537" w:type="dxa"/>
            <w:tcBorders>
              <w:left w:val="single" w:sz="4" w:space="0" w:color="auto"/>
            </w:tcBorders>
            <w:shd w:val="clear" w:color="auto" w:fill="D9D9D9" w:themeFill="background1" w:themeFillShade="D9"/>
            <w:vAlign w:val="center"/>
          </w:tcPr>
          <w:p w14:paraId="2D8A19D3" w14:textId="19AAB27F"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{"citationItems":[{"id":"ITEM-1","itemData":{"DOI":"10.1371/journal.pone.0202831","ISSN":"19326203","PMID":"30148863","abstract":"Background Accurate national information on dietary intakes, including heterogeneity among individuals, is critical to inform health implications and policy priorities. In low- and middle-income countries, household expenditure surveys constitute the major source of food data, but with uncertain validity for individual-level intakes. Objective To investigate how individualized dietary consumption estimated from household survey data compared with individual-level 24-hr dietary recalls (24hR); and to assess potential heterogeneity by method for individualizing household intakes, dietary indicator, and individual characteristics (age, sex, education, religion, household income). Methods We evaluated data from the 2011–2012 Bangladesh Household Integrated Survey (BIHS), which included household-level consumption data (5,503 households) and individual-level dietary data based on 24hR from these households (22,173 participants). Household and 24hR estimates were standardized and harmonized for 33 dietary indicators, including 9 food groups, total energy, 8 macronutrients, and 15 micronutrients. Individual consumption was estimated from household data using two approaches, the Adult Male Equivalent (AME) and per capita (PC) approach. For each dietary indicator, differences in household vs. individual mean estimates were evaluated overall and by strata of individual characteristics, using Spearman’s correlations and univariate and multivariate linear regression models. Results Individualized household estimates overestimated individual intakes from 24hR for all dietary factors using either estimation method (P&lt;0.001 for each), except for starchy vegetables (AME: P = 0.15; PC: P = 0.85). For foods, overestimation ranged from 4% for seafood to about 240% for fruits, and for nutrients from 11% for carbohydrates and polyunsaturated fats to 55% for vitamin C, with similar overestimation for the AME and the PC method. By strata, overestimation was modestly higher in men vs. women, in children (0-10y) vs. adolescents (11-19y) and adults (20-44y, 45y), among adults of higher (6y) vs. lower (&lt;6y) education, in Muslims vs. other religions (Christians, Hindus), and for the lowest vs. all other income groups. This overestimation was notably higher in young children (0-5y) vs. all other age groups and in the lowest vs. all other income groups. Underestimation was rarely observed, for example for milk intake (-56%) in young children (0-5y). The PC approach did not capture h…","author":[{"dropping-particle":"","family":"Karageorgou","given":"Dimitra","non-dropping-particle":"","parse-names":false,"suffix":""},{"dropping-particle":"","family":"Imamura","given":"Fumiaki","non-dropping-particle":"","parse-names":false,"suffix":""},{"dropping-particle":"","family":"Zhang","given":"Jianyi","non-dropping-particle":"","parse-names":false,"suffix":""},{"dropping-particle":"","family":"Shi","given":"Peilin","non-dropping-particle":"","parse-names":false,"suffix":""},{"dropping-particle":"","family":"Mozaffarian","given":"Dariush","non-dropping-particle":"","parse-names":false,"suffix":""},{"dropping-particle":"","family":"Micha","given":"Renata","non-dropping-particle":"","parse-names":false,"suffix":""}],"container-title":"PLoS ONE","id":"ITEM-1","issue":"8","issued":{"date-parts":[["2018"]]},"page":"e0202831","title":"Assessing dietary intakes from household budget surveys: A national analysis in Bangladesh","type":"article-journal","volume":"13"},"uris":["http://www.mendeley.com/documents/?uuid=96cd3f0b-0820-470e-b1cc-7eee30fa5259"]}],"mendeley":{"formattedCitation":"&lt;sup&gt;(38)&lt;/sup&gt;","plainTextFormattedCitation":"(38)","previouslyFormattedCitation":"[38]"},"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(38)</w:t>
            </w:r>
            <w:r w:rsidRPr="00FF3F99">
              <w:rPr>
                <w:color w:val="000000" w:themeColor="text1"/>
                <w:sz w:val="15"/>
                <w:szCs w:val="15"/>
              </w:rPr>
              <w:fldChar w:fldCharType="end"/>
            </w:r>
          </w:p>
        </w:tc>
        <w:tc>
          <w:tcPr>
            <w:tcW w:w="2066" w:type="dxa"/>
            <w:shd w:val="clear" w:color="auto" w:fill="D9D9D9" w:themeFill="background1" w:themeFillShade="D9"/>
            <w:vAlign w:val="center"/>
          </w:tcPr>
          <w:p w14:paraId="260D78AA"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Karageorgou</w:t>
            </w:r>
            <w:proofErr w:type="spellEnd"/>
            <w:r w:rsidRPr="00FF3F99">
              <w:rPr>
                <w:color w:val="000000" w:themeColor="text1"/>
                <w:sz w:val="15"/>
                <w:szCs w:val="15"/>
              </w:rPr>
              <w:t xml:space="preserve"> et al. (2018)</w:t>
            </w:r>
          </w:p>
        </w:tc>
        <w:tc>
          <w:tcPr>
            <w:tcW w:w="1350" w:type="dxa"/>
            <w:shd w:val="clear" w:color="auto" w:fill="D9D9D9" w:themeFill="background1" w:themeFillShade="D9"/>
            <w:vAlign w:val="center"/>
          </w:tcPr>
          <w:p w14:paraId="6DDAD065"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2252" w:type="dxa"/>
            <w:shd w:val="clear" w:color="auto" w:fill="D9D9D9" w:themeFill="background1" w:themeFillShade="D9"/>
            <w:vAlign w:val="center"/>
          </w:tcPr>
          <w:p w14:paraId="7E79AD32"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shd w:val="clear" w:color="auto" w:fill="D9D9D9" w:themeFill="background1" w:themeFillShade="D9"/>
            <w:vAlign w:val="center"/>
          </w:tcPr>
          <w:p w14:paraId="1CF656C5"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316B83EE"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X</w:t>
            </w:r>
          </w:p>
        </w:tc>
        <w:tc>
          <w:tcPr>
            <w:tcW w:w="1890" w:type="dxa"/>
            <w:shd w:val="clear" w:color="auto" w:fill="D9D9D9" w:themeFill="background1" w:themeFillShade="D9"/>
            <w:vAlign w:val="center"/>
          </w:tcPr>
          <w:p w14:paraId="04B11C6E"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Single-pass 24-hour individual recall</w:t>
            </w:r>
          </w:p>
        </w:tc>
        <w:tc>
          <w:tcPr>
            <w:tcW w:w="1800" w:type="dxa"/>
            <w:shd w:val="clear" w:color="auto" w:fill="D9D9D9" w:themeFill="background1" w:themeFillShade="D9"/>
            <w:vAlign w:val="center"/>
          </w:tcPr>
          <w:p w14:paraId="199C48B5"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Individuals of households from HCES sample</w:t>
            </w:r>
          </w:p>
        </w:tc>
        <w:tc>
          <w:tcPr>
            <w:tcW w:w="1440" w:type="dxa"/>
            <w:tcBorders>
              <w:right w:val="single" w:sz="4" w:space="0" w:color="auto"/>
            </w:tcBorders>
            <w:shd w:val="clear" w:color="auto" w:fill="D9D9D9" w:themeFill="background1" w:themeFillShade="D9"/>
          </w:tcPr>
          <w:p w14:paraId="1B9E09B1" w14:textId="67606BD2" w:rsidR="00681CDB" w:rsidRPr="00FF3F99" w:rsidRDefault="00681CDB" w:rsidP="005B0D26">
            <w:pPr>
              <w:ind w:left="0"/>
              <w:jc w:val="center"/>
              <w:rPr>
                <w:color w:val="000000" w:themeColor="text1"/>
                <w:sz w:val="15"/>
                <w:szCs w:val="15"/>
              </w:rPr>
            </w:pPr>
            <w:r w:rsidRPr="00FF3F99">
              <w:rPr>
                <w:color w:val="000000" w:themeColor="text1"/>
                <w:sz w:val="15"/>
                <w:szCs w:val="15"/>
              </w:rPr>
              <w:t xml:space="preserve">All household </w:t>
            </w:r>
            <w:r w:rsidR="00FF3F99" w:rsidRPr="00FF3F99">
              <w:rPr>
                <w:color w:val="000000" w:themeColor="text1"/>
                <w:sz w:val="15"/>
                <w:szCs w:val="15"/>
              </w:rPr>
              <w:t>members</w:t>
            </w:r>
          </w:p>
        </w:tc>
      </w:tr>
      <w:tr w:rsidR="00681CDB" w:rsidRPr="00E8387C" w14:paraId="0B5541FC" w14:textId="77777777" w:rsidTr="005B0D26">
        <w:tc>
          <w:tcPr>
            <w:tcW w:w="537" w:type="dxa"/>
            <w:tcBorders>
              <w:left w:val="single" w:sz="4" w:space="0" w:color="auto"/>
            </w:tcBorders>
            <w:vAlign w:val="center"/>
          </w:tcPr>
          <w:p w14:paraId="62743218" w14:textId="45D93635"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{"citationItems":[{"id":"ITEM-1","itemData":{"DOI":"10.1016/j.foodpol.2015.04.007","ISSN":"03069192","abstract":"Introduction: Biofortification is the breeding of new varieties of staple foods for increased micronutrient content. It is seen primarily as a complementary, rural-targeted strategy for better reaching remote populations. This paper presents an ex ante analysis of HarvestPlus' provitamin A maize (PVAM) in Zambia and highlights an empirical approach based on the Zambian 2005/06 Living Conditions Monitoring Survey (LCMS). Because more than 115 countries regularly conduct a Household Consumption and Expenditure Survey (HCES), the approach developed in this LCMS-based study can be applied in many other countries to analyze varietal adoption and conduct ex ante studies. Methods: Data from the LCMS and health statistics were used to characterize baseline indicators of vitamin A intake and Disability Adjusted Life Years (DALYs) lost. The introduction and scaling up of PVAM was modeled based on program plans, expert opinion and data on key adoption parameters. An adoption function was specified and expressed in terms of the percent of farmers expected to adopt PVAM over the next 30. years. A logistic regression adoption function was estimated and used to identify the specific LCMS households adopting, producing and consuming PVAM each year. Information from the IFPRI International Model for Policy Analysis of Agricultural Commodities and Trade (IMPACT) of yearly maize production and demand were used to produce annual estimates of PVAM planted, harvested and consumed. Taking into account an LCMS-empirically-informed, specified market structure, individuals' additional vitamin A intake was calculated. The number of DALYs saved were estimated using the change in vitamin A intake. Combining these estimates with cost data, the cost-effectiveness of PVAM was calculated. Results: Assuming an adoption ceiling of 20% over 30. years, implementation of PVAM will result in average additional intake of 12% of the Estimated Average Requirement (EAR), a 3 percentage point reduction in the prevalence of inadequate intake, and savings of 23% of total DALYs. Impacts are concentrated among farming households that have adopted PVAM and consume it from their own production. Their consumption will result in an average additional vitamin A intake of 172. μg/day, more than 3 times the additional 54. μg/day among the entire population. Among this group, the reduction in the prevalence of inadequate intake will be more than 5 times the national average (17.5 percentage points). Valuing …","author":[{"dropping-particle":"","family":"Lividini","given":"Keith","non-dropping-particle":"","parse-names":false,"suffix":""},{"dropping-particle":"","family":"Fiedler","given":"John L.","non-dropping-particle":"","parse-names":false,"suffix":""}],"container-title":"Food Policy","id":"ITEM-1","issued":{"date-parts":[["2015"]]},"page":"65-77","title":"Assessing the promise of biofortification: A case study of high provitamin A maize in Zambia","type":"article-journal","volume":"54"},"uris":["http://www.mendeley.com/documents/?uuid=8be18ef3-5a88-4b99-aa10-e7a2c0a57cbc"]}],"mendeley":{"formattedCitation":"&lt;sup&gt;(39)&lt;/sup&gt;","plainTextFormattedCitation":"(39)","previouslyFormattedCitation":"[39]"},"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(39)</w:t>
            </w:r>
            <w:r w:rsidRPr="00FF3F99">
              <w:rPr>
                <w:color w:val="000000" w:themeColor="text1"/>
                <w:sz w:val="15"/>
                <w:szCs w:val="15"/>
              </w:rPr>
              <w:fldChar w:fldCharType="end"/>
            </w:r>
          </w:p>
        </w:tc>
        <w:tc>
          <w:tcPr>
            <w:tcW w:w="2066" w:type="dxa"/>
            <w:vAlign w:val="center"/>
          </w:tcPr>
          <w:p w14:paraId="1EB2B2E4"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Lividini</w:t>
            </w:r>
            <w:proofErr w:type="spellEnd"/>
            <w:r w:rsidRPr="00FF3F99">
              <w:rPr>
                <w:color w:val="000000" w:themeColor="text1"/>
                <w:sz w:val="15"/>
                <w:szCs w:val="15"/>
              </w:rPr>
              <w:t xml:space="preserve"> &amp; Fiedler (2015)</w:t>
            </w:r>
          </w:p>
        </w:tc>
        <w:tc>
          <w:tcPr>
            <w:tcW w:w="1350" w:type="dxa"/>
          </w:tcPr>
          <w:p w14:paraId="48858515" w14:textId="77777777" w:rsidR="00681CDB" w:rsidRPr="00FF3F99" w:rsidRDefault="00681CDB" w:rsidP="005B0D26">
            <w:pPr>
              <w:ind w:left="0"/>
              <w:rPr>
                <w:color w:val="000000" w:themeColor="text1"/>
                <w:sz w:val="15"/>
                <w:szCs w:val="15"/>
              </w:rPr>
            </w:pPr>
            <w:r w:rsidRPr="00FF3F99">
              <w:rPr>
                <w:color w:val="000000" w:themeColor="text1"/>
                <w:sz w:val="15"/>
                <w:szCs w:val="15"/>
              </w:rPr>
              <w:t>Zambia</w:t>
            </w:r>
          </w:p>
        </w:tc>
        <w:tc>
          <w:tcPr>
            <w:tcW w:w="2252" w:type="dxa"/>
          </w:tcPr>
          <w:p w14:paraId="454F4F92" w14:textId="77777777" w:rsidR="00681CDB" w:rsidRPr="00FF3F99" w:rsidRDefault="00681CDB" w:rsidP="005B0D26">
            <w:pPr>
              <w:ind w:left="0"/>
              <w:rPr>
                <w:color w:val="000000" w:themeColor="text1"/>
                <w:sz w:val="15"/>
                <w:szCs w:val="15"/>
              </w:rPr>
            </w:pPr>
            <w:r w:rsidRPr="00FF3F99">
              <w:rPr>
                <w:color w:val="000000" w:themeColor="text1"/>
                <w:sz w:val="15"/>
                <w:szCs w:val="15"/>
              </w:rPr>
              <w:t>Acquisition recall</w:t>
            </w:r>
          </w:p>
        </w:tc>
        <w:tc>
          <w:tcPr>
            <w:tcW w:w="1350" w:type="dxa"/>
            <w:vAlign w:val="center"/>
          </w:tcPr>
          <w:p w14:paraId="0EAC5ED2"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14 days</w:t>
            </w:r>
          </w:p>
        </w:tc>
        <w:tc>
          <w:tcPr>
            <w:tcW w:w="1260" w:type="dxa"/>
            <w:vAlign w:val="center"/>
          </w:tcPr>
          <w:p w14:paraId="05BE5C69" w14:textId="77777777" w:rsidR="00681CDB" w:rsidRPr="00FF3F99" w:rsidRDefault="00681CDB" w:rsidP="005B0D26">
            <w:pPr>
              <w:ind w:left="0"/>
              <w:jc w:val="center"/>
              <w:rPr>
                <w:color w:val="000000" w:themeColor="text1"/>
                <w:sz w:val="15"/>
                <w:szCs w:val="15"/>
              </w:rPr>
            </w:pPr>
          </w:p>
        </w:tc>
        <w:tc>
          <w:tcPr>
            <w:tcW w:w="1890" w:type="dxa"/>
            <w:vAlign w:val="center"/>
          </w:tcPr>
          <w:p w14:paraId="72EBCB82" w14:textId="77777777" w:rsidR="00681CDB" w:rsidRPr="00FF3F99" w:rsidRDefault="00681CDB" w:rsidP="005B0D26">
            <w:pPr>
              <w:ind w:left="0"/>
              <w:jc w:val="center"/>
              <w:rPr>
                <w:color w:val="000000" w:themeColor="text1"/>
                <w:sz w:val="15"/>
                <w:szCs w:val="15"/>
              </w:rPr>
            </w:pPr>
          </w:p>
        </w:tc>
        <w:tc>
          <w:tcPr>
            <w:tcW w:w="1800" w:type="dxa"/>
            <w:vAlign w:val="center"/>
          </w:tcPr>
          <w:p w14:paraId="5AEB303D"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0BA6714D" w14:textId="77777777" w:rsidR="00681CDB" w:rsidRPr="00FF3F99" w:rsidRDefault="00681CDB" w:rsidP="005B0D26">
            <w:pPr>
              <w:ind w:left="0"/>
              <w:jc w:val="center"/>
              <w:rPr>
                <w:color w:val="000000" w:themeColor="text1"/>
                <w:sz w:val="15"/>
                <w:szCs w:val="15"/>
              </w:rPr>
            </w:pPr>
          </w:p>
        </w:tc>
      </w:tr>
      <w:tr w:rsidR="00681CDB" w:rsidRPr="00E8387C" w14:paraId="24B43920" w14:textId="77777777" w:rsidTr="005B0D26">
        <w:tc>
          <w:tcPr>
            <w:tcW w:w="537" w:type="dxa"/>
            <w:tcBorders>
              <w:left w:val="single" w:sz="4" w:space="0" w:color="auto"/>
            </w:tcBorders>
            <w:shd w:val="clear" w:color="auto" w:fill="D9D9D9" w:themeFill="background1" w:themeFillShade="D9"/>
            <w:vAlign w:val="center"/>
          </w:tcPr>
          <w:p w14:paraId="60D11E10" w14:textId="7524529B"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{"citationItems":[{"id":"ITEM-1","itemData":{"DOI":"10.1177/156482651303400414","ISSN":"03795721","abstract":"Background. Observed-Weighed Food Record Surveys (OWFR) are regarded as the most precise dietary assessment methodology, despite their recognized shortcomings, which include limited availability, high cost, small samples with uncertain external validity that rarely include all household members, Hawthorne effects, and using only 1 or 2 days to identify \"usual intake.\" Although Household Consumption and Expenditures Surveys (HCES) also have significant limitations, they are increasingly being used to inform nutrition policy. Objective. To investigate differences in fortification simulations based on OWFR and HCES from Bangladesh. Methods. The pre- and postfortification nutrient intake levels from the two surveys were compared. Results. The total population-based rank orderings of oil, wheat flour, and sugar coverage were identical for the two surveys. OWFR found differences in women's and children's coverage rates and average quantities consumed for all three foods that were not detected by HCES. Guided by the Food Fortification Formulator, we found that these differences did not result in differences in recommended fortification levels. Differences were found, however, in estimated impacts: although both surveys found that oil would be effective in reducing the prevalence of inadequate vitamin A intake among both subpopulations, only OWFR also found that sugar and wheat flour fortification would significantly reduce inadequate vitamin A intake among children. Conclusions. Despite the less precise measure of food consumption from HCES, the two surveys provide similar guidance for designing a fortification program. The external validity of these findings is limited. With relatively minor modifications, the precision of HCES in dietary assessment and the use of HCES in fortification programming could be strengthened. © 2013, The Nevin Scrimshaw International Nutrition Foundation.","author":[{"dropping-particle":"","family":"Lividini","given":"Keith","non-dropping-particle":"","parse-names":false,"suffix":""},{"dropping-particle":"","family":"Fiedler","given":"John L.","non-dropping-particle":"","parse-names":false,"suffix":""},{"dropping-particle":"","family":"Bermudez","given":"Odilia I.","non-dropping-particle":"","parse-names":false,"suffix":""}],"container-title":"Food and Nutrition Bulletin","id":"ITEM-1","issue":"4","issued":{"date-parts":[["2013"]]},"page":"520-32","title":"Policy implications of using a Household Consumption and Expenditures Survey versus an Observed-Weighed Food Record Survey to design a food fortification program","type":"article-journal","volume":"34"},"uris":["http://www.mendeley.com/documents/?uuid=b4a07d97-8051-4aac-aa55-9362929debad"]}],"mendeley":{"formattedCitation":"&lt;sup&gt;(40)&lt;/sup&gt;","plainTextFormattedCitation":"(40)","previouslyFormattedCitation":"[40]"},"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(40)</w:t>
            </w:r>
            <w:r w:rsidRPr="00FF3F99">
              <w:rPr>
                <w:color w:val="000000" w:themeColor="text1"/>
                <w:sz w:val="15"/>
                <w:szCs w:val="15"/>
              </w:rPr>
              <w:fldChar w:fldCharType="end"/>
            </w:r>
          </w:p>
        </w:tc>
        <w:tc>
          <w:tcPr>
            <w:tcW w:w="2066" w:type="dxa"/>
            <w:shd w:val="clear" w:color="auto" w:fill="D9D9D9" w:themeFill="background1" w:themeFillShade="D9"/>
            <w:vAlign w:val="center"/>
          </w:tcPr>
          <w:p w14:paraId="517B2A85"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Lividini</w:t>
            </w:r>
            <w:proofErr w:type="spellEnd"/>
            <w:r w:rsidRPr="00FF3F99">
              <w:rPr>
                <w:color w:val="000000" w:themeColor="text1"/>
                <w:sz w:val="15"/>
                <w:szCs w:val="15"/>
              </w:rPr>
              <w:t xml:space="preserve"> et al. (2013)</w:t>
            </w:r>
          </w:p>
        </w:tc>
        <w:tc>
          <w:tcPr>
            <w:tcW w:w="1350" w:type="dxa"/>
            <w:shd w:val="clear" w:color="auto" w:fill="D9D9D9" w:themeFill="background1" w:themeFillShade="D9"/>
            <w:vAlign w:val="center"/>
          </w:tcPr>
          <w:p w14:paraId="7D1B20EE"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2252" w:type="dxa"/>
            <w:shd w:val="clear" w:color="auto" w:fill="D9D9D9" w:themeFill="background1" w:themeFillShade="D9"/>
            <w:vAlign w:val="center"/>
          </w:tcPr>
          <w:p w14:paraId="14CB4AE4"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shd w:val="clear" w:color="auto" w:fill="D9D9D9" w:themeFill="background1" w:themeFillShade="D9"/>
            <w:vAlign w:val="center"/>
          </w:tcPr>
          <w:p w14:paraId="5604CD31"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14 days</w:t>
            </w:r>
          </w:p>
        </w:tc>
        <w:tc>
          <w:tcPr>
            <w:tcW w:w="1260" w:type="dxa"/>
            <w:shd w:val="clear" w:color="auto" w:fill="D9D9D9" w:themeFill="background1" w:themeFillShade="D9"/>
            <w:vAlign w:val="center"/>
          </w:tcPr>
          <w:p w14:paraId="1140ABC4"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X</w:t>
            </w:r>
          </w:p>
        </w:tc>
        <w:tc>
          <w:tcPr>
            <w:tcW w:w="1890" w:type="dxa"/>
            <w:shd w:val="clear" w:color="auto" w:fill="D9D9D9" w:themeFill="background1" w:themeFillShade="D9"/>
            <w:vAlign w:val="center"/>
          </w:tcPr>
          <w:p w14:paraId="790A454F"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2-day observed-weighed food records</w:t>
            </w:r>
          </w:p>
        </w:tc>
        <w:tc>
          <w:tcPr>
            <w:tcW w:w="1800" w:type="dxa"/>
            <w:shd w:val="clear" w:color="auto" w:fill="D9D9D9" w:themeFill="background1" w:themeFillShade="D9"/>
            <w:vAlign w:val="center"/>
          </w:tcPr>
          <w:p w14:paraId="1A11D001"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Individuals of households from HCES sample</w:t>
            </w:r>
          </w:p>
        </w:tc>
        <w:tc>
          <w:tcPr>
            <w:tcW w:w="1440" w:type="dxa"/>
            <w:tcBorders>
              <w:right w:val="single" w:sz="4" w:space="0" w:color="auto"/>
            </w:tcBorders>
            <w:shd w:val="clear" w:color="auto" w:fill="D9D9D9" w:themeFill="background1" w:themeFillShade="D9"/>
            <w:vAlign w:val="center"/>
          </w:tcPr>
          <w:p w14:paraId="386563D8"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Children &lt;5 years old &amp; women</w:t>
            </w:r>
          </w:p>
        </w:tc>
      </w:tr>
      <w:tr w:rsidR="00681CDB" w:rsidRPr="00E8387C" w14:paraId="1E43FA24" w14:textId="77777777" w:rsidTr="005B0D26">
        <w:tc>
          <w:tcPr>
            <w:tcW w:w="537" w:type="dxa"/>
            <w:tcBorders>
              <w:left w:val="single" w:sz="4" w:space="0" w:color="auto"/>
            </w:tcBorders>
            <w:vAlign w:val="center"/>
          </w:tcPr>
          <w:p w14:paraId="31004A6E" w14:textId="7941E213"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{"citationItems":[{"id":"ITEM-1","itemData":{"abstract":"Ce document s’appuie sur deux séries de données sur le budget des ménages (2005 et 2012) pour présenter une proposition d’analyse intégrée des changements les plus récents en matière de bien-être et de pauvreté en République Démocratique du Congo (RDC). Confronté à divers défis méthodologiques, il aborde quatre points pour améliorer la comparabilité du bienêtre et de la pauvreté dans le temps et l’espace. Sa caractéristique la plus saillante est le degré élevé de précision spatiale, qui permet de mieux saisir la variation des conditions de vie et des opportunités économiques en RDC. Comparée aux statistiques officielles, cette approche donne une perspective complètement différente de la pauvreté, tant en termes de niveaux qu’en termes de tendances. Les nouvelles estimations sont également triangulées avec les changements en termes de sous-nutrition. En utilisant l’indicateur de consommation généré par cette approche, on constate que la croissance au niveau des ménages urbains a été en moyenne légèrement positive et favorable aux couches plus pauvres, alors qu’elle a été négative et proriche pour leurs correspondants ruraux. L’effet combiné de ces tendances opposées de bien-être est une réduction mineure de la pauvreté dans les villes congolaises et son augmentation dans le milieu rural. Il existe cependant d’importantes différences régionales que nous classons en quatre tendances de bien-être. Compte tenu des différences entre notre analyse et les statistiques officielles, des travaux supplémentaires sont nécessaires pour vérifier la méthodologie proposée, la robustesse des résultats ainsi que le profil de pauvreté qui en résulte.","author":[{"dropping-particle":"","family":"Marivoet","given":"Wim","non-dropping-particle":"","parse-names":false,"suffix":""},{"dropping-particle":"","family":"Herdt","given":"Tom","non-dropping-particle":"De","parse-names":false,"suffix":""},{"dropping-particle":"","family":"Ulimwengu","given":"John","non-dropping-particle":"","parse-names":false,"suffix":""}],"container-title":"University of Antwerp- Institute of Development Policy Working Paper","id":"ITEM-1","issued":{"date-parts":[["2018"]]},"publisher-place":"Antwerp, Belgium","title":"Eviter les écueils statistiques de la RDC – nouvelles estimations sur les tendances du bien-être et de la pauvreté (2005-2012) selon une approche de désagrégation spatiale","type":"report"},"uris":["http://www.mendeley.com/documents/?uuid=bfb54548-8dad-4cf5-8e0f-27ec8d1d9951"]}],"mendeley":{"formattedCitation":"&lt;sup&gt;(41)&lt;/sup&gt;","plainTextFormattedCitation":"(41)","previouslyFormattedCitation":"[41]"},"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(41)</w:t>
            </w:r>
            <w:r w:rsidRPr="00FF3F99">
              <w:rPr>
                <w:color w:val="000000" w:themeColor="text1"/>
                <w:sz w:val="15"/>
                <w:szCs w:val="15"/>
              </w:rPr>
              <w:fldChar w:fldCharType="end"/>
            </w:r>
          </w:p>
        </w:tc>
        <w:tc>
          <w:tcPr>
            <w:tcW w:w="2066" w:type="dxa"/>
            <w:vAlign w:val="center"/>
          </w:tcPr>
          <w:p w14:paraId="73343493"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Marivoet</w:t>
            </w:r>
            <w:proofErr w:type="spellEnd"/>
            <w:r w:rsidRPr="00FF3F99">
              <w:rPr>
                <w:color w:val="000000" w:themeColor="text1"/>
                <w:sz w:val="15"/>
                <w:szCs w:val="15"/>
              </w:rPr>
              <w:t xml:space="preserve"> et al. (2018)</w:t>
            </w:r>
          </w:p>
        </w:tc>
        <w:tc>
          <w:tcPr>
            <w:tcW w:w="1350" w:type="dxa"/>
            <w:vAlign w:val="center"/>
          </w:tcPr>
          <w:p w14:paraId="34D1EAB5" w14:textId="77777777" w:rsidR="00681CDB" w:rsidRPr="00FF3F99" w:rsidRDefault="00681CDB" w:rsidP="005B0D26">
            <w:pPr>
              <w:ind w:left="0"/>
              <w:rPr>
                <w:color w:val="000000" w:themeColor="text1"/>
                <w:sz w:val="15"/>
                <w:szCs w:val="15"/>
              </w:rPr>
            </w:pPr>
            <w:r w:rsidRPr="00FF3F99">
              <w:rPr>
                <w:color w:val="000000" w:themeColor="text1"/>
                <w:sz w:val="15"/>
                <w:szCs w:val="15"/>
              </w:rPr>
              <w:t>Dem. Rep. of the Congo</w:t>
            </w:r>
          </w:p>
        </w:tc>
        <w:tc>
          <w:tcPr>
            <w:tcW w:w="2252" w:type="dxa"/>
            <w:vAlign w:val="center"/>
          </w:tcPr>
          <w:p w14:paraId="7425EC9B" w14:textId="77777777" w:rsidR="00681CDB" w:rsidRPr="00FF3F99" w:rsidRDefault="00681CDB" w:rsidP="005B0D26">
            <w:pPr>
              <w:ind w:left="0"/>
              <w:rPr>
                <w:color w:val="000000" w:themeColor="text1"/>
                <w:sz w:val="15"/>
                <w:szCs w:val="15"/>
              </w:rPr>
            </w:pPr>
            <w:r w:rsidRPr="00FF3F99">
              <w:rPr>
                <w:color w:val="000000" w:themeColor="text1"/>
                <w:sz w:val="15"/>
                <w:szCs w:val="15"/>
              </w:rPr>
              <w:t>Acquisition &amp; expenditure recall</w:t>
            </w:r>
          </w:p>
        </w:tc>
        <w:tc>
          <w:tcPr>
            <w:tcW w:w="1350" w:type="dxa"/>
            <w:vAlign w:val="center"/>
          </w:tcPr>
          <w:p w14:paraId="6DF2E1C1"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15 days &amp; 6 to 12 months</w:t>
            </w:r>
          </w:p>
        </w:tc>
        <w:tc>
          <w:tcPr>
            <w:tcW w:w="1260" w:type="dxa"/>
            <w:vAlign w:val="center"/>
          </w:tcPr>
          <w:p w14:paraId="19CB953D" w14:textId="77777777" w:rsidR="00681CDB" w:rsidRPr="00FF3F99" w:rsidRDefault="00681CDB" w:rsidP="005B0D26">
            <w:pPr>
              <w:ind w:left="0"/>
              <w:jc w:val="center"/>
              <w:rPr>
                <w:color w:val="000000" w:themeColor="text1"/>
                <w:sz w:val="15"/>
                <w:szCs w:val="15"/>
              </w:rPr>
            </w:pPr>
          </w:p>
        </w:tc>
        <w:tc>
          <w:tcPr>
            <w:tcW w:w="1890" w:type="dxa"/>
            <w:vAlign w:val="center"/>
          </w:tcPr>
          <w:p w14:paraId="3228FCD5" w14:textId="77777777" w:rsidR="00681CDB" w:rsidRPr="00FF3F99" w:rsidRDefault="00681CDB" w:rsidP="005B0D26">
            <w:pPr>
              <w:ind w:left="0"/>
              <w:jc w:val="center"/>
              <w:rPr>
                <w:color w:val="000000" w:themeColor="text1"/>
                <w:sz w:val="15"/>
                <w:szCs w:val="15"/>
              </w:rPr>
            </w:pPr>
          </w:p>
        </w:tc>
        <w:tc>
          <w:tcPr>
            <w:tcW w:w="1800" w:type="dxa"/>
            <w:vAlign w:val="center"/>
          </w:tcPr>
          <w:p w14:paraId="69784FA4"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479445BB" w14:textId="77777777" w:rsidR="00681CDB" w:rsidRPr="00FF3F99" w:rsidRDefault="00681CDB" w:rsidP="005B0D26">
            <w:pPr>
              <w:ind w:left="0"/>
              <w:jc w:val="center"/>
              <w:rPr>
                <w:color w:val="000000" w:themeColor="text1"/>
                <w:sz w:val="15"/>
                <w:szCs w:val="15"/>
              </w:rPr>
            </w:pPr>
          </w:p>
        </w:tc>
      </w:tr>
      <w:tr w:rsidR="00681CDB" w:rsidRPr="00E8387C" w14:paraId="6E504B2F" w14:textId="77777777" w:rsidTr="005B0D26">
        <w:tc>
          <w:tcPr>
            <w:tcW w:w="537" w:type="dxa"/>
            <w:tcBorders>
              <w:left w:val="single" w:sz="4" w:space="0" w:color="auto"/>
            </w:tcBorders>
            <w:shd w:val="clear" w:color="auto" w:fill="D9D9D9" w:themeFill="background1" w:themeFillShade="D9"/>
            <w:vAlign w:val="center"/>
          </w:tcPr>
          <w:p w14:paraId="30DFFD70" w14:textId="3F908488"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{"citationItems":[{"id":"ITEM-1","itemData":{"DOI":"10.1177/156482651403500307","ISSN":"03795721","abstract":"Background. Energy deficiency is observed to be at odds with other food security indicators. In wealthier urban areas, the prevalence of energy deficiency is often higher than in poorer rural areas, whereas other food security indicators, such as food diversity, perform much better in urban than in rural areas. Objective. To investigate to what extent differences in physical activity levels influence dietary quantity and quality. Methods. Central to this analysis is the construction of a household activity index, a single measure that aims to capture the collective workload of the household. This paper uses data from Nepal and Uganda expenditure surveys that contain information on food consumption, as well as detailed information on how individual household members spend their time. Energy deficiency numbers are adjusted by the activity index, and the results are compared with the standard approach for calculating energy deficiency assuming light activity levels. Regressions are estimated to discuss demand for calories and diversity given the activity level. Results. Accounting for differences in activity level has a large effect on energy deficiency figures, particularly in rural areas. The analysis shows that a higher household activity level significantly increases the calories consumed but lessens food diversity, suggesting that households with high activity levels sacrifice diversity for quantity in order to meet their energy requirements. Conclusions. Physical activity levels should be taken into account when interpreting empirical differences in food consumption levels for determining the prevalence of food insecurity and making allocation decisions for food security assistance.","author":[{"dropping-particle":"","family":"Mathiassen","given":"Astrid","non-dropping-particle":"","parse-names":false,"suffix":""},{"dropping-particle":"","family":"Hollema","given":"Siemon","non-dropping-particle":"","parse-names":false,"suffix":""}],"container-title":"Food and Nutrition Bulletin","id":"ITEM-1","issue":"3","issued":{"date-parts":[["2014"]]},"note":"Include for now but not sure, specifically sa they do not account for intrahousehold variation, but the way they analyze their households pretty much assumes per capita choloric distribution. Lots of assumptions in this paper...i dont like it. But i dont know whether to include or not based on my criteria.","page":"351-360","title":"What is the effect of physical activity level on food consumption, energy deficiency, and dietary diversity?","type":"article-journal","volume":"35"},"uris":["http://www.mendeley.com/documents/?uuid=29b56c85-dc6a-4996-9565-78f7eae9e82c"]}],"mendeley":{"formattedCitation":"&lt;sup&gt;(42)&lt;/sup&gt;","plainTextFormattedCitation":"(42)","previouslyFormattedCitation":"[42]"},"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(42)</w:t>
            </w:r>
            <w:r w:rsidRPr="00FF3F99">
              <w:rPr>
                <w:color w:val="000000" w:themeColor="text1"/>
                <w:sz w:val="15"/>
                <w:szCs w:val="15"/>
              </w:rPr>
              <w:fldChar w:fldCharType="end"/>
            </w:r>
          </w:p>
        </w:tc>
        <w:tc>
          <w:tcPr>
            <w:tcW w:w="2066" w:type="dxa"/>
            <w:shd w:val="clear" w:color="auto" w:fill="D9D9D9" w:themeFill="background1" w:themeFillShade="D9"/>
            <w:vAlign w:val="center"/>
          </w:tcPr>
          <w:p w14:paraId="1C0A7AAC"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Mathiassen</w:t>
            </w:r>
            <w:proofErr w:type="spellEnd"/>
            <w:r w:rsidRPr="00FF3F99">
              <w:rPr>
                <w:color w:val="000000" w:themeColor="text1"/>
                <w:sz w:val="15"/>
                <w:szCs w:val="15"/>
              </w:rPr>
              <w:t xml:space="preserve"> &amp; </w:t>
            </w:r>
            <w:proofErr w:type="spellStart"/>
            <w:r w:rsidRPr="00FF3F99">
              <w:rPr>
                <w:color w:val="000000" w:themeColor="text1"/>
                <w:sz w:val="15"/>
                <w:szCs w:val="15"/>
              </w:rPr>
              <w:t>Hollema</w:t>
            </w:r>
            <w:proofErr w:type="spellEnd"/>
            <w:r w:rsidRPr="00FF3F99">
              <w:rPr>
                <w:color w:val="000000" w:themeColor="text1"/>
                <w:sz w:val="15"/>
                <w:szCs w:val="15"/>
              </w:rPr>
              <w:t xml:space="preserve"> (2014)</w:t>
            </w:r>
          </w:p>
        </w:tc>
        <w:tc>
          <w:tcPr>
            <w:tcW w:w="1350" w:type="dxa"/>
            <w:shd w:val="clear" w:color="auto" w:fill="D9D9D9" w:themeFill="background1" w:themeFillShade="D9"/>
          </w:tcPr>
          <w:p w14:paraId="5910C8D0" w14:textId="77777777" w:rsidR="00681CDB" w:rsidRPr="00FF3F99" w:rsidRDefault="00681CDB" w:rsidP="005B0D26">
            <w:pPr>
              <w:ind w:left="0"/>
              <w:rPr>
                <w:color w:val="000000" w:themeColor="text1"/>
                <w:sz w:val="15"/>
                <w:szCs w:val="15"/>
              </w:rPr>
            </w:pPr>
            <w:r w:rsidRPr="00FF3F99">
              <w:rPr>
                <w:color w:val="000000" w:themeColor="text1"/>
                <w:sz w:val="15"/>
                <w:szCs w:val="15"/>
              </w:rPr>
              <w:t>Nepal, Uganda</w:t>
            </w:r>
          </w:p>
        </w:tc>
        <w:tc>
          <w:tcPr>
            <w:tcW w:w="2252" w:type="dxa"/>
            <w:shd w:val="clear" w:color="auto" w:fill="D9D9D9" w:themeFill="background1" w:themeFillShade="D9"/>
          </w:tcPr>
          <w:p w14:paraId="73F4B378" w14:textId="77777777" w:rsidR="00681CDB" w:rsidRPr="00FF3F99" w:rsidRDefault="00681CDB" w:rsidP="005B0D26">
            <w:pPr>
              <w:ind w:left="0"/>
              <w:rPr>
                <w:color w:val="000000" w:themeColor="text1"/>
                <w:sz w:val="15"/>
                <w:szCs w:val="15"/>
              </w:rPr>
            </w:pPr>
            <w:r w:rsidRPr="00FF3F99">
              <w:rPr>
                <w:color w:val="000000" w:themeColor="text1"/>
                <w:sz w:val="15"/>
                <w:szCs w:val="15"/>
              </w:rPr>
              <w:t>Acquisition recall</w:t>
            </w:r>
          </w:p>
        </w:tc>
        <w:tc>
          <w:tcPr>
            <w:tcW w:w="1350" w:type="dxa"/>
            <w:shd w:val="clear" w:color="auto" w:fill="D9D9D9" w:themeFill="background1" w:themeFillShade="D9"/>
            <w:vAlign w:val="center"/>
          </w:tcPr>
          <w:p w14:paraId="0D95EF9E"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4C163EF7"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0C7A56E9"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4C64DF91"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54E19CFC" w14:textId="77777777" w:rsidR="00681CDB" w:rsidRPr="00FF3F99" w:rsidRDefault="00681CDB" w:rsidP="005B0D26">
            <w:pPr>
              <w:ind w:left="0"/>
              <w:jc w:val="center"/>
              <w:rPr>
                <w:color w:val="000000" w:themeColor="text1"/>
                <w:sz w:val="15"/>
                <w:szCs w:val="15"/>
              </w:rPr>
            </w:pPr>
          </w:p>
        </w:tc>
      </w:tr>
      <w:tr w:rsidR="00681CDB" w:rsidRPr="00E8387C" w14:paraId="068C8130" w14:textId="77777777" w:rsidTr="005B0D26">
        <w:tc>
          <w:tcPr>
            <w:tcW w:w="537" w:type="dxa"/>
            <w:tcBorders>
              <w:left w:val="single" w:sz="4" w:space="0" w:color="auto"/>
            </w:tcBorders>
            <w:vAlign w:val="center"/>
          </w:tcPr>
          <w:p w14:paraId="19612989" w14:textId="29B3CC79"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{"citationItems":[{"id":"ITEM-1","itemData":{"DOI":"10.1111/j.1467-8381.2009.02010.x","ISSN":"13513958","abstract":"As is widely known, Vietnam experienced a rise in living standards and a decline in expenditure poverty during the first half of the 1990s. This paper extends this knowledge by providing evidence on the Vietnamese experience of food security, undernourishment and poverty from the late 1990s to the early part of the new millennium. The results suggest that poor households did not experience increases in food consumption, calorie intake and dietary diversity of the same magnitude as non-poor households. Nevertheless, Vietnam experienced impressive reductions in both calorie deprivation and expenditure poverty at the turn of the century. Non-poor households, in particular, experienced spectacular increases in calorie intake and dietary diversity during the period 1997/ 1998-2004. This paper also reports regression results which point to the role of urbanization and improvement in education levels in promoting dietary diversity and nutrient intake. The present study finds evidence of sharp regional differences in calorie intake and calorie costs, which suggests that the authorities should set provincial poverty lines, contrary to the current practice adopted by Vietnam's General Statistical Office. © Journal compilation © 2009 East Asian Economic Association and Blackwell Publishing Ltd.","author":[{"dropping-particle":"","family":"Mishra","given":"Vinod","non-dropping-particle":"","parse-names":false,"suffix":""},{"dropping-particle":"","family":"Ray","given":"Ranjan","non-dropping-particle":"","parse-names":false,"suffix":""}],"container-title":"Asian Economic Journal","id":"ITEM-1","issue":"2","issued":{"date-parts":[["2009"]]},"page":"225-247","title":"Dietary diversity, food security and undernourishment: The vietnamese evidence","type":"article-journal","volume":"23"},"uris":["http://www.mendeley.com/documents/?uuid=83514ffd-0386-4d6f-986b-86dcfc35f073"]}],"mendeley":{"formattedCitation":"&lt;sup&gt;(43)&lt;/sup&gt;","plainTextFormattedCitation":"(43)","previouslyFormattedCitation":"[43]"},"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(43)</w:t>
            </w:r>
            <w:r w:rsidRPr="00FF3F99">
              <w:rPr>
                <w:color w:val="000000" w:themeColor="text1"/>
                <w:sz w:val="15"/>
                <w:szCs w:val="15"/>
              </w:rPr>
              <w:fldChar w:fldCharType="end"/>
            </w:r>
          </w:p>
        </w:tc>
        <w:tc>
          <w:tcPr>
            <w:tcW w:w="2066" w:type="dxa"/>
            <w:vAlign w:val="center"/>
          </w:tcPr>
          <w:p w14:paraId="3F833021" w14:textId="77777777" w:rsidR="00681CDB" w:rsidRPr="00FF3F99" w:rsidRDefault="00681CDB" w:rsidP="005B0D26">
            <w:pPr>
              <w:ind w:left="0"/>
              <w:rPr>
                <w:color w:val="000000" w:themeColor="text1"/>
                <w:sz w:val="15"/>
                <w:szCs w:val="15"/>
              </w:rPr>
            </w:pPr>
            <w:r w:rsidRPr="00FF3F99">
              <w:rPr>
                <w:color w:val="000000" w:themeColor="text1"/>
                <w:sz w:val="15"/>
                <w:szCs w:val="15"/>
              </w:rPr>
              <w:t>Mishra &amp; Ray (2009)</w:t>
            </w:r>
          </w:p>
        </w:tc>
        <w:tc>
          <w:tcPr>
            <w:tcW w:w="1350" w:type="dxa"/>
          </w:tcPr>
          <w:p w14:paraId="26DA4725" w14:textId="77777777" w:rsidR="00681CDB" w:rsidRPr="00FF3F99" w:rsidRDefault="00681CDB" w:rsidP="005B0D26">
            <w:pPr>
              <w:ind w:left="0"/>
              <w:rPr>
                <w:color w:val="000000" w:themeColor="text1"/>
                <w:sz w:val="15"/>
                <w:szCs w:val="15"/>
              </w:rPr>
            </w:pPr>
            <w:r w:rsidRPr="00FF3F99">
              <w:rPr>
                <w:color w:val="000000" w:themeColor="text1"/>
                <w:sz w:val="15"/>
                <w:szCs w:val="15"/>
              </w:rPr>
              <w:t>Vietnam</w:t>
            </w:r>
          </w:p>
        </w:tc>
        <w:tc>
          <w:tcPr>
            <w:tcW w:w="2252" w:type="dxa"/>
          </w:tcPr>
          <w:p w14:paraId="1EE81229"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vAlign w:val="center"/>
          </w:tcPr>
          <w:p w14:paraId="480D7FD1"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year</w:t>
            </w:r>
          </w:p>
        </w:tc>
        <w:tc>
          <w:tcPr>
            <w:tcW w:w="1260" w:type="dxa"/>
            <w:vAlign w:val="center"/>
          </w:tcPr>
          <w:p w14:paraId="48ED555C" w14:textId="77777777" w:rsidR="00681CDB" w:rsidRPr="00FF3F99" w:rsidRDefault="00681CDB" w:rsidP="005B0D26">
            <w:pPr>
              <w:ind w:left="0"/>
              <w:jc w:val="center"/>
              <w:rPr>
                <w:color w:val="000000" w:themeColor="text1"/>
                <w:sz w:val="15"/>
                <w:szCs w:val="15"/>
              </w:rPr>
            </w:pPr>
          </w:p>
        </w:tc>
        <w:tc>
          <w:tcPr>
            <w:tcW w:w="1890" w:type="dxa"/>
            <w:vAlign w:val="center"/>
          </w:tcPr>
          <w:p w14:paraId="53F07B7E" w14:textId="77777777" w:rsidR="00681CDB" w:rsidRPr="00FF3F99" w:rsidRDefault="00681CDB" w:rsidP="005B0D26">
            <w:pPr>
              <w:ind w:left="0"/>
              <w:jc w:val="center"/>
              <w:rPr>
                <w:color w:val="000000" w:themeColor="text1"/>
                <w:sz w:val="15"/>
                <w:szCs w:val="15"/>
              </w:rPr>
            </w:pPr>
          </w:p>
        </w:tc>
        <w:tc>
          <w:tcPr>
            <w:tcW w:w="1800" w:type="dxa"/>
            <w:vAlign w:val="center"/>
          </w:tcPr>
          <w:p w14:paraId="4BBE7F24" w14:textId="77777777" w:rsidR="00681CDB" w:rsidRPr="00FF3F99" w:rsidRDefault="00681CDB" w:rsidP="005B0D26">
            <w:pPr>
              <w:ind w:left="0"/>
              <w:jc w:val="center"/>
              <w:rPr>
                <w:color w:val="000000" w:themeColor="text1"/>
                <w:sz w:val="15"/>
                <w:szCs w:val="15"/>
                <w:highlight w:val="green"/>
              </w:rPr>
            </w:pPr>
          </w:p>
        </w:tc>
        <w:tc>
          <w:tcPr>
            <w:tcW w:w="1440" w:type="dxa"/>
            <w:tcBorders>
              <w:right w:val="single" w:sz="4" w:space="0" w:color="auto"/>
            </w:tcBorders>
          </w:tcPr>
          <w:p w14:paraId="66207745" w14:textId="77777777" w:rsidR="00681CDB" w:rsidRPr="00FF3F99" w:rsidRDefault="00681CDB" w:rsidP="005B0D26">
            <w:pPr>
              <w:ind w:left="0"/>
              <w:jc w:val="center"/>
              <w:rPr>
                <w:color w:val="000000" w:themeColor="text1"/>
                <w:sz w:val="15"/>
                <w:szCs w:val="15"/>
              </w:rPr>
            </w:pPr>
          </w:p>
        </w:tc>
      </w:tr>
      <w:tr w:rsidR="00681CDB" w:rsidRPr="00E8387C" w14:paraId="3D5F82BD" w14:textId="77777777" w:rsidTr="005B0D26">
        <w:tc>
          <w:tcPr>
            <w:tcW w:w="537" w:type="dxa"/>
            <w:tcBorders>
              <w:left w:val="single" w:sz="4" w:space="0" w:color="auto"/>
            </w:tcBorders>
            <w:shd w:val="clear" w:color="auto" w:fill="D9D9D9" w:themeFill="background1" w:themeFillShade="D9"/>
            <w:vAlign w:val="center"/>
          </w:tcPr>
          <w:p w14:paraId="5744D039" w14:textId="782504D9"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{"citationItems":[{"id":"ITEM-1","itemData":{"DOI":"10.1093/acprof:oso/9780199236558.003.0007","ISBN":"9780191717031","abstract":"This chapter finds that food security in Vietnam showed improvements that were concentrated among the richer households, although there was some improvement among the poorer strata as well. It focuses on the calorie/expenditure elasticity and compares results for the years 1993 and 1998. It shows that this link is strong and that calorie income elasticity changed in the expected direction. In general, food security improved in Vietnam during 1990s although considerable differences still remain among expenditure deciles and among regions due to the accentuated spatial difference.","author":[{"dropping-particle":"","family":"Molini","given":"Vasco","non-dropping-particle":"","parse-names":false,"suffix":""}],"container-title":"Hunger and Food Security: New Challenges and New Opportunities","id":"ITEM-1","issued":{"date-parts":[["2006"]]},"number":"2006/67","publisher-place":"Amsterdam","title":"Food Security in Vietnam During the 1990s: The Empirical Evidence","type":"report"},"uris":["http://www.mendeley.com/documents/?uuid=d810cf37-f76e-4dc2-add8-9acb21aca1c0"]}],"mendeley":{"formattedCitation":"&lt;sup&gt;(44)&lt;/sup&gt;","plainTextFormattedCitation":"(44)","previouslyFormattedCitation":"[44]"},"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(44)</w:t>
            </w:r>
            <w:r w:rsidRPr="00FF3F99">
              <w:rPr>
                <w:color w:val="000000" w:themeColor="text1"/>
                <w:sz w:val="15"/>
                <w:szCs w:val="15"/>
              </w:rPr>
              <w:fldChar w:fldCharType="end"/>
            </w:r>
          </w:p>
        </w:tc>
        <w:tc>
          <w:tcPr>
            <w:tcW w:w="2066" w:type="dxa"/>
            <w:shd w:val="clear" w:color="auto" w:fill="D9D9D9" w:themeFill="background1" w:themeFillShade="D9"/>
            <w:vAlign w:val="center"/>
          </w:tcPr>
          <w:p w14:paraId="05F506FB"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Molini</w:t>
            </w:r>
            <w:proofErr w:type="spellEnd"/>
            <w:r w:rsidRPr="00FF3F99">
              <w:rPr>
                <w:color w:val="000000" w:themeColor="text1"/>
                <w:sz w:val="15"/>
                <w:szCs w:val="15"/>
              </w:rPr>
              <w:t xml:space="preserve"> (2006)</w:t>
            </w:r>
          </w:p>
        </w:tc>
        <w:tc>
          <w:tcPr>
            <w:tcW w:w="1350" w:type="dxa"/>
            <w:shd w:val="clear" w:color="auto" w:fill="D9D9D9" w:themeFill="background1" w:themeFillShade="D9"/>
          </w:tcPr>
          <w:p w14:paraId="241990B8" w14:textId="77777777" w:rsidR="00681CDB" w:rsidRPr="00FF3F99" w:rsidRDefault="00681CDB" w:rsidP="005B0D26">
            <w:pPr>
              <w:ind w:left="0"/>
              <w:rPr>
                <w:color w:val="000000" w:themeColor="text1"/>
                <w:sz w:val="15"/>
                <w:szCs w:val="15"/>
              </w:rPr>
            </w:pPr>
            <w:r w:rsidRPr="00FF3F99">
              <w:rPr>
                <w:color w:val="000000" w:themeColor="text1"/>
                <w:sz w:val="15"/>
                <w:szCs w:val="15"/>
              </w:rPr>
              <w:t>Vietnam</w:t>
            </w:r>
          </w:p>
        </w:tc>
        <w:tc>
          <w:tcPr>
            <w:tcW w:w="2252" w:type="dxa"/>
            <w:shd w:val="clear" w:color="auto" w:fill="D9D9D9" w:themeFill="background1" w:themeFillShade="D9"/>
          </w:tcPr>
          <w:p w14:paraId="03D1ABE7"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shd w:val="clear" w:color="auto" w:fill="D9D9D9" w:themeFill="background1" w:themeFillShade="D9"/>
            <w:vAlign w:val="center"/>
          </w:tcPr>
          <w:p w14:paraId="1DBC7438"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year</w:t>
            </w:r>
          </w:p>
        </w:tc>
        <w:tc>
          <w:tcPr>
            <w:tcW w:w="1260" w:type="dxa"/>
            <w:shd w:val="clear" w:color="auto" w:fill="D9D9D9" w:themeFill="background1" w:themeFillShade="D9"/>
            <w:vAlign w:val="center"/>
          </w:tcPr>
          <w:p w14:paraId="61C33DC4"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1A25759A"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2A1D4FEA" w14:textId="77777777" w:rsidR="00681CDB" w:rsidRPr="00FF3F99" w:rsidRDefault="00681CDB" w:rsidP="005B0D26">
            <w:pPr>
              <w:ind w:left="0"/>
              <w:jc w:val="center"/>
              <w:rPr>
                <w:color w:val="000000" w:themeColor="text1"/>
                <w:sz w:val="15"/>
                <w:szCs w:val="15"/>
                <w:highlight w:val="green"/>
              </w:rPr>
            </w:pPr>
          </w:p>
        </w:tc>
        <w:tc>
          <w:tcPr>
            <w:tcW w:w="1440" w:type="dxa"/>
            <w:tcBorders>
              <w:right w:val="single" w:sz="4" w:space="0" w:color="auto"/>
            </w:tcBorders>
            <w:shd w:val="clear" w:color="auto" w:fill="D9D9D9" w:themeFill="background1" w:themeFillShade="D9"/>
          </w:tcPr>
          <w:p w14:paraId="418F9BF9" w14:textId="77777777" w:rsidR="00681CDB" w:rsidRPr="00FF3F99" w:rsidRDefault="00681CDB" w:rsidP="005B0D26">
            <w:pPr>
              <w:ind w:left="0"/>
              <w:jc w:val="center"/>
              <w:rPr>
                <w:color w:val="000000" w:themeColor="text1"/>
                <w:sz w:val="15"/>
                <w:szCs w:val="15"/>
                <w:highlight w:val="green"/>
              </w:rPr>
            </w:pPr>
          </w:p>
        </w:tc>
      </w:tr>
      <w:tr w:rsidR="00681CDB" w:rsidRPr="00E8387C" w14:paraId="4D54FDC8" w14:textId="77777777" w:rsidTr="005B0D26">
        <w:tc>
          <w:tcPr>
            <w:tcW w:w="537" w:type="dxa"/>
            <w:tcBorders>
              <w:left w:val="single" w:sz="4" w:space="0" w:color="auto"/>
            </w:tcBorders>
            <w:vAlign w:val="center"/>
          </w:tcPr>
          <w:p w14:paraId="142759FD" w14:textId="547FB0DC"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{"citationItems":[{"id":"ITEM-1","itemData":{"abstract":"This paper assesses the Subramanian and Deaton (S–D) approach for imputing the caloric intake of households from food prepared away from home (FAFH) and composite foods (CF) by juxtaposing it with the imputations of alternative approaches, and extends these approaches to four additional nutrients—vitamin A, iron, zinc, and calcium. The apparent relative nutritional insignificance of FAFH and CF in Bangladesh obfuscates our efforts to assess alternatives to the S–D approach to imputation, and we remain uncertain about the relative value of the alternative imputation approaches examined. FAFH and CF—although widely consumed in Bangladesh—constitute a relatively unimportant source of nutrients, regardless of how the nutrient content of FAFH and CF is imputed.","author":[{"dropping-particle":"","family":"Mwangi","given":"Dena M","non-dropping-particle":"","parse-names":false,"suffix":""},{"dropping-particle":"","family":"Fiedler","given":"John L","non-dropping-particle":"","parse-names":false,"suffix":""},{"dropping-particle":"","family":"Sununtnasuk","given":"Celeste","non-dropping-particle":"","parse-names":false,"suffix":""}],"container-title":"IFPRI Discussion Paper","id":"ITEM-1","issue":"1596","issued":{"date-parts":[["2016"]]},"publisher-place":"Washington, D.C.","title":"Imputing nutrient intake from foods prepared and consumed away from home and other composite foods: Exploring extensions of the Subramanian–Deaton cost per calorie approach","type":"report"},"uris":["http://www.mendeley.com/documents/?uuid=b4a031ef-9f5c-4a2e-aecf-582404a9bc6b"]}],"mendeley":{"formattedCitation":"&lt;sup&gt;(45)&lt;/sup&gt;","plainTextFormattedCitation":"(45)","previouslyFormattedCitation":"[45]"},"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(45)</w:t>
            </w:r>
            <w:r w:rsidRPr="00FF3F99">
              <w:rPr>
                <w:color w:val="000000" w:themeColor="text1"/>
                <w:sz w:val="15"/>
                <w:szCs w:val="15"/>
              </w:rPr>
              <w:fldChar w:fldCharType="end"/>
            </w:r>
          </w:p>
        </w:tc>
        <w:tc>
          <w:tcPr>
            <w:tcW w:w="2066" w:type="dxa"/>
            <w:vAlign w:val="center"/>
          </w:tcPr>
          <w:p w14:paraId="44B403C5" w14:textId="77777777" w:rsidR="00681CDB" w:rsidRPr="00FF3F99" w:rsidRDefault="00681CDB" w:rsidP="005B0D26">
            <w:pPr>
              <w:ind w:left="0"/>
              <w:rPr>
                <w:color w:val="000000" w:themeColor="text1"/>
                <w:sz w:val="15"/>
                <w:szCs w:val="15"/>
              </w:rPr>
            </w:pPr>
            <w:r w:rsidRPr="00FF3F99">
              <w:rPr>
                <w:color w:val="000000" w:themeColor="text1"/>
                <w:sz w:val="15"/>
                <w:szCs w:val="15"/>
              </w:rPr>
              <w:t>Mwangi et al. (2016)</w:t>
            </w:r>
          </w:p>
        </w:tc>
        <w:tc>
          <w:tcPr>
            <w:tcW w:w="1350" w:type="dxa"/>
          </w:tcPr>
          <w:p w14:paraId="490173A2"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2252" w:type="dxa"/>
          </w:tcPr>
          <w:p w14:paraId="57BDEA3D"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vAlign w:val="center"/>
          </w:tcPr>
          <w:p w14:paraId="2BCFFE94"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65663421" w14:textId="77777777" w:rsidR="00681CDB" w:rsidRPr="00FF3F99" w:rsidRDefault="00681CDB" w:rsidP="005B0D26">
            <w:pPr>
              <w:ind w:left="0"/>
              <w:jc w:val="center"/>
              <w:rPr>
                <w:color w:val="000000" w:themeColor="text1"/>
                <w:sz w:val="15"/>
                <w:szCs w:val="15"/>
              </w:rPr>
            </w:pPr>
          </w:p>
        </w:tc>
        <w:tc>
          <w:tcPr>
            <w:tcW w:w="1890" w:type="dxa"/>
            <w:vAlign w:val="center"/>
          </w:tcPr>
          <w:p w14:paraId="1CEAB0F4" w14:textId="77777777" w:rsidR="00681CDB" w:rsidRPr="00FF3F99" w:rsidRDefault="00681CDB" w:rsidP="005B0D26">
            <w:pPr>
              <w:ind w:left="0"/>
              <w:jc w:val="center"/>
              <w:rPr>
                <w:color w:val="000000" w:themeColor="text1"/>
                <w:sz w:val="15"/>
                <w:szCs w:val="15"/>
              </w:rPr>
            </w:pPr>
          </w:p>
        </w:tc>
        <w:tc>
          <w:tcPr>
            <w:tcW w:w="1800" w:type="dxa"/>
            <w:vAlign w:val="center"/>
          </w:tcPr>
          <w:p w14:paraId="729347BF"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173452B1" w14:textId="77777777" w:rsidR="00681CDB" w:rsidRPr="00FF3F99" w:rsidRDefault="00681CDB" w:rsidP="005B0D26">
            <w:pPr>
              <w:ind w:left="0"/>
              <w:jc w:val="center"/>
              <w:rPr>
                <w:color w:val="000000" w:themeColor="text1"/>
                <w:sz w:val="15"/>
                <w:szCs w:val="15"/>
              </w:rPr>
            </w:pPr>
          </w:p>
        </w:tc>
      </w:tr>
      <w:tr w:rsidR="00681CDB" w:rsidRPr="00E8387C" w14:paraId="0633EBF8" w14:textId="77777777" w:rsidTr="005B0D26">
        <w:tc>
          <w:tcPr>
            <w:tcW w:w="537" w:type="dxa"/>
            <w:tcBorders>
              <w:left w:val="single" w:sz="4" w:space="0" w:color="auto"/>
            </w:tcBorders>
            <w:shd w:val="clear" w:color="auto" w:fill="D9D9D9" w:themeFill="background1" w:themeFillShade="D9"/>
            <w:vAlign w:val="center"/>
          </w:tcPr>
          <w:p w14:paraId="5098C54F" w14:textId="1BE17647"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{"citationItems":[{"id":"ITEM-1","itemData":{"DOI":"10.1016/j.foodpol.2010.11.001","ISSN":"03069192","abstract":"This paper explores the relationship between migration and consumption patterns using panel data from the 2004 and 2006 Vietnam Household Living Standards Surveys. Employing an instrumental variable approach to control for the endogeneity of migration, our results indicate that short-term migration has a positive effect on overall per capita food expenditures, per capita calorie consumption and food diversity. Long-term migration also appears to be positively related to consumption, but impacts are often insignificant and of a lesser magnitude than short-term migration. The results provide no evidence of negative effects of migration, and support the view that short-term migration is a mechanism by which households maintain food security. The results suggest that to improve food security the Vietnamese government should enact policies that facilitate short-term migration flows as well as the transferring of remittances. © 2010 Elsevier Ltd.","author":[{"dropping-particle":"","family":"Nguyen","given":"Minh Cong","non-dropping-particle":"","parse-names":false,"suffix":""},{"dropping-particle":"","family":"Winters","given":"Paul","non-dropping-particle":"","parse-names":false,"suffix":""}],"container-title":"Food Policy","id":"ITEM-1","issue":"1","issued":{"date-parts":[["2011"]]},"page":"71-87","title":"The impact of migration on food consumption patterns: The case of Vietnam","type":"article-journal","volume":"36"},"uris":["http://www.mendeley.com/documents/?uuid=b0e63165-7014-426b-bb15-ac60c1a657b4"]}],"mendeley":{"formattedCitation":"&lt;sup&gt;(46)&lt;/sup&gt;","plainTextFormattedCitation":"(46)","previouslyFormattedCitation":"[46]"},"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(46)</w:t>
            </w:r>
            <w:r w:rsidRPr="00FF3F99">
              <w:rPr>
                <w:color w:val="000000" w:themeColor="text1"/>
                <w:sz w:val="15"/>
                <w:szCs w:val="15"/>
              </w:rPr>
              <w:fldChar w:fldCharType="end"/>
            </w:r>
          </w:p>
        </w:tc>
        <w:tc>
          <w:tcPr>
            <w:tcW w:w="2066" w:type="dxa"/>
            <w:shd w:val="clear" w:color="auto" w:fill="D9D9D9" w:themeFill="background1" w:themeFillShade="D9"/>
            <w:vAlign w:val="center"/>
          </w:tcPr>
          <w:p w14:paraId="0FD657DF" w14:textId="77777777" w:rsidR="00681CDB" w:rsidRPr="00FF3F99" w:rsidRDefault="00681CDB" w:rsidP="005B0D26">
            <w:pPr>
              <w:ind w:left="0"/>
              <w:rPr>
                <w:color w:val="000000" w:themeColor="text1"/>
                <w:sz w:val="15"/>
                <w:szCs w:val="15"/>
              </w:rPr>
            </w:pPr>
            <w:r w:rsidRPr="00FF3F99">
              <w:rPr>
                <w:color w:val="000000" w:themeColor="text1"/>
                <w:sz w:val="15"/>
                <w:szCs w:val="15"/>
              </w:rPr>
              <w:t>Nguyen &amp; Winters (2011)</w:t>
            </w:r>
          </w:p>
        </w:tc>
        <w:tc>
          <w:tcPr>
            <w:tcW w:w="1350" w:type="dxa"/>
            <w:shd w:val="clear" w:color="auto" w:fill="D9D9D9" w:themeFill="background1" w:themeFillShade="D9"/>
          </w:tcPr>
          <w:p w14:paraId="2CF5B644" w14:textId="77777777" w:rsidR="00681CDB" w:rsidRPr="00FF3F99" w:rsidRDefault="00681CDB" w:rsidP="005B0D26">
            <w:pPr>
              <w:ind w:left="0"/>
              <w:rPr>
                <w:color w:val="000000" w:themeColor="text1"/>
                <w:sz w:val="15"/>
                <w:szCs w:val="15"/>
              </w:rPr>
            </w:pPr>
            <w:r w:rsidRPr="00FF3F99">
              <w:rPr>
                <w:color w:val="000000" w:themeColor="text1"/>
                <w:sz w:val="15"/>
                <w:szCs w:val="15"/>
              </w:rPr>
              <w:t>Vietnam</w:t>
            </w:r>
          </w:p>
        </w:tc>
        <w:tc>
          <w:tcPr>
            <w:tcW w:w="2252" w:type="dxa"/>
            <w:shd w:val="clear" w:color="auto" w:fill="D9D9D9" w:themeFill="background1" w:themeFillShade="D9"/>
          </w:tcPr>
          <w:p w14:paraId="695E27A4"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shd w:val="clear" w:color="auto" w:fill="D9D9D9" w:themeFill="background1" w:themeFillShade="D9"/>
            <w:vAlign w:val="center"/>
          </w:tcPr>
          <w:p w14:paraId="5C23AFB8"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year</w:t>
            </w:r>
          </w:p>
        </w:tc>
        <w:tc>
          <w:tcPr>
            <w:tcW w:w="1260" w:type="dxa"/>
            <w:shd w:val="clear" w:color="auto" w:fill="D9D9D9" w:themeFill="background1" w:themeFillShade="D9"/>
            <w:vAlign w:val="center"/>
          </w:tcPr>
          <w:p w14:paraId="60190A52"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3BADDBE2"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17D93CC1"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03FC6ED1" w14:textId="77777777" w:rsidR="00681CDB" w:rsidRPr="00FF3F99" w:rsidRDefault="00681CDB" w:rsidP="005B0D26">
            <w:pPr>
              <w:ind w:left="0"/>
              <w:jc w:val="center"/>
              <w:rPr>
                <w:color w:val="000000" w:themeColor="text1"/>
                <w:sz w:val="15"/>
                <w:szCs w:val="15"/>
              </w:rPr>
            </w:pPr>
          </w:p>
        </w:tc>
      </w:tr>
      <w:tr w:rsidR="00681CDB" w:rsidRPr="00E8387C" w14:paraId="58FE5108" w14:textId="77777777" w:rsidTr="005B0D26">
        <w:tc>
          <w:tcPr>
            <w:tcW w:w="537" w:type="dxa"/>
            <w:tcBorders>
              <w:left w:val="single" w:sz="4" w:space="0" w:color="auto"/>
            </w:tcBorders>
            <w:vAlign w:val="center"/>
          </w:tcPr>
          <w:p w14:paraId="10F04ABC" w14:textId="29114B50"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{"citationItems":[{"id":"ITEM-1","itemData":{"ISSN":"0304-095X","abstract":"The Social Safety Net (SSN) programmes play a key role in Bangladesh to protect the poor households from food insecurity. This study examines the effect of these programs on calorie consumption of poor households using the 2005 Household Income and Expenditure Survey data. Three treatment effect evaluation designs are applied to compare the estimated effects. Mean difference and matching estimators that do not consider endogeneity of treatment dummy produce significant negative effects when applied to the whole sample. Unconfoundedness and overlap assumptions do not exist and the assumptions are satisfied after dropping some observations using the criteria of propensity score. The effect of the SSN programmes on calorie consumption is estimated in the reduced sample using the same econometric methods, and it is found that there are insignificant positive effects in all cases. However, the treatment dummy has serious endogeneity problem, as selection for treatment is also determined by some unobserved factors such as corruption. In this case, instrumental variables regressions taking regional dummies as instruments that do not have relation with calorie consumption are applied, and produce significant positive average treatment effect.","author":[{"dropping-particle":"","family":"Rahman","given":"Mohammad","non-dropping-particle":"","parse-names":false,"suffix":""}],"container-title":"Bangladesh Development Studies","id":"ITEM-1","issue":"2","issued":{"date-parts":[["2012"]]},"page":"67-85","title":"Estimating the Effects of Social Safety Net Programmes in Bangladesh on Calorie Consumption of Poor Households","type":"article-journal","volume":"35"},"uris":["http://www.mendeley.com/documents/?uuid=3bd1d582-6b5f-43e3-acf7-707a1c63210b"]}],"mendeley":{"formattedCitation":"&lt;sup&gt;(47)&lt;/sup&gt;","plainTextFormattedCitation":"(47)","previouslyFormattedCitation":"[47]"},"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(47)</w:t>
            </w:r>
            <w:r w:rsidRPr="00FF3F99">
              <w:rPr>
                <w:color w:val="000000" w:themeColor="text1"/>
                <w:sz w:val="15"/>
                <w:szCs w:val="15"/>
              </w:rPr>
              <w:fldChar w:fldCharType="end"/>
            </w:r>
          </w:p>
        </w:tc>
        <w:tc>
          <w:tcPr>
            <w:tcW w:w="2066" w:type="dxa"/>
            <w:vAlign w:val="center"/>
          </w:tcPr>
          <w:p w14:paraId="6D6FC644" w14:textId="77777777" w:rsidR="00681CDB" w:rsidRPr="00FF3F99" w:rsidRDefault="00681CDB" w:rsidP="005B0D26">
            <w:pPr>
              <w:ind w:left="0"/>
              <w:rPr>
                <w:color w:val="000000" w:themeColor="text1"/>
                <w:sz w:val="15"/>
                <w:szCs w:val="15"/>
              </w:rPr>
            </w:pPr>
            <w:r w:rsidRPr="00FF3F99">
              <w:rPr>
                <w:color w:val="000000" w:themeColor="text1"/>
                <w:sz w:val="15"/>
                <w:szCs w:val="15"/>
              </w:rPr>
              <w:t>Rahman (2012)</w:t>
            </w:r>
          </w:p>
        </w:tc>
        <w:tc>
          <w:tcPr>
            <w:tcW w:w="1350" w:type="dxa"/>
          </w:tcPr>
          <w:p w14:paraId="741612D7" w14:textId="77777777" w:rsidR="00681CDB" w:rsidRPr="00FF3F99" w:rsidRDefault="00681CDB" w:rsidP="005B0D26">
            <w:pPr>
              <w:ind w:left="0"/>
              <w:rPr>
                <w:color w:val="000000" w:themeColor="text1"/>
                <w:sz w:val="15"/>
                <w:szCs w:val="15"/>
              </w:rPr>
            </w:pPr>
            <w:r w:rsidRPr="00FF3F99">
              <w:rPr>
                <w:color w:val="000000" w:themeColor="text1"/>
                <w:sz w:val="15"/>
                <w:szCs w:val="15"/>
              </w:rPr>
              <w:t>Bangladesh</w:t>
            </w:r>
          </w:p>
        </w:tc>
        <w:tc>
          <w:tcPr>
            <w:tcW w:w="2252" w:type="dxa"/>
          </w:tcPr>
          <w:p w14:paraId="0DDDB0EE"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vAlign w:val="center"/>
          </w:tcPr>
          <w:p w14:paraId="0CD94074"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14 days</w:t>
            </w:r>
          </w:p>
        </w:tc>
        <w:tc>
          <w:tcPr>
            <w:tcW w:w="1260" w:type="dxa"/>
            <w:vAlign w:val="center"/>
          </w:tcPr>
          <w:p w14:paraId="058A5924" w14:textId="77777777" w:rsidR="00681CDB" w:rsidRPr="00FF3F99" w:rsidRDefault="00681CDB" w:rsidP="005B0D26">
            <w:pPr>
              <w:ind w:left="0"/>
              <w:jc w:val="center"/>
              <w:rPr>
                <w:color w:val="000000" w:themeColor="text1"/>
                <w:sz w:val="15"/>
                <w:szCs w:val="15"/>
              </w:rPr>
            </w:pPr>
          </w:p>
        </w:tc>
        <w:tc>
          <w:tcPr>
            <w:tcW w:w="1890" w:type="dxa"/>
            <w:vAlign w:val="center"/>
          </w:tcPr>
          <w:p w14:paraId="278A79FE" w14:textId="77777777" w:rsidR="00681CDB" w:rsidRPr="00FF3F99" w:rsidRDefault="00681CDB" w:rsidP="005B0D26">
            <w:pPr>
              <w:ind w:left="0"/>
              <w:jc w:val="center"/>
              <w:rPr>
                <w:color w:val="000000" w:themeColor="text1"/>
                <w:sz w:val="15"/>
                <w:szCs w:val="15"/>
              </w:rPr>
            </w:pPr>
          </w:p>
        </w:tc>
        <w:tc>
          <w:tcPr>
            <w:tcW w:w="1800" w:type="dxa"/>
            <w:vAlign w:val="center"/>
          </w:tcPr>
          <w:p w14:paraId="0676DCCB"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19011138" w14:textId="77777777" w:rsidR="00681CDB" w:rsidRPr="00FF3F99" w:rsidRDefault="00681CDB" w:rsidP="005B0D26">
            <w:pPr>
              <w:ind w:left="0"/>
              <w:jc w:val="center"/>
              <w:rPr>
                <w:color w:val="000000" w:themeColor="text1"/>
                <w:sz w:val="15"/>
                <w:szCs w:val="15"/>
              </w:rPr>
            </w:pPr>
          </w:p>
        </w:tc>
      </w:tr>
      <w:tr w:rsidR="00681CDB" w:rsidRPr="00E8387C" w14:paraId="08511CCE" w14:textId="77777777" w:rsidTr="005B0D26">
        <w:tc>
          <w:tcPr>
            <w:tcW w:w="537" w:type="dxa"/>
            <w:tcBorders>
              <w:left w:val="single" w:sz="4" w:space="0" w:color="auto"/>
            </w:tcBorders>
            <w:shd w:val="clear" w:color="auto" w:fill="D9D9D9" w:themeFill="background1" w:themeFillShade="D9"/>
            <w:vAlign w:val="center"/>
          </w:tcPr>
          <w:p w14:paraId="2F7788E2" w14:textId="7943F92F"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{"citationItems":[{"id":"ITEM-1","itemData":{"DOI":"10.1093/jn/132.11.3235","ISSN":"0022-3166","PMID":"12421834","abstract":"Recent work on assessing household food insecurity has focused mainly on experiential-based measures using qualitative survey questions. In this paper, we employed two quantitative measures to estimate prevalence rates for household food insecurity in South Africa. One measure, termed food poverty, assessed whether the amount spent by a household on food was inadequate to purchase a low cost food plan. Low energy availability assessed whether the food energy available to a household, through its purchases and home production, was less than the sum of its members' recommended energy intakes. The 1995 Income and Expenditure Survey, a large representative survey of South African households (n = 28,704), was used for this secondary data analysis. Results showed that 43% of households were in food poverty in October 1995, and 55% had a low energy availability. These indicators allowed classification of households into four groups: food poverty only; low energy availability only; food insecure on both measures; and food secure. These groups differed on various aspects of household food consumption, suggesting that these indicators can be used to target different types of interventions to meet specific needs. Both bivariate and multivariate analyses showed that households that were food insecure on both measures were more likely to be in rural areas, have low incomes or large household sizes, and be headed by Africans or individuals of mixed ancestry. These patterns of food insecurity were corroborated by previous research on income poverty and nutritional status, suggesting that food poverty and low energy availability are useful, quantitative indicators for assessing food insecurity in South Africa.","author":[{"dropping-particle":"","family":"Rose","given":"Donald","non-dropping-particle":"","parse-names":false,"suffix":""},{"dropping-particle":"","family":"Charlton","given":"Karen E.","non-dropping-particle":"","parse-names":false,"suffix":""}],"container-title":"The Journal of Nutrition","id":"ITEM-1","issue":"11","issued":{"date-parts":[["2002"]]},"page":"3235-3242","title":"Quantitative Indicators from a Food Expenditure Survey Can Be Used to Target the Food Insecure in South Africa","type":"article-journal","volume":"132"},"uris":["http://www.mendeley.com/documents/?uuid=8326a685-7130-40ce-b437-ddb51eef0bcb"]}],"mendeley":{"formattedCitation":"&lt;sup&gt;(48)&lt;/sup&gt;","plainTextFormattedCitation":"(48)","previouslyFormattedCitation":"[48]"},"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(48)</w:t>
            </w:r>
            <w:r w:rsidRPr="00FF3F99">
              <w:rPr>
                <w:color w:val="000000" w:themeColor="text1"/>
                <w:sz w:val="15"/>
                <w:szCs w:val="15"/>
              </w:rPr>
              <w:fldChar w:fldCharType="end"/>
            </w:r>
          </w:p>
        </w:tc>
        <w:tc>
          <w:tcPr>
            <w:tcW w:w="2066" w:type="dxa"/>
            <w:shd w:val="clear" w:color="auto" w:fill="D9D9D9" w:themeFill="background1" w:themeFillShade="D9"/>
            <w:vAlign w:val="center"/>
          </w:tcPr>
          <w:p w14:paraId="17CB0BF0" w14:textId="77777777" w:rsidR="00681CDB" w:rsidRPr="00FF3F99" w:rsidRDefault="00681CDB" w:rsidP="005B0D26">
            <w:pPr>
              <w:ind w:left="0"/>
              <w:rPr>
                <w:color w:val="000000" w:themeColor="text1"/>
                <w:sz w:val="15"/>
                <w:szCs w:val="15"/>
              </w:rPr>
            </w:pPr>
            <w:r w:rsidRPr="00FF3F99">
              <w:rPr>
                <w:color w:val="000000" w:themeColor="text1"/>
                <w:sz w:val="15"/>
                <w:szCs w:val="15"/>
              </w:rPr>
              <w:t>Rose &amp; Charlton (2002)</w:t>
            </w:r>
          </w:p>
        </w:tc>
        <w:tc>
          <w:tcPr>
            <w:tcW w:w="1350" w:type="dxa"/>
            <w:shd w:val="clear" w:color="auto" w:fill="D9D9D9" w:themeFill="background1" w:themeFillShade="D9"/>
          </w:tcPr>
          <w:p w14:paraId="6395B4C0" w14:textId="77777777" w:rsidR="00681CDB" w:rsidRPr="00FF3F99" w:rsidRDefault="00681CDB" w:rsidP="005B0D26">
            <w:pPr>
              <w:ind w:left="0"/>
              <w:rPr>
                <w:color w:val="000000" w:themeColor="text1"/>
                <w:sz w:val="15"/>
                <w:szCs w:val="15"/>
              </w:rPr>
            </w:pPr>
            <w:r w:rsidRPr="00FF3F99">
              <w:rPr>
                <w:color w:val="000000" w:themeColor="text1"/>
                <w:sz w:val="15"/>
                <w:szCs w:val="15"/>
              </w:rPr>
              <w:t>South Africa</w:t>
            </w:r>
          </w:p>
        </w:tc>
        <w:tc>
          <w:tcPr>
            <w:tcW w:w="2252" w:type="dxa"/>
            <w:shd w:val="clear" w:color="auto" w:fill="D9D9D9" w:themeFill="background1" w:themeFillShade="D9"/>
          </w:tcPr>
          <w:p w14:paraId="01441D4B"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shd w:val="clear" w:color="auto" w:fill="D9D9D9" w:themeFill="background1" w:themeFillShade="D9"/>
            <w:vAlign w:val="center"/>
          </w:tcPr>
          <w:p w14:paraId="2D247D2C"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month</w:t>
            </w:r>
          </w:p>
        </w:tc>
        <w:tc>
          <w:tcPr>
            <w:tcW w:w="1260" w:type="dxa"/>
            <w:shd w:val="clear" w:color="auto" w:fill="D9D9D9" w:themeFill="background1" w:themeFillShade="D9"/>
            <w:vAlign w:val="center"/>
          </w:tcPr>
          <w:p w14:paraId="6BE2B9EE"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7403C699"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4FE6C9CD"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63D89ECD" w14:textId="77777777" w:rsidR="00681CDB" w:rsidRPr="00FF3F99" w:rsidRDefault="00681CDB" w:rsidP="005B0D26">
            <w:pPr>
              <w:ind w:left="0"/>
              <w:jc w:val="center"/>
              <w:rPr>
                <w:color w:val="000000" w:themeColor="text1"/>
                <w:sz w:val="15"/>
                <w:szCs w:val="15"/>
              </w:rPr>
            </w:pPr>
          </w:p>
        </w:tc>
      </w:tr>
      <w:tr w:rsidR="00681CDB" w:rsidRPr="00E8387C" w14:paraId="6487EB73" w14:textId="77777777" w:rsidTr="005B0D26">
        <w:tc>
          <w:tcPr>
            <w:tcW w:w="537" w:type="dxa"/>
            <w:tcBorders>
              <w:left w:val="single" w:sz="4" w:space="0" w:color="auto"/>
            </w:tcBorders>
            <w:vAlign w:val="center"/>
          </w:tcPr>
          <w:p w14:paraId="2ACAC7C1" w14:textId="0642EBFD"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{"citationItems":[{"id":"ITEM-1","itemData":{"ISBN":"9781098616014;1098616014;","PMID":"20133356255","abstract":"Using nationally representative household survey data from five countries--three from South Asia (Bangladesh, Pakistan, and Nepal) and two from Sub-Saharan Africa (Tanzania and Uganda)--this paper conducts a systematic assessment of the correlation between various measures of household food security and nutritional outcomes of children. The analysis, following the universally accepted and applied definition of food security, is based on some of the most commonly used indicators of food security. The results show that the various measures of household food security do appear to carry significant signals about the nutritional status of children that reside within the household. This result holds even after the analysis controls for a wide array of other socio-economic characteristics of the households that are generally also thought to be associated with the quality of child nutrition. If using these food security indicators as proxy measures for the underlying nutritional status of children is of some interest, then the results show that simple, cost-effective, and easy-to-collect measures, such as the food consumption score or the dietary diversity score, may carry at least as much information as other measures, such as per capita expenditure or the starchy staple ratio, which require longer and costlier surveys with detailed food consumption modules. Across five different countries in South Asia and Africa, the results suggest that the food consumption score, in particular, performs extremely well in comparison with all other measures from the perspective of nutritional targeting as well as for monitoring nutritional outcomes.","author":[{"dropping-particle":"","family":"Tiwari","given":"S","non-dropping-particle":"","parse-names":false,"suffix":""},{"dropping-particle":"","family":"Skoufias","given":"E","non-dropping-particle":"","parse-names":false,"suffix":""},{"dropping-particle":"","family":"Sherpa","given":"M","non-dropping-particle":"","parse-names":false,"suffix":""}],"container-title":"Policy Research Working Paper Series","id":"ITEM-1","issued":{"date-parts":[["2013"]]},"note":"Abstract exclusion","publisher-place":"Washington, D.C.","title":"Shorter, Cheaper, Quicker, Better: Linking Measures of Household Food Security to Nutritional Outcomes in Bangladesh, Nepal, Pakistan, Uganda, and Tanzania","type":"report"},"uris":["http://www.mendeley.com/documents/?uuid=43e16e78-21eb-47f1-ad1b-80f499be1eba"]}],"mendeley":{"formattedCitation":"&lt;sup&gt;(49)&lt;/sup&gt;","plainTextFormattedCitation":"(49)","previouslyFormattedCitation":"[49]"},"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(49)</w:t>
            </w:r>
            <w:r w:rsidRPr="00FF3F99">
              <w:rPr>
                <w:color w:val="000000" w:themeColor="text1"/>
                <w:sz w:val="15"/>
                <w:szCs w:val="15"/>
              </w:rPr>
              <w:fldChar w:fldCharType="end"/>
            </w:r>
          </w:p>
        </w:tc>
        <w:tc>
          <w:tcPr>
            <w:tcW w:w="2066" w:type="dxa"/>
            <w:vAlign w:val="center"/>
          </w:tcPr>
          <w:p w14:paraId="405E0471"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Skoufias</w:t>
            </w:r>
            <w:proofErr w:type="spellEnd"/>
            <w:r w:rsidRPr="00FF3F99">
              <w:rPr>
                <w:color w:val="000000" w:themeColor="text1"/>
                <w:sz w:val="15"/>
                <w:szCs w:val="15"/>
              </w:rPr>
              <w:t xml:space="preserve"> (2002)</w:t>
            </w:r>
          </w:p>
        </w:tc>
        <w:tc>
          <w:tcPr>
            <w:tcW w:w="1350" w:type="dxa"/>
          </w:tcPr>
          <w:p w14:paraId="71DD27E8" w14:textId="77777777" w:rsidR="00681CDB" w:rsidRPr="00FF3F99" w:rsidRDefault="00681CDB" w:rsidP="005B0D26">
            <w:pPr>
              <w:ind w:left="0"/>
              <w:rPr>
                <w:color w:val="000000" w:themeColor="text1"/>
                <w:sz w:val="15"/>
                <w:szCs w:val="15"/>
              </w:rPr>
            </w:pPr>
            <w:r w:rsidRPr="00FF3F99">
              <w:rPr>
                <w:color w:val="000000" w:themeColor="text1"/>
                <w:sz w:val="15"/>
                <w:szCs w:val="15"/>
              </w:rPr>
              <w:t>Indonesia</w:t>
            </w:r>
          </w:p>
        </w:tc>
        <w:tc>
          <w:tcPr>
            <w:tcW w:w="2252" w:type="dxa"/>
          </w:tcPr>
          <w:p w14:paraId="4C50ECB6"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vAlign w:val="center"/>
          </w:tcPr>
          <w:p w14:paraId="5795DEA7"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vAlign w:val="center"/>
          </w:tcPr>
          <w:p w14:paraId="2B8B9306" w14:textId="77777777" w:rsidR="00681CDB" w:rsidRPr="00FF3F99" w:rsidRDefault="00681CDB" w:rsidP="005B0D26">
            <w:pPr>
              <w:ind w:left="0"/>
              <w:jc w:val="center"/>
              <w:rPr>
                <w:color w:val="000000" w:themeColor="text1"/>
                <w:sz w:val="15"/>
                <w:szCs w:val="15"/>
              </w:rPr>
            </w:pPr>
          </w:p>
        </w:tc>
        <w:tc>
          <w:tcPr>
            <w:tcW w:w="1890" w:type="dxa"/>
            <w:vAlign w:val="center"/>
          </w:tcPr>
          <w:p w14:paraId="2494054E" w14:textId="77777777" w:rsidR="00681CDB" w:rsidRPr="00FF3F99" w:rsidRDefault="00681CDB" w:rsidP="005B0D26">
            <w:pPr>
              <w:ind w:left="0"/>
              <w:jc w:val="center"/>
              <w:rPr>
                <w:color w:val="000000" w:themeColor="text1"/>
                <w:sz w:val="15"/>
                <w:szCs w:val="15"/>
              </w:rPr>
            </w:pPr>
          </w:p>
        </w:tc>
        <w:tc>
          <w:tcPr>
            <w:tcW w:w="1800" w:type="dxa"/>
            <w:vAlign w:val="center"/>
          </w:tcPr>
          <w:p w14:paraId="5D9C36AF" w14:textId="77777777" w:rsidR="00681CDB" w:rsidRPr="00FF3F99" w:rsidRDefault="00681CDB" w:rsidP="005B0D26">
            <w:pPr>
              <w:ind w:left="0"/>
              <w:jc w:val="center"/>
              <w:rPr>
                <w:color w:val="000000" w:themeColor="text1"/>
                <w:sz w:val="15"/>
                <w:szCs w:val="15"/>
                <w:highlight w:val="green"/>
              </w:rPr>
            </w:pPr>
          </w:p>
        </w:tc>
        <w:tc>
          <w:tcPr>
            <w:tcW w:w="1440" w:type="dxa"/>
            <w:tcBorders>
              <w:right w:val="single" w:sz="4" w:space="0" w:color="auto"/>
            </w:tcBorders>
          </w:tcPr>
          <w:p w14:paraId="4CEABE00" w14:textId="77777777" w:rsidR="00681CDB" w:rsidRPr="00FF3F99" w:rsidRDefault="00681CDB" w:rsidP="005B0D26">
            <w:pPr>
              <w:ind w:left="0"/>
              <w:jc w:val="center"/>
              <w:rPr>
                <w:color w:val="000000" w:themeColor="text1"/>
                <w:sz w:val="15"/>
                <w:szCs w:val="15"/>
                <w:highlight w:val="green"/>
              </w:rPr>
            </w:pPr>
          </w:p>
        </w:tc>
      </w:tr>
      <w:tr w:rsidR="00681CDB" w:rsidRPr="00E8387C" w14:paraId="6D36EA57" w14:textId="77777777" w:rsidTr="005B0D26">
        <w:tc>
          <w:tcPr>
            <w:tcW w:w="537" w:type="dxa"/>
            <w:tcBorders>
              <w:left w:val="single" w:sz="4" w:space="0" w:color="auto"/>
            </w:tcBorders>
            <w:shd w:val="clear" w:color="auto" w:fill="D9D9D9" w:themeFill="background1" w:themeFillShade="D9"/>
            <w:vAlign w:val="center"/>
          </w:tcPr>
          <w:p w14:paraId="4D6098BB" w14:textId="23EFBBFF" w:rsidR="00681CDB" w:rsidRPr="00FF3F99" w:rsidRDefault="00681CDB" w:rsidP="005B0D26">
            <w:pPr>
              <w:ind w:left="0"/>
              <w:rPr>
                <w:color w:val="000000" w:themeColor="text1"/>
                <w:sz w:val="15"/>
                <w:szCs w:val="15"/>
                <w:lang w:val="fr-FR"/>
              </w:rPr>
            </w:pPr>
            <w:r w:rsidRPr="00FF3F99">
              <w:rPr>
                <w:color w:val="000000" w:themeColor="text1"/>
                <w:sz w:val="15"/>
                <w:szCs w:val="15"/>
                <w:lang w:val="fr-FR"/>
              </w:rPr>
              <w:fldChar w:fldCharType="begin" w:fldLock="1"/>
            </w:r>
            <w:r w:rsidR="005B0D26">
              <w:rPr>
                <w:color w:val="000000" w:themeColor="text1"/>
                <w:sz w:val="15"/>
                <w:szCs w:val="15"/>
                <w:lang w:val="fr-FR"/>
              </w:rPr>
              <w:instrText>ADDIN CSL_CITATION {"citationItems":[{"id":"ITEM-1","itemData":{"DOI":"10.2499/0896291502","ISBN":"0896291502","ISSN":"08867372","abstract":"Hunger is a pervasive problem in developing countries, undermining people's health, productivity, and often their very survival. Therefore, much of the development agenda focuses on directing scarce resources to providing food to people in need or enabling them to acquire it themselves. The foundation for doing so is a reliable information base on food insecurity - that is, access by people to food - which is the most immediate cause of hunger. Such information is fundamental to effectively targeting assistance, evaluating progress, and developing interventions. Its need is now more urgent than ever as efforts are stepped up to meet the Millennium Development Goal (MDG) of halving the proportion of people who suffer from hunger by 2015. Yet arriving at an accurate measure of food insecurity that is comparable both within and across countries remains a challenge. The indicator most widely employed by policymakers is the measure of \"undernourishment,\" or the percentage of a country's population that does not consume sufficient dietary energy, by the Food and Agriculture Organization of the United Nations (FAO). This method is based on a country's food supplies rather than directly on data representing peoples' access to food. Given a lack of data collected at the household or individual level in national surveys, this is the only feasible method at present, though its reliability for policy making and program planning has been the subject of considerable debate. This report introduces new estimates of food insecurity based on food acquisition data collected directly from households as part of national household expenditure surveys (HESs) conducted in 12 Sub-Saharan African countries. The report has three objectives: (1) to explore the extent and location of food insecurity across and within the countries; (2) to investigate the scientific merit of using the food data collected in HESs to measure food insecurity; and (3) to compare food insecurity estimates generated using HES data with those reported by FAO and explore the reasons for differences between the two. The overall purpose is to investigate how the data collected in HESs can be used to improve the accuracy of FAO's estimates, which are being used to monitor the MDG hunger goal. The study is based on both diet quantity and diet quality indicators of food insecurity. The two main indicators of focus are the share of people consuming insufficient dietary energy, or the prevalence of \"food energy de…","author":[{"dropping-particle":"","family":"Smith","given":"Lisa C.","non-dropping-particle":"","parse-names":false,"suffix":""},{"dropping-particle":"","family":"Alderman","given":"Harold","non-dropping-particle":"","parse-names":false,"suffix":""},{"dropping-particle":"","family":"Aduayom","given":"Dede","non-dropping-particle":"","parse-names":false,"suffix":""}],"container-title":"Research Report","id":"ITEM-1","issue":"146","issued":{"date-parts":[["2006"]]},"number-of-pages":"1-122","publisher-place":"Washington, D.C.","title":"Food insecurity in Sub-Saharan Africa: New estimates from household expenditure surveys","type":"report"},"uris":["http://www.mendeley.com/documents/?uuid=cf76156e-1a26-4fe5-9e65-c3063754a782"]}],"mendeley":{"formattedCitation":"&lt;sup&gt;(50)&lt;/sup&gt;","plainTextFormattedCitation":"(50)","previouslyFormattedCitation":"[50]"},"properties":{"noteIndex":0},"schema":"https://github.com/citation-style-language/schema/raw/master/csl-citation.json"}</w:instrText>
            </w:r>
            <w:r w:rsidRPr="00FF3F99">
              <w:rPr>
                <w:color w:val="000000" w:themeColor="text1"/>
                <w:sz w:val="15"/>
                <w:szCs w:val="15"/>
                <w:lang w:val="fr-FR"/>
              </w:rPr>
              <w:fldChar w:fldCharType="separate"/>
            </w:r>
            <w:r w:rsidR="005B0D26" w:rsidRPr="005B0D26">
              <w:rPr>
                <w:noProof/>
                <w:color w:val="000000" w:themeColor="text1"/>
                <w:sz w:val="15"/>
                <w:szCs w:val="15"/>
                <w:vertAlign w:val="superscript"/>
                <w:lang w:val="fr-FR"/>
              </w:rPr>
              <w:t>(50)</w:t>
            </w:r>
            <w:r w:rsidRPr="00FF3F99">
              <w:rPr>
                <w:color w:val="000000" w:themeColor="text1"/>
                <w:sz w:val="15"/>
                <w:szCs w:val="15"/>
                <w:lang w:val="fr-FR"/>
              </w:rPr>
              <w:fldChar w:fldCharType="end"/>
            </w:r>
          </w:p>
        </w:tc>
        <w:tc>
          <w:tcPr>
            <w:tcW w:w="2066" w:type="dxa"/>
            <w:shd w:val="clear" w:color="auto" w:fill="D9D9D9" w:themeFill="background1" w:themeFillShade="D9"/>
            <w:vAlign w:val="center"/>
          </w:tcPr>
          <w:p w14:paraId="0DD024BD" w14:textId="77777777" w:rsidR="00681CDB" w:rsidRPr="00FF3F99" w:rsidRDefault="00681CDB" w:rsidP="005B0D26">
            <w:pPr>
              <w:ind w:left="0"/>
              <w:rPr>
                <w:color w:val="000000" w:themeColor="text1"/>
                <w:sz w:val="15"/>
                <w:szCs w:val="15"/>
                <w:lang w:val="fr-FR"/>
              </w:rPr>
            </w:pPr>
            <w:r w:rsidRPr="00FF3F99">
              <w:rPr>
                <w:color w:val="000000" w:themeColor="text1"/>
                <w:sz w:val="15"/>
                <w:szCs w:val="15"/>
                <w:lang w:val="fr-FR"/>
              </w:rPr>
              <w:t>Smith et al. (2006)</w:t>
            </w:r>
          </w:p>
        </w:tc>
        <w:tc>
          <w:tcPr>
            <w:tcW w:w="1350" w:type="dxa"/>
            <w:shd w:val="clear" w:color="auto" w:fill="D9D9D9" w:themeFill="background1" w:themeFillShade="D9"/>
            <w:vAlign w:val="center"/>
          </w:tcPr>
          <w:p w14:paraId="051E223B" w14:textId="77777777" w:rsidR="00681CDB" w:rsidRPr="00FF3F99" w:rsidRDefault="00681CDB" w:rsidP="005B0D26">
            <w:pPr>
              <w:ind w:left="0"/>
              <w:rPr>
                <w:color w:val="000000" w:themeColor="text1"/>
                <w:sz w:val="15"/>
                <w:szCs w:val="15"/>
                <w:lang w:val="fr-FR"/>
              </w:rPr>
            </w:pPr>
            <w:r w:rsidRPr="00FF3F99">
              <w:rPr>
                <w:color w:val="000000" w:themeColor="text1"/>
                <w:sz w:val="15"/>
                <w:szCs w:val="15"/>
                <w:lang w:val="fr-FR"/>
              </w:rPr>
              <w:t xml:space="preserve">Burundi, </w:t>
            </w:r>
            <w:proofErr w:type="spellStart"/>
            <w:r w:rsidRPr="00FF3F99">
              <w:rPr>
                <w:color w:val="000000" w:themeColor="text1"/>
                <w:sz w:val="15"/>
                <w:szCs w:val="15"/>
                <w:lang w:val="fr-FR"/>
              </w:rPr>
              <w:t>Ethiopia</w:t>
            </w:r>
            <w:proofErr w:type="spellEnd"/>
            <w:r w:rsidRPr="00FF3F99">
              <w:rPr>
                <w:color w:val="000000" w:themeColor="text1"/>
                <w:sz w:val="15"/>
                <w:szCs w:val="15"/>
                <w:lang w:val="fr-FR"/>
              </w:rPr>
              <w:t xml:space="preserve">, Ghana, </w:t>
            </w:r>
            <w:proofErr w:type="spellStart"/>
            <w:r w:rsidRPr="00FF3F99">
              <w:rPr>
                <w:color w:val="000000" w:themeColor="text1"/>
                <w:sz w:val="15"/>
                <w:szCs w:val="15"/>
                <w:lang w:val="fr-FR"/>
              </w:rPr>
              <w:t>Guinea</w:t>
            </w:r>
            <w:proofErr w:type="spellEnd"/>
            <w:r w:rsidRPr="00FF3F99">
              <w:rPr>
                <w:color w:val="000000" w:themeColor="text1"/>
                <w:sz w:val="15"/>
                <w:szCs w:val="15"/>
                <w:lang w:val="fr-FR"/>
              </w:rPr>
              <w:t xml:space="preserve">, Kenya, Malawi, Mozambique, Rwanda, </w:t>
            </w:r>
            <w:proofErr w:type="spellStart"/>
            <w:r w:rsidRPr="00FF3F99">
              <w:rPr>
                <w:color w:val="000000" w:themeColor="text1"/>
                <w:sz w:val="15"/>
                <w:szCs w:val="15"/>
                <w:lang w:val="fr-FR"/>
              </w:rPr>
              <w:t>Senegal</w:t>
            </w:r>
            <w:proofErr w:type="spellEnd"/>
            <w:r w:rsidRPr="00FF3F99">
              <w:rPr>
                <w:color w:val="000000" w:themeColor="text1"/>
                <w:sz w:val="15"/>
                <w:szCs w:val="15"/>
                <w:lang w:val="fr-FR"/>
              </w:rPr>
              <w:t xml:space="preserve">, </w:t>
            </w:r>
            <w:proofErr w:type="spellStart"/>
            <w:r w:rsidRPr="00FF3F99">
              <w:rPr>
                <w:color w:val="000000" w:themeColor="text1"/>
                <w:sz w:val="15"/>
                <w:szCs w:val="15"/>
                <w:lang w:val="fr-FR"/>
              </w:rPr>
              <w:t>Tanzania</w:t>
            </w:r>
            <w:proofErr w:type="spellEnd"/>
            <w:r w:rsidRPr="00FF3F99">
              <w:rPr>
                <w:color w:val="000000" w:themeColor="text1"/>
                <w:sz w:val="15"/>
                <w:szCs w:val="15"/>
                <w:lang w:val="fr-FR"/>
              </w:rPr>
              <w:t xml:space="preserve">, Uganda, </w:t>
            </w:r>
            <w:proofErr w:type="spellStart"/>
            <w:r w:rsidRPr="00FF3F99">
              <w:rPr>
                <w:color w:val="000000" w:themeColor="text1"/>
                <w:sz w:val="15"/>
                <w:szCs w:val="15"/>
                <w:lang w:val="fr-FR"/>
              </w:rPr>
              <w:t>Zambia</w:t>
            </w:r>
            <w:proofErr w:type="spellEnd"/>
          </w:p>
        </w:tc>
        <w:tc>
          <w:tcPr>
            <w:tcW w:w="2252" w:type="dxa"/>
            <w:shd w:val="clear" w:color="auto" w:fill="D9D9D9" w:themeFill="background1" w:themeFillShade="D9"/>
            <w:vAlign w:val="center"/>
          </w:tcPr>
          <w:p w14:paraId="7013F46B" w14:textId="77777777" w:rsidR="00681CDB" w:rsidRPr="00FF3F99" w:rsidRDefault="00681CDB" w:rsidP="005B0D26">
            <w:pPr>
              <w:ind w:left="0"/>
              <w:rPr>
                <w:color w:val="000000" w:themeColor="text1"/>
                <w:sz w:val="15"/>
                <w:szCs w:val="15"/>
                <w:lang w:val="fr-FR"/>
              </w:rPr>
            </w:pPr>
            <w:r w:rsidRPr="00FF3F99">
              <w:rPr>
                <w:color w:val="000000" w:themeColor="text1"/>
                <w:sz w:val="15"/>
                <w:szCs w:val="15"/>
                <w:lang w:val="fr-FR"/>
              </w:rPr>
              <w:t xml:space="preserve">Acquisition &amp; </w:t>
            </w:r>
            <w:proofErr w:type="spellStart"/>
            <w:r w:rsidRPr="00FF3F99">
              <w:rPr>
                <w:color w:val="000000" w:themeColor="text1"/>
                <w:sz w:val="15"/>
                <w:szCs w:val="15"/>
                <w:lang w:val="fr-FR"/>
              </w:rPr>
              <w:t>expenditure</w:t>
            </w:r>
            <w:proofErr w:type="spellEnd"/>
            <w:r w:rsidRPr="00FF3F99">
              <w:rPr>
                <w:color w:val="000000" w:themeColor="text1"/>
                <w:sz w:val="15"/>
                <w:szCs w:val="15"/>
                <w:lang w:val="fr-FR"/>
              </w:rPr>
              <w:t xml:space="preserve"> </w:t>
            </w:r>
            <w:proofErr w:type="spellStart"/>
            <w:r w:rsidRPr="00FF3F99">
              <w:rPr>
                <w:color w:val="000000" w:themeColor="text1"/>
                <w:sz w:val="15"/>
                <w:szCs w:val="15"/>
                <w:lang w:val="fr-FR"/>
              </w:rPr>
              <w:t>recall</w:t>
            </w:r>
            <w:proofErr w:type="spellEnd"/>
          </w:p>
        </w:tc>
        <w:tc>
          <w:tcPr>
            <w:tcW w:w="1350" w:type="dxa"/>
            <w:shd w:val="clear" w:color="auto" w:fill="D9D9D9" w:themeFill="background1" w:themeFillShade="D9"/>
            <w:vAlign w:val="center"/>
          </w:tcPr>
          <w:p w14:paraId="4894958C" w14:textId="77777777" w:rsidR="00681CDB" w:rsidRPr="00FF3F99" w:rsidRDefault="00681CDB" w:rsidP="005B0D26">
            <w:pPr>
              <w:ind w:left="0"/>
              <w:jc w:val="center"/>
              <w:rPr>
                <w:color w:val="000000" w:themeColor="text1"/>
                <w:sz w:val="15"/>
                <w:szCs w:val="15"/>
                <w:lang w:val="fr-FR"/>
              </w:rPr>
            </w:pPr>
            <w:proofErr w:type="gramStart"/>
            <w:r w:rsidRPr="00FF3F99">
              <w:rPr>
                <w:color w:val="000000" w:themeColor="text1"/>
                <w:sz w:val="15"/>
                <w:szCs w:val="15"/>
                <w:lang w:val="fr-FR"/>
              </w:rPr>
              <w:t>Varies</w:t>
            </w:r>
            <w:proofErr w:type="gramEnd"/>
          </w:p>
        </w:tc>
        <w:tc>
          <w:tcPr>
            <w:tcW w:w="1260" w:type="dxa"/>
            <w:shd w:val="clear" w:color="auto" w:fill="D9D9D9" w:themeFill="background1" w:themeFillShade="D9"/>
            <w:vAlign w:val="center"/>
          </w:tcPr>
          <w:p w14:paraId="0739EC43" w14:textId="77777777" w:rsidR="00681CDB" w:rsidRPr="00FF3F99" w:rsidRDefault="00681CDB" w:rsidP="005B0D26">
            <w:pPr>
              <w:ind w:left="0"/>
              <w:jc w:val="center"/>
              <w:rPr>
                <w:color w:val="000000" w:themeColor="text1"/>
                <w:sz w:val="15"/>
                <w:szCs w:val="15"/>
                <w:lang w:val="fr-FR"/>
              </w:rPr>
            </w:pPr>
          </w:p>
        </w:tc>
        <w:tc>
          <w:tcPr>
            <w:tcW w:w="1890" w:type="dxa"/>
            <w:shd w:val="clear" w:color="auto" w:fill="D9D9D9" w:themeFill="background1" w:themeFillShade="D9"/>
            <w:vAlign w:val="center"/>
          </w:tcPr>
          <w:p w14:paraId="542975FE" w14:textId="77777777" w:rsidR="00681CDB" w:rsidRPr="00FF3F99" w:rsidRDefault="00681CDB" w:rsidP="005B0D26">
            <w:pPr>
              <w:ind w:left="0"/>
              <w:jc w:val="center"/>
              <w:rPr>
                <w:color w:val="000000" w:themeColor="text1"/>
                <w:sz w:val="15"/>
                <w:szCs w:val="15"/>
                <w:lang w:val="fr-FR"/>
              </w:rPr>
            </w:pPr>
          </w:p>
        </w:tc>
        <w:tc>
          <w:tcPr>
            <w:tcW w:w="1800" w:type="dxa"/>
            <w:shd w:val="clear" w:color="auto" w:fill="D9D9D9" w:themeFill="background1" w:themeFillShade="D9"/>
            <w:vAlign w:val="center"/>
          </w:tcPr>
          <w:p w14:paraId="55A07F31" w14:textId="77777777" w:rsidR="00681CDB" w:rsidRPr="00FF3F99" w:rsidRDefault="00681CDB" w:rsidP="005B0D26">
            <w:pPr>
              <w:ind w:left="0"/>
              <w:jc w:val="center"/>
              <w:rPr>
                <w:color w:val="000000" w:themeColor="text1"/>
                <w:sz w:val="15"/>
                <w:szCs w:val="15"/>
                <w:highlight w:val="green"/>
                <w:lang w:val="fr-FR"/>
              </w:rPr>
            </w:pPr>
          </w:p>
        </w:tc>
        <w:tc>
          <w:tcPr>
            <w:tcW w:w="1440" w:type="dxa"/>
            <w:tcBorders>
              <w:right w:val="single" w:sz="4" w:space="0" w:color="auto"/>
            </w:tcBorders>
            <w:shd w:val="clear" w:color="auto" w:fill="D9D9D9" w:themeFill="background1" w:themeFillShade="D9"/>
          </w:tcPr>
          <w:p w14:paraId="093C668D" w14:textId="77777777" w:rsidR="00681CDB" w:rsidRPr="00FF3F99" w:rsidRDefault="00681CDB" w:rsidP="005B0D26">
            <w:pPr>
              <w:ind w:left="0"/>
              <w:jc w:val="center"/>
              <w:rPr>
                <w:color w:val="000000" w:themeColor="text1"/>
                <w:sz w:val="15"/>
                <w:szCs w:val="15"/>
                <w:lang w:val="fr-FR"/>
              </w:rPr>
            </w:pPr>
          </w:p>
        </w:tc>
      </w:tr>
      <w:tr w:rsidR="00681CDB" w:rsidRPr="00E8387C" w14:paraId="40C42A2C" w14:textId="77777777" w:rsidTr="005B0D26">
        <w:tc>
          <w:tcPr>
            <w:tcW w:w="537" w:type="dxa"/>
            <w:tcBorders>
              <w:left w:val="single" w:sz="4" w:space="0" w:color="auto"/>
            </w:tcBorders>
            <w:vAlign w:val="center"/>
          </w:tcPr>
          <w:p w14:paraId="6EC8F181" w14:textId="774C4CE5"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lang w:val="fr-FR"/>
              </w:rPr>
              <w:instrText>ADDIN CSL_CITATION {"citationItems":[{"id":"ITEM-1","itemData":{"DOI":"10.1177/0379572118825176","ISSN":"03795721","abstract":"Background: India has made important strides in reducing nutritional deficiencies over the past several decades. However, for micronutrients such as zinc, previous studies have suggested a worsening situation, contrary to most other dietary indicators. Adding to this burden, higher carbon dioxide (CO2) levels of 550 ppm, projected to potentially occur within decades, could reduce the zinc content of many staple crops. Objective: To assess the historical prevalence of inadequate zinc intake, as well as to estimate the future prevalence attributable to rising CO2. Methods: Seven household food consumption surveys between 1983 and 2012 were used to calculate total dietary zinc, phytate, and absorbable zinc intakes and to assess the prevalence of historic inadequacy in zinc intake. The added nutritional effect of elevated CO2 on zinc intake is then modeled. Results: Prevalence of inadequate absorbable zinc intake has increased from 17.1% (15.3%-19.0%) in 1983 to 24.6% (22.3%-27.1%) in 2011-12, corresponding to an additional 82 million people consuming inadequate zinc than would have otherwise if 1983 rates had persisted. These increases in inadequacy have been driven by a relatively constant zinc intake being increasingly insufficient to meet a 5% growth in zinc requirements due to the aging of the population. Reaching 550 ppm CO2 by 2050 could potentially increase the prevalence of inadequate zinc intake by another 3.9 percentage points (2.1-5.8), corresponding to 65 million additional people having inadequate zinc intake. Conclusions: The persistently worsening trend for zinc—opposite most other measures of human nutrition—shows that it may pose an ongoing risk unless addressed.","author":[{"dropping-particle":"","family":"Smith","given":"Matthew R.","non-dropping-particle":"","parse-names":false,"suffix":""},{"dropping-particle":"","family":"DeFries","given":"Ruth","non-dropping-particle":"","parse-names":false,"suffix":""},{"dropping-particle":"","family":"Chhatre","given":"Ashwini","non-dropping-particle":"","parse-names":false,"suffix":""},{"dropping-particle":"","family":"Ghosh-Jerath","given":"Suparna","non-dropping-particle":"","parse-names":false,"suffix":""},{"dropping-particle":"","family":"Myers","given":"Samuel S.","non-dropping-particle":"","parse-names":false,"suffix":""}],"container-title":"Food and Nutrition Bulletin","id":"ITEM-1","issue":"1","issued":{"date-parts":[["2019"]]},"page":"26-40","title":"Inadequate Zinc Intake in India: Past, Present, and Future","type":"article-journal","volume":"40"},"uris":["http://www.mendeley.com/documents/?uuid=7c7c7bdf-3989-4f30-9ea0-038376e6f034"]}],"mendeley":{"formattedCitation":"&lt;sup&gt;(51)&lt;/sup&gt;","plainTextFormattedCitation":"(51)","previouslyFormattedCitation":"[51]"},"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(51)</w:t>
            </w:r>
            <w:r w:rsidRPr="00FF3F99">
              <w:rPr>
                <w:color w:val="000000" w:themeColor="text1"/>
                <w:sz w:val="15"/>
                <w:szCs w:val="15"/>
              </w:rPr>
              <w:fldChar w:fldCharType="end"/>
            </w:r>
          </w:p>
        </w:tc>
        <w:tc>
          <w:tcPr>
            <w:tcW w:w="2066" w:type="dxa"/>
            <w:vAlign w:val="center"/>
          </w:tcPr>
          <w:p w14:paraId="2DE5E344" w14:textId="77777777" w:rsidR="00681CDB" w:rsidRPr="00FF3F99" w:rsidRDefault="00681CDB" w:rsidP="005B0D26">
            <w:pPr>
              <w:ind w:left="0"/>
              <w:rPr>
                <w:color w:val="000000" w:themeColor="text1"/>
                <w:sz w:val="15"/>
                <w:szCs w:val="15"/>
              </w:rPr>
            </w:pPr>
            <w:r w:rsidRPr="00FF3F99">
              <w:rPr>
                <w:color w:val="000000" w:themeColor="text1"/>
                <w:sz w:val="15"/>
                <w:szCs w:val="15"/>
              </w:rPr>
              <w:t>Smith et al. (2019)</w:t>
            </w:r>
          </w:p>
        </w:tc>
        <w:tc>
          <w:tcPr>
            <w:tcW w:w="1350" w:type="dxa"/>
            <w:vAlign w:val="center"/>
          </w:tcPr>
          <w:p w14:paraId="674C75DA" w14:textId="77777777" w:rsidR="00681CDB" w:rsidRPr="00FF3F99" w:rsidRDefault="00681CDB" w:rsidP="005B0D26">
            <w:pPr>
              <w:ind w:left="0"/>
              <w:rPr>
                <w:color w:val="000000" w:themeColor="text1"/>
                <w:sz w:val="15"/>
                <w:szCs w:val="15"/>
              </w:rPr>
            </w:pPr>
            <w:r w:rsidRPr="00FF3F99">
              <w:rPr>
                <w:color w:val="000000" w:themeColor="text1"/>
                <w:sz w:val="15"/>
                <w:szCs w:val="15"/>
              </w:rPr>
              <w:t>India</w:t>
            </w:r>
          </w:p>
        </w:tc>
        <w:tc>
          <w:tcPr>
            <w:tcW w:w="2252" w:type="dxa"/>
            <w:vAlign w:val="center"/>
          </w:tcPr>
          <w:p w14:paraId="7B521757"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&amp; consumption recall</w:t>
            </w:r>
          </w:p>
        </w:tc>
        <w:tc>
          <w:tcPr>
            <w:tcW w:w="1350" w:type="dxa"/>
            <w:vAlign w:val="center"/>
          </w:tcPr>
          <w:p w14:paraId="17565B12"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month</w:t>
            </w:r>
          </w:p>
        </w:tc>
        <w:tc>
          <w:tcPr>
            <w:tcW w:w="1260" w:type="dxa"/>
            <w:vAlign w:val="center"/>
          </w:tcPr>
          <w:p w14:paraId="66F07BC2" w14:textId="77777777" w:rsidR="00681CDB" w:rsidRPr="00FF3F99" w:rsidRDefault="00681CDB" w:rsidP="005B0D26">
            <w:pPr>
              <w:ind w:left="0"/>
              <w:jc w:val="center"/>
              <w:rPr>
                <w:color w:val="000000" w:themeColor="text1"/>
                <w:sz w:val="15"/>
                <w:szCs w:val="15"/>
              </w:rPr>
            </w:pPr>
          </w:p>
        </w:tc>
        <w:tc>
          <w:tcPr>
            <w:tcW w:w="1890" w:type="dxa"/>
            <w:vAlign w:val="center"/>
          </w:tcPr>
          <w:p w14:paraId="32C8A07D" w14:textId="77777777" w:rsidR="00681CDB" w:rsidRPr="00FF3F99" w:rsidRDefault="00681CDB" w:rsidP="005B0D26">
            <w:pPr>
              <w:ind w:left="0"/>
              <w:jc w:val="center"/>
              <w:rPr>
                <w:color w:val="000000" w:themeColor="text1"/>
                <w:sz w:val="15"/>
                <w:szCs w:val="15"/>
              </w:rPr>
            </w:pPr>
          </w:p>
        </w:tc>
        <w:tc>
          <w:tcPr>
            <w:tcW w:w="1800" w:type="dxa"/>
            <w:vAlign w:val="center"/>
          </w:tcPr>
          <w:p w14:paraId="55C19B2C"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tcPr>
          <w:p w14:paraId="7F6AD6EC" w14:textId="77777777" w:rsidR="00681CDB" w:rsidRPr="00FF3F99" w:rsidRDefault="00681CDB" w:rsidP="005B0D26">
            <w:pPr>
              <w:ind w:left="0"/>
              <w:jc w:val="center"/>
              <w:rPr>
                <w:color w:val="000000" w:themeColor="text1"/>
                <w:sz w:val="15"/>
                <w:szCs w:val="15"/>
              </w:rPr>
            </w:pPr>
          </w:p>
        </w:tc>
      </w:tr>
      <w:tr w:rsidR="00681CDB" w:rsidRPr="00E8387C" w14:paraId="4BA1223A" w14:textId="77777777" w:rsidTr="005B0D26">
        <w:tc>
          <w:tcPr>
            <w:tcW w:w="537" w:type="dxa"/>
            <w:tcBorders>
              <w:left w:val="single" w:sz="4" w:space="0" w:color="auto"/>
            </w:tcBorders>
            <w:shd w:val="clear" w:color="auto" w:fill="D9D9D9" w:themeFill="background1" w:themeFillShade="D9"/>
            <w:vAlign w:val="center"/>
          </w:tcPr>
          <w:p w14:paraId="3ED560A2" w14:textId="5447430D"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{"citationItems":[{"id":"ITEM-1","itemData":{"abstract":"There are a number of assumptions required to estimate actual calories consumed from expenditure data regarding calories contained in processed foods and meals eaten outside the household. Ideally, estimates of calorie consumption and the assessment of food security would be similar under a wide variety of assumptions, and the range of estimates would be quite small. However, this paper, which estimates the calories consumed per Indian household using the 61st round of the National Sample Survey, finds that the assessment of food security varies significantly under slightly different assumptions. Given the significant amount of measurement error in estimates of calories consumed, it is important to analyse not only household consumption surveys, but also aggregate food availability studies and health surveys collecting anthropometric measures that accompany undernourishment, such as stunting.","author":[{"dropping-particle":"","family":"Tandon","given":"Sharad","non-dropping-particle":"","parse-names":false,"suffix":""},{"dropping-particle":"","family":"Landes","given":"Rip","non-dropping-particle":"","parse-names":false,"suffix":""}],"container-title":"Economic and political weekly","id":"ITEM-1","issue":"22","issued":{"date-parts":[["2010"]]},"page":"92-99","title":"The Sensitivity of Food Security in India","type":"article-journal","volume":"46"},"uris":["http://www.mendeley.com/documents/?uuid=53551eb7-a9c7-4275-ace9-f049e44bdbe1"]}],"mendeley":{"formattedCitation":"&lt;sup&gt;(52)&lt;/sup&gt;","plainTextFormattedCitation":"(52)","previouslyFormattedCitation":"[52]"},"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(52)</w:t>
            </w:r>
            <w:r w:rsidRPr="00FF3F99">
              <w:rPr>
                <w:color w:val="000000" w:themeColor="text1"/>
                <w:sz w:val="15"/>
                <w:szCs w:val="15"/>
              </w:rPr>
              <w:fldChar w:fldCharType="end"/>
            </w:r>
          </w:p>
        </w:tc>
        <w:tc>
          <w:tcPr>
            <w:tcW w:w="2066" w:type="dxa"/>
            <w:shd w:val="clear" w:color="auto" w:fill="D9D9D9" w:themeFill="background1" w:themeFillShade="D9"/>
            <w:vAlign w:val="center"/>
          </w:tcPr>
          <w:p w14:paraId="1AE90E8E" w14:textId="77777777" w:rsidR="00681CDB" w:rsidRPr="00FF3F99" w:rsidRDefault="00681CDB" w:rsidP="005B0D26">
            <w:pPr>
              <w:ind w:left="0"/>
              <w:rPr>
                <w:color w:val="000000" w:themeColor="text1"/>
                <w:sz w:val="15"/>
                <w:szCs w:val="15"/>
              </w:rPr>
            </w:pPr>
            <w:r w:rsidRPr="00FF3F99">
              <w:rPr>
                <w:color w:val="000000" w:themeColor="text1"/>
                <w:sz w:val="15"/>
                <w:szCs w:val="15"/>
              </w:rPr>
              <w:t xml:space="preserve">Tandon &amp; </w:t>
            </w:r>
            <w:proofErr w:type="spellStart"/>
            <w:r w:rsidRPr="00FF3F99">
              <w:rPr>
                <w:color w:val="000000" w:themeColor="text1"/>
                <w:sz w:val="15"/>
                <w:szCs w:val="15"/>
              </w:rPr>
              <w:t>Landes</w:t>
            </w:r>
            <w:proofErr w:type="spellEnd"/>
            <w:r w:rsidRPr="00FF3F99">
              <w:rPr>
                <w:color w:val="000000" w:themeColor="text1"/>
                <w:sz w:val="15"/>
                <w:szCs w:val="15"/>
              </w:rPr>
              <w:t xml:space="preserve"> (2010)</w:t>
            </w:r>
          </w:p>
        </w:tc>
        <w:tc>
          <w:tcPr>
            <w:tcW w:w="1350" w:type="dxa"/>
            <w:shd w:val="clear" w:color="auto" w:fill="D9D9D9" w:themeFill="background1" w:themeFillShade="D9"/>
          </w:tcPr>
          <w:p w14:paraId="79E0200B" w14:textId="77777777" w:rsidR="00681CDB" w:rsidRPr="00FF3F99" w:rsidRDefault="00681CDB" w:rsidP="005B0D26">
            <w:pPr>
              <w:ind w:left="0"/>
              <w:rPr>
                <w:color w:val="000000" w:themeColor="text1"/>
                <w:sz w:val="15"/>
                <w:szCs w:val="15"/>
              </w:rPr>
            </w:pPr>
            <w:r w:rsidRPr="00FF3F99">
              <w:rPr>
                <w:color w:val="000000" w:themeColor="text1"/>
                <w:sz w:val="15"/>
                <w:szCs w:val="15"/>
              </w:rPr>
              <w:t>India</w:t>
            </w:r>
          </w:p>
        </w:tc>
        <w:tc>
          <w:tcPr>
            <w:tcW w:w="2252" w:type="dxa"/>
            <w:shd w:val="clear" w:color="auto" w:fill="D9D9D9" w:themeFill="background1" w:themeFillShade="D9"/>
          </w:tcPr>
          <w:p w14:paraId="263A4A9F"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shd w:val="clear" w:color="auto" w:fill="D9D9D9" w:themeFill="background1" w:themeFillShade="D9"/>
            <w:vAlign w:val="center"/>
          </w:tcPr>
          <w:p w14:paraId="254D7CB9"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month</w:t>
            </w:r>
          </w:p>
        </w:tc>
        <w:tc>
          <w:tcPr>
            <w:tcW w:w="1260" w:type="dxa"/>
            <w:shd w:val="clear" w:color="auto" w:fill="D9D9D9" w:themeFill="background1" w:themeFillShade="D9"/>
            <w:vAlign w:val="center"/>
          </w:tcPr>
          <w:p w14:paraId="28B67936"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7B54C256"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7DB06682"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7359806F" w14:textId="77777777" w:rsidR="00681CDB" w:rsidRPr="00FF3F99" w:rsidRDefault="00681CDB" w:rsidP="005B0D26">
            <w:pPr>
              <w:ind w:left="0"/>
              <w:jc w:val="center"/>
              <w:rPr>
                <w:color w:val="000000" w:themeColor="text1"/>
                <w:sz w:val="15"/>
                <w:szCs w:val="15"/>
              </w:rPr>
            </w:pPr>
          </w:p>
        </w:tc>
      </w:tr>
      <w:tr w:rsidR="00681CDB" w:rsidRPr="00E8387C" w14:paraId="73D65B80" w14:textId="77777777" w:rsidTr="005B0D26">
        <w:tc>
          <w:tcPr>
            <w:tcW w:w="537" w:type="dxa"/>
            <w:tcBorders>
              <w:left w:val="single" w:sz="4" w:space="0" w:color="auto"/>
            </w:tcBorders>
            <w:shd w:val="clear" w:color="auto" w:fill="FFFFFF" w:themeFill="background1"/>
            <w:vAlign w:val="center"/>
          </w:tcPr>
          <w:p w14:paraId="7FAAE74E" w14:textId="1BBE8DB9"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{"citationItems":[{"id":"ITEM-1","itemData":{"DOI":"10.1016/j.ehb.2018.09.002","ISSN":"18736130","abstract":"Vietnam is undergoing a nutritional transition like many middle-income countries. This transition is characterized by an increase in per capita total calorie intake resulting from an increase in the consumption of fat and protein while the carbohydrate consumption decreases. This paper proposes to highlight the sociodemographic drivers of this transition over the period 2004–2014, using Vietnam Household Living Standard Survey data. We implement a method of decomposition of between-year differences in economic outcomes recently proposed in the literature. This method decomposes the between-year change in various indicators related to the outcome distribution (mean, median, quantiles, etc.) into (1) the effect due to between-year change in the conditional distribution of the outcome given sociodemographic characteristics, or “structure effect” and (2) the effect due to the differences in sociodemographic characteristics across years, or “composition effect”. In turn, this last effect is decomposed into direct contributions of each sociodemographic characteristics and effects of their interactions. The composition effect, always positive, generally outweighs the structure effect when considering the between-year changes in distributions of per capita calorie intake or calorie intake coming from protein or fat. The effects of changes in the composition of the Vietnamese population thus overcome the effects of changes in preferences of the same population. This finding is reversed in the case of carbohydrates. Food expenditure and household size appear to be the main contributors to the composition effect. The positive effects of these two variables explain well most of the between-year shifts observed in the calorie intake distributions. Urbanization and level of education contribute negatively to the composition effect, with the noticeable exception of fat where the effect of urbanization is positive. But these two variables effects are negligible compared to those of food expenditure and household size.","author":[{"dropping-particle":"","family":"Trinh Thi","given":"Huong","non-dropping-particle":"","parse-names":false,"suffix":""},{"dropping-particle":"","family":"Simioni","given":"Michel","non-dropping-particle":"","parse-names":false,"suffix":""},{"dropping-particle":"","family":"Thomas-Agnan","given":"Christine","non-dropping-particle":"","parse-names":false,"suffix":""}],"container-title":"Economics and Human Biology","id":"ITEM-1","issued":{"date-parts":[["2018"]]},"page":"259-275","title":"Decomposition of changes in the consumption of macronutrients in Vietnam between 2004 and 2014","type":"article-journal","volume":"31"},"uris":["http://www.mendeley.com/documents/?uuid=6cecea59-2a40-4382-b607-dca67b99e424"]}],"mendeley":{"formattedCitation":"&lt;sup&gt;(53)&lt;/sup&gt;","plainTextFormattedCitation":"(53)","previouslyFormattedCitation":"[53]"},"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(53)</w:t>
            </w:r>
            <w:r w:rsidRPr="00FF3F99">
              <w:rPr>
                <w:color w:val="000000" w:themeColor="text1"/>
                <w:sz w:val="15"/>
                <w:szCs w:val="15"/>
              </w:rPr>
              <w:fldChar w:fldCharType="end"/>
            </w:r>
          </w:p>
        </w:tc>
        <w:tc>
          <w:tcPr>
            <w:tcW w:w="2066" w:type="dxa"/>
            <w:shd w:val="clear" w:color="auto" w:fill="FFFFFF" w:themeFill="background1"/>
            <w:vAlign w:val="center"/>
          </w:tcPr>
          <w:p w14:paraId="5A788C2D" w14:textId="77777777" w:rsidR="00681CDB" w:rsidRPr="00FF3F99" w:rsidRDefault="00681CDB" w:rsidP="005B0D26">
            <w:pPr>
              <w:ind w:left="0"/>
              <w:rPr>
                <w:color w:val="000000" w:themeColor="text1"/>
                <w:sz w:val="15"/>
                <w:szCs w:val="15"/>
              </w:rPr>
            </w:pPr>
            <w:r w:rsidRPr="00FF3F99">
              <w:rPr>
                <w:color w:val="000000" w:themeColor="text1"/>
                <w:sz w:val="15"/>
                <w:szCs w:val="15"/>
              </w:rPr>
              <w:t xml:space="preserve">Trinh </w:t>
            </w:r>
            <w:proofErr w:type="spellStart"/>
            <w:r w:rsidRPr="00FF3F99">
              <w:rPr>
                <w:color w:val="000000" w:themeColor="text1"/>
                <w:sz w:val="15"/>
                <w:szCs w:val="15"/>
              </w:rPr>
              <w:t>Thi</w:t>
            </w:r>
            <w:proofErr w:type="spellEnd"/>
            <w:r w:rsidRPr="00FF3F99">
              <w:rPr>
                <w:color w:val="000000" w:themeColor="text1"/>
                <w:sz w:val="15"/>
                <w:szCs w:val="15"/>
              </w:rPr>
              <w:t xml:space="preserve"> et al. (2018)</w:t>
            </w:r>
          </w:p>
        </w:tc>
        <w:tc>
          <w:tcPr>
            <w:tcW w:w="1350" w:type="dxa"/>
            <w:shd w:val="clear" w:color="auto" w:fill="FFFFFF" w:themeFill="background1"/>
          </w:tcPr>
          <w:p w14:paraId="5DA68977" w14:textId="77777777" w:rsidR="00681CDB" w:rsidRPr="00FF3F99" w:rsidRDefault="00681CDB" w:rsidP="005B0D26">
            <w:pPr>
              <w:ind w:left="0"/>
              <w:rPr>
                <w:color w:val="000000" w:themeColor="text1"/>
                <w:sz w:val="15"/>
                <w:szCs w:val="15"/>
              </w:rPr>
            </w:pPr>
            <w:r w:rsidRPr="00FF3F99">
              <w:rPr>
                <w:color w:val="000000" w:themeColor="text1"/>
                <w:sz w:val="15"/>
                <w:szCs w:val="15"/>
              </w:rPr>
              <w:t>Vietnam</w:t>
            </w:r>
          </w:p>
        </w:tc>
        <w:tc>
          <w:tcPr>
            <w:tcW w:w="2252" w:type="dxa"/>
            <w:shd w:val="clear" w:color="auto" w:fill="FFFFFF" w:themeFill="background1"/>
          </w:tcPr>
          <w:p w14:paraId="58F48261"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shd w:val="clear" w:color="auto" w:fill="FFFFFF" w:themeFill="background1"/>
            <w:vAlign w:val="center"/>
          </w:tcPr>
          <w:p w14:paraId="373AAF83"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 year</w:t>
            </w:r>
          </w:p>
        </w:tc>
        <w:tc>
          <w:tcPr>
            <w:tcW w:w="1260" w:type="dxa"/>
            <w:shd w:val="clear" w:color="auto" w:fill="FFFFFF" w:themeFill="background1"/>
            <w:vAlign w:val="center"/>
          </w:tcPr>
          <w:p w14:paraId="616BFA1F" w14:textId="77777777" w:rsidR="00681CDB" w:rsidRPr="00FF3F99" w:rsidRDefault="00681CDB" w:rsidP="005B0D26">
            <w:pPr>
              <w:ind w:left="0"/>
              <w:jc w:val="center"/>
              <w:rPr>
                <w:color w:val="000000" w:themeColor="text1"/>
                <w:sz w:val="15"/>
                <w:szCs w:val="15"/>
              </w:rPr>
            </w:pPr>
          </w:p>
        </w:tc>
        <w:tc>
          <w:tcPr>
            <w:tcW w:w="1890" w:type="dxa"/>
            <w:shd w:val="clear" w:color="auto" w:fill="FFFFFF" w:themeFill="background1"/>
            <w:vAlign w:val="center"/>
          </w:tcPr>
          <w:p w14:paraId="066766AF" w14:textId="77777777" w:rsidR="00681CDB" w:rsidRPr="00FF3F99" w:rsidRDefault="00681CDB" w:rsidP="005B0D26">
            <w:pPr>
              <w:ind w:left="0"/>
              <w:jc w:val="center"/>
              <w:rPr>
                <w:color w:val="000000" w:themeColor="text1"/>
                <w:sz w:val="15"/>
                <w:szCs w:val="15"/>
              </w:rPr>
            </w:pPr>
          </w:p>
        </w:tc>
        <w:tc>
          <w:tcPr>
            <w:tcW w:w="1800" w:type="dxa"/>
            <w:shd w:val="clear" w:color="auto" w:fill="FFFFFF" w:themeFill="background1"/>
            <w:vAlign w:val="center"/>
          </w:tcPr>
          <w:p w14:paraId="47DAFEDF"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FFFFFF" w:themeFill="background1"/>
          </w:tcPr>
          <w:p w14:paraId="37708CCD" w14:textId="77777777" w:rsidR="00681CDB" w:rsidRPr="00FF3F99" w:rsidRDefault="00681CDB" w:rsidP="005B0D26">
            <w:pPr>
              <w:ind w:left="0"/>
              <w:jc w:val="center"/>
              <w:rPr>
                <w:color w:val="000000" w:themeColor="text1"/>
                <w:sz w:val="15"/>
                <w:szCs w:val="15"/>
              </w:rPr>
            </w:pPr>
          </w:p>
        </w:tc>
      </w:tr>
      <w:tr w:rsidR="00681CDB" w:rsidRPr="00E8387C" w14:paraId="5237F289" w14:textId="77777777" w:rsidTr="005B0D26">
        <w:tc>
          <w:tcPr>
            <w:tcW w:w="537" w:type="dxa"/>
            <w:tcBorders>
              <w:left w:val="single" w:sz="4" w:space="0" w:color="auto"/>
            </w:tcBorders>
            <w:shd w:val="clear" w:color="auto" w:fill="D9D9D9" w:themeFill="background1" w:themeFillShade="D9"/>
            <w:vAlign w:val="center"/>
          </w:tcPr>
          <w:p w14:paraId="01814533" w14:textId="49231CF6"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{"citationItems":[{"id":"ITEM-1","itemData":{"DOI":"10.1016/j.foodpol.2017.08.019","ISSN":"03069192","abstract":"This paper evaluates the impact of survey design on food consumption measurement using data from the Mongolia Household Socio-Economic Survey (MSES) 2007–2008. We exploit the fact that the MSES uses a diversified approach to collect food data by measuring consumption, acquisition and stocks using both, diaries and recall interviews. First, we estimate the effect of diary length on reporting of food consumption, finding a significant decrease of reported food over time. We conclude that shorter diaries would increase the quality of estimates and lower the costs of inquiry. Second, we show that recall interviews, combined with a measurement of stocks, perform well in measuring household food consumption compared to diaries. Third, we find cyclical variation in food consumption and acquisition not only between months, but also within months and weeks. Especially for food acquisition, we detect large difference within months, which can lead to biased estimates of food acquisition. This highlights the need for enumeration to be spread over time to overcome cyclicality on food acquisition and consumption.","author":[{"dropping-particle":"","family":"Troubat","given":"Nathalie","non-dropping-particle":"","parse-names":false,"suffix":""},{"dropping-particle":"","family":"Grünberger","given":"Klaus","non-dropping-particle":"","parse-names":false,"suffix":""}],"container-title":"Food Policy","id":"ITEM-1","issued":{"date-parts":[["2017"]]},"page":"132-145","title":"Impact of survey design in the estimation of habitual food consumption: A study based on urban households of Mongolia","type":"article-journal","volume":"72"},"uris":["http://www.mendeley.com/documents/?uuid=42a5fe32-36f5-4fb6-8e27-9dd5f16f56fc"]}],"mendeley":{"formattedCitation":"&lt;sup&gt;(54)&lt;/sup&gt;","plainTextFormattedCitation":"(54)","previouslyFormattedCitation":"[54]"},"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(54)</w:t>
            </w:r>
            <w:r w:rsidRPr="00FF3F99">
              <w:rPr>
                <w:color w:val="000000" w:themeColor="text1"/>
                <w:sz w:val="15"/>
                <w:szCs w:val="15"/>
              </w:rPr>
              <w:fldChar w:fldCharType="end"/>
            </w:r>
          </w:p>
        </w:tc>
        <w:tc>
          <w:tcPr>
            <w:tcW w:w="2066" w:type="dxa"/>
            <w:shd w:val="clear" w:color="auto" w:fill="D9D9D9" w:themeFill="background1" w:themeFillShade="D9"/>
            <w:vAlign w:val="center"/>
          </w:tcPr>
          <w:p w14:paraId="57486734"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Troubat</w:t>
            </w:r>
            <w:proofErr w:type="spellEnd"/>
            <w:r w:rsidRPr="00FF3F99">
              <w:rPr>
                <w:color w:val="000000" w:themeColor="text1"/>
                <w:sz w:val="15"/>
                <w:szCs w:val="15"/>
              </w:rPr>
              <w:t xml:space="preserve"> &amp; </w:t>
            </w:r>
            <w:proofErr w:type="spellStart"/>
            <w:r w:rsidRPr="00FF3F99">
              <w:rPr>
                <w:color w:val="000000" w:themeColor="text1"/>
                <w:sz w:val="15"/>
                <w:szCs w:val="15"/>
              </w:rPr>
              <w:t>Grünberger</w:t>
            </w:r>
            <w:proofErr w:type="spellEnd"/>
            <w:r w:rsidRPr="00FF3F99">
              <w:rPr>
                <w:color w:val="000000" w:themeColor="text1"/>
                <w:sz w:val="15"/>
                <w:szCs w:val="15"/>
              </w:rPr>
              <w:t xml:space="preserve"> (2017)</w:t>
            </w:r>
          </w:p>
        </w:tc>
        <w:tc>
          <w:tcPr>
            <w:tcW w:w="1350" w:type="dxa"/>
            <w:shd w:val="clear" w:color="auto" w:fill="D9D9D9" w:themeFill="background1" w:themeFillShade="D9"/>
          </w:tcPr>
          <w:p w14:paraId="0FAC2025" w14:textId="77777777" w:rsidR="00681CDB" w:rsidRPr="00FF3F99" w:rsidRDefault="00681CDB" w:rsidP="005B0D26">
            <w:pPr>
              <w:ind w:left="0"/>
              <w:rPr>
                <w:color w:val="000000" w:themeColor="text1"/>
                <w:sz w:val="15"/>
                <w:szCs w:val="15"/>
              </w:rPr>
            </w:pPr>
            <w:r w:rsidRPr="00FF3F99">
              <w:rPr>
                <w:color w:val="000000" w:themeColor="text1"/>
                <w:sz w:val="15"/>
                <w:szCs w:val="15"/>
              </w:rPr>
              <w:t>Mongolia</w:t>
            </w:r>
          </w:p>
        </w:tc>
        <w:tc>
          <w:tcPr>
            <w:tcW w:w="2252" w:type="dxa"/>
            <w:shd w:val="clear" w:color="auto" w:fill="D9D9D9" w:themeFill="background1" w:themeFillShade="D9"/>
          </w:tcPr>
          <w:p w14:paraId="5959D9BF"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shd w:val="clear" w:color="auto" w:fill="D9D9D9" w:themeFill="background1" w:themeFillShade="D9"/>
            <w:vAlign w:val="center"/>
          </w:tcPr>
          <w:p w14:paraId="670357F7"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10 days</w:t>
            </w:r>
          </w:p>
        </w:tc>
        <w:tc>
          <w:tcPr>
            <w:tcW w:w="1260" w:type="dxa"/>
            <w:shd w:val="clear" w:color="auto" w:fill="D9D9D9" w:themeFill="background1" w:themeFillShade="D9"/>
            <w:vAlign w:val="center"/>
          </w:tcPr>
          <w:p w14:paraId="065287EF"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27359033"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4CE9CD18"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406DE005" w14:textId="77777777" w:rsidR="00681CDB" w:rsidRPr="00FF3F99" w:rsidRDefault="00681CDB" w:rsidP="005B0D26">
            <w:pPr>
              <w:ind w:left="0"/>
              <w:jc w:val="center"/>
              <w:rPr>
                <w:color w:val="000000" w:themeColor="text1"/>
                <w:sz w:val="15"/>
                <w:szCs w:val="15"/>
              </w:rPr>
            </w:pPr>
          </w:p>
        </w:tc>
      </w:tr>
      <w:tr w:rsidR="00681CDB" w:rsidRPr="00E8387C" w14:paraId="7F45213B" w14:textId="77777777" w:rsidTr="005B0D26">
        <w:tc>
          <w:tcPr>
            <w:tcW w:w="537" w:type="dxa"/>
            <w:tcBorders>
              <w:left w:val="single" w:sz="4" w:space="0" w:color="auto"/>
            </w:tcBorders>
            <w:shd w:val="clear" w:color="auto" w:fill="FFFFFF" w:themeFill="background1"/>
            <w:vAlign w:val="center"/>
          </w:tcPr>
          <w:p w14:paraId="47605FFD" w14:textId="14189FFA"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{"citationItems":[{"id":"ITEM-1","itemData":{"abstract":"The prevalence of malnutrition across a predominantly agrarian country like Uganda and its potential economic implications indicate the importance of understanding the link between agricultural productivity and nutrient consumption. Such an understanding will highlight the importance of different nutrients (and foods) available across Uganda, thus guiding policymakers in prioritizing and developing appropriate programs to tackle malnutrition and improve agricultural productivity. This study contributes to the more recent literature on the linkage between nutrition and productivity by exploring the impact of various micronutrients, in addition to caloric intake, on agricultural productivity in Uganda. Using a structural equations model (SEM), estimation results clearly reveal the bidirectional relationship between productivity and nutrient intake. Labor productivity elasticity with respect to nutrient intake varies between 0.04 for vitamin B12 and 0.01 for Iron. Our findings suggest that labor productivity increases agricultural income as one would expect. We also find that nutrient intake as well as labor productivity positively affect agricultural income in Uganda. Overall, results indicate that agricultural productivity in Uganda is likely to be enhanced if nutrients intake is significantly increased.\\n","author":[{"dropping-particle":"","family":"Ulimwengu","given":"J","non-dropping-particle":"","parse-names":false,"suffix":""},{"dropping-particle":"","family":"Liverpool-Tasie","given":"S","non-dropping-particle":"","parse-names":false,"suffix":""},{"dropping-particle":"","family":"Randriamamonjy","given":"J","non-dropping-particle":"","parse-names":false,"suffix":""},{"dropping-particle":"","family":"Ramadan","given":"R","non-dropping-particle":"","parse-names":false,"suffix":""}],"container-title":"IFPRI - Discussion Papers","id":"ITEM-1","issued":{"date-parts":[["2011"]]},"number":"1128","publisher-place":"Washington, D.C.","title":"Understanding the linkage between agricultural productivity and nutrient consumption: evidence from Uganda.","type":"report"},"uris":["http://www.mendeley.com/documents/?uuid=222bba06-e3af-4e28-8e4b-3a33be6bb6c1"]}],"mendeley":{"formattedCitation":"&lt;sup&gt;(55)&lt;/sup&gt;","plainTextFormattedCitation":"(55)","previouslyFormattedCitation":"[55]"},"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(55)</w:t>
            </w:r>
            <w:r w:rsidRPr="00FF3F99">
              <w:rPr>
                <w:color w:val="000000" w:themeColor="text1"/>
                <w:sz w:val="15"/>
                <w:szCs w:val="15"/>
              </w:rPr>
              <w:fldChar w:fldCharType="end"/>
            </w:r>
          </w:p>
        </w:tc>
        <w:tc>
          <w:tcPr>
            <w:tcW w:w="2066" w:type="dxa"/>
            <w:shd w:val="clear" w:color="auto" w:fill="FFFFFF" w:themeFill="background1"/>
            <w:vAlign w:val="center"/>
          </w:tcPr>
          <w:p w14:paraId="574F4E2A"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Ulimwengu</w:t>
            </w:r>
            <w:proofErr w:type="spellEnd"/>
            <w:r w:rsidRPr="00FF3F99">
              <w:rPr>
                <w:color w:val="000000" w:themeColor="text1"/>
                <w:sz w:val="15"/>
                <w:szCs w:val="15"/>
              </w:rPr>
              <w:t xml:space="preserve"> et al. (2011)</w:t>
            </w:r>
          </w:p>
        </w:tc>
        <w:tc>
          <w:tcPr>
            <w:tcW w:w="1350" w:type="dxa"/>
            <w:shd w:val="clear" w:color="auto" w:fill="FFFFFF" w:themeFill="background1"/>
          </w:tcPr>
          <w:p w14:paraId="1876989F" w14:textId="77777777" w:rsidR="00681CDB" w:rsidRPr="00FF3F99" w:rsidRDefault="00681CDB" w:rsidP="005B0D26">
            <w:pPr>
              <w:ind w:left="0"/>
              <w:rPr>
                <w:color w:val="000000" w:themeColor="text1"/>
                <w:sz w:val="15"/>
                <w:szCs w:val="15"/>
              </w:rPr>
            </w:pPr>
            <w:r w:rsidRPr="00FF3F99">
              <w:rPr>
                <w:color w:val="000000" w:themeColor="text1"/>
                <w:sz w:val="15"/>
                <w:szCs w:val="15"/>
              </w:rPr>
              <w:t>Uganda</w:t>
            </w:r>
          </w:p>
        </w:tc>
        <w:tc>
          <w:tcPr>
            <w:tcW w:w="2252" w:type="dxa"/>
            <w:shd w:val="clear" w:color="auto" w:fill="FFFFFF" w:themeFill="background1"/>
          </w:tcPr>
          <w:p w14:paraId="18C9CCCD"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shd w:val="clear" w:color="auto" w:fill="FFFFFF" w:themeFill="background1"/>
            <w:vAlign w:val="center"/>
          </w:tcPr>
          <w:p w14:paraId="10C2A16D"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FFFFFF" w:themeFill="background1"/>
            <w:vAlign w:val="center"/>
          </w:tcPr>
          <w:p w14:paraId="15B79AFB" w14:textId="77777777" w:rsidR="00681CDB" w:rsidRPr="00FF3F99" w:rsidRDefault="00681CDB" w:rsidP="005B0D26">
            <w:pPr>
              <w:ind w:left="0"/>
              <w:jc w:val="center"/>
              <w:rPr>
                <w:color w:val="000000" w:themeColor="text1"/>
                <w:sz w:val="15"/>
                <w:szCs w:val="15"/>
              </w:rPr>
            </w:pPr>
          </w:p>
        </w:tc>
        <w:tc>
          <w:tcPr>
            <w:tcW w:w="1890" w:type="dxa"/>
            <w:shd w:val="clear" w:color="auto" w:fill="FFFFFF" w:themeFill="background1"/>
            <w:vAlign w:val="center"/>
          </w:tcPr>
          <w:p w14:paraId="3FC1547E" w14:textId="77777777" w:rsidR="00681CDB" w:rsidRPr="00FF3F99" w:rsidRDefault="00681CDB" w:rsidP="005B0D26">
            <w:pPr>
              <w:ind w:left="0"/>
              <w:jc w:val="center"/>
              <w:rPr>
                <w:color w:val="000000" w:themeColor="text1"/>
                <w:sz w:val="15"/>
                <w:szCs w:val="15"/>
              </w:rPr>
            </w:pPr>
          </w:p>
        </w:tc>
        <w:tc>
          <w:tcPr>
            <w:tcW w:w="1800" w:type="dxa"/>
            <w:shd w:val="clear" w:color="auto" w:fill="FFFFFF" w:themeFill="background1"/>
            <w:vAlign w:val="center"/>
          </w:tcPr>
          <w:p w14:paraId="76D34049"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FFFFFF" w:themeFill="background1"/>
          </w:tcPr>
          <w:p w14:paraId="21561A8C" w14:textId="77777777" w:rsidR="00681CDB" w:rsidRPr="00FF3F99" w:rsidRDefault="00681CDB" w:rsidP="005B0D26">
            <w:pPr>
              <w:ind w:left="0"/>
              <w:jc w:val="center"/>
              <w:rPr>
                <w:color w:val="000000" w:themeColor="text1"/>
                <w:sz w:val="15"/>
                <w:szCs w:val="15"/>
              </w:rPr>
            </w:pPr>
          </w:p>
        </w:tc>
      </w:tr>
      <w:tr w:rsidR="00681CDB" w:rsidRPr="00E8387C" w14:paraId="61E127C7" w14:textId="77777777" w:rsidTr="005B0D26">
        <w:tc>
          <w:tcPr>
            <w:tcW w:w="537" w:type="dxa"/>
            <w:tcBorders>
              <w:left w:val="single" w:sz="4" w:space="0" w:color="auto"/>
            </w:tcBorders>
            <w:shd w:val="clear" w:color="auto" w:fill="D9D9D9" w:themeFill="background1" w:themeFillShade="D9"/>
            <w:vAlign w:val="center"/>
          </w:tcPr>
          <w:p w14:paraId="1A18D35D" w14:textId="0FB26EDD"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{"citationItems":[{"id":"ITEM-1","itemData":{"abstract":"A large proportion of Malawian households are caught in a trap where poverty and food insecurity reinforce one another and where periods of food deficits and severe food crises are frequent occurrences. In recognition of this, the Malawian government has since 2005/06 implemented a large-scale Farm Input Subsidy Program (FISP), which supplies half of SUMMARY | APRIL 2010 smallholder farmers with sufficient fertilizer and maize seeds to satisfy the maize consumption needs of an average-sized family. While the program boosted maize production and lowered maize prices, thus ensuring increased caloric availabil- ity at the household level, its effect on overall food consumption, dietary diversity, micronutrient deficiency, and child nutrition is less clear. This study evaluates household expenditure survey data to measure changes in nutrition outcomes between 2004/05 and 2010/11. While the study is not an evaluation of the nutritional impact of FISP per se, it does shed some light on the possible nutritional effects of the program. The results are disconcerting. For example, we find evidence of rising consumption inequality associated with a rise in extreme poverty and a significant increase in income among the urban non-poor. Although calorie deficiency declined—including among the rural poor, dietary diversity among the rural poor decreased and mineral and vitamin deficiencies increased nationwide, especially in rural areas. The various child nutrition indicators reveal mixed results. For example, chronic child malnutrition declined substantially, whereas acute malnutrition increased. The study also highlights several concerns related to data quality and inconsistencies in estimated changes in food and nutrition indicators when compared to results from alternative datasets.","author":[{"dropping-particle":"","family":"Verduzco-Gallo","given":"Inigo","non-dropping-particle":"","parse-names":false,"suffix":""},{"dropping-particle":"","family":"Ecker","given":"Olivier","non-dropping-particle":"","parse-names":false,"suffix":""},{"dropping-particle":"","family":"Pauw","given":"Karl","non-dropping-particle":"","parse-names":false,"suffix":""}],"container-title":"MaSSP Working Paper 6","id":"ITEM-1","issued":{"date-parts":[["2014"]]},"number":"6","publisher-place":"Washington, D.C.","title":"Changes in Food and Nutrition Security in Malawi Analysis of Recent Survey Evidence","type":"report"},"uris":["http://www.mendeley.com/documents/?uuid=45746ddf-d5d0-4d60-830c-804465ab633b"]}],"mendeley":{"formattedCitation":"&lt;sup&gt;(56)&lt;/sup&gt;","plainTextFormattedCitation":"(56)","previouslyFormattedCitation":"[56]"},"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(56)</w:t>
            </w:r>
            <w:r w:rsidRPr="00FF3F99">
              <w:rPr>
                <w:color w:val="000000" w:themeColor="text1"/>
                <w:sz w:val="15"/>
                <w:szCs w:val="15"/>
              </w:rPr>
              <w:fldChar w:fldCharType="end"/>
            </w:r>
          </w:p>
        </w:tc>
        <w:tc>
          <w:tcPr>
            <w:tcW w:w="2066" w:type="dxa"/>
            <w:shd w:val="clear" w:color="auto" w:fill="D9D9D9" w:themeFill="background1" w:themeFillShade="D9"/>
            <w:vAlign w:val="center"/>
          </w:tcPr>
          <w:p w14:paraId="4571653C" w14:textId="77777777" w:rsidR="00681CDB" w:rsidRPr="00FF3F99" w:rsidRDefault="00681CDB" w:rsidP="005B0D26">
            <w:pPr>
              <w:ind w:left="0"/>
              <w:rPr>
                <w:color w:val="000000" w:themeColor="text1"/>
                <w:sz w:val="15"/>
                <w:szCs w:val="15"/>
              </w:rPr>
            </w:pPr>
            <w:r w:rsidRPr="00FF3F99">
              <w:rPr>
                <w:color w:val="000000" w:themeColor="text1"/>
                <w:sz w:val="15"/>
                <w:szCs w:val="15"/>
              </w:rPr>
              <w:t>Verduzco-Gallo et al. (2014)</w:t>
            </w:r>
          </w:p>
        </w:tc>
        <w:tc>
          <w:tcPr>
            <w:tcW w:w="1350" w:type="dxa"/>
            <w:shd w:val="clear" w:color="auto" w:fill="D9D9D9" w:themeFill="background1" w:themeFillShade="D9"/>
          </w:tcPr>
          <w:p w14:paraId="2A458F75" w14:textId="77777777" w:rsidR="00681CDB" w:rsidRPr="00FF3F99" w:rsidRDefault="00681CDB" w:rsidP="005B0D26">
            <w:pPr>
              <w:ind w:left="0"/>
              <w:rPr>
                <w:color w:val="000000" w:themeColor="text1"/>
                <w:sz w:val="15"/>
                <w:szCs w:val="15"/>
              </w:rPr>
            </w:pPr>
            <w:r w:rsidRPr="00FF3F99">
              <w:rPr>
                <w:color w:val="000000" w:themeColor="text1"/>
                <w:sz w:val="15"/>
                <w:szCs w:val="15"/>
              </w:rPr>
              <w:t>Malawi</w:t>
            </w:r>
          </w:p>
        </w:tc>
        <w:tc>
          <w:tcPr>
            <w:tcW w:w="2252" w:type="dxa"/>
            <w:shd w:val="clear" w:color="auto" w:fill="D9D9D9" w:themeFill="background1" w:themeFillShade="D9"/>
          </w:tcPr>
          <w:p w14:paraId="499D3B1E"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shd w:val="clear" w:color="auto" w:fill="D9D9D9" w:themeFill="background1" w:themeFillShade="D9"/>
            <w:vAlign w:val="center"/>
          </w:tcPr>
          <w:p w14:paraId="2FF1CFE8"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shd w:val="clear" w:color="auto" w:fill="D9D9D9" w:themeFill="background1" w:themeFillShade="D9"/>
            <w:vAlign w:val="center"/>
          </w:tcPr>
          <w:p w14:paraId="6AC1C13C" w14:textId="77777777" w:rsidR="00681CDB" w:rsidRPr="00FF3F99" w:rsidRDefault="00681CDB" w:rsidP="005B0D26">
            <w:pPr>
              <w:ind w:left="0"/>
              <w:jc w:val="center"/>
              <w:rPr>
                <w:color w:val="000000" w:themeColor="text1"/>
                <w:sz w:val="15"/>
                <w:szCs w:val="15"/>
              </w:rPr>
            </w:pPr>
          </w:p>
        </w:tc>
        <w:tc>
          <w:tcPr>
            <w:tcW w:w="1890" w:type="dxa"/>
            <w:shd w:val="clear" w:color="auto" w:fill="D9D9D9" w:themeFill="background1" w:themeFillShade="D9"/>
            <w:vAlign w:val="center"/>
          </w:tcPr>
          <w:p w14:paraId="261EFF5A" w14:textId="77777777" w:rsidR="00681CDB" w:rsidRPr="00FF3F99" w:rsidRDefault="00681CDB" w:rsidP="005B0D26">
            <w:pPr>
              <w:ind w:left="0"/>
              <w:jc w:val="center"/>
              <w:rPr>
                <w:color w:val="000000" w:themeColor="text1"/>
                <w:sz w:val="15"/>
                <w:szCs w:val="15"/>
              </w:rPr>
            </w:pPr>
          </w:p>
        </w:tc>
        <w:tc>
          <w:tcPr>
            <w:tcW w:w="1800" w:type="dxa"/>
            <w:shd w:val="clear" w:color="auto" w:fill="D9D9D9" w:themeFill="background1" w:themeFillShade="D9"/>
            <w:vAlign w:val="center"/>
          </w:tcPr>
          <w:p w14:paraId="0E36F065"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D9D9D9" w:themeFill="background1" w:themeFillShade="D9"/>
          </w:tcPr>
          <w:p w14:paraId="6CB11E37" w14:textId="77777777" w:rsidR="00681CDB" w:rsidRPr="00FF3F99" w:rsidRDefault="00681CDB" w:rsidP="005B0D26">
            <w:pPr>
              <w:ind w:left="0"/>
              <w:jc w:val="center"/>
              <w:rPr>
                <w:color w:val="000000" w:themeColor="text1"/>
                <w:sz w:val="15"/>
                <w:szCs w:val="15"/>
              </w:rPr>
            </w:pPr>
          </w:p>
        </w:tc>
      </w:tr>
      <w:tr w:rsidR="00681CDB" w:rsidRPr="00E8387C" w14:paraId="48194C3E" w14:textId="77777777" w:rsidTr="005B0D26">
        <w:tc>
          <w:tcPr>
            <w:tcW w:w="537" w:type="dxa"/>
            <w:tcBorders>
              <w:left w:val="single" w:sz="4" w:space="0" w:color="auto"/>
            </w:tcBorders>
            <w:shd w:val="clear" w:color="auto" w:fill="FFFFFF" w:themeFill="background1"/>
            <w:vAlign w:val="center"/>
          </w:tcPr>
          <w:p w14:paraId="15BFEA9E" w14:textId="5F1FF6AD"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{"citationItems":[{"id":"ITEM-1","itemData":{"ISBN":"0958460981","abstract":"Micronutrient malnutrition, particularly of iron, is widespread on the South Asian subcontinent and economic losses due to reduced productivity of afflicted population groups are believed to be substantial. This paper examines the impact of micronutrient intake on productivity of household engaged in agricultural labor in India by applying a two-stage least squares (2SLS) estimation technique. The micronutrient under investigation is iron. The results indicate that productivity, measured in wages is indeed affected through insufficient intake, and that wages would on average be 5 to 17.3 percent higher, if households would achieve recommended intake levels of the micronutrient discussed here. The results demonstrate that policy interventions that aim at enhancing micronutrient intake can be regarded as investments in improved productivity and higher household incomes. Enhancing micronutrient intake will contribute significantly to overall economic growth and development.","author":[{"dropping-particle":"","family":"Weinberger","given":"Katinka","non-dropping-particle":"","parse-names":false,"suffix":""}],"container-title":"25th International Conference of Agricultural Economists (IAAE)","id":"ITEM-1","issued":{"date-parts":[["2003"]]},"publisher":"International Association of Agricultural Economists","publisher-place":"Durban, South Africa","title":"The impact of micronutrients on labor productivity: Evidence from rural India","type":"paper-conference"},"uris":["http://www.mendeley.com/documents/?uuid=434f3db7-4159-4c2d-84ee-99673cfe8213"]}],"mendeley":{"formattedCitation":"&lt;sup&gt;(57)&lt;/sup&gt;","plainTextFormattedCitation":"(57)","previouslyFormattedCitation":"[57]"},"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(57)</w:t>
            </w:r>
            <w:r w:rsidRPr="00FF3F99">
              <w:rPr>
                <w:color w:val="000000" w:themeColor="text1"/>
                <w:sz w:val="15"/>
                <w:szCs w:val="15"/>
              </w:rPr>
              <w:fldChar w:fldCharType="end"/>
            </w:r>
          </w:p>
        </w:tc>
        <w:tc>
          <w:tcPr>
            <w:tcW w:w="2066" w:type="dxa"/>
            <w:shd w:val="clear" w:color="auto" w:fill="FFFFFF" w:themeFill="background1"/>
            <w:vAlign w:val="center"/>
          </w:tcPr>
          <w:p w14:paraId="7E986365" w14:textId="77777777" w:rsidR="00681CDB" w:rsidRPr="00FF3F99" w:rsidRDefault="00681CDB" w:rsidP="005B0D26">
            <w:pPr>
              <w:ind w:left="0"/>
              <w:rPr>
                <w:color w:val="000000" w:themeColor="text1"/>
                <w:sz w:val="15"/>
                <w:szCs w:val="15"/>
              </w:rPr>
            </w:pPr>
            <w:r w:rsidRPr="00FF3F99">
              <w:rPr>
                <w:color w:val="000000" w:themeColor="text1"/>
                <w:sz w:val="15"/>
                <w:szCs w:val="15"/>
              </w:rPr>
              <w:t>Weinberger (2004)</w:t>
            </w:r>
          </w:p>
        </w:tc>
        <w:tc>
          <w:tcPr>
            <w:tcW w:w="1350" w:type="dxa"/>
            <w:shd w:val="clear" w:color="auto" w:fill="FFFFFF" w:themeFill="background1"/>
          </w:tcPr>
          <w:p w14:paraId="372A1C24" w14:textId="77777777" w:rsidR="00681CDB" w:rsidRPr="00FF3F99" w:rsidRDefault="00681CDB" w:rsidP="005B0D26">
            <w:pPr>
              <w:ind w:left="0"/>
              <w:rPr>
                <w:color w:val="000000" w:themeColor="text1"/>
                <w:sz w:val="15"/>
                <w:szCs w:val="15"/>
              </w:rPr>
            </w:pPr>
            <w:r w:rsidRPr="00FF3F99">
              <w:rPr>
                <w:color w:val="000000" w:themeColor="text1"/>
                <w:sz w:val="15"/>
                <w:szCs w:val="15"/>
              </w:rPr>
              <w:t>India</w:t>
            </w:r>
          </w:p>
        </w:tc>
        <w:tc>
          <w:tcPr>
            <w:tcW w:w="2252" w:type="dxa"/>
            <w:shd w:val="clear" w:color="auto" w:fill="FFFFFF" w:themeFill="background1"/>
          </w:tcPr>
          <w:p w14:paraId="6586740E" w14:textId="77777777" w:rsidR="00681CDB" w:rsidRPr="00FF3F99" w:rsidRDefault="00681CDB" w:rsidP="005B0D26">
            <w:pPr>
              <w:ind w:left="0"/>
              <w:rPr>
                <w:color w:val="000000" w:themeColor="text1"/>
                <w:sz w:val="15"/>
                <w:szCs w:val="15"/>
              </w:rPr>
            </w:pPr>
            <w:r w:rsidRPr="00FF3F99">
              <w:rPr>
                <w:color w:val="000000" w:themeColor="text1"/>
                <w:sz w:val="15"/>
                <w:szCs w:val="15"/>
              </w:rPr>
              <w:t>Expenditure recall</w:t>
            </w:r>
          </w:p>
        </w:tc>
        <w:tc>
          <w:tcPr>
            <w:tcW w:w="1350" w:type="dxa"/>
            <w:shd w:val="clear" w:color="auto" w:fill="FFFFFF" w:themeFill="background1"/>
            <w:vAlign w:val="center"/>
          </w:tcPr>
          <w:p w14:paraId="721F3B43"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30 days</w:t>
            </w:r>
          </w:p>
        </w:tc>
        <w:tc>
          <w:tcPr>
            <w:tcW w:w="1260" w:type="dxa"/>
            <w:shd w:val="clear" w:color="auto" w:fill="FFFFFF" w:themeFill="background1"/>
            <w:vAlign w:val="center"/>
          </w:tcPr>
          <w:p w14:paraId="3331750C" w14:textId="77777777" w:rsidR="00681CDB" w:rsidRPr="00FF3F99" w:rsidRDefault="00681CDB" w:rsidP="005B0D26">
            <w:pPr>
              <w:ind w:left="0"/>
              <w:jc w:val="center"/>
              <w:rPr>
                <w:color w:val="000000" w:themeColor="text1"/>
                <w:sz w:val="15"/>
                <w:szCs w:val="15"/>
              </w:rPr>
            </w:pPr>
          </w:p>
        </w:tc>
        <w:tc>
          <w:tcPr>
            <w:tcW w:w="1890" w:type="dxa"/>
            <w:shd w:val="clear" w:color="auto" w:fill="FFFFFF" w:themeFill="background1"/>
            <w:vAlign w:val="center"/>
          </w:tcPr>
          <w:p w14:paraId="0B642302" w14:textId="77777777" w:rsidR="00681CDB" w:rsidRPr="00FF3F99" w:rsidRDefault="00681CDB" w:rsidP="005B0D26">
            <w:pPr>
              <w:ind w:left="0"/>
              <w:jc w:val="center"/>
              <w:rPr>
                <w:color w:val="000000" w:themeColor="text1"/>
                <w:sz w:val="15"/>
                <w:szCs w:val="15"/>
              </w:rPr>
            </w:pPr>
          </w:p>
        </w:tc>
        <w:tc>
          <w:tcPr>
            <w:tcW w:w="1800" w:type="dxa"/>
            <w:shd w:val="clear" w:color="auto" w:fill="FFFFFF" w:themeFill="background1"/>
            <w:vAlign w:val="center"/>
          </w:tcPr>
          <w:p w14:paraId="1B9FA872" w14:textId="77777777" w:rsidR="00681CDB" w:rsidRPr="00FF3F99" w:rsidRDefault="00681CDB" w:rsidP="005B0D26">
            <w:pPr>
              <w:ind w:left="0"/>
              <w:jc w:val="center"/>
              <w:rPr>
                <w:color w:val="000000" w:themeColor="text1"/>
                <w:sz w:val="15"/>
                <w:szCs w:val="15"/>
              </w:rPr>
            </w:pPr>
          </w:p>
        </w:tc>
        <w:tc>
          <w:tcPr>
            <w:tcW w:w="1440" w:type="dxa"/>
            <w:tcBorders>
              <w:right w:val="single" w:sz="4" w:space="0" w:color="auto"/>
            </w:tcBorders>
            <w:shd w:val="clear" w:color="auto" w:fill="FFFFFF" w:themeFill="background1"/>
          </w:tcPr>
          <w:p w14:paraId="570DD10A" w14:textId="77777777" w:rsidR="00681CDB" w:rsidRPr="00FF3F99" w:rsidRDefault="00681CDB" w:rsidP="005B0D26">
            <w:pPr>
              <w:ind w:left="0"/>
              <w:jc w:val="center"/>
              <w:rPr>
                <w:color w:val="000000" w:themeColor="text1"/>
                <w:sz w:val="15"/>
                <w:szCs w:val="15"/>
              </w:rPr>
            </w:pPr>
          </w:p>
        </w:tc>
      </w:tr>
      <w:tr w:rsidR="00681CDB" w:rsidRPr="00E8387C" w14:paraId="0E2FD2F1" w14:textId="77777777" w:rsidTr="005B0D26">
        <w:tc>
          <w:tcPr>
            <w:tcW w:w="537" w:type="dxa"/>
            <w:tcBorders>
              <w:left w:val="single" w:sz="4" w:space="0" w:color="auto"/>
              <w:bottom w:val="single" w:sz="4" w:space="0" w:color="auto"/>
            </w:tcBorders>
            <w:shd w:val="clear" w:color="auto" w:fill="D9D9D9" w:themeFill="background1" w:themeFillShade="D9"/>
            <w:vAlign w:val="center"/>
          </w:tcPr>
          <w:p w14:paraId="0D8EB7AD" w14:textId="4F48DEEB" w:rsidR="00681CDB" w:rsidRPr="00FF3F99" w:rsidRDefault="00681CDB" w:rsidP="005B0D26">
            <w:pPr>
              <w:ind w:left="0"/>
              <w:rPr>
                <w:color w:val="000000" w:themeColor="text1"/>
                <w:sz w:val="15"/>
                <w:szCs w:val="15"/>
              </w:rPr>
            </w:pPr>
            <w:r w:rsidRPr="00FF3F99">
              <w:rPr>
                <w:color w:val="000000" w:themeColor="text1"/>
                <w:sz w:val="15"/>
                <w:szCs w:val="15"/>
              </w:rPr>
              <w:fldChar w:fldCharType="begin" w:fldLock="1"/>
            </w:r>
            <w:r w:rsidR="005B0D26">
              <w:rPr>
                <w:color w:val="000000" w:themeColor="text1"/>
                <w:sz w:val="15"/>
                <w:szCs w:val="15"/>
              </w:rPr>
              <w:instrText>ADDIN CSL_CITATION {"citationItems":[{"id":"ITEM-1","itemData":{"DOI":"10.1111/agec.12387","ISSN":"15740862","abstract":"Africa's food systems are changing fast amid rapid economic growth, emerging urbanization, and structural transformation. In this study, we use four rounds of nationally representative data from Ethiopia to document changes in household food consumption patterns over a period of unprecedented economic growth. We find that while the share of food in the total consumption basket is declining, food quantities and calorie intakes have considerably increased between 1996 and 2011. A decomposition analysis suggests that this was mostly driven by improvements in household incomes—a finding that is consistent across the calorie distribution. Also, the content of the food basket is changing with a gradual shift toward high-value foods such as animal products, fruits and vegetables and processed foods. Overall, this diet transformation has important implications for the food security debate and for agricultural and food policy in the country.","author":[{"dropping-particle":"","family":"Worku","given":"Ibrahim Hassen","non-dropping-particle":"","parse-names":false,"suffix":""},{"dropping-particle":"","family":"Dereje","given":"Mekdim","non-dropping-particle":"","parse-names":false,"suffix":""},{"dropping-particle":"","family":"Minten","given":"Bart","non-dropping-particle":"","parse-names":false,"suffix":""},{"dropping-particle":"","family":"Hirvonen","given":"Kalle","non-dropping-particle":"","parse-names":false,"suffix":""}],"container-title":"Agricultural Economics","id":"ITEM-1","issue":"March","issued":{"date-parts":[["2017"]]},"note":"Abstract exclusion","page":"73-86","title":"Diet transformation in Africa: the case of Ethiopia","type":"article-journal","volume":"48"},"uris":["http://www.mendeley.com/documents/?uuid=b3b39553-7356-43c5-a339-3ff47b4315c2"]}],"mendeley":{"formattedCitation":"&lt;sup&gt;(58)&lt;/sup&gt;","plainTextFormattedCitation":"(58)","previouslyFormattedCitation":"[58]"},"properties":{"noteIndex":0},"schema":"https://github.com/citation-style-language/schema/raw/master/csl-citation.json"}</w:instrText>
            </w:r>
            <w:r w:rsidRPr="00FF3F99">
              <w:rPr>
                <w:color w:val="000000" w:themeColor="text1"/>
                <w:sz w:val="15"/>
                <w:szCs w:val="15"/>
              </w:rPr>
              <w:fldChar w:fldCharType="separate"/>
            </w:r>
            <w:r w:rsidR="005B0D26" w:rsidRPr="005B0D26">
              <w:rPr>
                <w:noProof/>
                <w:color w:val="000000" w:themeColor="text1"/>
                <w:sz w:val="15"/>
                <w:szCs w:val="15"/>
                <w:vertAlign w:val="superscript"/>
              </w:rPr>
              <w:t>(58)</w:t>
            </w:r>
            <w:r w:rsidRPr="00FF3F99">
              <w:rPr>
                <w:color w:val="000000" w:themeColor="text1"/>
                <w:sz w:val="15"/>
                <w:szCs w:val="15"/>
              </w:rPr>
              <w:fldChar w:fldCharType="end"/>
            </w:r>
          </w:p>
        </w:tc>
        <w:tc>
          <w:tcPr>
            <w:tcW w:w="2066" w:type="dxa"/>
            <w:tcBorders>
              <w:bottom w:val="single" w:sz="4" w:space="0" w:color="auto"/>
            </w:tcBorders>
            <w:shd w:val="clear" w:color="auto" w:fill="D9D9D9" w:themeFill="background1" w:themeFillShade="D9"/>
            <w:vAlign w:val="center"/>
          </w:tcPr>
          <w:p w14:paraId="37291076" w14:textId="77777777" w:rsidR="00681CDB" w:rsidRPr="00FF3F99" w:rsidRDefault="00681CDB" w:rsidP="005B0D26">
            <w:pPr>
              <w:ind w:left="0"/>
              <w:rPr>
                <w:color w:val="000000" w:themeColor="text1"/>
                <w:sz w:val="15"/>
                <w:szCs w:val="15"/>
              </w:rPr>
            </w:pPr>
            <w:proofErr w:type="spellStart"/>
            <w:r w:rsidRPr="00FF3F99">
              <w:rPr>
                <w:color w:val="000000" w:themeColor="text1"/>
                <w:sz w:val="15"/>
                <w:szCs w:val="15"/>
              </w:rPr>
              <w:t>Worku</w:t>
            </w:r>
            <w:proofErr w:type="spellEnd"/>
            <w:r w:rsidRPr="00FF3F99">
              <w:rPr>
                <w:color w:val="000000" w:themeColor="text1"/>
                <w:sz w:val="15"/>
                <w:szCs w:val="15"/>
              </w:rPr>
              <w:t xml:space="preserve"> et al. (2017)</w:t>
            </w:r>
          </w:p>
        </w:tc>
        <w:tc>
          <w:tcPr>
            <w:tcW w:w="1350" w:type="dxa"/>
            <w:tcBorders>
              <w:bottom w:val="single" w:sz="4" w:space="0" w:color="auto"/>
            </w:tcBorders>
            <w:shd w:val="clear" w:color="auto" w:fill="D9D9D9" w:themeFill="background1" w:themeFillShade="D9"/>
          </w:tcPr>
          <w:p w14:paraId="3D694394" w14:textId="77777777" w:rsidR="00681CDB" w:rsidRPr="00FF3F99" w:rsidRDefault="00681CDB" w:rsidP="005B0D26">
            <w:pPr>
              <w:ind w:left="0"/>
              <w:rPr>
                <w:color w:val="000000" w:themeColor="text1"/>
                <w:sz w:val="15"/>
                <w:szCs w:val="15"/>
              </w:rPr>
            </w:pPr>
            <w:r w:rsidRPr="00FF3F99">
              <w:rPr>
                <w:color w:val="000000" w:themeColor="text1"/>
                <w:sz w:val="15"/>
                <w:szCs w:val="15"/>
              </w:rPr>
              <w:t>Ethiopia</w:t>
            </w:r>
          </w:p>
        </w:tc>
        <w:tc>
          <w:tcPr>
            <w:tcW w:w="2252" w:type="dxa"/>
            <w:tcBorders>
              <w:bottom w:val="single" w:sz="4" w:space="0" w:color="auto"/>
            </w:tcBorders>
            <w:shd w:val="clear" w:color="auto" w:fill="D9D9D9" w:themeFill="background1" w:themeFillShade="D9"/>
          </w:tcPr>
          <w:p w14:paraId="0A524DE6" w14:textId="77777777" w:rsidR="00681CDB" w:rsidRPr="00FF3F99" w:rsidRDefault="00681CDB" w:rsidP="005B0D26">
            <w:pPr>
              <w:ind w:left="0"/>
              <w:rPr>
                <w:color w:val="000000" w:themeColor="text1"/>
                <w:sz w:val="15"/>
                <w:szCs w:val="15"/>
              </w:rPr>
            </w:pPr>
            <w:r w:rsidRPr="00FF3F99">
              <w:rPr>
                <w:color w:val="000000" w:themeColor="text1"/>
                <w:sz w:val="15"/>
                <w:szCs w:val="15"/>
              </w:rPr>
              <w:t>Consumption recall</w:t>
            </w:r>
          </w:p>
        </w:tc>
        <w:tc>
          <w:tcPr>
            <w:tcW w:w="1350" w:type="dxa"/>
            <w:tcBorders>
              <w:bottom w:val="single" w:sz="4" w:space="0" w:color="auto"/>
            </w:tcBorders>
            <w:shd w:val="clear" w:color="auto" w:fill="D9D9D9" w:themeFill="background1" w:themeFillShade="D9"/>
            <w:vAlign w:val="center"/>
          </w:tcPr>
          <w:p w14:paraId="12832ED3" w14:textId="77777777" w:rsidR="00681CDB" w:rsidRPr="00FF3F99" w:rsidRDefault="00681CDB" w:rsidP="005B0D26">
            <w:pPr>
              <w:ind w:left="0"/>
              <w:jc w:val="center"/>
              <w:rPr>
                <w:color w:val="000000" w:themeColor="text1"/>
                <w:sz w:val="15"/>
                <w:szCs w:val="15"/>
              </w:rPr>
            </w:pPr>
            <w:r w:rsidRPr="00FF3F99">
              <w:rPr>
                <w:color w:val="000000" w:themeColor="text1"/>
                <w:sz w:val="15"/>
                <w:szCs w:val="15"/>
              </w:rPr>
              <w:t>7 days</w:t>
            </w:r>
          </w:p>
        </w:tc>
        <w:tc>
          <w:tcPr>
            <w:tcW w:w="1260" w:type="dxa"/>
            <w:tcBorders>
              <w:bottom w:val="single" w:sz="4" w:space="0" w:color="auto"/>
            </w:tcBorders>
            <w:shd w:val="clear" w:color="auto" w:fill="D9D9D9" w:themeFill="background1" w:themeFillShade="D9"/>
            <w:vAlign w:val="center"/>
          </w:tcPr>
          <w:p w14:paraId="4DA805F4" w14:textId="77777777" w:rsidR="00681CDB" w:rsidRPr="00FF3F99" w:rsidRDefault="00681CDB" w:rsidP="005B0D26">
            <w:pPr>
              <w:ind w:left="0"/>
              <w:jc w:val="center"/>
              <w:rPr>
                <w:color w:val="000000" w:themeColor="text1"/>
                <w:sz w:val="15"/>
                <w:szCs w:val="15"/>
              </w:rPr>
            </w:pPr>
          </w:p>
        </w:tc>
        <w:tc>
          <w:tcPr>
            <w:tcW w:w="1890" w:type="dxa"/>
            <w:tcBorders>
              <w:bottom w:val="single" w:sz="4" w:space="0" w:color="auto"/>
            </w:tcBorders>
            <w:shd w:val="clear" w:color="auto" w:fill="D9D9D9" w:themeFill="background1" w:themeFillShade="D9"/>
            <w:vAlign w:val="center"/>
          </w:tcPr>
          <w:p w14:paraId="41F94F69" w14:textId="77777777" w:rsidR="00681CDB" w:rsidRPr="00FF3F99" w:rsidRDefault="00681CDB" w:rsidP="005B0D26">
            <w:pPr>
              <w:ind w:left="0"/>
              <w:jc w:val="center"/>
              <w:rPr>
                <w:color w:val="000000" w:themeColor="text1"/>
                <w:sz w:val="15"/>
                <w:szCs w:val="15"/>
              </w:rPr>
            </w:pPr>
          </w:p>
        </w:tc>
        <w:tc>
          <w:tcPr>
            <w:tcW w:w="1800" w:type="dxa"/>
            <w:tcBorders>
              <w:bottom w:val="single" w:sz="4" w:space="0" w:color="auto"/>
            </w:tcBorders>
            <w:shd w:val="clear" w:color="auto" w:fill="D9D9D9" w:themeFill="background1" w:themeFillShade="D9"/>
            <w:vAlign w:val="center"/>
          </w:tcPr>
          <w:p w14:paraId="14684CF5" w14:textId="77777777" w:rsidR="00681CDB" w:rsidRPr="00FF3F99" w:rsidRDefault="00681CDB" w:rsidP="005B0D26">
            <w:pPr>
              <w:ind w:left="0"/>
              <w:jc w:val="center"/>
              <w:rPr>
                <w:color w:val="000000" w:themeColor="text1"/>
                <w:sz w:val="15"/>
                <w:szCs w:val="15"/>
              </w:rPr>
            </w:pPr>
          </w:p>
        </w:tc>
        <w:tc>
          <w:tcPr>
            <w:tcW w:w="1440" w:type="dxa"/>
            <w:tcBorders>
              <w:bottom w:val="single" w:sz="4" w:space="0" w:color="auto"/>
              <w:right w:val="single" w:sz="4" w:space="0" w:color="auto"/>
            </w:tcBorders>
            <w:shd w:val="clear" w:color="auto" w:fill="D9D9D9" w:themeFill="background1" w:themeFillShade="D9"/>
          </w:tcPr>
          <w:p w14:paraId="005D165E" w14:textId="77777777" w:rsidR="00681CDB" w:rsidRPr="00FF3F99" w:rsidRDefault="00681CDB" w:rsidP="005B0D26">
            <w:pPr>
              <w:ind w:left="0"/>
              <w:jc w:val="center"/>
              <w:rPr>
                <w:color w:val="000000" w:themeColor="text1"/>
                <w:sz w:val="15"/>
                <w:szCs w:val="15"/>
              </w:rPr>
            </w:pPr>
          </w:p>
        </w:tc>
      </w:tr>
    </w:tbl>
    <w:p w14:paraId="5BBC2345" w14:textId="77777777" w:rsidR="00681CDB" w:rsidRPr="00E8387C" w:rsidRDefault="00681CDB" w:rsidP="00681CDB">
      <w:pPr>
        <w:rPr>
          <w:b/>
          <w:bCs/>
          <w:i/>
          <w:iCs/>
          <w:color w:val="FF0000"/>
        </w:rPr>
      </w:pPr>
      <w:r w:rsidRPr="00E8387C">
        <w:rPr>
          <w:b/>
          <w:bCs/>
          <w:i/>
          <w:iCs/>
          <w:color w:val="FF0000"/>
        </w:rPr>
        <w:br w:type="page"/>
      </w:r>
    </w:p>
    <w:p w14:paraId="6E1B9F90" w14:textId="2A809E04" w:rsidR="00681CDB" w:rsidRPr="00FF3F99" w:rsidRDefault="00681CDB" w:rsidP="00FF3F99">
      <w:pPr>
        <w:pStyle w:val="Heading1"/>
        <w:rPr>
          <w:b/>
          <w:bCs/>
        </w:rPr>
      </w:pPr>
      <w:bookmarkStart w:id="4" w:name="_Toc76569017"/>
      <w:r w:rsidRPr="00F3550D">
        <w:rPr>
          <w:b/>
          <w:bCs/>
        </w:rPr>
        <w:lastRenderedPageBreak/>
        <w:t>Table S</w:t>
      </w:r>
      <w:r>
        <w:rPr>
          <w:b/>
          <w:bCs/>
        </w:rPr>
        <w:t>3</w:t>
      </w:r>
      <w:r w:rsidRPr="00F3550D">
        <w:rPr>
          <w:b/>
          <w:bCs/>
        </w:rPr>
        <w:t xml:space="preserve">. </w:t>
      </w:r>
      <w:r>
        <w:t>Publications</w:t>
      </w:r>
      <w:r w:rsidRPr="00F3550D">
        <w:t xml:space="preserve"> comparing </w:t>
      </w:r>
      <w:r>
        <w:t xml:space="preserve">apparent </w:t>
      </w:r>
      <w:r w:rsidRPr="00F3550D">
        <w:t>nutrient or energy intake estimates using HCES adult male equivalent methods to</w:t>
      </w:r>
      <w:r>
        <w:t xml:space="preserve"> intake</w:t>
      </w:r>
      <w:r w:rsidRPr="00F3550D">
        <w:t xml:space="preserve"> estimates calculated using individual-level dietary intake data for total populations (expanded to include all reported nutrients)</w:t>
      </w:r>
      <w:bookmarkEnd w:id="4"/>
    </w:p>
    <w:tbl>
      <w:tblPr>
        <w:tblStyle w:val="TableGrid"/>
        <w:tblW w:w="1306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556"/>
        <w:gridCol w:w="2251"/>
        <w:gridCol w:w="1701"/>
        <w:gridCol w:w="1965"/>
        <w:gridCol w:w="1051"/>
        <w:gridCol w:w="1169"/>
        <w:gridCol w:w="1564"/>
      </w:tblGrid>
      <w:tr w:rsidR="00681CDB" w:rsidRPr="00827915" w14:paraId="6ECF4FAD" w14:textId="77777777" w:rsidTr="007F7EA3">
        <w:trPr>
          <w:trHeight w:val="612"/>
        </w:trPr>
        <w:tc>
          <w:tcPr>
            <w:tcW w:w="1806" w:type="dxa"/>
            <w:tcBorders>
              <w:top w:val="single" w:sz="4" w:space="0" w:color="auto"/>
              <w:left w:val="single" w:sz="4" w:space="0" w:color="auto"/>
              <w:bottom w:val="single" w:sz="4" w:space="0" w:color="auto"/>
            </w:tcBorders>
          </w:tcPr>
          <w:p w14:paraId="34C5398B" w14:textId="77777777" w:rsidR="00681CDB" w:rsidRPr="00EC3718" w:rsidRDefault="00681CDB" w:rsidP="007F7EA3">
            <w:pPr>
              <w:ind w:left="0"/>
              <w:rPr>
                <w:b/>
                <w:bCs/>
                <w:color w:val="000000" w:themeColor="text1"/>
                <w:sz w:val="18"/>
                <w:szCs w:val="18"/>
              </w:rPr>
            </w:pPr>
            <w:proofErr w:type="gramStart"/>
            <w:r w:rsidRPr="00EC3718">
              <w:rPr>
                <w:b/>
                <w:bCs/>
                <w:color w:val="000000" w:themeColor="text1"/>
                <w:sz w:val="18"/>
                <w:szCs w:val="18"/>
              </w:rPr>
              <w:t>Reference;</w:t>
            </w:r>
            <w:proofErr w:type="gramEnd"/>
            <w:r w:rsidRPr="00EC3718">
              <w:rPr>
                <w:b/>
                <w:bCs/>
                <w:color w:val="000000" w:themeColor="text1"/>
                <w:sz w:val="18"/>
                <w:szCs w:val="18"/>
              </w:rPr>
              <w:t xml:space="preserve"> </w:t>
            </w:r>
          </w:p>
          <w:p w14:paraId="0D3D686F" w14:textId="77777777" w:rsidR="00681CDB" w:rsidRPr="00EC3718" w:rsidRDefault="00681CDB" w:rsidP="007F7EA3">
            <w:pPr>
              <w:ind w:left="0"/>
              <w:rPr>
                <w:b/>
                <w:bCs/>
                <w:color w:val="000000" w:themeColor="text1"/>
                <w:sz w:val="18"/>
                <w:szCs w:val="18"/>
              </w:rPr>
            </w:pPr>
            <w:proofErr w:type="gramStart"/>
            <w:r w:rsidRPr="00EC3718">
              <w:rPr>
                <w:b/>
                <w:bCs/>
                <w:color w:val="000000" w:themeColor="text1"/>
                <w:sz w:val="18"/>
                <w:szCs w:val="18"/>
              </w:rPr>
              <w:t>country;</w:t>
            </w:r>
            <w:proofErr w:type="gramEnd"/>
            <w:r w:rsidRPr="00EC3718">
              <w:rPr>
                <w:b/>
                <w:bCs/>
                <w:color w:val="000000" w:themeColor="text1"/>
                <w:sz w:val="18"/>
                <w:szCs w:val="18"/>
              </w:rPr>
              <w:t xml:space="preserve"> </w:t>
            </w:r>
          </w:p>
          <w:p w14:paraId="07DC2320"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summary metric</w:t>
            </w:r>
          </w:p>
        </w:tc>
        <w:tc>
          <w:tcPr>
            <w:tcW w:w="1556" w:type="dxa"/>
            <w:tcBorders>
              <w:top w:val="single" w:sz="4" w:space="0" w:color="auto"/>
              <w:bottom w:val="single" w:sz="4" w:space="0" w:color="auto"/>
            </w:tcBorders>
          </w:tcPr>
          <w:p w14:paraId="233C29F7"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Individual consumption data (N)</w:t>
            </w:r>
          </w:p>
        </w:tc>
        <w:tc>
          <w:tcPr>
            <w:tcW w:w="2251" w:type="dxa"/>
            <w:tcBorders>
              <w:top w:val="single" w:sz="4" w:space="0" w:color="auto"/>
              <w:bottom w:val="single" w:sz="4" w:space="0" w:color="auto"/>
            </w:tcBorders>
          </w:tcPr>
          <w:p w14:paraId="5622AA11"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HCES dietary data, (n)</w:t>
            </w:r>
          </w:p>
        </w:tc>
        <w:tc>
          <w:tcPr>
            <w:tcW w:w="1701" w:type="dxa"/>
            <w:tcBorders>
              <w:top w:val="single" w:sz="4" w:space="0" w:color="auto"/>
              <w:bottom w:val="single" w:sz="4" w:space="0" w:color="auto"/>
            </w:tcBorders>
          </w:tcPr>
          <w:p w14:paraId="0AE33701"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Study sample population (n)</w:t>
            </w:r>
          </w:p>
        </w:tc>
        <w:tc>
          <w:tcPr>
            <w:tcW w:w="1965" w:type="dxa"/>
            <w:tcBorders>
              <w:top w:val="single" w:sz="4" w:space="0" w:color="auto"/>
              <w:bottom w:val="single" w:sz="4" w:space="0" w:color="auto"/>
            </w:tcBorders>
          </w:tcPr>
          <w:p w14:paraId="49C1D942"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Nutrient</w:t>
            </w:r>
          </w:p>
        </w:tc>
        <w:tc>
          <w:tcPr>
            <w:tcW w:w="1051" w:type="dxa"/>
            <w:tcBorders>
              <w:top w:val="single" w:sz="4" w:space="0" w:color="auto"/>
              <w:bottom w:val="single" w:sz="4" w:space="0" w:color="auto"/>
            </w:tcBorders>
          </w:tcPr>
          <w:p w14:paraId="2CB8A626"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Individual estimate</w:t>
            </w:r>
          </w:p>
        </w:tc>
        <w:tc>
          <w:tcPr>
            <w:tcW w:w="1169" w:type="dxa"/>
            <w:tcBorders>
              <w:top w:val="single" w:sz="4" w:space="0" w:color="auto"/>
              <w:bottom w:val="single" w:sz="4" w:space="0" w:color="auto"/>
            </w:tcBorders>
          </w:tcPr>
          <w:p w14:paraId="42CACC3B"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HCES AME estimate</w:t>
            </w:r>
          </w:p>
        </w:tc>
        <w:tc>
          <w:tcPr>
            <w:tcW w:w="1564" w:type="dxa"/>
            <w:tcBorders>
              <w:top w:val="single" w:sz="4" w:space="0" w:color="auto"/>
              <w:bottom w:val="single" w:sz="4" w:space="0" w:color="auto"/>
              <w:right w:val="single" w:sz="4" w:space="0" w:color="auto"/>
            </w:tcBorders>
          </w:tcPr>
          <w:p w14:paraId="7909D7C2"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Percentage point</w:t>
            </w:r>
          </w:p>
          <w:p w14:paraId="09A73600"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difference</w:t>
            </w:r>
          </w:p>
        </w:tc>
      </w:tr>
      <w:tr w:rsidR="00F61282" w:rsidRPr="00827915" w14:paraId="3CFDA05B" w14:textId="77777777" w:rsidTr="00CC33F5">
        <w:trPr>
          <w:trHeight w:val="269"/>
        </w:trPr>
        <w:tc>
          <w:tcPr>
            <w:tcW w:w="13063" w:type="dxa"/>
            <w:gridSpan w:val="8"/>
            <w:tcBorders>
              <w:top w:val="single" w:sz="4" w:space="0" w:color="auto"/>
              <w:left w:val="single" w:sz="4" w:space="0" w:color="auto"/>
              <w:bottom w:val="single" w:sz="4" w:space="0" w:color="auto"/>
              <w:right w:val="single" w:sz="4" w:space="0" w:color="auto"/>
            </w:tcBorders>
          </w:tcPr>
          <w:p w14:paraId="446A4C4B" w14:textId="01CB5110" w:rsidR="00F61282" w:rsidRPr="00EC3718" w:rsidRDefault="00F61282" w:rsidP="00F61282">
            <w:pPr>
              <w:ind w:left="0"/>
              <w:jc w:val="both"/>
              <w:rPr>
                <w:b/>
                <w:bCs/>
                <w:color w:val="000000" w:themeColor="text1"/>
                <w:sz w:val="18"/>
                <w:szCs w:val="18"/>
              </w:rPr>
            </w:pPr>
            <w:r w:rsidRPr="00EC3718">
              <w:rPr>
                <w:b/>
                <w:bCs/>
                <w:i/>
                <w:iCs/>
                <w:color w:val="000000" w:themeColor="text1"/>
                <w:sz w:val="18"/>
                <w:szCs w:val="18"/>
              </w:rPr>
              <w:t>I. Study compared intake estimates derived from individual-level versus HCES dietary data</w:t>
            </w:r>
          </w:p>
        </w:tc>
      </w:tr>
      <w:tr w:rsidR="00800A64" w:rsidRPr="002F330C" w14:paraId="6E13D90C" w14:textId="77777777" w:rsidTr="007F7EA3">
        <w:trPr>
          <w:trHeight w:val="233"/>
        </w:trPr>
        <w:tc>
          <w:tcPr>
            <w:tcW w:w="1806" w:type="dxa"/>
            <w:vMerge w:val="restart"/>
            <w:tcBorders>
              <w:top w:val="single" w:sz="4" w:space="0" w:color="auto"/>
              <w:left w:val="single" w:sz="4" w:space="0" w:color="auto"/>
            </w:tcBorders>
          </w:tcPr>
          <w:p w14:paraId="32EE6188" w14:textId="799CD960" w:rsidR="00800A64" w:rsidRPr="00800A64" w:rsidRDefault="00800A64" w:rsidP="00800A64">
            <w:pPr>
              <w:ind w:left="0"/>
              <w:rPr>
                <w:sz w:val="18"/>
                <w:szCs w:val="18"/>
                <w:lang w:val="fr-FR"/>
              </w:rPr>
            </w:pPr>
            <w:proofErr w:type="spellStart"/>
            <w:r w:rsidRPr="00800A64">
              <w:rPr>
                <w:sz w:val="18"/>
                <w:szCs w:val="18"/>
                <w:lang w:val="fr-FR"/>
              </w:rPr>
              <w:t>Bromage</w:t>
            </w:r>
            <w:proofErr w:type="spellEnd"/>
            <w:r w:rsidRPr="00800A64">
              <w:rPr>
                <w:sz w:val="18"/>
                <w:szCs w:val="18"/>
                <w:lang w:val="fr-FR"/>
              </w:rPr>
              <w:t xml:space="preserve"> </w:t>
            </w:r>
            <w:r w:rsidRPr="00800A64">
              <w:rPr>
                <w:i/>
                <w:iCs/>
                <w:sz w:val="18"/>
                <w:szCs w:val="18"/>
                <w:lang w:val="fr-FR"/>
              </w:rPr>
              <w:t>et al.</w:t>
            </w:r>
            <w:r w:rsidRPr="00800A64">
              <w:rPr>
                <w:sz w:val="18"/>
                <w:szCs w:val="18"/>
                <w:lang w:val="fr-FR"/>
              </w:rPr>
              <w:t xml:space="preserve"> (2018) </w:t>
            </w:r>
            <w:r w:rsidRPr="006E189F">
              <w:rPr>
                <w:sz w:val="18"/>
                <w:szCs w:val="18"/>
              </w:rPr>
              <w:fldChar w:fldCharType="begin" w:fldLock="1"/>
            </w:r>
            <w:r w:rsidR="005B0D26">
              <w:rPr>
                <w:sz w:val="18"/>
                <w:szCs w:val="18"/>
                <w:lang w:val="fr-FR"/>
              </w:rPr>
              <w:instrText>ADDIN CSL_CITATION {"citationItems":[{"id":"ITEM-1","itemData":{"DOI":"10.3390/nu10060703","ISSN":"20726643","abstract":"Household consumption and expenditure surveys are frequently conducted around the world and they usually include data on household food consumption, but their applicability to nutrition research is limited by their collection at the household level. Using data from Mongolia, this study evaluated four approaches for estimating diet from household surveys: direct inference from per-capita household consumption; disaggregation of household consumption using a statistical method and the “adult male equivalent” method, and direct prediction of dietary intake. Per-capita household consumption overestimated dietary energy in single- and multi-person households by factors of 2.63 and 1.89, respectively. Performance of disaggregation methods was variable across two household surveys analyzed, while the statistical method exhibited less bias in estimating intake densities (per 100 kcal) of most dietary components in both of the surveys. Increasingly complex prediction models explained 54% to 72% of in-sample variation in dietary energy, with consistent benefits incurred by inclusion of basic dietary measurements. In conclusion, in Mongolia and elsewhere, differences in how household and dietary measurements are recorded make their comparison challenging. Validity of disaggregation methods depends on household survey characteristics and the dietary components that are considered. Relatively precise prediction models of dietary intake can be achieved by integrating basic dietary assessment into household surveys.","author":[{"dropping-particle":"","family":"Bromage","given":"Sabri","non-dropping-particle":"","parse-names":false,"suffix":""},{"dropping-particle":"","family":"Rosner","given":"Bernard","non-dropping-particle":"","parse-names":false,"suffix":""},{"dropping-particle":"","family":"Rich-Edwards","given":"Janet W.","non-dropping-particle":"","parse-names":false,"suffix":""},{"dropping-particle":"","family":"Ganmaa","given":"Davaasambuu","non-dropping-particle":"","parse-names":false,"suffix":""},{"dropping-particle":"","family":"Tsolmon","given":"Soninkhishig","non-dropping-particle":"","parse-names":false,"suffix":""},{"dropping-particle":"","family":"Tserendejid","given":"Zuunnast","non-dropping-particle":"","parse-names":false,"suffix":""},{"dropping-particle":"","family":"Odbayar","given":"Tseye Oidov","non-dropping-particle":"","parse-names":false,"suffix":""},{"dropping-particle":"","family":"Traeger","given":"Margaret","non-dropping-particle":"","parse-names":false,"suffix":""},{"dropping-particle":"","family":"Fawzi","given":"Wafaie W.","non-dropping-particle":"","parse-names":false,"suffix":""}],"container-title":"Nutrients","id":"ITEM-1","issue":"6","issued":{"date-parts":[["2018"]]},"page":"703","title":"Comparison of methods for estimating dietary food and nutrient intakes and intake densities from household consumption and expenditure data in Mongolia","type":"article-journal","volume":"10"},"uris":["http://www.mendeley.com/documents/?uuid=337c4197-a54b-47b1-9e2a-a328cd26acb1"]}],"mendeley":{"formattedCitation":"&lt;sup&gt;(7)&lt;/sup&gt;","plainTextFormattedCitation":"(7)","previouslyFormattedCitation":"[7]"},"properties":{"noteIndex":0},"schema":"https://github.com/citation-style-language/schema/raw/master/csl-citation.json"}</w:instrText>
            </w:r>
            <w:r w:rsidRPr="006E189F">
              <w:rPr>
                <w:sz w:val="18"/>
                <w:szCs w:val="18"/>
              </w:rPr>
              <w:fldChar w:fldCharType="separate"/>
            </w:r>
            <w:r w:rsidR="005B0D26" w:rsidRPr="005B0D26">
              <w:rPr>
                <w:noProof/>
                <w:sz w:val="18"/>
                <w:szCs w:val="18"/>
                <w:vertAlign w:val="superscript"/>
                <w:lang w:val="fr-FR"/>
              </w:rPr>
              <w:t>(7)</w:t>
            </w:r>
            <w:r w:rsidRPr="006E189F">
              <w:rPr>
                <w:sz w:val="18"/>
                <w:szCs w:val="18"/>
              </w:rPr>
              <w:fldChar w:fldCharType="end"/>
            </w:r>
            <w:r w:rsidRPr="00800A64">
              <w:rPr>
                <w:sz w:val="18"/>
                <w:szCs w:val="18"/>
                <w:lang w:val="fr-FR"/>
              </w:rPr>
              <w:t xml:space="preserve">; </w:t>
            </w:r>
          </w:p>
          <w:p w14:paraId="7E207DF0" w14:textId="77777777" w:rsidR="00800A64" w:rsidRPr="00800A64" w:rsidRDefault="00800A64" w:rsidP="00800A64">
            <w:pPr>
              <w:ind w:left="0"/>
              <w:rPr>
                <w:sz w:val="18"/>
                <w:szCs w:val="18"/>
                <w:lang w:val="fr-FR"/>
              </w:rPr>
            </w:pPr>
            <w:proofErr w:type="spellStart"/>
            <w:proofErr w:type="gramStart"/>
            <w:r w:rsidRPr="00800A64">
              <w:rPr>
                <w:sz w:val="18"/>
                <w:szCs w:val="18"/>
                <w:lang w:val="fr-FR"/>
              </w:rPr>
              <w:t>Mongolia</w:t>
            </w:r>
            <w:proofErr w:type="spellEnd"/>
            <w:r w:rsidRPr="00800A64">
              <w:rPr>
                <w:sz w:val="18"/>
                <w:szCs w:val="18"/>
                <w:lang w:val="fr-FR"/>
              </w:rPr>
              <w:t>;</w:t>
            </w:r>
            <w:proofErr w:type="gramEnd"/>
          </w:p>
          <w:p w14:paraId="3F8C50BB" w14:textId="77777777" w:rsidR="00800A64" w:rsidRPr="00800A64" w:rsidRDefault="00800A64" w:rsidP="00800A64">
            <w:pPr>
              <w:ind w:left="0"/>
              <w:rPr>
                <w:sz w:val="18"/>
                <w:szCs w:val="18"/>
                <w:lang w:val="fr-FR"/>
              </w:rPr>
            </w:pPr>
            <w:proofErr w:type="spellStart"/>
            <w:proofErr w:type="gramStart"/>
            <w:r w:rsidRPr="00800A64">
              <w:rPr>
                <w:sz w:val="18"/>
                <w:szCs w:val="18"/>
                <w:lang w:val="fr-FR"/>
              </w:rPr>
              <w:t>means</w:t>
            </w:r>
            <w:proofErr w:type="spellEnd"/>
            <w:proofErr w:type="gramEnd"/>
          </w:p>
        </w:tc>
        <w:tc>
          <w:tcPr>
            <w:tcW w:w="1556" w:type="dxa"/>
            <w:vMerge w:val="restart"/>
            <w:tcBorders>
              <w:top w:val="single" w:sz="4" w:space="0" w:color="auto"/>
            </w:tcBorders>
          </w:tcPr>
          <w:p w14:paraId="7A0FE911" w14:textId="77777777" w:rsidR="00800A64" w:rsidRDefault="00800A64" w:rsidP="00800A64">
            <w:pPr>
              <w:ind w:left="0"/>
              <w:rPr>
                <w:sz w:val="18"/>
                <w:szCs w:val="18"/>
              </w:rPr>
            </w:pPr>
            <w:r w:rsidRPr="00E90B70">
              <w:rPr>
                <w:sz w:val="18"/>
                <w:szCs w:val="18"/>
              </w:rPr>
              <w:t>24H individual recall</w:t>
            </w:r>
          </w:p>
          <w:p w14:paraId="355B5BFC" w14:textId="4F6D2B62" w:rsidR="00800A64" w:rsidRPr="00E90B70" w:rsidRDefault="00800A64" w:rsidP="00800A64">
            <w:pPr>
              <w:ind w:left="0"/>
              <w:rPr>
                <w:sz w:val="18"/>
                <w:szCs w:val="18"/>
              </w:rPr>
            </w:pPr>
            <w:r>
              <w:rPr>
                <w:sz w:val="18"/>
                <w:szCs w:val="18"/>
              </w:rPr>
              <w:t>(N=4070)</w:t>
            </w:r>
          </w:p>
        </w:tc>
        <w:tc>
          <w:tcPr>
            <w:tcW w:w="2251" w:type="dxa"/>
            <w:vMerge w:val="restart"/>
            <w:tcBorders>
              <w:top w:val="single" w:sz="4" w:space="0" w:color="auto"/>
            </w:tcBorders>
          </w:tcPr>
          <w:p w14:paraId="2A263255" w14:textId="77777777" w:rsidR="00800A64" w:rsidRDefault="00800A64" w:rsidP="00800A64">
            <w:pPr>
              <w:ind w:left="0"/>
              <w:rPr>
                <w:sz w:val="18"/>
                <w:szCs w:val="18"/>
              </w:rPr>
            </w:pPr>
            <w:proofErr w:type="gramStart"/>
            <w:r>
              <w:rPr>
                <w:sz w:val="18"/>
                <w:szCs w:val="18"/>
              </w:rPr>
              <w:t>7-30 day</w:t>
            </w:r>
            <w:proofErr w:type="gramEnd"/>
            <w:r w:rsidRPr="003B514D">
              <w:rPr>
                <w:sz w:val="18"/>
                <w:szCs w:val="18"/>
              </w:rPr>
              <w:t xml:space="preserve"> recall</w:t>
            </w:r>
            <w:r>
              <w:rPr>
                <w:sz w:val="18"/>
                <w:szCs w:val="18"/>
              </w:rPr>
              <w:t xml:space="preserve"> of household meals </w:t>
            </w:r>
          </w:p>
          <w:p w14:paraId="1665B7A8" w14:textId="77777777" w:rsidR="00800A64" w:rsidRPr="00E90B70" w:rsidRDefault="00800A64" w:rsidP="00800A64">
            <w:pPr>
              <w:ind w:left="0"/>
              <w:rPr>
                <w:sz w:val="18"/>
                <w:szCs w:val="18"/>
              </w:rPr>
            </w:pPr>
            <w:r>
              <w:rPr>
                <w:sz w:val="18"/>
                <w:szCs w:val="18"/>
              </w:rPr>
              <w:t>(n=1012)</w:t>
            </w:r>
          </w:p>
          <w:p w14:paraId="22D7B0E0" w14:textId="77777777" w:rsidR="00800A64" w:rsidRPr="00E90B70" w:rsidRDefault="00800A64" w:rsidP="00800A64">
            <w:pPr>
              <w:rPr>
                <w:sz w:val="18"/>
                <w:szCs w:val="18"/>
              </w:rPr>
            </w:pPr>
          </w:p>
        </w:tc>
        <w:tc>
          <w:tcPr>
            <w:tcW w:w="1701" w:type="dxa"/>
            <w:vMerge w:val="restart"/>
            <w:tcBorders>
              <w:top w:val="single" w:sz="4" w:space="0" w:color="auto"/>
            </w:tcBorders>
          </w:tcPr>
          <w:p w14:paraId="47A9578B" w14:textId="77777777" w:rsidR="00800A64" w:rsidRDefault="00800A64" w:rsidP="00800A64">
            <w:pPr>
              <w:ind w:left="0"/>
              <w:rPr>
                <w:sz w:val="18"/>
                <w:szCs w:val="18"/>
              </w:rPr>
            </w:pPr>
            <w:r>
              <w:rPr>
                <w:sz w:val="18"/>
                <w:szCs w:val="18"/>
              </w:rPr>
              <w:t>Total population</w:t>
            </w:r>
          </w:p>
          <w:p w14:paraId="469044FD" w14:textId="77777777" w:rsidR="00800A64" w:rsidRDefault="00800A64" w:rsidP="00800A64">
            <w:pPr>
              <w:ind w:left="0"/>
              <w:rPr>
                <w:sz w:val="18"/>
                <w:szCs w:val="18"/>
              </w:rPr>
            </w:pPr>
            <w:r>
              <w:rPr>
                <w:sz w:val="18"/>
                <w:szCs w:val="18"/>
              </w:rPr>
              <w:t>(n=4070)</w:t>
            </w:r>
          </w:p>
        </w:tc>
        <w:tc>
          <w:tcPr>
            <w:tcW w:w="1965" w:type="dxa"/>
            <w:tcBorders>
              <w:top w:val="single" w:sz="4" w:space="0" w:color="auto"/>
            </w:tcBorders>
          </w:tcPr>
          <w:p w14:paraId="27B3816B" w14:textId="77777777" w:rsidR="00800A64" w:rsidRPr="002F330C" w:rsidRDefault="00800A64" w:rsidP="00800A64">
            <w:pPr>
              <w:ind w:left="0"/>
              <w:rPr>
                <w:sz w:val="18"/>
                <w:szCs w:val="18"/>
              </w:rPr>
            </w:pPr>
            <w:r w:rsidRPr="002F330C">
              <w:rPr>
                <w:sz w:val="18"/>
                <w:szCs w:val="18"/>
              </w:rPr>
              <w:t>Energy, kcal</w:t>
            </w:r>
          </w:p>
        </w:tc>
        <w:tc>
          <w:tcPr>
            <w:tcW w:w="1051" w:type="dxa"/>
            <w:tcBorders>
              <w:top w:val="single" w:sz="4" w:space="0" w:color="auto"/>
            </w:tcBorders>
          </w:tcPr>
          <w:p w14:paraId="2C78A1BE" w14:textId="77777777" w:rsidR="00800A64" w:rsidRPr="002F330C" w:rsidRDefault="00800A64" w:rsidP="00800A64">
            <w:pPr>
              <w:ind w:left="0"/>
              <w:jc w:val="center"/>
              <w:rPr>
                <w:sz w:val="18"/>
                <w:szCs w:val="18"/>
              </w:rPr>
            </w:pPr>
            <w:r w:rsidRPr="002F330C">
              <w:rPr>
                <w:sz w:val="18"/>
                <w:szCs w:val="18"/>
              </w:rPr>
              <w:t>1863</w:t>
            </w:r>
          </w:p>
        </w:tc>
        <w:tc>
          <w:tcPr>
            <w:tcW w:w="1169" w:type="dxa"/>
            <w:tcBorders>
              <w:top w:val="single" w:sz="4" w:space="0" w:color="auto"/>
            </w:tcBorders>
          </w:tcPr>
          <w:p w14:paraId="2AE1AE85" w14:textId="77777777" w:rsidR="00800A64" w:rsidRPr="002F330C" w:rsidRDefault="00800A64" w:rsidP="00800A64">
            <w:pPr>
              <w:ind w:left="0"/>
              <w:jc w:val="center"/>
              <w:rPr>
                <w:sz w:val="18"/>
                <w:szCs w:val="18"/>
              </w:rPr>
            </w:pPr>
            <w:r w:rsidRPr="002F330C">
              <w:rPr>
                <w:sz w:val="18"/>
                <w:szCs w:val="18"/>
              </w:rPr>
              <w:t>2951</w:t>
            </w:r>
          </w:p>
        </w:tc>
        <w:tc>
          <w:tcPr>
            <w:tcW w:w="1564" w:type="dxa"/>
            <w:tcBorders>
              <w:top w:val="single" w:sz="4" w:space="0" w:color="auto"/>
              <w:right w:val="single" w:sz="4" w:space="0" w:color="auto"/>
            </w:tcBorders>
          </w:tcPr>
          <w:p w14:paraId="2EF0FC82" w14:textId="77777777" w:rsidR="00800A64" w:rsidRPr="002F330C" w:rsidRDefault="00800A64" w:rsidP="00800A64">
            <w:pPr>
              <w:ind w:left="0"/>
              <w:jc w:val="center"/>
              <w:rPr>
                <w:sz w:val="18"/>
                <w:szCs w:val="18"/>
              </w:rPr>
            </w:pPr>
            <w:r w:rsidRPr="002F330C">
              <w:rPr>
                <w:sz w:val="18"/>
                <w:szCs w:val="18"/>
              </w:rPr>
              <w:t>58</w:t>
            </w:r>
          </w:p>
        </w:tc>
      </w:tr>
      <w:tr w:rsidR="00F61282" w:rsidRPr="002F330C" w14:paraId="51C25F66" w14:textId="77777777" w:rsidTr="007F7EA3">
        <w:trPr>
          <w:trHeight w:val="77"/>
        </w:trPr>
        <w:tc>
          <w:tcPr>
            <w:tcW w:w="1806" w:type="dxa"/>
            <w:vMerge/>
            <w:tcBorders>
              <w:left w:val="single" w:sz="4" w:space="0" w:color="auto"/>
            </w:tcBorders>
          </w:tcPr>
          <w:p w14:paraId="0A7A88B0" w14:textId="77777777" w:rsidR="00F61282" w:rsidRPr="00E90B70" w:rsidRDefault="00F61282" w:rsidP="00F61282">
            <w:pPr>
              <w:rPr>
                <w:sz w:val="18"/>
                <w:szCs w:val="18"/>
              </w:rPr>
            </w:pPr>
          </w:p>
        </w:tc>
        <w:tc>
          <w:tcPr>
            <w:tcW w:w="1556" w:type="dxa"/>
            <w:vMerge/>
          </w:tcPr>
          <w:p w14:paraId="19DA8E00" w14:textId="77777777" w:rsidR="00F61282" w:rsidRPr="00E90B70" w:rsidRDefault="00F61282" w:rsidP="00F61282">
            <w:pPr>
              <w:rPr>
                <w:sz w:val="18"/>
                <w:szCs w:val="18"/>
              </w:rPr>
            </w:pPr>
          </w:p>
        </w:tc>
        <w:tc>
          <w:tcPr>
            <w:tcW w:w="2251" w:type="dxa"/>
            <w:vMerge/>
          </w:tcPr>
          <w:p w14:paraId="7086431B" w14:textId="77777777" w:rsidR="00F61282" w:rsidRPr="00E90B70" w:rsidRDefault="00F61282" w:rsidP="00F61282">
            <w:pPr>
              <w:rPr>
                <w:sz w:val="18"/>
                <w:szCs w:val="18"/>
              </w:rPr>
            </w:pPr>
          </w:p>
        </w:tc>
        <w:tc>
          <w:tcPr>
            <w:tcW w:w="1701" w:type="dxa"/>
            <w:vMerge/>
          </w:tcPr>
          <w:p w14:paraId="69C949FC" w14:textId="77777777" w:rsidR="00F61282" w:rsidRDefault="00F61282" w:rsidP="00F61282">
            <w:pPr>
              <w:rPr>
                <w:sz w:val="18"/>
                <w:szCs w:val="18"/>
              </w:rPr>
            </w:pPr>
          </w:p>
        </w:tc>
        <w:tc>
          <w:tcPr>
            <w:tcW w:w="1965" w:type="dxa"/>
            <w:shd w:val="clear" w:color="auto" w:fill="D9D9D9" w:themeFill="background1" w:themeFillShade="D9"/>
          </w:tcPr>
          <w:p w14:paraId="6A282707" w14:textId="77777777" w:rsidR="00F61282" w:rsidRPr="002F330C" w:rsidRDefault="00F61282" w:rsidP="00F61282">
            <w:pPr>
              <w:ind w:left="0"/>
              <w:rPr>
                <w:sz w:val="18"/>
                <w:szCs w:val="18"/>
              </w:rPr>
            </w:pPr>
            <w:r w:rsidRPr="002F330C">
              <w:rPr>
                <w:sz w:val="18"/>
                <w:szCs w:val="18"/>
              </w:rPr>
              <w:t>Carbohydrates, g</w:t>
            </w:r>
          </w:p>
        </w:tc>
        <w:tc>
          <w:tcPr>
            <w:tcW w:w="1051" w:type="dxa"/>
            <w:shd w:val="clear" w:color="auto" w:fill="D9D9D9" w:themeFill="background1" w:themeFillShade="D9"/>
          </w:tcPr>
          <w:p w14:paraId="216E399F" w14:textId="77777777" w:rsidR="00F61282" w:rsidRPr="002F330C" w:rsidRDefault="00F61282" w:rsidP="00F61282">
            <w:pPr>
              <w:ind w:left="0"/>
              <w:jc w:val="center"/>
              <w:rPr>
                <w:sz w:val="18"/>
                <w:szCs w:val="18"/>
              </w:rPr>
            </w:pPr>
            <w:r w:rsidRPr="002F330C">
              <w:rPr>
                <w:sz w:val="18"/>
                <w:szCs w:val="18"/>
              </w:rPr>
              <w:t>241</w:t>
            </w:r>
          </w:p>
        </w:tc>
        <w:tc>
          <w:tcPr>
            <w:tcW w:w="1169" w:type="dxa"/>
            <w:shd w:val="clear" w:color="auto" w:fill="D9D9D9" w:themeFill="background1" w:themeFillShade="D9"/>
          </w:tcPr>
          <w:p w14:paraId="1CA548D4" w14:textId="77777777" w:rsidR="00F61282" w:rsidRPr="002F330C" w:rsidRDefault="00F61282" w:rsidP="00F61282">
            <w:pPr>
              <w:ind w:left="0"/>
              <w:jc w:val="center"/>
              <w:rPr>
                <w:sz w:val="18"/>
                <w:szCs w:val="18"/>
              </w:rPr>
            </w:pPr>
            <w:r w:rsidRPr="002F330C">
              <w:rPr>
                <w:sz w:val="18"/>
                <w:szCs w:val="18"/>
              </w:rPr>
              <w:t>364</w:t>
            </w:r>
          </w:p>
        </w:tc>
        <w:tc>
          <w:tcPr>
            <w:tcW w:w="1564" w:type="dxa"/>
            <w:tcBorders>
              <w:right w:val="single" w:sz="4" w:space="0" w:color="auto"/>
            </w:tcBorders>
            <w:shd w:val="clear" w:color="auto" w:fill="D9D9D9" w:themeFill="background1" w:themeFillShade="D9"/>
          </w:tcPr>
          <w:p w14:paraId="0BE7AC1C" w14:textId="77777777" w:rsidR="00F61282" w:rsidRPr="002F330C" w:rsidRDefault="00F61282" w:rsidP="00F61282">
            <w:pPr>
              <w:ind w:left="0"/>
              <w:jc w:val="center"/>
              <w:rPr>
                <w:sz w:val="18"/>
                <w:szCs w:val="18"/>
              </w:rPr>
            </w:pPr>
            <w:r w:rsidRPr="002F330C">
              <w:rPr>
                <w:sz w:val="18"/>
                <w:szCs w:val="18"/>
              </w:rPr>
              <w:t>51</w:t>
            </w:r>
          </w:p>
        </w:tc>
      </w:tr>
      <w:tr w:rsidR="00F61282" w:rsidRPr="002F330C" w14:paraId="34E29C78" w14:textId="77777777" w:rsidTr="007F7EA3">
        <w:trPr>
          <w:trHeight w:val="197"/>
        </w:trPr>
        <w:tc>
          <w:tcPr>
            <w:tcW w:w="1806" w:type="dxa"/>
            <w:vMerge/>
            <w:tcBorders>
              <w:left w:val="single" w:sz="4" w:space="0" w:color="auto"/>
            </w:tcBorders>
          </w:tcPr>
          <w:p w14:paraId="28D2B2DC" w14:textId="77777777" w:rsidR="00F61282" w:rsidRPr="00E90B70" w:rsidRDefault="00F61282" w:rsidP="00F61282">
            <w:pPr>
              <w:rPr>
                <w:sz w:val="18"/>
                <w:szCs w:val="18"/>
              </w:rPr>
            </w:pPr>
          </w:p>
        </w:tc>
        <w:tc>
          <w:tcPr>
            <w:tcW w:w="1556" w:type="dxa"/>
            <w:vMerge/>
          </w:tcPr>
          <w:p w14:paraId="36245D7E" w14:textId="77777777" w:rsidR="00F61282" w:rsidRPr="00E90B70" w:rsidRDefault="00F61282" w:rsidP="00F61282">
            <w:pPr>
              <w:rPr>
                <w:sz w:val="18"/>
                <w:szCs w:val="18"/>
              </w:rPr>
            </w:pPr>
          </w:p>
        </w:tc>
        <w:tc>
          <w:tcPr>
            <w:tcW w:w="2251" w:type="dxa"/>
            <w:vMerge/>
          </w:tcPr>
          <w:p w14:paraId="2C236DC3" w14:textId="77777777" w:rsidR="00F61282" w:rsidRPr="00E90B70" w:rsidRDefault="00F61282" w:rsidP="00F61282">
            <w:pPr>
              <w:rPr>
                <w:sz w:val="18"/>
                <w:szCs w:val="18"/>
              </w:rPr>
            </w:pPr>
          </w:p>
        </w:tc>
        <w:tc>
          <w:tcPr>
            <w:tcW w:w="1701" w:type="dxa"/>
            <w:vMerge/>
          </w:tcPr>
          <w:p w14:paraId="66369426" w14:textId="77777777" w:rsidR="00F61282" w:rsidRDefault="00F61282" w:rsidP="00F61282">
            <w:pPr>
              <w:rPr>
                <w:sz w:val="18"/>
                <w:szCs w:val="18"/>
              </w:rPr>
            </w:pPr>
          </w:p>
        </w:tc>
        <w:tc>
          <w:tcPr>
            <w:tcW w:w="1965" w:type="dxa"/>
          </w:tcPr>
          <w:p w14:paraId="56DE6C7D" w14:textId="77777777" w:rsidR="00F61282" w:rsidRPr="002F330C" w:rsidRDefault="00F61282" w:rsidP="00F61282">
            <w:pPr>
              <w:ind w:left="0"/>
              <w:rPr>
                <w:sz w:val="18"/>
                <w:szCs w:val="18"/>
              </w:rPr>
            </w:pPr>
            <w:r w:rsidRPr="002F330C">
              <w:rPr>
                <w:sz w:val="18"/>
                <w:szCs w:val="18"/>
              </w:rPr>
              <w:t>Protein, g</w:t>
            </w:r>
          </w:p>
        </w:tc>
        <w:tc>
          <w:tcPr>
            <w:tcW w:w="1051" w:type="dxa"/>
          </w:tcPr>
          <w:p w14:paraId="2DF4ECD3" w14:textId="77777777" w:rsidR="00F61282" w:rsidRPr="002F330C" w:rsidRDefault="00F61282" w:rsidP="00F61282">
            <w:pPr>
              <w:ind w:left="0"/>
              <w:jc w:val="center"/>
              <w:rPr>
                <w:sz w:val="18"/>
                <w:szCs w:val="18"/>
              </w:rPr>
            </w:pPr>
            <w:r w:rsidRPr="002F330C">
              <w:rPr>
                <w:sz w:val="18"/>
                <w:szCs w:val="18"/>
              </w:rPr>
              <w:t>70</w:t>
            </w:r>
          </w:p>
        </w:tc>
        <w:tc>
          <w:tcPr>
            <w:tcW w:w="1169" w:type="dxa"/>
          </w:tcPr>
          <w:p w14:paraId="282E2655" w14:textId="77777777" w:rsidR="00F61282" w:rsidRPr="002F330C" w:rsidRDefault="00F61282" w:rsidP="00F61282">
            <w:pPr>
              <w:ind w:left="0"/>
              <w:jc w:val="center"/>
              <w:rPr>
                <w:sz w:val="18"/>
                <w:szCs w:val="18"/>
              </w:rPr>
            </w:pPr>
            <w:r w:rsidRPr="002F330C">
              <w:rPr>
                <w:sz w:val="18"/>
                <w:szCs w:val="18"/>
              </w:rPr>
              <w:t>120</w:t>
            </w:r>
          </w:p>
        </w:tc>
        <w:tc>
          <w:tcPr>
            <w:tcW w:w="1564" w:type="dxa"/>
            <w:tcBorders>
              <w:right w:val="single" w:sz="4" w:space="0" w:color="auto"/>
            </w:tcBorders>
          </w:tcPr>
          <w:p w14:paraId="0D814FE4" w14:textId="77777777" w:rsidR="00F61282" w:rsidRPr="002F330C" w:rsidRDefault="00F61282" w:rsidP="00F61282">
            <w:pPr>
              <w:ind w:left="0"/>
              <w:jc w:val="center"/>
              <w:rPr>
                <w:sz w:val="18"/>
                <w:szCs w:val="18"/>
              </w:rPr>
            </w:pPr>
            <w:r w:rsidRPr="002F330C">
              <w:rPr>
                <w:sz w:val="18"/>
                <w:szCs w:val="18"/>
              </w:rPr>
              <w:t>71</w:t>
            </w:r>
          </w:p>
        </w:tc>
      </w:tr>
      <w:tr w:rsidR="00F61282" w:rsidRPr="002F330C" w14:paraId="76436B2E" w14:textId="77777777" w:rsidTr="007F7EA3">
        <w:trPr>
          <w:trHeight w:val="251"/>
        </w:trPr>
        <w:tc>
          <w:tcPr>
            <w:tcW w:w="1806" w:type="dxa"/>
            <w:vMerge/>
            <w:tcBorders>
              <w:left w:val="single" w:sz="4" w:space="0" w:color="auto"/>
            </w:tcBorders>
          </w:tcPr>
          <w:p w14:paraId="74997BBC" w14:textId="77777777" w:rsidR="00F61282" w:rsidRPr="00E90B70" w:rsidRDefault="00F61282" w:rsidP="00F61282">
            <w:pPr>
              <w:rPr>
                <w:sz w:val="18"/>
                <w:szCs w:val="18"/>
              </w:rPr>
            </w:pPr>
          </w:p>
        </w:tc>
        <w:tc>
          <w:tcPr>
            <w:tcW w:w="1556" w:type="dxa"/>
            <w:vMerge/>
          </w:tcPr>
          <w:p w14:paraId="3F2CDAD3" w14:textId="77777777" w:rsidR="00F61282" w:rsidRPr="00E90B70" w:rsidRDefault="00F61282" w:rsidP="00F61282">
            <w:pPr>
              <w:rPr>
                <w:sz w:val="18"/>
                <w:szCs w:val="18"/>
              </w:rPr>
            </w:pPr>
          </w:p>
        </w:tc>
        <w:tc>
          <w:tcPr>
            <w:tcW w:w="2251" w:type="dxa"/>
            <w:vMerge/>
          </w:tcPr>
          <w:p w14:paraId="36D3B07D" w14:textId="77777777" w:rsidR="00F61282" w:rsidRPr="00E90B70" w:rsidRDefault="00F61282" w:rsidP="00F61282">
            <w:pPr>
              <w:rPr>
                <w:sz w:val="18"/>
                <w:szCs w:val="18"/>
              </w:rPr>
            </w:pPr>
          </w:p>
        </w:tc>
        <w:tc>
          <w:tcPr>
            <w:tcW w:w="1701" w:type="dxa"/>
            <w:vMerge/>
          </w:tcPr>
          <w:p w14:paraId="72266B19" w14:textId="77777777" w:rsidR="00F61282" w:rsidRDefault="00F61282" w:rsidP="00F61282">
            <w:pPr>
              <w:rPr>
                <w:sz w:val="18"/>
                <w:szCs w:val="18"/>
              </w:rPr>
            </w:pPr>
          </w:p>
        </w:tc>
        <w:tc>
          <w:tcPr>
            <w:tcW w:w="1965" w:type="dxa"/>
            <w:shd w:val="clear" w:color="auto" w:fill="D9D9D9" w:themeFill="background1" w:themeFillShade="D9"/>
          </w:tcPr>
          <w:p w14:paraId="46E7870E" w14:textId="77777777" w:rsidR="00F61282" w:rsidRPr="002F330C" w:rsidRDefault="00F61282" w:rsidP="00F61282">
            <w:pPr>
              <w:ind w:left="0"/>
              <w:rPr>
                <w:sz w:val="18"/>
                <w:szCs w:val="18"/>
              </w:rPr>
            </w:pPr>
            <w:r w:rsidRPr="002F330C">
              <w:rPr>
                <w:sz w:val="18"/>
                <w:szCs w:val="18"/>
              </w:rPr>
              <w:t>Total fat, g</w:t>
            </w:r>
          </w:p>
        </w:tc>
        <w:tc>
          <w:tcPr>
            <w:tcW w:w="1051" w:type="dxa"/>
            <w:shd w:val="clear" w:color="auto" w:fill="D9D9D9" w:themeFill="background1" w:themeFillShade="D9"/>
          </w:tcPr>
          <w:p w14:paraId="3B35105C" w14:textId="77777777" w:rsidR="00F61282" w:rsidRPr="002F330C" w:rsidRDefault="00F61282" w:rsidP="00F61282">
            <w:pPr>
              <w:ind w:left="0"/>
              <w:jc w:val="center"/>
              <w:rPr>
                <w:sz w:val="18"/>
                <w:szCs w:val="18"/>
              </w:rPr>
            </w:pPr>
            <w:r w:rsidRPr="002F330C">
              <w:rPr>
                <w:sz w:val="18"/>
                <w:szCs w:val="18"/>
              </w:rPr>
              <w:t>66</w:t>
            </w:r>
          </w:p>
        </w:tc>
        <w:tc>
          <w:tcPr>
            <w:tcW w:w="1169" w:type="dxa"/>
            <w:shd w:val="clear" w:color="auto" w:fill="D9D9D9" w:themeFill="background1" w:themeFillShade="D9"/>
          </w:tcPr>
          <w:p w14:paraId="7DC15EF4" w14:textId="77777777" w:rsidR="00F61282" w:rsidRPr="002F330C" w:rsidRDefault="00F61282" w:rsidP="00F61282">
            <w:pPr>
              <w:ind w:left="0"/>
              <w:jc w:val="center"/>
              <w:rPr>
                <w:sz w:val="18"/>
                <w:szCs w:val="18"/>
              </w:rPr>
            </w:pPr>
            <w:r w:rsidRPr="002F330C">
              <w:rPr>
                <w:sz w:val="18"/>
                <w:szCs w:val="18"/>
              </w:rPr>
              <w:t>113</w:t>
            </w:r>
          </w:p>
        </w:tc>
        <w:tc>
          <w:tcPr>
            <w:tcW w:w="1564" w:type="dxa"/>
            <w:tcBorders>
              <w:right w:val="single" w:sz="4" w:space="0" w:color="auto"/>
            </w:tcBorders>
            <w:shd w:val="clear" w:color="auto" w:fill="D9D9D9" w:themeFill="background1" w:themeFillShade="D9"/>
          </w:tcPr>
          <w:p w14:paraId="7E64A60E" w14:textId="77777777" w:rsidR="00F61282" w:rsidRPr="002F330C" w:rsidRDefault="00F61282" w:rsidP="00F61282">
            <w:pPr>
              <w:ind w:left="0"/>
              <w:jc w:val="center"/>
              <w:rPr>
                <w:sz w:val="18"/>
                <w:szCs w:val="18"/>
              </w:rPr>
            </w:pPr>
            <w:r w:rsidRPr="002F330C">
              <w:rPr>
                <w:sz w:val="18"/>
                <w:szCs w:val="18"/>
              </w:rPr>
              <w:t>71</w:t>
            </w:r>
          </w:p>
        </w:tc>
      </w:tr>
      <w:tr w:rsidR="00F61282" w:rsidRPr="002F330C" w14:paraId="74A2DD5E" w14:textId="77777777" w:rsidTr="007F7EA3">
        <w:trPr>
          <w:trHeight w:val="161"/>
        </w:trPr>
        <w:tc>
          <w:tcPr>
            <w:tcW w:w="1806" w:type="dxa"/>
            <w:vMerge/>
            <w:tcBorders>
              <w:left w:val="single" w:sz="4" w:space="0" w:color="auto"/>
            </w:tcBorders>
          </w:tcPr>
          <w:p w14:paraId="1373CCE8" w14:textId="77777777" w:rsidR="00F61282" w:rsidRPr="00E90B70" w:rsidRDefault="00F61282" w:rsidP="00F61282">
            <w:pPr>
              <w:rPr>
                <w:sz w:val="18"/>
                <w:szCs w:val="18"/>
              </w:rPr>
            </w:pPr>
          </w:p>
        </w:tc>
        <w:tc>
          <w:tcPr>
            <w:tcW w:w="1556" w:type="dxa"/>
            <w:vMerge/>
          </w:tcPr>
          <w:p w14:paraId="5C88AA3C" w14:textId="77777777" w:rsidR="00F61282" w:rsidRPr="00E90B70" w:rsidRDefault="00F61282" w:rsidP="00F61282">
            <w:pPr>
              <w:rPr>
                <w:sz w:val="18"/>
                <w:szCs w:val="18"/>
              </w:rPr>
            </w:pPr>
          </w:p>
        </w:tc>
        <w:tc>
          <w:tcPr>
            <w:tcW w:w="2251" w:type="dxa"/>
            <w:vMerge/>
          </w:tcPr>
          <w:p w14:paraId="01F7A45B" w14:textId="77777777" w:rsidR="00F61282" w:rsidRPr="00E90B70" w:rsidRDefault="00F61282" w:rsidP="00F61282">
            <w:pPr>
              <w:rPr>
                <w:sz w:val="18"/>
                <w:szCs w:val="18"/>
              </w:rPr>
            </w:pPr>
          </w:p>
        </w:tc>
        <w:tc>
          <w:tcPr>
            <w:tcW w:w="1701" w:type="dxa"/>
            <w:vMerge/>
          </w:tcPr>
          <w:p w14:paraId="1468E165" w14:textId="77777777" w:rsidR="00F61282" w:rsidRDefault="00F61282" w:rsidP="00F61282">
            <w:pPr>
              <w:rPr>
                <w:sz w:val="18"/>
                <w:szCs w:val="18"/>
              </w:rPr>
            </w:pPr>
          </w:p>
        </w:tc>
        <w:tc>
          <w:tcPr>
            <w:tcW w:w="1965" w:type="dxa"/>
          </w:tcPr>
          <w:p w14:paraId="169BAB39" w14:textId="77777777" w:rsidR="00F61282" w:rsidRPr="002F330C" w:rsidRDefault="00F61282" w:rsidP="00F61282">
            <w:pPr>
              <w:ind w:left="0"/>
              <w:rPr>
                <w:sz w:val="18"/>
                <w:szCs w:val="18"/>
              </w:rPr>
            </w:pPr>
            <w:r w:rsidRPr="002F330C">
              <w:rPr>
                <w:sz w:val="18"/>
                <w:szCs w:val="18"/>
              </w:rPr>
              <w:t>Thiamin, mg</w:t>
            </w:r>
          </w:p>
        </w:tc>
        <w:tc>
          <w:tcPr>
            <w:tcW w:w="1051" w:type="dxa"/>
          </w:tcPr>
          <w:p w14:paraId="6D0477C8" w14:textId="77777777" w:rsidR="00F61282" w:rsidRPr="002F330C" w:rsidRDefault="00F61282" w:rsidP="00F61282">
            <w:pPr>
              <w:ind w:left="0"/>
              <w:jc w:val="center"/>
              <w:rPr>
                <w:sz w:val="18"/>
                <w:szCs w:val="18"/>
              </w:rPr>
            </w:pPr>
            <w:r w:rsidRPr="002F330C">
              <w:rPr>
                <w:sz w:val="18"/>
                <w:szCs w:val="18"/>
              </w:rPr>
              <w:t>0.8</w:t>
            </w:r>
          </w:p>
        </w:tc>
        <w:tc>
          <w:tcPr>
            <w:tcW w:w="1169" w:type="dxa"/>
          </w:tcPr>
          <w:p w14:paraId="5F7417D5" w14:textId="77777777" w:rsidR="00F61282" w:rsidRPr="002F330C" w:rsidRDefault="00F61282" w:rsidP="00F61282">
            <w:pPr>
              <w:ind w:left="0"/>
              <w:jc w:val="center"/>
              <w:rPr>
                <w:sz w:val="18"/>
                <w:szCs w:val="18"/>
              </w:rPr>
            </w:pPr>
            <w:r w:rsidRPr="002F330C">
              <w:rPr>
                <w:sz w:val="18"/>
                <w:szCs w:val="18"/>
              </w:rPr>
              <w:t>1.3</w:t>
            </w:r>
          </w:p>
        </w:tc>
        <w:tc>
          <w:tcPr>
            <w:tcW w:w="1564" w:type="dxa"/>
            <w:tcBorders>
              <w:right w:val="single" w:sz="4" w:space="0" w:color="auto"/>
            </w:tcBorders>
          </w:tcPr>
          <w:p w14:paraId="03C3410A" w14:textId="77777777" w:rsidR="00F61282" w:rsidRPr="002F330C" w:rsidRDefault="00F61282" w:rsidP="00F61282">
            <w:pPr>
              <w:ind w:left="0"/>
              <w:jc w:val="center"/>
              <w:rPr>
                <w:sz w:val="18"/>
                <w:szCs w:val="18"/>
              </w:rPr>
            </w:pPr>
            <w:r w:rsidRPr="002F330C">
              <w:rPr>
                <w:sz w:val="18"/>
                <w:szCs w:val="18"/>
              </w:rPr>
              <w:t>72</w:t>
            </w:r>
          </w:p>
        </w:tc>
      </w:tr>
      <w:tr w:rsidR="00F61282" w:rsidRPr="002F330C" w14:paraId="2C0B76CA" w14:textId="77777777" w:rsidTr="007F7EA3">
        <w:trPr>
          <w:trHeight w:val="197"/>
        </w:trPr>
        <w:tc>
          <w:tcPr>
            <w:tcW w:w="1806" w:type="dxa"/>
            <w:vMerge/>
            <w:tcBorders>
              <w:left w:val="single" w:sz="4" w:space="0" w:color="auto"/>
            </w:tcBorders>
          </w:tcPr>
          <w:p w14:paraId="27135CF4" w14:textId="77777777" w:rsidR="00F61282" w:rsidRPr="00E90B70" w:rsidRDefault="00F61282" w:rsidP="00F61282">
            <w:pPr>
              <w:rPr>
                <w:sz w:val="18"/>
                <w:szCs w:val="18"/>
              </w:rPr>
            </w:pPr>
          </w:p>
        </w:tc>
        <w:tc>
          <w:tcPr>
            <w:tcW w:w="1556" w:type="dxa"/>
            <w:vMerge/>
          </w:tcPr>
          <w:p w14:paraId="2CE1D595" w14:textId="77777777" w:rsidR="00F61282" w:rsidRPr="00E90B70" w:rsidRDefault="00F61282" w:rsidP="00F61282">
            <w:pPr>
              <w:rPr>
                <w:sz w:val="18"/>
                <w:szCs w:val="18"/>
              </w:rPr>
            </w:pPr>
          </w:p>
        </w:tc>
        <w:tc>
          <w:tcPr>
            <w:tcW w:w="2251" w:type="dxa"/>
            <w:vMerge/>
          </w:tcPr>
          <w:p w14:paraId="6ECB7FE8" w14:textId="77777777" w:rsidR="00F61282" w:rsidRPr="00E90B70" w:rsidRDefault="00F61282" w:rsidP="00F61282">
            <w:pPr>
              <w:rPr>
                <w:sz w:val="18"/>
                <w:szCs w:val="18"/>
              </w:rPr>
            </w:pPr>
          </w:p>
        </w:tc>
        <w:tc>
          <w:tcPr>
            <w:tcW w:w="1701" w:type="dxa"/>
            <w:vMerge/>
          </w:tcPr>
          <w:p w14:paraId="0FF6CBC3" w14:textId="77777777" w:rsidR="00F61282" w:rsidRDefault="00F61282" w:rsidP="00F61282">
            <w:pPr>
              <w:rPr>
                <w:sz w:val="18"/>
                <w:szCs w:val="18"/>
              </w:rPr>
            </w:pPr>
          </w:p>
        </w:tc>
        <w:tc>
          <w:tcPr>
            <w:tcW w:w="1965" w:type="dxa"/>
            <w:shd w:val="clear" w:color="auto" w:fill="D9D9D9" w:themeFill="background1" w:themeFillShade="D9"/>
          </w:tcPr>
          <w:p w14:paraId="09F3C1A6" w14:textId="77777777" w:rsidR="00F61282" w:rsidRPr="002F330C" w:rsidRDefault="00F61282" w:rsidP="00F61282">
            <w:pPr>
              <w:ind w:left="0"/>
              <w:rPr>
                <w:sz w:val="18"/>
                <w:szCs w:val="18"/>
              </w:rPr>
            </w:pPr>
            <w:r w:rsidRPr="002F330C">
              <w:rPr>
                <w:sz w:val="18"/>
                <w:szCs w:val="18"/>
              </w:rPr>
              <w:t>Riboflavin, mg</w:t>
            </w:r>
          </w:p>
        </w:tc>
        <w:tc>
          <w:tcPr>
            <w:tcW w:w="1051" w:type="dxa"/>
            <w:shd w:val="clear" w:color="auto" w:fill="D9D9D9" w:themeFill="background1" w:themeFillShade="D9"/>
          </w:tcPr>
          <w:p w14:paraId="6758AD8E" w14:textId="77777777" w:rsidR="00F61282" w:rsidRPr="002F330C" w:rsidRDefault="00F61282" w:rsidP="00F61282">
            <w:pPr>
              <w:ind w:left="0"/>
              <w:jc w:val="center"/>
              <w:rPr>
                <w:sz w:val="18"/>
                <w:szCs w:val="18"/>
              </w:rPr>
            </w:pPr>
            <w:r w:rsidRPr="002F330C">
              <w:rPr>
                <w:sz w:val="18"/>
                <w:szCs w:val="18"/>
              </w:rPr>
              <w:t>1.2</w:t>
            </w:r>
          </w:p>
        </w:tc>
        <w:tc>
          <w:tcPr>
            <w:tcW w:w="1169" w:type="dxa"/>
            <w:shd w:val="clear" w:color="auto" w:fill="D9D9D9" w:themeFill="background1" w:themeFillShade="D9"/>
          </w:tcPr>
          <w:p w14:paraId="50071FE3" w14:textId="77777777" w:rsidR="00F61282" w:rsidRPr="002F330C" w:rsidRDefault="00F61282" w:rsidP="00F61282">
            <w:pPr>
              <w:ind w:left="0"/>
              <w:jc w:val="center"/>
              <w:rPr>
                <w:sz w:val="18"/>
                <w:szCs w:val="18"/>
              </w:rPr>
            </w:pPr>
            <w:r w:rsidRPr="002F330C">
              <w:rPr>
                <w:sz w:val="18"/>
                <w:szCs w:val="18"/>
              </w:rPr>
              <w:t>2.2</w:t>
            </w:r>
          </w:p>
        </w:tc>
        <w:tc>
          <w:tcPr>
            <w:tcW w:w="1564" w:type="dxa"/>
            <w:tcBorders>
              <w:right w:val="single" w:sz="4" w:space="0" w:color="auto"/>
            </w:tcBorders>
            <w:shd w:val="clear" w:color="auto" w:fill="D9D9D9" w:themeFill="background1" w:themeFillShade="D9"/>
          </w:tcPr>
          <w:p w14:paraId="3C5F389B" w14:textId="77777777" w:rsidR="00F61282" w:rsidRPr="002F330C" w:rsidRDefault="00F61282" w:rsidP="00F61282">
            <w:pPr>
              <w:ind w:left="0"/>
              <w:jc w:val="center"/>
              <w:rPr>
                <w:sz w:val="18"/>
                <w:szCs w:val="18"/>
              </w:rPr>
            </w:pPr>
            <w:r w:rsidRPr="002F330C">
              <w:rPr>
                <w:sz w:val="18"/>
                <w:szCs w:val="18"/>
              </w:rPr>
              <w:t>83</w:t>
            </w:r>
          </w:p>
        </w:tc>
      </w:tr>
      <w:tr w:rsidR="00F61282" w:rsidRPr="002F330C" w14:paraId="6333A0FC" w14:textId="77777777" w:rsidTr="007F7EA3">
        <w:trPr>
          <w:trHeight w:val="161"/>
        </w:trPr>
        <w:tc>
          <w:tcPr>
            <w:tcW w:w="1806" w:type="dxa"/>
            <w:vMerge/>
            <w:tcBorders>
              <w:left w:val="single" w:sz="4" w:space="0" w:color="auto"/>
            </w:tcBorders>
          </w:tcPr>
          <w:p w14:paraId="4ED8ED1D" w14:textId="77777777" w:rsidR="00F61282" w:rsidRPr="00E90B70" w:rsidRDefault="00F61282" w:rsidP="00F61282">
            <w:pPr>
              <w:rPr>
                <w:sz w:val="18"/>
                <w:szCs w:val="18"/>
              </w:rPr>
            </w:pPr>
          </w:p>
        </w:tc>
        <w:tc>
          <w:tcPr>
            <w:tcW w:w="1556" w:type="dxa"/>
            <w:vMerge/>
          </w:tcPr>
          <w:p w14:paraId="730D412E" w14:textId="77777777" w:rsidR="00F61282" w:rsidRPr="00E90B70" w:rsidRDefault="00F61282" w:rsidP="00F61282">
            <w:pPr>
              <w:rPr>
                <w:sz w:val="18"/>
                <w:szCs w:val="18"/>
              </w:rPr>
            </w:pPr>
          </w:p>
        </w:tc>
        <w:tc>
          <w:tcPr>
            <w:tcW w:w="2251" w:type="dxa"/>
            <w:vMerge/>
          </w:tcPr>
          <w:p w14:paraId="5E8A8522" w14:textId="77777777" w:rsidR="00F61282" w:rsidRPr="00E90B70" w:rsidRDefault="00F61282" w:rsidP="00F61282">
            <w:pPr>
              <w:rPr>
                <w:sz w:val="18"/>
                <w:szCs w:val="18"/>
              </w:rPr>
            </w:pPr>
          </w:p>
        </w:tc>
        <w:tc>
          <w:tcPr>
            <w:tcW w:w="1701" w:type="dxa"/>
            <w:vMerge/>
          </w:tcPr>
          <w:p w14:paraId="03225A46" w14:textId="77777777" w:rsidR="00F61282" w:rsidRDefault="00F61282" w:rsidP="00F61282">
            <w:pPr>
              <w:rPr>
                <w:sz w:val="18"/>
                <w:szCs w:val="18"/>
              </w:rPr>
            </w:pPr>
          </w:p>
        </w:tc>
        <w:tc>
          <w:tcPr>
            <w:tcW w:w="1965" w:type="dxa"/>
          </w:tcPr>
          <w:p w14:paraId="57EDD8A4" w14:textId="77777777" w:rsidR="00F61282" w:rsidRPr="002F330C" w:rsidRDefault="00F61282" w:rsidP="00F61282">
            <w:pPr>
              <w:ind w:left="0"/>
              <w:rPr>
                <w:sz w:val="18"/>
                <w:szCs w:val="18"/>
              </w:rPr>
            </w:pPr>
            <w:r w:rsidRPr="002F330C">
              <w:rPr>
                <w:sz w:val="18"/>
                <w:szCs w:val="18"/>
              </w:rPr>
              <w:t>Niacin, mg</w:t>
            </w:r>
          </w:p>
        </w:tc>
        <w:tc>
          <w:tcPr>
            <w:tcW w:w="1051" w:type="dxa"/>
          </w:tcPr>
          <w:p w14:paraId="5A9CE1AC" w14:textId="77777777" w:rsidR="00F61282" w:rsidRPr="002F330C" w:rsidRDefault="00F61282" w:rsidP="00F61282">
            <w:pPr>
              <w:ind w:left="0"/>
              <w:jc w:val="center"/>
              <w:rPr>
                <w:sz w:val="18"/>
                <w:szCs w:val="18"/>
              </w:rPr>
            </w:pPr>
            <w:r w:rsidRPr="002F330C">
              <w:rPr>
                <w:sz w:val="18"/>
                <w:szCs w:val="18"/>
              </w:rPr>
              <w:t>13</w:t>
            </w:r>
          </w:p>
        </w:tc>
        <w:tc>
          <w:tcPr>
            <w:tcW w:w="1169" w:type="dxa"/>
          </w:tcPr>
          <w:p w14:paraId="4F8A6903" w14:textId="77777777" w:rsidR="00F61282" w:rsidRPr="002F330C" w:rsidRDefault="00F61282" w:rsidP="00F61282">
            <w:pPr>
              <w:ind w:left="0"/>
              <w:jc w:val="center"/>
              <w:rPr>
                <w:sz w:val="18"/>
                <w:szCs w:val="18"/>
              </w:rPr>
            </w:pPr>
            <w:r w:rsidRPr="002F330C">
              <w:rPr>
                <w:sz w:val="18"/>
                <w:szCs w:val="18"/>
              </w:rPr>
              <w:t>23</w:t>
            </w:r>
          </w:p>
        </w:tc>
        <w:tc>
          <w:tcPr>
            <w:tcW w:w="1564" w:type="dxa"/>
            <w:tcBorders>
              <w:right w:val="single" w:sz="4" w:space="0" w:color="auto"/>
            </w:tcBorders>
          </w:tcPr>
          <w:p w14:paraId="0BEB76A7" w14:textId="77777777" w:rsidR="00F61282" w:rsidRPr="002F330C" w:rsidRDefault="00F61282" w:rsidP="00F61282">
            <w:pPr>
              <w:ind w:left="0"/>
              <w:jc w:val="center"/>
              <w:rPr>
                <w:sz w:val="18"/>
                <w:szCs w:val="18"/>
              </w:rPr>
            </w:pPr>
            <w:r w:rsidRPr="002F330C">
              <w:rPr>
                <w:sz w:val="18"/>
                <w:szCs w:val="18"/>
              </w:rPr>
              <w:t>72</w:t>
            </w:r>
          </w:p>
        </w:tc>
      </w:tr>
      <w:tr w:rsidR="00F61282" w:rsidRPr="002F330C" w14:paraId="2A4CD6D8" w14:textId="77777777" w:rsidTr="007F7EA3">
        <w:trPr>
          <w:trHeight w:val="197"/>
        </w:trPr>
        <w:tc>
          <w:tcPr>
            <w:tcW w:w="1806" w:type="dxa"/>
            <w:vMerge/>
            <w:tcBorders>
              <w:left w:val="single" w:sz="4" w:space="0" w:color="auto"/>
            </w:tcBorders>
          </w:tcPr>
          <w:p w14:paraId="4EB3C5DA" w14:textId="77777777" w:rsidR="00F61282" w:rsidRPr="00E90B70" w:rsidRDefault="00F61282" w:rsidP="00F61282">
            <w:pPr>
              <w:rPr>
                <w:sz w:val="18"/>
                <w:szCs w:val="18"/>
              </w:rPr>
            </w:pPr>
          </w:p>
        </w:tc>
        <w:tc>
          <w:tcPr>
            <w:tcW w:w="1556" w:type="dxa"/>
            <w:vMerge/>
          </w:tcPr>
          <w:p w14:paraId="61BA2205" w14:textId="77777777" w:rsidR="00F61282" w:rsidRPr="00E90B70" w:rsidRDefault="00F61282" w:rsidP="00F61282">
            <w:pPr>
              <w:rPr>
                <w:sz w:val="18"/>
                <w:szCs w:val="18"/>
              </w:rPr>
            </w:pPr>
          </w:p>
        </w:tc>
        <w:tc>
          <w:tcPr>
            <w:tcW w:w="2251" w:type="dxa"/>
            <w:vMerge/>
          </w:tcPr>
          <w:p w14:paraId="3CB81440" w14:textId="77777777" w:rsidR="00F61282" w:rsidRPr="00E90B70" w:rsidRDefault="00F61282" w:rsidP="00F61282">
            <w:pPr>
              <w:rPr>
                <w:sz w:val="18"/>
                <w:szCs w:val="18"/>
              </w:rPr>
            </w:pPr>
          </w:p>
        </w:tc>
        <w:tc>
          <w:tcPr>
            <w:tcW w:w="1701" w:type="dxa"/>
            <w:vMerge/>
          </w:tcPr>
          <w:p w14:paraId="7CEDAD71" w14:textId="77777777" w:rsidR="00F61282" w:rsidRDefault="00F61282" w:rsidP="00F61282">
            <w:pPr>
              <w:rPr>
                <w:sz w:val="18"/>
                <w:szCs w:val="18"/>
              </w:rPr>
            </w:pPr>
          </w:p>
        </w:tc>
        <w:tc>
          <w:tcPr>
            <w:tcW w:w="1965" w:type="dxa"/>
            <w:shd w:val="clear" w:color="auto" w:fill="D9D9D9" w:themeFill="background1" w:themeFillShade="D9"/>
          </w:tcPr>
          <w:p w14:paraId="4523D238" w14:textId="77777777" w:rsidR="00F61282" w:rsidRPr="002F330C" w:rsidRDefault="00F61282" w:rsidP="00F61282">
            <w:pPr>
              <w:ind w:left="0"/>
              <w:rPr>
                <w:sz w:val="18"/>
                <w:szCs w:val="18"/>
              </w:rPr>
            </w:pPr>
            <w:r w:rsidRPr="002F330C">
              <w:rPr>
                <w:sz w:val="18"/>
                <w:szCs w:val="18"/>
              </w:rPr>
              <w:t>Pantothenic acid, mg</w:t>
            </w:r>
          </w:p>
        </w:tc>
        <w:tc>
          <w:tcPr>
            <w:tcW w:w="1051" w:type="dxa"/>
            <w:shd w:val="clear" w:color="auto" w:fill="D9D9D9" w:themeFill="background1" w:themeFillShade="D9"/>
          </w:tcPr>
          <w:p w14:paraId="0A448617" w14:textId="77777777" w:rsidR="00F61282" w:rsidRPr="002F330C" w:rsidRDefault="00F61282" w:rsidP="00F61282">
            <w:pPr>
              <w:ind w:left="0"/>
              <w:jc w:val="center"/>
              <w:rPr>
                <w:sz w:val="18"/>
                <w:szCs w:val="18"/>
              </w:rPr>
            </w:pPr>
            <w:r w:rsidRPr="002F330C">
              <w:rPr>
                <w:sz w:val="18"/>
                <w:szCs w:val="18"/>
              </w:rPr>
              <w:t>3.1</w:t>
            </w:r>
          </w:p>
        </w:tc>
        <w:tc>
          <w:tcPr>
            <w:tcW w:w="1169" w:type="dxa"/>
            <w:shd w:val="clear" w:color="auto" w:fill="D9D9D9" w:themeFill="background1" w:themeFillShade="D9"/>
          </w:tcPr>
          <w:p w14:paraId="01D8C85F" w14:textId="77777777" w:rsidR="00F61282" w:rsidRPr="002F330C" w:rsidRDefault="00F61282" w:rsidP="00F61282">
            <w:pPr>
              <w:ind w:left="0"/>
              <w:jc w:val="center"/>
              <w:rPr>
                <w:sz w:val="18"/>
                <w:szCs w:val="18"/>
              </w:rPr>
            </w:pPr>
            <w:r w:rsidRPr="002F330C">
              <w:rPr>
                <w:sz w:val="18"/>
                <w:szCs w:val="18"/>
              </w:rPr>
              <w:t>5.5</w:t>
            </w:r>
          </w:p>
        </w:tc>
        <w:tc>
          <w:tcPr>
            <w:tcW w:w="1564" w:type="dxa"/>
            <w:tcBorders>
              <w:right w:val="single" w:sz="4" w:space="0" w:color="auto"/>
            </w:tcBorders>
            <w:shd w:val="clear" w:color="auto" w:fill="D9D9D9" w:themeFill="background1" w:themeFillShade="D9"/>
          </w:tcPr>
          <w:p w14:paraId="748B97D6" w14:textId="77777777" w:rsidR="00F61282" w:rsidRPr="002F330C" w:rsidRDefault="00F61282" w:rsidP="00F61282">
            <w:pPr>
              <w:ind w:left="0"/>
              <w:jc w:val="center"/>
              <w:rPr>
                <w:sz w:val="18"/>
                <w:szCs w:val="18"/>
              </w:rPr>
            </w:pPr>
            <w:r w:rsidRPr="002F330C">
              <w:rPr>
                <w:sz w:val="18"/>
                <w:szCs w:val="18"/>
              </w:rPr>
              <w:t>77</w:t>
            </w:r>
          </w:p>
        </w:tc>
      </w:tr>
      <w:tr w:rsidR="00F61282" w:rsidRPr="002F330C" w14:paraId="45BF9053" w14:textId="77777777" w:rsidTr="007F7EA3">
        <w:trPr>
          <w:trHeight w:val="143"/>
        </w:trPr>
        <w:tc>
          <w:tcPr>
            <w:tcW w:w="1806" w:type="dxa"/>
            <w:vMerge/>
            <w:tcBorders>
              <w:left w:val="single" w:sz="4" w:space="0" w:color="auto"/>
            </w:tcBorders>
          </w:tcPr>
          <w:p w14:paraId="60DAEED0" w14:textId="77777777" w:rsidR="00F61282" w:rsidRPr="00E90B70" w:rsidRDefault="00F61282" w:rsidP="00F61282">
            <w:pPr>
              <w:rPr>
                <w:sz w:val="18"/>
                <w:szCs w:val="18"/>
              </w:rPr>
            </w:pPr>
          </w:p>
        </w:tc>
        <w:tc>
          <w:tcPr>
            <w:tcW w:w="1556" w:type="dxa"/>
            <w:vMerge/>
          </w:tcPr>
          <w:p w14:paraId="4A08934E" w14:textId="77777777" w:rsidR="00F61282" w:rsidRPr="00E90B70" w:rsidRDefault="00F61282" w:rsidP="00F61282">
            <w:pPr>
              <w:rPr>
                <w:sz w:val="18"/>
                <w:szCs w:val="18"/>
              </w:rPr>
            </w:pPr>
          </w:p>
        </w:tc>
        <w:tc>
          <w:tcPr>
            <w:tcW w:w="2251" w:type="dxa"/>
            <w:vMerge/>
          </w:tcPr>
          <w:p w14:paraId="4607E6D6" w14:textId="77777777" w:rsidR="00F61282" w:rsidRPr="00E90B70" w:rsidRDefault="00F61282" w:rsidP="00F61282">
            <w:pPr>
              <w:rPr>
                <w:sz w:val="18"/>
                <w:szCs w:val="18"/>
              </w:rPr>
            </w:pPr>
          </w:p>
        </w:tc>
        <w:tc>
          <w:tcPr>
            <w:tcW w:w="1701" w:type="dxa"/>
            <w:vMerge/>
          </w:tcPr>
          <w:p w14:paraId="382F6EDE" w14:textId="77777777" w:rsidR="00F61282" w:rsidRDefault="00F61282" w:rsidP="00F61282">
            <w:pPr>
              <w:rPr>
                <w:sz w:val="18"/>
                <w:szCs w:val="18"/>
              </w:rPr>
            </w:pPr>
          </w:p>
        </w:tc>
        <w:tc>
          <w:tcPr>
            <w:tcW w:w="1965" w:type="dxa"/>
          </w:tcPr>
          <w:p w14:paraId="0EBD0D4C" w14:textId="77777777" w:rsidR="00F61282" w:rsidRPr="002F330C" w:rsidRDefault="00F61282" w:rsidP="00F61282">
            <w:pPr>
              <w:ind w:left="0"/>
              <w:rPr>
                <w:sz w:val="18"/>
                <w:szCs w:val="18"/>
              </w:rPr>
            </w:pPr>
            <w:r w:rsidRPr="002F330C">
              <w:rPr>
                <w:sz w:val="18"/>
                <w:szCs w:val="18"/>
              </w:rPr>
              <w:t>Vitamin B6, mg</w:t>
            </w:r>
          </w:p>
        </w:tc>
        <w:tc>
          <w:tcPr>
            <w:tcW w:w="1051" w:type="dxa"/>
          </w:tcPr>
          <w:p w14:paraId="05B3DD80" w14:textId="77777777" w:rsidR="00F61282" w:rsidRPr="002F330C" w:rsidRDefault="00F61282" w:rsidP="00F61282">
            <w:pPr>
              <w:ind w:left="0"/>
              <w:jc w:val="center"/>
              <w:rPr>
                <w:sz w:val="18"/>
                <w:szCs w:val="18"/>
              </w:rPr>
            </w:pPr>
            <w:r w:rsidRPr="002F330C">
              <w:rPr>
                <w:sz w:val="18"/>
                <w:szCs w:val="18"/>
              </w:rPr>
              <w:t>0.6</w:t>
            </w:r>
          </w:p>
        </w:tc>
        <w:tc>
          <w:tcPr>
            <w:tcW w:w="1169" w:type="dxa"/>
          </w:tcPr>
          <w:p w14:paraId="60453683" w14:textId="77777777" w:rsidR="00F61282" w:rsidRPr="002F330C" w:rsidRDefault="00F61282" w:rsidP="00F61282">
            <w:pPr>
              <w:ind w:left="0"/>
              <w:jc w:val="center"/>
              <w:rPr>
                <w:sz w:val="18"/>
                <w:szCs w:val="18"/>
              </w:rPr>
            </w:pPr>
            <w:r w:rsidRPr="002F330C">
              <w:rPr>
                <w:sz w:val="18"/>
                <w:szCs w:val="18"/>
              </w:rPr>
              <w:t>1.1</w:t>
            </w:r>
          </w:p>
        </w:tc>
        <w:tc>
          <w:tcPr>
            <w:tcW w:w="1564" w:type="dxa"/>
            <w:tcBorders>
              <w:right w:val="single" w:sz="4" w:space="0" w:color="auto"/>
            </w:tcBorders>
          </w:tcPr>
          <w:p w14:paraId="5A493693" w14:textId="77777777" w:rsidR="00F61282" w:rsidRPr="002F330C" w:rsidRDefault="00F61282" w:rsidP="00F61282">
            <w:pPr>
              <w:ind w:left="0"/>
              <w:jc w:val="center"/>
              <w:rPr>
                <w:sz w:val="18"/>
                <w:szCs w:val="18"/>
              </w:rPr>
            </w:pPr>
            <w:r w:rsidRPr="002F330C">
              <w:rPr>
                <w:sz w:val="18"/>
                <w:szCs w:val="18"/>
              </w:rPr>
              <w:t>88</w:t>
            </w:r>
          </w:p>
        </w:tc>
      </w:tr>
      <w:tr w:rsidR="00F61282" w:rsidRPr="002F330C" w14:paraId="14186259" w14:textId="77777777" w:rsidTr="007F7EA3">
        <w:trPr>
          <w:trHeight w:val="197"/>
        </w:trPr>
        <w:tc>
          <w:tcPr>
            <w:tcW w:w="1806" w:type="dxa"/>
            <w:vMerge/>
            <w:tcBorders>
              <w:left w:val="single" w:sz="4" w:space="0" w:color="auto"/>
            </w:tcBorders>
          </w:tcPr>
          <w:p w14:paraId="6110A1B5" w14:textId="77777777" w:rsidR="00F61282" w:rsidRPr="00E90B70" w:rsidRDefault="00F61282" w:rsidP="00F61282">
            <w:pPr>
              <w:rPr>
                <w:sz w:val="18"/>
                <w:szCs w:val="18"/>
              </w:rPr>
            </w:pPr>
          </w:p>
        </w:tc>
        <w:tc>
          <w:tcPr>
            <w:tcW w:w="1556" w:type="dxa"/>
            <w:vMerge/>
          </w:tcPr>
          <w:p w14:paraId="561889A0" w14:textId="77777777" w:rsidR="00F61282" w:rsidRPr="00E90B70" w:rsidRDefault="00F61282" w:rsidP="00F61282">
            <w:pPr>
              <w:rPr>
                <w:sz w:val="18"/>
                <w:szCs w:val="18"/>
              </w:rPr>
            </w:pPr>
          </w:p>
        </w:tc>
        <w:tc>
          <w:tcPr>
            <w:tcW w:w="2251" w:type="dxa"/>
            <w:vMerge/>
          </w:tcPr>
          <w:p w14:paraId="0664960C" w14:textId="77777777" w:rsidR="00F61282" w:rsidRPr="00E90B70" w:rsidRDefault="00F61282" w:rsidP="00F61282">
            <w:pPr>
              <w:rPr>
                <w:sz w:val="18"/>
                <w:szCs w:val="18"/>
              </w:rPr>
            </w:pPr>
          </w:p>
        </w:tc>
        <w:tc>
          <w:tcPr>
            <w:tcW w:w="1701" w:type="dxa"/>
            <w:vMerge/>
          </w:tcPr>
          <w:p w14:paraId="5BDCF272" w14:textId="77777777" w:rsidR="00F61282" w:rsidRDefault="00F61282" w:rsidP="00F61282">
            <w:pPr>
              <w:rPr>
                <w:sz w:val="18"/>
                <w:szCs w:val="18"/>
              </w:rPr>
            </w:pPr>
          </w:p>
        </w:tc>
        <w:tc>
          <w:tcPr>
            <w:tcW w:w="1965" w:type="dxa"/>
            <w:shd w:val="clear" w:color="auto" w:fill="D9D9D9" w:themeFill="background1" w:themeFillShade="D9"/>
          </w:tcPr>
          <w:p w14:paraId="464DE012" w14:textId="77777777" w:rsidR="00F61282" w:rsidRPr="002F330C" w:rsidRDefault="00F61282" w:rsidP="00F61282">
            <w:pPr>
              <w:ind w:left="0"/>
              <w:rPr>
                <w:sz w:val="18"/>
                <w:szCs w:val="18"/>
              </w:rPr>
            </w:pPr>
            <w:r w:rsidRPr="002F330C">
              <w:rPr>
                <w:sz w:val="18"/>
                <w:szCs w:val="18"/>
              </w:rPr>
              <w:t xml:space="preserve">Folate, </w:t>
            </w:r>
            <w:r w:rsidRPr="002F330C">
              <w:rPr>
                <w:sz w:val="18"/>
                <w:szCs w:val="18"/>
              </w:rPr>
              <w:sym w:font="Symbol" w:char="F06D"/>
            </w:r>
            <w:r w:rsidRPr="002F330C">
              <w:rPr>
                <w:sz w:val="18"/>
                <w:szCs w:val="18"/>
              </w:rPr>
              <w:t>g</w:t>
            </w:r>
          </w:p>
        </w:tc>
        <w:tc>
          <w:tcPr>
            <w:tcW w:w="1051" w:type="dxa"/>
            <w:shd w:val="clear" w:color="auto" w:fill="D9D9D9" w:themeFill="background1" w:themeFillShade="D9"/>
          </w:tcPr>
          <w:p w14:paraId="3499F884" w14:textId="77777777" w:rsidR="00F61282" w:rsidRPr="002F330C" w:rsidRDefault="00F61282" w:rsidP="00F61282">
            <w:pPr>
              <w:ind w:left="0"/>
              <w:jc w:val="center"/>
              <w:rPr>
                <w:sz w:val="18"/>
                <w:szCs w:val="18"/>
              </w:rPr>
            </w:pPr>
            <w:r w:rsidRPr="002F330C">
              <w:rPr>
                <w:sz w:val="18"/>
                <w:szCs w:val="18"/>
              </w:rPr>
              <w:t>132</w:t>
            </w:r>
          </w:p>
        </w:tc>
        <w:tc>
          <w:tcPr>
            <w:tcW w:w="1169" w:type="dxa"/>
            <w:shd w:val="clear" w:color="auto" w:fill="D9D9D9" w:themeFill="background1" w:themeFillShade="D9"/>
          </w:tcPr>
          <w:p w14:paraId="11DFC1F6" w14:textId="77777777" w:rsidR="00F61282" w:rsidRPr="002F330C" w:rsidRDefault="00F61282" w:rsidP="00F61282">
            <w:pPr>
              <w:ind w:left="0"/>
              <w:jc w:val="center"/>
              <w:rPr>
                <w:sz w:val="18"/>
                <w:szCs w:val="18"/>
              </w:rPr>
            </w:pPr>
            <w:r w:rsidRPr="002F330C">
              <w:rPr>
                <w:sz w:val="18"/>
                <w:szCs w:val="18"/>
              </w:rPr>
              <w:t>208</w:t>
            </w:r>
          </w:p>
        </w:tc>
        <w:tc>
          <w:tcPr>
            <w:tcW w:w="1564" w:type="dxa"/>
            <w:tcBorders>
              <w:right w:val="single" w:sz="4" w:space="0" w:color="auto"/>
            </w:tcBorders>
            <w:shd w:val="clear" w:color="auto" w:fill="D9D9D9" w:themeFill="background1" w:themeFillShade="D9"/>
          </w:tcPr>
          <w:p w14:paraId="5020C452" w14:textId="77777777" w:rsidR="00F61282" w:rsidRPr="002F330C" w:rsidRDefault="00F61282" w:rsidP="00F61282">
            <w:pPr>
              <w:ind w:left="0"/>
              <w:jc w:val="center"/>
              <w:rPr>
                <w:sz w:val="18"/>
                <w:szCs w:val="18"/>
              </w:rPr>
            </w:pPr>
            <w:r w:rsidRPr="002F330C">
              <w:rPr>
                <w:sz w:val="18"/>
                <w:szCs w:val="18"/>
              </w:rPr>
              <w:t>58</w:t>
            </w:r>
          </w:p>
        </w:tc>
      </w:tr>
      <w:tr w:rsidR="00F61282" w:rsidRPr="002F330C" w14:paraId="4F7DCE25" w14:textId="77777777" w:rsidTr="007F7EA3">
        <w:trPr>
          <w:trHeight w:val="125"/>
        </w:trPr>
        <w:tc>
          <w:tcPr>
            <w:tcW w:w="1806" w:type="dxa"/>
            <w:vMerge/>
            <w:tcBorders>
              <w:left w:val="single" w:sz="4" w:space="0" w:color="auto"/>
            </w:tcBorders>
          </w:tcPr>
          <w:p w14:paraId="06819AAC" w14:textId="77777777" w:rsidR="00F61282" w:rsidRPr="00E90B70" w:rsidRDefault="00F61282" w:rsidP="00F61282">
            <w:pPr>
              <w:rPr>
                <w:sz w:val="18"/>
                <w:szCs w:val="18"/>
              </w:rPr>
            </w:pPr>
          </w:p>
        </w:tc>
        <w:tc>
          <w:tcPr>
            <w:tcW w:w="1556" w:type="dxa"/>
            <w:vMerge/>
          </w:tcPr>
          <w:p w14:paraId="35175DA6" w14:textId="77777777" w:rsidR="00F61282" w:rsidRPr="00E90B70" w:rsidRDefault="00F61282" w:rsidP="00F61282">
            <w:pPr>
              <w:rPr>
                <w:sz w:val="18"/>
                <w:szCs w:val="18"/>
              </w:rPr>
            </w:pPr>
          </w:p>
        </w:tc>
        <w:tc>
          <w:tcPr>
            <w:tcW w:w="2251" w:type="dxa"/>
            <w:vMerge/>
          </w:tcPr>
          <w:p w14:paraId="5C7086BD" w14:textId="77777777" w:rsidR="00F61282" w:rsidRPr="00E90B70" w:rsidRDefault="00F61282" w:rsidP="00F61282">
            <w:pPr>
              <w:rPr>
                <w:sz w:val="18"/>
                <w:szCs w:val="18"/>
              </w:rPr>
            </w:pPr>
          </w:p>
        </w:tc>
        <w:tc>
          <w:tcPr>
            <w:tcW w:w="1701" w:type="dxa"/>
            <w:vMerge/>
          </w:tcPr>
          <w:p w14:paraId="63EDEDE7" w14:textId="77777777" w:rsidR="00F61282" w:rsidRDefault="00F61282" w:rsidP="00F61282">
            <w:pPr>
              <w:rPr>
                <w:sz w:val="18"/>
                <w:szCs w:val="18"/>
              </w:rPr>
            </w:pPr>
          </w:p>
        </w:tc>
        <w:tc>
          <w:tcPr>
            <w:tcW w:w="1965" w:type="dxa"/>
          </w:tcPr>
          <w:p w14:paraId="39CCB0AD" w14:textId="77777777" w:rsidR="00F61282" w:rsidRPr="002F330C" w:rsidRDefault="00F61282" w:rsidP="00F61282">
            <w:pPr>
              <w:ind w:left="0"/>
              <w:rPr>
                <w:sz w:val="18"/>
                <w:szCs w:val="18"/>
              </w:rPr>
            </w:pPr>
            <w:r w:rsidRPr="002F330C">
              <w:rPr>
                <w:sz w:val="18"/>
                <w:szCs w:val="18"/>
              </w:rPr>
              <w:t xml:space="preserve">Vitamin B12, </w:t>
            </w:r>
            <w:r w:rsidRPr="002F330C">
              <w:rPr>
                <w:sz w:val="18"/>
                <w:szCs w:val="18"/>
              </w:rPr>
              <w:sym w:font="Symbol" w:char="F06D"/>
            </w:r>
            <w:r w:rsidRPr="002F330C">
              <w:rPr>
                <w:sz w:val="18"/>
                <w:szCs w:val="18"/>
              </w:rPr>
              <w:t>g</w:t>
            </w:r>
          </w:p>
        </w:tc>
        <w:tc>
          <w:tcPr>
            <w:tcW w:w="1051" w:type="dxa"/>
          </w:tcPr>
          <w:p w14:paraId="7CA2BD0D" w14:textId="77777777" w:rsidR="00F61282" w:rsidRPr="002F330C" w:rsidRDefault="00F61282" w:rsidP="00F61282">
            <w:pPr>
              <w:ind w:left="0"/>
              <w:jc w:val="center"/>
              <w:rPr>
                <w:sz w:val="18"/>
                <w:szCs w:val="18"/>
              </w:rPr>
            </w:pPr>
            <w:r w:rsidRPr="002F330C">
              <w:rPr>
                <w:sz w:val="18"/>
                <w:szCs w:val="18"/>
              </w:rPr>
              <w:t>6.4</w:t>
            </w:r>
          </w:p>
        </w:tc>
        <w:tc>
          <w:tcPr>
            <w:tcW w:w="1169" w:type="dxa"/>
          </w:tcPr>
          <w:p w14:paraId="0A3BA49F" w14:textId="77777777" w:rsidR="00F61282" w:rsidRPr="002F330C" w:rsidRDefault="00F61282" w:rsidP="00F61282">
            <w:pPr>
              <w:ind w:left="0"/>
              <w:jc w:val="center"/>
              <w:rPr>
                <w:sz w:val="18"/>
                <w:szCs w:val="18"/>
              </w:rPr>
            </w:pPr>
            <w:r w:rsidRPr="002F330C">
              <w:rPr>
                <w:sz w:val="18"/>
                <w:szCs w:val="18"/>
              </w:rPr>
              <w:t>8.4</w:t>
            </w:r>
          </w:p>
        </w:tc>
        <w:tc>
          <w:tcPr>
            <w:tcW w:w="1564" w:type="dxa"/>
            <w:tcBorders>
              <w:right w:val="single" w:sz="4" w:space="0" w:color="auto"/>
            </w:tcBorders>
          </w:tcPr>
          <w:p w14:paraId="2D2715D8" w14:textId="77777777" w:rsidR="00F61282" w:rsidRPr="002F330C" w:rsidRDefault="00F61282" w:rsidP="00F61282">
            <w:pPr>
              <w:ind w:left="0"/>
              <w:jc w:val="center"/>
              <w:rPr>
                <w:sz w:val="18"/>
                <w:szCs w:val="18"/>
              </w:rPr>
            </w:pPr>
            <w:r w:rsidRPr="002F330C">
              <w:rPr>
                <w:sz w:val="18"/>
                <w:szCs w:val="18"/>
              </w:rPr>
              <w:t>31</w:t>
            </w:r>
          </w:p>
        </w:tc>
      </w:tr>
      <w:tr w:rsidR="00F61282" w:rsidRPr="002F330C" w14:paraId="414F556A" w14:textId="77777777" w:rsidTr="007F7EA3">
        <w:trPr>
          <w:trHeight w:val="161"/>
        </w:trPr>
        <w:tc>
          <w:tcPr>
            <w:tcW w:w="1806" w:type="dxa"/>
            <w:vMerge/>
            <w:tcBorders>
              <w:left w:val="single" w:sz="4" w:space="0" w:color="auto"/>
            </w:tcBorders>
          </w:tcPr>
          <w:p w14:paraId="285A30A4" w14:textId="77777777" w:rsidR="00F61282" w:rsidRPr="00E90B70" w:rsidRDefault="00F61282" w:rsidP="00F61282">
            <w:pPr>
              <w:rPr>
                <w:sz w:val="18"/>
                <w:szCs w:val="18"/>
              </w:rPr>
            </w:pPr>
          </w:p>
        </w:tc>
        <w:tc>
          <w:tcPr>
            <w:tcW w:w="1556" w:type="dxa"/>
            <w:vMerge/>
          </w:tcPr>
          <w:p w14:paraId="2708DD32" w14:textId="77777777" w:rsidR="00F61282" w:rsidRPr="00E90B70" w:rsidRDefault="00F61282" w:rsidP="00F61282">
            <w:pPr>
              <w:rPr>
                <w:sz w:val="18"/>
                <w:szCs w:val="18"/>
              </w:rPr>
            </w:pPr>
          </w:p>
        </w:tc>
        <w:tc>
          <w:tcPr>
            <w:tcW w:w="2251" w:type="dxa"/>
            <w:vMerge/>
          </w:tcPr>
          <w:p w14:paraId="1A1A83EF" w14:textId="77777777" w:rsidR="00F61282" w:rsidRPr="00E90B70" w:rsidRDefault="00F61282" w:rsidP="00F61282">
            <w:pPr>
              <w:rPr>
                <w:sz w:val="18"/>
                <w:szCs w:val="18"/>
              </w:rPr>
            </w:pPr>
          </w:p>
        </w:tc>
        <w:tc>
          <w:tcPr>
            <w:tcW w:w="1701" w:type="dxa"/>
            <w:vMerge/>
          </w:tcPr>
          <w:p w14:paraId="06442738" w14:textId="77777777" w:rsidR="00F61282" w:rsidRDefault="00F61282" w:rsidP="00F61282">
            <w:pPr>
              <w:rPr>
                <w:sz w:val="18"/>
                <w:szCs w:val="18"/>
              </w:rPr>
            </w:pPr>
          </w:p>
        </w:tc>
        <w:tc>
          <w:tcPr>
            <w:tcW w:w="1965" w:type="dxa"/>
            <w:shd w:val="clear" w:color="auto" w:fill="D9D9D9" w:themeFill="background1" w:themeFillShade="D9"/>
          </w:tcPr>
          <w:p w14:paraId="7FA13614" w14:textId="77777777" w:rsidR="00F61282" w:rsidRPr="002F330C" w:rsidRDefault="00F61282" w:rsidP="00F61282">
            <w:pPr>
              <w:ind w:left="0"/>
              <w:rPr>
                <w:sz w:val="18"/>
                <w:szCs w:val="18"/>
              </w:rPr>
            </w:pPr>
            <w:r w:rsidRPr="002F330C">
              <w:rPr>
                <w:sz w:val="18"/>
                <w:szCs w:val="18"/>
              </w:rPr>
              <w:t>Vitamin C, mg</w:t>
            </w:r>
          </w:p>
        </w:tc>
        <w:tc>
          <w:tcPr>
            <w:tcW w:w="1051" w:type="dxa"/>
            <w:shd w:val="clear" w:color="auto" w:fill="D9D9D9" w:themeFill="background1" w:themeFillShade="D9"/>
          </w:tcPr>
          <w:p w14:paraId="66A499F2" w14:textId="77777777" w:rsidR="00F61282" w:rsidRPr="002F330C" w:rsidRDefault="00F61282" w:rsidP="00F61282">
            <w:pPr>
              <w:ind w:left="0"/>
              <w:jc w:val="center"/>
              <w:rPr>
                <w:sz w:val="18"/>
                <w:szCs w:val="18"/>
              </w:rPr>
            </w:pPr>
            <w:r w:rsidRPr="002F330C">
              <w:rPr>
                <w:sz w:val="18"/>
                <w:szCs w:val="18"/>
              </w:rPr>
              <w:t>12</w:t>
            </w:r>
          </w:p>
        </w:tc>
        <w:tc>
          <w:tcPr>
            <w:tcW w:w="1169" w:type="dxa"/>
            <w:shd w:val="clear" w:color="auto" w:fill="D9D9D9" w:themeFill="background1" w:themeFillShade="D9"/>
          </w:tcPr>
          <w:p w14:paraId="53B2BC58" w14:textId="77777777" w:rsidR="00F61282" w:rsidRPr="002F330C" w:rsidRDefault="00F61282" w:rsidP="00F61282">
            <w:pPr>
              <w:ind w:left="0"/>
              <w:jc w:val="center"/>
              <w:rPr>
                <w:sz w:val="18"/>
                <w:szCs w:val="18"/>
              </w:rPr>
            </w:pPr>
            <w:r w:rsidRPr="002F330C">
              <w:rPr>
                <w:sz w:val="18"/>
                <w:szCs w:val="18"/>
              </w:rPr>
              <w:t>33</w:t>
            </w:r>
          </w:p>
        </w:tc>
        <w:tc>
          <w:tcPr>
            <w:tcW w:w="1564" w:type="dxa"/>
            <w:tcBorders>
              <w:right w:val="single" w:sz="4" w:space="0" w:color="auto"/>
            </w:tcBorders>
            <w:shd w:val="clear" w:color="auto" w:fill="D9D9D9" w:themeFill="background1" w:themeFillShade="D9"/>
          </w:tcPr>
          <w:p w14:paraId="0AF0573C" w14:textId="77777777" w:rsidR="00F61282" w:rsidRPr="002F330C" w:rsidRDefault="00F61282" w:rsidP="00F61282">
            <w:pPr>
              <w:ind w:left="0"/>
              <w:jc w:val="center"/>
              <w:rPr>
                <w:sz w:val="18"/>
                <w:szCs w:val="18"/>
              </w:rPr>
            </w:pPr>
            <w:r w:rsidRPr="002F330C">
              <w:rPr>
                <w:sz w:val="18"/>
                <w:szCs w:val="18"/>
              </w:rPr>
              <w:t>167</w:t>
            </w:r>
          </w:p>
        </w:tc>
      </w:tr>
      <w:tr w:rsidR="00F61282" w:rsidRPr="002F330C" w14:paraId="602E1AAB" w14:textId="77777777" w:rsidTr="007F7EA3">
        <w:trPr>
          <w:trHeight w:val="161"/>
        </w:trPr>
        <w:tc>
          <w:tcPr>
            <w:tcW w:w="1806" w:type="dxa"/>
            <w:vMerge/>
            <w:tcBorders>
              <w:left w:val="single" w:sz="4" w:space="0" w:color="auto"/>
            </w:tcBorders>
          </w:tcPr>
          <w:p w14:paraId="1B8C9B54" w14:textId="77777777" w:rsidR="00F61282" w:rsidRPr="00E90B70" w:rsidRDefault="00F61282" w:rsidP="00F61282">
            <w:pPr>
              <w:rPr>
                <w:sz w:val="18"/>
                <w:szCs w:val="18"/>
              </w:rPr>
            </w:pPr>
          </w:p>
        </w:tc>
        <w:tc>
          <w:tcPr>
            <w:tcW w:w="1556" w:type="dxa"/>
            <w:vMerge/>
          </w:tcPr>
          <w:p w14:paraId="7C2F947E" w14:textId="77777777" w:rsidR="00F61282" w:rsidRPr="00E90B70" w:rsidRDefault="00F61282" w:rsidP="00F61282">
            <w:pPr>
              <w:rPr>
                <w:sz w:val="18"/>
                <w:szCs w:val="18"/>
              </w:rPr>
            </w:pPr>
          </w:p>
        </w:tc>
        <w:tc>
          <w:tcPr>
            <w:tcW w:w="2251" w:type="dxa"/>
            <w:vMerge/>
          </w:tcPr>
          <w:p w14:paraId="4860A1B4" w14:textId="77777777" w:rsidR="00F61282" w:rsidRPr="00E90B70" w:rsidRDefault="00F61282" w:rsidP="00F61282">
            <w:pPr>
              <w:rPr>
                <w:sz w:val="18"/>
                <w:szCs w:val="18"/>
              </w:rPr>
            </w:pPr>
          </w:p>
        </w:tc>
        <w:tc>
          <w:tcPr>
            <w:tcW w:w="1701" w:type="dxa"/>
            <w:vMerge/>
          </w:tcPr>
          <w:p w14:paraId="3E286104" w14:textId="77777777" w:rsidR="00F61282" w:rsidRDefault="00F61282" w:rsidP="00F61282">
            <w:pPr>
              <w:rPr>
                <w:sz w:val="18"/>
                <w:szCs w:val="18"/>
              </w:rPr>
            </w:pPr>
          </w:p>
        </w:tc>
        <w:tc>
          <w:tcPr>
            <w:tcW w:w="1965" w:type="dxa"/>
          </w:tcPr>
          <w:p w14:paraId="2E1E9C23" w14:textId="77777777" w:rsidR="00F61282" w:rsidRPr="002F330C" w:rsidRDefault="00F61282" w:rsidP="00F61282">
            <w:pPr>
              <w:ind w:left="0"/>
              <w:rPr>
                <w:sz w:val="18"/>
                <w:szCs w:val="18"/>
              </w:rPr>
            </w:pPr>
            <w:r w:rsidRPr="002F330C">
              <w:rPr>
                <w:sz w:val="18"/>
                <w:szCs w:val="18"/>
              </w:rPr>
              <w:t xml:space="preserve">Vitamin A, </w:t>
            </w:r>
            <w:r w:rsidRPr="002F330C">
              <w:rPr>
                <w:sz w:val="18"/>
                <w:szCs w:val="18"/>
              </w:rPr>
              <w:sym w:font="Symbol" w:char="F06D"/>
            </w:r>
            <w:r w:rsidRPr="002F330C">
              <w:rPr>
                <w:sz w:val="18"/>
                <w:szCs w:val="18"/>
              </w:rPr>
              <w:t>g</w:t>
            </w:r>
          </w:p>
        </w:tc>
        <w:tc>
          <w:tcPr>
            <w:tcW w:w="1051" w:type="dxa"/>
          </w:tcPr>
          <w:p w14:paraId="6758C1B4" w14:textId="77777777" w:rsidR="00F61282" w:rsidRPr="002F330C" w:rsidRDefault="00F61282" w:rsidP="00F61282">
            <w:pPr>
              <w:ind w:left="0"/>
              <w:jc w:val="center"/>
              <w:rPr>
                <w:sz w:val="18"/>
                <w:szCs w:val="18"/>
              </w:rPr>
            </w:pPr>
            <w:r w:rsidRPr="002F330C">
              <w:rPr>
                <w:sz w:val="18"/>
                <w:szCs w:val="18"/>
              </w:rPr>
              <w:t>448</w:t>
            </w:r>
          </w:p>
        </w:tc>
        <w:tc>
          <w:tcPr>
            <w:tcW w:w="1169" w:type="dxa"/>
          </w:tcPr>
          <w:p w14:paraId="530C122C" w14:textId="77777777" w:rsidR="00F61282" w:rsidRPr="002F330C" w:rsidRDefault="00F61282" w:rsidP="00F61282">
            <w:pPr>
              <w:ind w:left="0"/>
              <w:jc w:val="center"/>
              <w:rPr>
                <w:sz w:val="18"/>
                <w:szCs w:val="18"/>
              </w:rPr>
            </w:pPr>
            <w:r w:rsidRPr="002F330C">
              <w:rPr>
                <w:sz w:val="18"/>
                <w:szCs w:val="18"/>
              </w:rPr>
              <w:t>621</w:t>
            </w:r>
          </w:p>
        </w:tc>
        <w:tc>
          <w:tcPr>
            <w:tcW w:w="1564" w:type="dxa"/>
            <w:tcBorders>
              <w:right w:val="single" w:sz="4" w:space="0" w:color="auto"/>
            </w:tcBorders>
          </w:tcPr>
          <w:p w14:paraId="1121FE86" w14:textId="77777777" w:rsidR="00F61282" w:rsidRPr="002F330C" w:rsidRDefault="00F61282" w:rsidP="00F61282">
            <w:pPr>
              <w:ind w:left="0"/>
              <w:jc w:val="center"/>
              <w:rPr>
                <w:sz w:val="18"/>
                <w:szCs w:val="18"/>
              </w:rPr>
            </w:pPr>
            <w:r w:rsidRPr="002F330C">
              <w:rPr>
                <w:sz w:val="18"/>
                <w:szCs w:val="18"/>
              </w:rPr>
              <w:t>39</w:t>
            </w:r>
          </w:p>
        </w:tc>
      </w:tr>
      <w:tr w:rsidR="00F61282" w:rsidRPr="002F330C" w14:paraId="031D6D12" w14:textId="77777777" w:rsidTr="007F7EA3">
        <w:trPr>
          <w:trHeight w:val="233"/>
        </w:trPr>
        <w:tc>
          <w:tcPr>
            <w:tcW w:w="1806" w:type="dxa"/>
            <w:vMerge/>
            <w:tcBorders>
              <w:left w:val="single" w:sz="4" w:space="0" w:color="auto"/>
            </w:tcBorders>
          </w:tcPr>
          <w:p w14:paraId="63C1F09B" w14:textId="77777777" w:rsidR="00F61282" w:rsidRPr="00E90B70" w:rsidRDefault="00F61282" w:rsidP="00F61282">
            <w:pPr>
              <w:rPr>
                <w:sz w:val="18"/>
                <w:szCs w:val="18"/>
              </w:rPr>
            </w:pPr>
          </w:p>
        </w:tc>
        <w:tc>
          <w:tcPr>
            <w:tcW w:w="1556" w:type="dxa"/>
            <w:vMerge/>
          </w:tcPr>
          <w:p w14:paraId="22384606" w14:textId="77777777" w:rsidR="00F61282" w:rsidRPr="00E90B70" w:rsidRDefault="00F61282" w:rsidP="00F61282">
            <w:pPr>
              <w:rPr>
                <w:sz w:val="18"/>
                <w:szCs w:val="18"/>
              </w:rPr>
            </w:pPr>
          </w:p>
        </w:tc>
        <w:tc>
          <w:tcPr>
            <w:tcW w:w="2251" w:type="dxa"/>
            <w:vMerge/>
          </w:tcPr>
          <w:p w14:paraId="63E3143E" w14:textId="77777777" w:rsidR="00F61282" w:rsidRPr="00E90B70" w:rsidRDefault="00F61282" w:rsidP="00F61282">
            <w:pPr>
              <w:rPr>
                <w:sz w:val="18"/>
                <w:szCs w:val="18"/>
              </w:rPr>
            </w:pPr>
          </w:p>
        </w:tc>
        <w:tc>
          <w:tcPr>
            <w:tcW w:w="1701" w:type="dxa"/>
            <w:vMerge/>
          </w:tcPr>
          <w:p w14:paraId="198C73FB" w14:textId="77777777" w:rsidR="00F61282" w:rsidRDefault="00F61282" w:rsidP="00F61282">
            <w:pPr>
              <w:rPr>
                <w:sz w:val="18"/>
                <w:szCs w:val="18"/>
              </w:rPr>
            </w:pPr>
          </w:p>
        </w:tc>
        <w:tc>
          <w:tcPr>
            <w:tcW w:w="1965" w:type="dxa"/>
            <w:shd w:val="clear" w:color="auto" w:fill="D9D9D9" w:themeFill="background1" w:themeFillShade="D9"/>
          </w:tcPr>
          <w:p w14:paraId="3C4A1569" w14:textId="77777777" w:rsidR="00F61282" w:rsidRPr="002F330C" w:rsidRDefault="00F61282" w:rsidP="00F61282">
            <w:pPr>
              <w:ind w:left="0"/>
              <w:rPr>
                <w:sz w:val="18"/>
                <w:szCs w:val="18"/>
              </w:rPr>
            </w:pPr>
            <w:r w:rsidRPr="002F330C">
              <w:rPr>
                <w:sz w:val="18"/>
                <w:szCs w:val="18"/>
              </w:rPr>
              <w:t>Vitamin D, IU</w:t>
            </w:r>
          </w:p>
        </w:tc>
        <w:tc>
          <w:tcPr>
            <w:tcW w:w="1051" w:type="dxa"/>
            <w:shd w:val="clear" w:color="auto" w:fill="D9D9D9" w:themeFill="background1" w:themeFillShade="D9"/>
          </w:tcPr>
          <w:p w14:paraId="012443F3" w14:textId="77777777" w:rsidR="00F61282" w:rsidRPr="002F330C" w:rsidRDefault="00F61282" w:rsidP="00F61282">
            <w:pPr>
              <w:ind w:left="0"/>
              <w:jc w:val="center"/>
              <w:rPr>
                <w:sz w:val="18"/>
                <w:szCs w:val="18"/>
              </w:rPr>
            </w:pPr>
            <w:r w:rsidRPr="002F330C">
              <w:rPr>
                <w:sz w:val="18"/>
                <w:szCs w:val="18"/>
              </w:rPr>
              <w:t>26</w:t>
            </w:r>
          </w:p>
        </w:tc>
        <w:tc>
          <w:tcPr>
            <w:tcW w:w="1169" w:type="dxa"/>
            <w:shd w:val="clear" w:color="auto" w:fill="D9D9D9" w:themeFill="background1" w:themeFillShade="D9"/>
          </w:tcPr>
          <w:p w14:paraId="674F7CD8" w14:textId="77777777" w:rsidR="00F61282" w:rsidRPr="002F330C" w:rsidRDefault="00F61282" w:rsidP="00F61282">
            <w:pPr>
              <w:ind w:left="0"/>
              <w:jc w:val="center"/>
              <w:rPr>
                <w:sz w:val="18"/>
                <w:szCs w:val="18"/>
              </w:rPr>
            </w:pPr>
            <w:r w:rsidRPr="002F330C">
              <w:rPr>
                <w:sz w:val="18"/>
                <w:szCs w:val="18"/>
              </w:rPr>
              <w:t>48</w:t>
            </w:r>
          </w:p>
        </w:tc>
        <w:tc>
          <w:tcPr>
            <w:tcW w:w="1564" w:type="dxa"/>
            <w:tcBorders>
              <w:right w:val="single" w:sz="4" w:space="0" w:color="auto"/>
            </w:tcBorders>
            <w:shd w:val="clear" w:color="auto" w:fill="D9D9D9" w:themeFill="background1" w:themeFillShade="D9"/>
          </w:tcPr>
          <w:p w14:paraId="6F7553D1" w14:textId="77777777" w:rsidR="00F61282" w:rsidRPr="002F330C" w:rsidRDefault="00F61282" w:rsidP="00F61282">
            <w:pPr>
              <w:ind w:left="0"/>
              <w:jc w:val="center"/>
              <w:rPr>
                <w:sz w:val="18"/>
                <w:szCs w:val="18"/>
              </w:rPr>
            </w:pPr>
            <w:r w:rsidRPr="002F330C">
              <w:rPr>
                <w:sz w:val="18"/>
                <w:szCs w:val="18"/>
              </w:rPr>
              <w:t>85</w:t>
            </w:r>
          </w:p>
        </w:tc>
      </w:tr>
      <w:tr w:rsidR="00F61282" w:rsidRPr="002F330C" w14:paraId="56F9B443" w14:textId="77777777" w:rsidTr="007F7EA3">
        <w:trPr>
          <w:trHeight w:val="161"/>
        </w:trPr>
        <w:tc>
          <w:tcPr>
            <w:tcW w:w="1806" w:type="dxa"/>
            <w:vMerge/>
            <w:tcBorders>
              <w:left w:val="single" w:sz="4" w:space="0" w:color="auto"/>
            </w:tcBorders>
          </w:tcPr>
          <w:p w14:paraId="1AEDEDA2" w14:textId="77777777" w:rsidR="00F61282" w:rsidRPr="00E90B70" w:rsidRDefault="00F61282" w:rsidP="00F61282">
            <w:pPr>
              <w:rPr>
                <w:sz w:val="18"/>
                <w:szCs w:val="18"/>
              </w:rPr>
            </w:pPr>
          </w:p>
        </w:tc>
        <w:tc>
          <w:tcPr>
            <w:tcW w:w="1556" w:type="dxa"/>
            <w:vMerge/>
          </w:tcPr>
          <w:p w14:paraId="34C22C22" w14:textId="77777777" w:rsidR="00F61282" w:rsidRPr="00E90B70" w:rsidRDefault="00F61282" w:rsidP="00F61282">
            <w:pPr>
              <w:rPr>
                <w:sz w:val="18"/>
                <w:szCs w:val="18"/>
              </w:rPr>
            </w:pPr>
          </w:p>
        </w:tc>
        <w:tc>
          <w:tcPr>
            <w:tcW w:w="2251" w:type="dxa"/>
            <w:vMerge/>
          </w:tcPr>
          <w:p w14:paraId="1823DB63" w14:textId="77777777" w:rsidR="00F61282" w:rsidRPr="00E90B70" w:rsidRDefault="00F61282" w:rsidP="00F61282">
            <w:pPr>
              <w:rPr>
                <w:sz w:val="18"/>
                <w:szCs w:val="18"/>
              </w:rPr>
            </w:pPr>
          </w:p>
        </w:tc>
        <w:tc>
          <w:tcPr>
            <w:tcW w:w="1701" w:type="dxa"/>
            <w:vMerge/>
          </w:tcPr>
          <w:p w14:paraId="32A41FEF" w14:textId="77777777" w:rsidR="00F61282" w:rsidRDefault="00F61282" w:rsidP="00F61282">
            <w:pPr>
              <w:rPr>
                <w:sz w:val="18"/>
                <w:szCs w:val="18"/>
              </w:rPr>
            </w:pPr>
          </w:p>
        </w:tc>
        <w:tc>
          <w:tcPr>
            <w:tcW w:w="1965" w:type="dxa"/>
          </w:tcPr>
          <w:p w14:paraId="5D69EBCA" w14:textId="77777777" w:rsidR="00F61282" w:rsidRPr="002F330C" w:rsidRDefault="00F61282" w:rsidP="00F61282">
            <w:pPr>
              <w:ind w:left="0"/>
              <w:rPr>
                <w:sz w:val="18"/>
                <w:szCs w:val="18"/>
              </w:rPr>
            </w:pPr>
            <w:r w:rsidRPr="002F330C">
              <w:rPr>
                <w:sz w:val="18"/>
                <w:szCs w:val="18"/>
              </w:rPr>
              <w:t>Vitamin E, mg</w:t>
            </w:r>
          </w:p>
        </w:tc>
        <w:tc>
          <w:tcPr>
            <w:tcW w:w="1051" w:type="dxa"/>
          </w:tcPr>
          <w:p w14:paraId="438787AA" w14:textId="77777777" w:rsidR="00F61282" w:rsidRPr="002F330C" w:rsidRDefault="00F61282" w:rsidP="00F61282">
            <w:pPr>
              <w:ind w:left="0"/>
              <w:jc w:val="center"/>
              <w:rPr>
                <w:sz w:val="18"/>
                <w:szCs w:val="18"/>
              </w:rPr>
            </w:pPr>
            <w:r w:rsidRPr="002F330C">
              <w:rPr>
                <w:sz w:val="18"/>
                <w:szCs w:val="18"/>
              </w:rPr>
              <w:t>5.3</w:t>
            </w:r>
          </w:p>
        </w:tc>
        <w:tc>
          <w:tcPr>
            <w:tcW w:w="1169" w:type="dxa"/>
          </w:tcPr>
          <w:p w14:paraId="416C5216" w14:textId="77777777" w:rsidR="00F61282" w:rsidRPr="002F330C" w:rsidRDefault="00F61282" w:rsidP="00F61282">
            <w:pPr>
              <w:ind w:left="0"/>
              <w:jc w:val="center"/>
              <w:rPr>
                <w:sz w:val="18"/>
                <w:szCs w:val="18"/>
              </w:rPr>
            </w:pPr>
            <w:r w:rsidRPr="002F330C">
              <w:rPr>
                <w:sz w:val="18"/>
                <w:szCs w:val="18"/>
              </w:rPr>
              <w:t>9.6</w:t>
            </w:r>
          </w:p>
        </w:tc>
        <w:tc>
          <w:tcPr>
            <w:tcW w:w="1564" w:type="dxa"/>
            <w:tcBorders>
              <w:right w:val="single" w:sz="4" w:space="0" w:color="auto"/>
            </w:tcBorders>
          </w:tcPr>
          <w:p w14:paraId="7395DAD9" w14:textId="77777777" w:rsidR="00F61282" w:rsidRPr="002F330C" w:rsidRDefault="00F61282" w:rsidP="00F61282">
            <w:pPr>
              <w:ind w:left="0"/>
              <w:jc w:val="center"/>
              <w:rPr>
                <w:sz w:val="18"/>
                <w:szCs w:val="18"/>
              </w:rPr>
            </w:pPr>
            <w:r w:rsidRPr="002F330C">
              <w:rPr>
                <w:sz w:val="18"/>
                <w:szCs w:val="18"/>
              </w:rPr>
              <w:t>82</w:t>
            </w:r>
          </w:p>
        </w:tc>
      </w:tr>
      <w:tr w:rsidR="00F61282" w:rsidRPr="002F330C" w14:paraId="11D24A14" w14:textId="77777777" w:rsidTr="007F7EA3">
        <w:trPr>
          <w:trHeight w:val="215"/>
        </w:trPr>
        <w:tc>
          <w:tcPr>
            <w:tcW w:w="1806" w:type="dxa"/>
            <w:vMerge/>
            <w:tcBorders>
              <w:left w:val="single" w:sz="4" w:space="0" w:color="auto"/>
            </w:tcBorders>
          </w:tcPr>
          <w:p w14:paraId="44854AE0" w14:textId="77777777" w:rsidR="00F61282" w:rsidRPr="00E90B70" w:rsidRDefault="00F61282" w:rsidP="00F61282">
            <w:pPr>
              <w:rPr>
                <w:sz w:val="18"/>
                <w:szCs w:val="18"/>
              </w:rPr>
            </w:pPr>
          </w:p>
        </w:tc>
        <w:tc>
          <w:tcPr>
            <w:tcW w:w="1556" w:type="dxa"/>
            <w:vMerge/>
          </w:tcPr>
          <w:p w14:paraId="489659BA" w14:textId="77777777" w:rsidR="00F61282" w:rsidRPr="00E90B70" w:rsidRDefault="00F61282" w:rsidP="00F61282">
            <w:pPr>
              <w:rPr>
                <w:sz w:val="18"/>
                <w:szCs w:val="18"/>
              </w:rPr>
            </w:pPr>
          </w:p>
        </w:tc>
        <w:tc>
          <w:tcPr>
            <w:tcW w:w="2251" w:type="dxa"/>
            <w:vMerge/>
          </w:tcPr>
          <w:p w14:paraId="4AFD130E" w14:textId="77777777" w:rsidR="00F61282" w:rsidRPr="00E90B70" w:rsidRDefault="00F61282" w:rsidP="00F61282">
            <w:pPr>
              <w:rPr>
                <w:sz w:val="18"/>
                <w:szCs w:val="18"/>
              </w:rPr>
            </w:pPr>
          </w:p>
        </w:tc>
        <w:tc>
          <w:tcPr>
            <w:tcW w:w="1701" w:type="dxa"/>
            <w:vMerge/>
          </w:tcPr>
          <w:p w14:paraId="69D0DBCC" w14:textId="77777777" w:rsidR="00F61282" w:rsidRDefault="00F61282" w:rsidP="00F61282">
            <w:pPr>
              <w:rPr>
                <w:sz w:val="18"/>
                <w:szCs w:val="18"/>
              </w:rPr>
            </w:pPr>
          </w:p>
        </w:tc>
        <w:tc>
          <w:tcPr>
            <w:tcW w:w="1965" w:type="dxa"/>
            <w:shd w:val="clear" w:color="auto" w:fill="D9D9D9" w:themeFill="background1" w:themeFillShade="D9"/>
          </w:tcPr>
          <w:p w14:paraId="0C8D078A" w14:textId="77777777" w:rsidR="00F61282" w:rsidRPr="002F330C" w:rsidRDefault="00F61282" w:rsidP="00F61282">
            <w:pPr>
              <w:ind w:left="0"/>
              <w:rPr>
                <w:sz w:val="18"/>
                <w:szCs w:val="18"/>
              </w:rPr>
            </w:pPr>
            <w:r w:rsidRPr="002F330C">
              <w:rPr>
                <w:sz w:val="18"/>
                <w:szCs w:val="18"/>
              </w:rPr>
              <w:t>Calcium, mg</w:t>
            </w:r>
          </w:p>
        </w:tc>
        <w:tc>
          <w:tcPr>
            <w:tcW w:w="1051" w:type="dxa"/>
            <w:shd w:val="clear" w:color="auto" w:fill="D9D9D9" w:themeFill="background1" w:themeFillShade="D9"/>
          </w:tcPr>
          <w:p w14:paraId="1966F83A" w14:textId="77777777" w:rsidR="00F61282" w:rsidRPr="002F330C" w:rsidRDefault="00F61282" w:rsidP="00F61282">
            <w:pPr>
              <w:ind w:left="0"/>
              <w:jc w:val="center"/>
              <w:rPr>
                <w:sz w:val="18"/>
                <w:szCs w:val="18"/>
              </w:rPr>
            </w:pPr>
            <w:r w:rsidRPr="002F330C">
              <w:rPr>
                <w:sz w:val="18"/>
                <w:szCs w:val="18"/>
              </w:rPr>
              <w:t>432</w:t>
            </w:r>
          </w:p>
        </w:tc>
        <w:tc>
          <w:tcPr>
            <w:tcW w:w="1169" w:type="dxa"/>
            <w:shd w:val="clear" w:color="auto" w:fill="D9D9D9" w:themeFill="background1" w:themeFillShade="D9"/>
          </w:tcPr>
          <w:p w14:paraId="1E4D7A4D" w14:textId="77777777" w:rsidR="00F61282" w:rsidRPr="002F330C" w:rsidRDefault="00F61282" w:rsidP="00F61282">
            <w:pPr>
              <w:ind w:left="0"/>
              <w:jc w:val="center"/>
              <w:rPr>
                <w:sz w:val="18"/>
                <w:szCs w:val="18"/>
              </w:rPr>
            </w:pPr>
            <w:r w:rsidRPr="002F330C">
              <w:rPr>
                <w:sz w:val="18"/>
                <w:szCs w:val="18"/>
              </w:rPr>
              <w:t>898</w:t>
            </w:r>
          </w:p>
        </w:tc>
        <w:tc>
          <w:tcPr>
            <w:tcW w:w="1564" w:type="dxa"/>
            <w:tcBorders>
              <w:right w:val="single" w:sz="4" w:space="0" w:color="auto"/>
            </w:tcBorders>
            <w:shd w:val="clear" w:color="auto" w:fill="D9D9D9" w:themeFill="background1" w:themeFillShade="D9"/>
          </w:tcPr>
          <w:p w14:paraId="1D599C6A" w14:textId="77777777" w:rsidR="00F61282" w:rsidRPr="002F330C" w:rsidRDefault="00F61282" w:rsidP="00F61282">
            <w:pPr>
              <w:ind w:left="0"/>
              <w:jc w:val="center"/>
              <w:rPr>
                <w:sz w:val="18"/>
                <w:szCs w:val="18"/>
              </w:rPr>
            </w:pPr>
            <w:r w:rsidRPr="002F330C">
              <w:rPr>
                <w:sz w:val="18"/>
                <w:szCs w:val="18"/>
              </w:rPr>
              <w:t>108</w:t>
            </w:r>
          </w:p>
        </w:tc>
      </w:tr>
      <w:tr w:rsidR="00F61282" w:rsidRPr="002F330C" w14:paraId="4F1D1079" w14:textId="77777777" w:rsidTr="007F7EA3">
        <w:trPr>
          <w:trHeight w:val="161"/>
        </w:trPr>
        <w:tc>
          <w:tcPr>
            <w:tcW w:w="1806" w:type="dxa"/>
            <w:vMerge/>
            <w:tcBorders>
              <w:left w:val="single" w:sz="4" w:space="0" w:color="auto"/>
            </w:tcBorders>
          </w:tcPr>
          <w:p w14:paraId="4B70A440" w14:textId="77777777" w:rsidR="00F61282" w:rsidRPr="00E90B70" w:rsidRDefault="00F61282" w:rsidP="00F61282">
            <w:pPr>
              <w:rPr>
                <w:sz w:val="18"/>
                <w:szCs w:val="18"/>
              </w:rPr>
            </w:pPr>
          </w:p>
        </w:tc>
        <w:tc>
          <w:tcPr>
            <w:tcW w:w="1556" w:type="dxa"/>
            <w:vMerge/>
          </w:tcPr>
          <w:p w14:paraId="3B5A13ED" w14:textId="77777777" w:rsidR="00F61282" w:rsidRPr="00E90B70" w:rsidRDefault="00F61282" w:rsidP="00F61282">
            <w:pPr>
              <w:rPr>
                <w:sz w:val="18"/>
                <w:szCs w:val="18"/>
              </w:rPr>
            </w:pPr>
          </w:p>
        </w:tc>
        <w:tc>
          <w:tcPr>
            <w:tcW w:w="2251" w:type="dxa"/>
            <w:vMerge/>
          </w:tcPr>
          <w:p w14:paraId="09BB3B6D" w14:textId="77777777" w:rsidR="00F61282" w:rsidRPr="00E90B70" w:rsidRDefault="00F61282" w:rsidP="00F61282">
            <w:pPr>
              <w:rPr>
                <w:sz w:val="18"/>
                <w:szCs w:val="18"/>
              </w:rPr>
            </w:pPr>
          </w:p>
        </w:tc>
        <w:tc>
          <w:tcPr>
            <w:tcW w:w="1701" w:type="dxa"/>
            <w:vMerge/>
          </w:tcPr>
          <w:p w14:paraId="6EE36D48" w14:textId="77777777" w:rsidR="00F61282" w:rsidRDefault="00F61282" w:rsidP="00F61282">
            <w:pPr>
              <w:rPr>
                <w:sz w:val="18"/>
                <w:szCs w:val="18"/>
              </w:rPr>
            </w:pPr>
          </w:p>
        </w:tc>
        <w:tc>
          <w:tcPr>
            <w:tcW w:w="1965" w:type="dxa"/>
          </w:tcPr>
          <w:p w14:paraId="25E45533" w14:textId="77777777" w:rsidR="00F61282" w:rsidRPr="002F330C" w:rsidRDefault="00F61282" w:rsidP="00F61282">
            <w:pPr>
              <w:ind w:left="0"/>
              <w:rPr>
                <w:sz w:val="18"/>
                <w:szCs w:val="18"/>
              </w:rPr>
            </w:pPr>
            <w:r w:rsidRPr="002F330C">
              <w:rPr>
                <w:sz w:val="18"/>
                <w:szCs w:val="18"/>
              </w:rPr>
              <w:t>Copper, mg</w:t>
            </w:r>
          </w:p>
        </w:tc>
        <w:tc>
          <w:tcPr>
            <w:tcW w:w="1051" w:type="dxa"/>
          </w:tcPr>
          <w:p w14:paraId="43A54AB0" w14:textId="77777777" w:rsidR="00F61282" w:rsidRPr="002F330C" w:rsidRDefault="00F61282" w:rsidP="00F61282">
            <w:pPr>
              <w:ind w:left="0"/>
              <w:jc w:val="center"/>
              <w:rPr>
                <w:sz w:val="18"/>
                <w:szCs w:val="18"/>
              </w:rPr>
            </w:pPr>
            <w:r w:rsidRPr="002F330C">
              <w:rPr>
                <w:sz w:val="18"/>
                <w:szCs w:val="18"/>
              </w:rPr>
              <w:t>1.0</w:t>
            </w:r>
          </w:p>
        </w:tc>
        <w:tc>
          <w:tcPr>
            <w:tcW w:w="1169" w:type="dxa"/>
          </w:tcPr>
          <w:p w14:paraId="372F0E84" w14:textId="77777777" w:rsidR="00F61282" w:rsidRPr="002F330C" w:rsidRDefault="00F61282" w:rsidP="00F61282">
            <w:pPr>
              <w:ind w:left="0"/>
              <w:jc w:val="center"/>
              <w:rPr>
                <w:sz w:val="18"/>
                <w:szCs w:val="18"/>
              </w:rPr>
            </w:pPr>
            <w:r w:rsidRPr="002F330C">
              <w:rPr>
                <w:sz w:val="18"/>
                <w:szCs w:val="18"/>
              </w:rPr>
              <w:t>1.5</w:t>
            </w:r>
          </w:p>
        </w:tc>
        <w:tc>
          <w:tcPr>
            <w:tcW w:w="1564" w:type="dxa"/>
            <w:tcBorders>
              <w:right w:val="single" w:sz="4" w:space="0" w:color="auto"/>
            </w:tcBorders>
          </w:tcPr>
          <w:p w14:paraId="234CA9DC" w14:textId="77777777" w:rsidR="00F61282" w:rsidRPr="002F330C" w:rsidRDefault="00F61282" w:rsidP="00F61282">
            <w:pPr>
              <w:ind w:left="0"/>
              <w:jc w:val="center"/>
              <w:rPr>
                <w:sz w:val="18"/>
                <w:szCs w:val="18"/>
              </w:rPr>
            </w:pPr>
            <w:r w:rsidRPr="002F330C">
              <w:rPr>
                <w:sz w:val="18"/>
                <w:szCs w:val="18"/>
              </w:rPr>
              <w:t>48</w:t>
            </w:r>
          </w:p>
        </w:tc>
      </w:tr>
      <w:tr w:rsidR="00F61282" w:rsidRPr="002F330C" w14:paraId="6BC9B2F4" w14:textId="77777777" w:rsidTr="007F7EA3">
        <w:trPr>
          <w:trHeight w:val="197"/>
        </w:trPr>
        <w:tc>
          <w:tcPr>
            <w:tcW w:w="1806" w:type="dxa"/>
            <w:vMerge/>
            <w:tcBorders>
              <w:left w:val="single" w:sz="4" w:space="0" w:color="auto"/>
            </w:tcBorders>
          </w:tcPr>
          <w:p w14:paraId="290DCA99" w14:textId="77777777" w:rsidR="00F61282" w:rsidRPr="00E90B70" w:rsidRDefault="00F61282" w:rsidP="00F61282">
            <w:pPr>
              <w:rPr>
                <w:sz w:val="18"/>
                <w:szCs w:val="18"/>
              </w:rPr>
            </w:pPr>
          </w:p>
        </w:tc>
        <w:tc>
          <w:tcPr>
            <w:tcW w:w="1556" w:type="dxa"/>
            <w:vMerge/>
          </w:tcPr>
          <w:p w14:paraId="112224DB" w14:textId="77777777" w:rsidR="00F61282" w:rsidRPr="00E90B70" w:rsidRDefault="00F61282" w:rsidP="00F61282">
            <w:pPr>
              <w:rPr>
                <w:sz w:val="18"/>
                <w:szCs w:val="18"/>
              </w:rPr>
            </w:pPr>
          </w:p>
        </w:tc>
        <w:tc>
          <w:tcPr>
            <w:tcW w:w="2251" w:type="dxa"/>
            <w:vMerge/>
          </w:tcPr>
          <w:p w14:paraId="65EC8DCB" w14:textId="77777777" w:rsidR="00F61282" w:rsidRPr="00E90B70" w:rsidRDefault="00F61282" w:rsidP="00F61282">
            <w:pPr>
              <w:rPr>
                <w:sz w:val="18"/>
                <w:szCs w:val="18"/>
              </w:rPr>
            </w:pPr>
          </w:p>
        </w:tc>
        <w:tc>
          <w:tcPr>
            <w:tcW w:w="1701" w:type="dxa"/>
            <w:vMerge/>
          </w:tcPr>
          <w:p w14:paraId="3F089357" w14:textId="77777777" w:rsidR="00F61282" w:rsidRDefault="00F61282" w:rsidP="00F61282">
            <w:pPr>
              <w:rPr>
                <w:sz w:val="18"/>
                <w:szCs w:val="18"/>
              </w:rPr>
            </w:pPr>
          </w:p>
        </w:tc>
        <w:tc>
          <w:tcPr>
            <w:tcW w:w="1965" w:type="dxa"/>
            <w:shd w:val="clear" w:color="auto" w:fill="D9D9D9" w:themeFill="background1" w:themeFillShade="D9"/>
          </w:tcPr>
          <w:p w14:paraId="47094E57" w14:textId="77777777" w:rsidR="00F61282" w:rsidRPr="002F330C" w:rsidRDefault="00F61282" w:rsidP="00F61282">
            <w:pPr>
              <w:ind w:left="0"/>
              <w:rPr>
                <w:sz w:val="18"/>
                <w:szCs w:val="18"/>
              </w:rPr>
            </w:pPr>
            <w:r w:rsidRPr="002F330C">
              <w:rPr>
                <w:sz w:val="18"/>
                <w:szCs w:val="18"/>
              </w:rPr>
              <w:t>Iron, mg</w:t>
            </w:r>
          </w:p>
        </w:tc>
        <w:tc>
          <w:tcPr>
            <w:tcW w:w="1051" w:type="dxa"/>
            <w:shd w:val="clear" w:color="auto" w:fill="D9D9D9" w:themeFill="background1" w:themeFillShade="D9"/>
          </w:tcPr>
          <w:p w14:paraId="4B0F425C" w14:textId="77777777" w:rsidR="00F61282" w:rsidRPr="002F330C" w:rsidRDefault="00F61282" w:rsidP="00F61282">
            <w:pPr>
              <w:ind w:left="0"/>
              <w:jc w:val="center"/>
              <w:rPr>
                <w:sz w:val="18"/>
                <w:szCs w:val="18"/>
              </w:rPr>
            </w:pPr>
            <w:r w:rsidRPr="002F330C">
              <w:rPr>
                <w:sz w:val="18"/>
                <w:szCs w:val="18"/>
              </w:rPr>
              <w:t>10</w:t>
            </w:r>
          </w:p>
        </w:tc>
        <w:tc>
          <w:tcPr>
            <w:tcW w:w="1169" w:type="dxa"/>
            <w:shd w:val="clear" w:color="auto" w:fill="D9D9D9" w:themeFill="background1" w:themeFillShade="D9"/>
          </w:tcPr>
          <w:p w14:paraId="2371ACB3" w14:textId="77777777" w:rsidR="00F61282" w:rsidRPr="002F330C" w:rsidRDefault="00F61282" w:rsidP="00F61282">
            <w:pPr>
              <w:ind w:left="0"/>
              <w:jc w:val="center"/>
              <w:rPr>
                <w:sz w:val="18"/>
                <w:szCs w:val="18"/>
              </w:rPr>
            </w:pPr>
            <w:r w:rsidRPr="002F330C">
              <w:rPr>
                <w:sz w:val="18"/>
                <w:szCs w:val="18"/>
              </w:rPr>
              <w:t>16</w:t>
            </w:r>
          </w:p>
        </w:tc>
        <w:tc>
          <w:tcPr>
            <w:tcW w:w="1564" w:type="dxa"/>
            <w:tcBorders>
              <w:right w:val="single" w:sz="4" w:space="0" w:color="auto"/>
            </w:tcBorders>
            <w:shd w:val="clear" w:color="auto" w:fill="D9D9D9" w:themeFill="background1" w:themeFillShade="D9"/>
          </w:tcPr>
          <w:p w14:paraId="5AFB0A5F" w14:textId="63BC3B1E" w:rsidR="00F61282" w:rsidRPr="002F330C" w:rsidRDefault="00151FCF" w:rsidP="00F61282">
            <w:pPr>
              <w:ind w:left="0"/>
              <w:jc w:val="center"/>
              <w:rPr>
                <w:sz w:val="18"/>
                <w:szCs w:val="18"/>
              </w:rPr>
            </w:pPr>
            <w:r w:rsidRPr="00151FCF">
              <w:rPr>
                <w:color w:val="FF0000"/>
                <w:sz w:val="18"/>
                <w:szCs w:val="18"/>
              </w:rPr>
              <w:t>60</w:t>
            </w:r>
          </w:p>
        </w:tc>
      </w:tr>
      <w:tr w:rsidR="00F61282" w:rsidRPr="002F330C" w14:paraId="4EBEA050" w14:textId="77777777" w:rsidTr="007F7EA3">
        <w:trPr>
          <w:trHeight w:val="152"/>
        </w:trPr>
        <w:tc>
          <w:tcPr>
            <w:tcW w:w="1806" w:type="dxa"/>
            <w:vMerge/>
            <w:tcBorders>
              <w:left w:val="single" w:sz="4" w:space="0" w:color="auto"/>
            </w:tcBorders>
          </w:tcPr>
          <w:p w14:paraId="33E32FAE" w14:textId="77777777" w:rsidR="00F61282" w:rsidRPr="00E90B70" w:rsidRDefault="00F61282" w:rsidP="00F61282">
            <w:pPr>
              <w:rPr>
                <w:sz w:val="18"/>
                <w:szCs w:val="18"/>
              </w:rPr>
            </w:pPr>
          </w:p>
        </w:tc>
        <w:tc>
          <w:tcPr>
            <w:tcW w:w="1556" w:type="dxa"/>
            <w:vMerge/>
          </w:tcPr>
          <w:p w14:paraId="2DA8F590" w14:textId="77777777" w:rsidR="00F61282" w:rsidRPr="00E90B70" w:rsidRDefault="00F61282" w:rsidP="00F61282">
            <w:pPr>
              <w:rPr>
                <w:sz w:val="18"/>
                <w:szCs w:val="18"/>
              </w:rPr>
            </w:pPr>
          </w:p>
        </w:tc>
        <w:tc>
          <w:tcPr>
            <w:tcW w:w="2251" w:type="dxa"/>
            <w:vMerge/>
          </w:tcPr>
          <w:p w14:paraId="45E15680" w14:textId="77777777" w:rsidR="00F61282" w:rsidRPr="00E90B70" w:rsidRDefault="00F61282" w:rsidP="00F61282">
            <w:pPr>
              <w:rPr>
                <w:sz w:val="18"/>
                <w:szCs w:val="18"/>
              </w:rPr>
            </w:pPr>
          </w:p>
        </w:tc>
        <w:tc>
          <w:tcPr>
            <w:tcW w:w="1701" w:type="dxa"/>
            <w:vMerge/>
          </w:tcPr>
          <w:p w14:paraId="70C04763" w14:textId="77777777" w:rsidR="00F61282" w:rsidRDefault="00F61282" w:rsidP="00F61282">
            <w:pPr>
              <w:rPr>
                <w:sz w:val="18"/>
                <w:szCs w:val="18"/>
              </w:rPr>
            </w:pPr>
          </w:p>
        </w:tc>
        <w:tc>
          <w:tcPr>
            <w:tcW w:w="1965" w:type="dxa"/>
          </w:tcPr>
          <w:p w14:paraId="1B7F8778" w14:textId="77777777" w:rsidR="00F61282" w:rsidRPr="002F330C" w:rsidRDefault="00F61282" w:rsidP="00F61282">
            <w:pPr>
              <w:ind w:left="0"/>
              <w:rPr>
                <w:sz w:val="18"/>
                <w:szCs w:val="18"/>
              </w:rPr>
            </w:pPr>
            <w:r w:rsidRPr="002F330C">
              <w:rPr>
                <w:sz w:val="18"/>
                <w:szCs w:val="18"/>
              </w:rPr>
              <w:t>Magnesium, mg</w:t>
            </w:r>
          </w:p>
        </w:tc>
        <w:tc>
          <w:tcPr>
            <w:tcW w:w="1051" w:type="dxa"/>
          </w:tcPr>
          <w:p w14:paraId="067CCCA8" w14:textId="77777777" w:rsidR="00F61282" w:rsidRPr="002F330C" w:rsidRDefault="00F61282" w:rsidP="00F61282">
            <w:pPr>
              <w:ind w:left="0"/>
              <w:jc w:val="center"/>
              <w:rPr>
                <w:sz w:val="18"/>
                <w:szCs w:val="18"/>
              </w:rPr>
            </w:pPr>
            <w:r w:rsidRPr="002F330C">
              <w:rPr>
                <w:sz w:val="18"/>
                <w:szCs w:val="18"/>
              </w:rPr>
              <w:t>168</w:t>
            </w:r>
          </w:p>
        </w:tc>
        <w:tc>
          <w:tcPr>
            <w:tcW w:w="1169" w:type="dxa"/>
          </w:tcPr>
          <w:p w14:paraId="7CC3F622" w14:textId="77777777" w:rsidR="00F61282" w:rsidRPr="002F330C" w:rsidRDefault="00F61282" w:rsidP="00F61282">
            <w:pPr>
              <w:ind w:left="0"/>
              <w:jc w:val="center"/>
              <w:rPr>
                <w:sz w:val="18"/>
                <w:szCs w:val="18"/>
              </w:rPr>
            </w:pPr>
            <w:r w:rsidRPr="002F330C">
              <w:rPr>
                <w:sz w:val="18"/>
                <w:szCs w:val="18"/>
              </w:rPr>
              <w:t>283</w:t>
            </w:r>
          </w:p>
        </w:tc>
        <w:tc>
          <w:tcPr>
            <w:tcW w:w="1564" w:type="dxa"/>
            <w:tcBorders>
              <w:right w:val="single" w:sz="4" w:space="0" w:color="auto"/>
            </w:tcBorders>
          </w:tcPr>
          <w:p w14:paraId="04C683E5" w14:textId="77777777" w:rsidR="00F61282" w:rsidRPr="002F330C" w:rsidRDefault="00F61282" w:rsidP="00F61282">
            <w:pPr>
              <w:ind w:left="0"/>
              <w:jc w:val="center"/>
              <w:rPr>
                <w:sz w:val="18"/>
                <w:szCs w:val="18"/>
              </w:rPr>
            </w:pPr>
            <w:r w:rsidRPr="002F330C">
              <w:rPr>
                <w:sz w:val="18"/>
                <w:szCs w:val="18"/>
              </w:rPr>
              <w:t>68</w:t>
            </w:r>
          </w:p>
        </w:tc>
      </w:tr>
      <w:tr w:rsidR="00F61282" w:rsidRPr="002F330C" w14:paraId="531780DF" w14:textId="77777777" w:rsidTr="007F7EA3">
        <w:trPr>
          <w:trHeight w:val="188"/>
        </w:trPr>
        <w:tc>
          <w:tcPr>
            <w:tcW w:w="1806" w:type="dxa"/>
            <w:vMerge/>
            <w:tcBorders>
              <w:left w:val="single" w:sz="4" w:space="0" w:color="auto"/>
            </w:tcBorders>
          </w:tcPr>
          <w:p w14:paraId="0218F8C7" w14:textId="77777777" w:rsidR="00F61282" w:rsidRPr="00E90B70" w:rsidRDefault="00F61282" w:rsidP="00F61282">
            <w:pPr>
              <w:rPr>
                <w:sz w:val="18"/>
                <w:szCs w:val="18"/>
              </w:rPr>
            </w:pPr>
          </w:p>
        </w:tc>
        <w:tc>
          <w:tcPr>
            <w:tcW w:w="1556" w:type="dxa"/>
            <w:vMerge/>
          </w:tcPr>
          <w:p w14:paraId="130CAA5C" w14:textId="77777777" w:rsidR="00F61282" w:rsidRPr="00E90B70" w:rsidRDefault="00F61282" w:rsidP="00F61282">
            <w:pPr>
              <w:rPr>
                <w:sz w:val="18"/>
                <w:szCs w:val="18"/>
              </w:rPr>
            </w:pPr>
          </w:p>
        </w:tc>
        <w:tc>
          <w:tcPr>
            <w:tcW w:w="2251" w:type="dxa"/>
            <w:vMerge/>
          </w:tcPr>
          <w:p w14:paraId="67F04A83" w14:textId="77777777" w:rsidR="00F61282" w:rsidRPr="00E90B70" w:rsidRDefault="00F61282" w:rsidP="00F61282">
            <w:pPr>
              <w:rPr>
                <w:sz w:val="18"/>
                <w:szCs w:val="18"/>
              </w:rPr>
            </w:pPr>
          </w:p>
        </w:tc>
        <w:tc>
          <w:tcPr>
            <w:tcW w:w="1701" w:type="dxa"/>
            <w:vMerge/>
          </w:tcPr>
          <w:p w14:paraId="08677230" w14:textId="77777777" w:rsidR="00F61282" w:rsidRDefault="00F61282" w:rsidP="00F61282">
            <w:pPr>
              <w:rPr>
                <w:sz w:val="18"/>
                <w:szCs w:val="18"/>
              </w:rPr>
            </w:pPr>
          </w:p>
        </w:tc>
        <w:tc>
          <w:tcPr>
            <w:tcW w:w="1965" w:type="dxa"/>
            <w:shd w:val="clear" w:color="auto" w:fill="D9D9D9" w:themeFill="background1" w:themeFillShade="D9"/>
          </w:tcPr>
          <w:p w14:paraId="039452D0" w14:textId="77777777" w:rsidR="00F61282" w:rsidRPr="002F330C" w:rsidRDefault="00F61282" w:rsidP="00F61282">
            <w:pPr>
              <w:ind w:left="0"/>
              <w:rPr>
                <w:sz w:val="18"/>
                <w:szCs w:val="18"/>
              </w:rPr>
            </w:pPr>
            <w:r w:rsidRPr="002F330C">
              <w:rPr>
                <w:sz w:val="18"/>
                <w:szCs w:val="18"/>
              </w:rPr>
              <w:t>Manganese, mg</w:t>
            </w:r>
          </w:p>
        </w:tc>
        <w:tc>
          <w:tcPr>
            <w:tcW w:w="1051" w:type="dxa"/>
            <w:shd w:val="clear" w:color="auto" w:fill="D9D9D9" w:themeFill="background1" w:themeFillShade="D9"/>
          </w:tcPr>
          <w:p w14:paraId="6C39B1F4" w14:textId="77777777" w:rsidR="00F61282" w:rsidRPr="002F330C" w:rsidRDefault="00F61282" w:rsidP="00F61282">
            <w:pPr>
              <w:ind w:left="0"/>
              <w:jc w:val="center"/>
              <w:rPr>
                <w:sz w:val="18"/>
                <w:szCs w:val="18"/>
              </w:rPr>
            </w:pPr>
            <w:r w:rsidRPr="002F330C">
              <w:rPr>
                <w:sz w:val="18"/>
                <w:szCs w:val="18"/>
              </w:rPr>
              <w:t>2.2</w:t>
            </w:r>
          </w:p>
        </w:tc>
        <w:tc>
          <w:tcPr>
            <w:tcW w:w="1169" w:type="dxa"/>
            <w:shd w:val="clear" w:color="auto" w:fill="D9D9D9" w:themeFill="background1" w:themeFillShade="D9"/>
          </w:tcPr>
          <w:p w14:paraId="7C6CC6E9" w14:textId="77777777" w:rsidR="00F61282" w:rsidRPr="002F330C" w:rsidRDefault="00F61282" w:rsidP="00F61282">
            <w:pPr>
              <w:ind w:left="0"/>
              <w:jc w:val="center"/>
              <w:rPr>
                <w:sz w:val="18"/>
                <w:szCs w:val="18"/>
              </w:rPr>
            </w:pPr>
            <w:r w:rsidRPr="002F330C">
              <w:rPr>
                <w:sz w:val="18"/>
                <w:szCs w:val="18"/>
              </w:rPr>
              <w:t>3.4</w:t>
            </w:r>
          </w:p>
        </w:tc>
        <w:tc>
          <w:tcPr>
            <w:tcW w:w="1564" w:type="dxa"/>
            <w:tcBorders>
              <w:right w:val="single" w:sz="4" w:space="0" w:color="auto"/>
            </w:tcBorders>
            <w:shd w:val="clear" w:color="auto" w:fill="D9D9D9" w:themeFill="background1" w:themeFillShade="D9"/>
          </w:tcPr>
          <w:p w14:paraId="7417E0C9" w14:textId="77777777" w:rsidR="00F61282" w:rsidRPr="002F330C" w:rsidRDefault="00F61282" w:rsidP="00F61282">
            <w:pPr>
              <w:ind w:left="0"/>
              <w:jc w:val="center"/>
              <w:rPr>
                <w:sz w:val="18"/>
                <w:szCs w:val="18"/>
              </w:rPr>
            </w:pPr>
            <w:r w:rsidRPr="002F330C">
              <w:rPr>
                <w:sz w:val="18"/>
                <w:szCs w:val="18"/>
              </w:rPr>
              <w:t>55</w:t>
            </w:r>
          </w:p>
        </w:tc>
      </w:tr>
      <w:tr w:rsidR="00F61282" w:rsidRPr="002F330C" w14:paraId="3CFB06AC" w14:textId="77777777" w:rsidTr="007F7EA3">
        <w:trPr>
          <w:trHeight w:val="134"/>
        </w:trPr>
        <w:tc>
          <w:tcPr>
            <w:tcW w:w="1806" w:type="dxa"/>
            <w:vMerge/>
            <w:tcBorders>
              <w:left w:val="single" w:sz="4" w:space="0" w:color="auto"/>
            </w:tcBorders>
          </w:tcPr>
          <w:p w14:paraId="47B7BC9C" w14:textId="77777777" w:rsidR="00F61282" w:rsidRPr="00E90B70" w:rsidRDefault="00F61282" w:rsidP="00F61282">
            <w:pPr>
              <w:rPr>
                <w:sz w:val="18"/>
                <w:szCs w:val="18"/>
              </w:rPr>
            </w:pPr>
          </w:p>
        </w:tc>
        <w:tc>
          <w:tcPr>
            <w:tcW w:w="1556" w:type="dxa"/>
            <w:vMerge/>
          </w:tcPr>
          <w:p w14:paraId="6ECB7F17" w14:textId="77777777" w:rsidR="00F61282" w:rsidRPr="00E90B70" w:rsidRDefault="00F61282" w:rsidP="00F61282">
            <w:pPr>
              <w:rPr>
                <w:sz w:val="18"/>
                <w:szCs w:val="18"/>
              </w:rPr>
            </w:pPr>
          </w:p>
        </w:tc>
        <w:tc>
          <w:tcPr>
            <w:tcW w:w="2251" w:type="dxa"/>
            <w:vMerge/>
          </w:tcPr>
          <w:p w14:paraId="0FD78E11" w14:textId="77777777" w:rsidR="00F61282" w:rsidRPr="00E90B70" w:rsidRDefault="00F61282" w:rsidP="00F61282">
            <w:pPr>
              <w:rPr>
                <w:sz w:val="18"/>
                <w:szCs w:val="18"/>
              </w:rPr>
            </w:pPr>
          </w:p>
        </w:tc>
        <w:tc>
          <w:tcPr>
            <w:tcW w:w="1701" w:type="dxa"/>
            <w:vMerge/>
          </w:tcPr>
          <w:p w14:paraId="5B71EDA1" w14:textId="77777777" w:rsidR="00F61282" w:rsidRDefault="00F61282" w:rsidP="00F61282">
            <w:pPr>
              <w:rPr>
                <w:sz w:val="18"/>
                <w:szCs w:val="18"/>
              </w:rPr>
            </w:pPr>
          </w:p>
        </w:tc>
        <w:tc>
          <w:tcPr>
            <w:tcW w:w="1965" w:type="dxa"/>
          </w:tcPr>
          <w:p w14:paraId="3CB60FF5" w14:textId="77777777" w:rsidR="00F61282" w:rsidRPr="002F330C" w:rsidRDefault="00F61282" w:rsidP="00F61282">
            <w:pPr>
              <w:ind w:left="0"/>
              <w:rPr>
                <w:sz w:val="18"/>
                <w:szCs w:val="18"/>
              </w:rPr>
            </w:pPr>
            <w:r w:rsidRPr="002F330C">
              <w:rPr>
                <w:sz w:val="18"/>
                <w:szCs w:val="18"/>
              </w:rPr>
              <w:t>Phosphorous, mg</w:t>
            </w:r>
          </w:p>
        </w:tc>
        <w:tc>
          <w:tcPr>
            <w:tcW w:w="1051" w:type="dxa"/>
          </w:tcPr>
          <w:p w14:paraId="2F8EF502" w14:textId="77777777" w:rsidR="00F61282" w:rsidRPr="002F330C" w:rsidRDefault="00F61282" w:rsidP="00F61282">
            <w:pPr>
              <w:ind w:left="0"/>
              <w:jc w:val="center"/>
              <w:rPr>
                <w:sz w:val="18"/>
                <w:szCs w:val="18"/>
              </w:rPr>
            </w:pPr>
            <w:r w:rsidRPr="002F330C">
              <w:rPr>
                <w:sz w:val="18"/>
                <w:szCs w:val="18"/>
              </w:rPr>
              <w:t>907</w:t>
            </w:r>
          </w:p>
        </w:tc>
        <w:tc>
          <w:tcPr>
            <w:tcW w:w="1169" w:type="dxa"/>
          </w:tcPr>
          <w:p w14:paraId="1A5A20C0" w14:textId="77777777" w:rsidR="00F61282" w:rsidRPr="002F330C" w:rsidRDefault="00F61282" w:rsidP="00F61282">
            <w:pPr>
              <w:ind w:left="0"/>
              <w:jc w:val="center"/>
              <w:rPr>
                <w:sz w:val="18"/>
                <w:szCs w:val="18"/>
              </w:rPr>
            </w:pPr>
            <w:r w:rsidRPr="002F330C">
              <w:rPr>
                <w:sz w:val="18"/>
                <w:szCs w:val="18"/>
              </w:rPr>
              <w:t>1567</w:t>
            </w:r>
          </w:p>
        </w:tc>
        <w:tc>
          <w:tcPr>
            <w:tcW w:w="1564" w:type="dxa"/>
            <w:tcBorders>
              <w:right w:val="single" w:sz="4" w:space="0" w:color="auto"/>
            </w:tcBorders>
          </w:tcPr>
          <w:p w14:paraId="0EA7231F" w14:textId="77777777" w:rsidR="00F61282" w:rsidRPr="002F330C" w:rsidRDefault="00F61282" w:rsidP="00F61282">
            <w:pPr>
              <w:ind w:left="0"/>
              <w:jc w:val="center"/>
              <w:rPr>
                <w:sz w:val="18"/>
                <w:szCs w:val="18"/>
              </w:rPr>
            </w:pPr>
            <w:r w:rsidRPr="002F330C">
              <w:rPr>
                <w:sz w:val="18"/>
                <w:szCs w:val="18"/>
              </w:rPr>
              <w:t>73</w:t>
            </w:r>
          </w:p>
        </w:tc>
      </w:tr>
      <w:tr w:rsidR="00F61282" w:rsidRPr="002F330C" w14:paraId="304A452D" w14:textId="77777777" w:rsidTr="007F7EA3">
        <w:trPr>
          <w:trHeight w:val="288"/>
        </w:trPr>
        <w:tc>
          <w:tcPr>
            <w:tcW w:w="1806" w:type="dxa"/>
            <w:vMerge/>
            <w:tcBorders>
              <w:left w:val="single" w:sz="4" w:space="0" w:color="auto"/>
            </w:tcBorders>
          </w:tcPr>
          <w:p w14:paraId="053BC6FC" w14:textId="77777777" w:rsidR="00F61282" w:rsidRPr="00E90B70" w:rsidRDefault="00F61282" w:rsidP="00F61282">
            <w:pPr>
              <w:rPr>
                <w:sz w:val="18"/>
                <w:szCs w:val="18"/>
              </w:rPr>
            </w:pPr>
          </w:p>
        </w:tc>
        <w:tc>
          <w:tcPr>
            <w:tcW w:w="1556" w:type="dxa"/>
            <w:vMerge/>
          </w:tcPr>
          <w:p w14:paraId="614D647F" w14:textId="77777777" w:rsidR="00F61282" w:rsidRPr="00E90B70" w:rsidRDefault="00F61282" w:rsidP="00F61282">
            <w:pPr>
              <w:rPr>
                <w:sz w:val="18"/>
                <w:szCs w:val="18"/>
              </w:rPr>
            </w:pPr>
          </w:p>
        </w:tc>
        <w:tc>
          <w:tcPr>
            <w:tcW w:w="2251" w:type="dxa"/>
            <w:vMerge/>
          </w:tcPr>
          <w:p w14:paraId="711549C1" w14:textId="77777777" w:rsidR="00F61282" w:rsidRPr="00E90B70" w:rsidRDefault="00F61282" w:rsidP="00F61282">
            <w:pPr>
              <w:rPr>
                <w:sz w:val="18"/>
                <w:szCs w:val="18"/>
              </w:rPr>
            </w:pPr>
          </w:p>
        </w:tc>
        <w:tc>
          <w:tcPr>
            <w:tcW w:w="1701" w:type="dxa"/>
            <w:vMerge/>
          </w:tcPr>
          <w:p w14:paraId="58BB6759" w14:textId="77777777" w:rsidR="00F61282" w:rsidRDefault="00F61282" w:rsidP="00F61282">
            <w:pPr>
              <w:rPr>
                <w:sz w:val="18"/>
                <w:szCs w:val="18"/>
              </w:rPr>
            </w:pPr>
          </w:p>
        </w:tc>
        <w:tc>
          <w:tcPr>
            <w:tcW w:w="1965" w:type="dxa"/>
            <w:shd w:val="clear" w:color="auto" w:fill="D9D9D9" w:themeFill="background1" w:themeFillShade="D9"/>
          </w:tcPr>
          <w:p w14:paraId="2878B373" w14:textId="77777777" w:rsidR="00F61282" w:rsidRPr="002F330C" w:rsidRDefault="00F61282" w:rsidP="00F61282">
            <w:pPr>
              <w:ind w:left="0"/>
              <w:rPr>
                <w:sz w:val="18"/>
                <w:szCs w:val="18"/>
              </w:rPr>
            </w:pPr>
            <w:r w:rsidRPr="002F330C">
              <w:rPr>
                <w:sz w:val="18"/>
                <w:szCs w:val="18"/>
              </w:rPr>
              <w:t>Potassium, mg</w:t>
            </w:r>
          </w:p>
        </w:tc>
        <w:tc>
          <w:tcPr>
            <w:tcW w:w="1051" w:type="dxa"/>
            <w:shd w:val="clear" w:color="auto" w:fill="D9D9D9" w:themeFill="background1" w:themeFillShade="D9"/>
          </w:tcPr>
          <w:p w14:paraId="39890EC1" w14:textId="77777777" w:rsidR="00F61282" w:rsidRPr="002F330C" w:rsidRDefault="00F61282" w:rsidP="00F61282">
            <w:pPr>
              <w:ind w:left="0"/>
              <w:jc w:val="center"/>
              <w:rPr>
                <w:sz w:val="18"/>
                <w:szCs w:val="18"/>
              </w:rPr>
            </w:pPr>
            <w:r w:rsidRPr="002F330C">
              <w:rPr>
                <w:sz w:val="18"/>
                <w:szCs w:val="18"/>
              </w:rPr>
              <w:t>1436</w:t>
            </w:r>
          </w:p>
        </w:tc>
        <w:tc>
          <w:tcPr>
            <w:tcW w:w="1169" w:type="dxa"/>
            <w:shd w:val="clear" w:color="auto" w:fill="D9D9D9" w:themeFill="background1" w:themeFillShade="D9"/>
          </w:tcPr>
          <w:p w14:paraId="5A07E2FF" w14:textId="77777777" w:rsidR="00F61282" w:rsidRPr="002F330C" w:rsidRDefault="00F61282" w:rsidP="00F61282">
            <w:pPr>
              <w:ind w:left="0"/>
              <w:jc w:val="center"/>
              <w:rPr>
                <w:sz w:val="18"/>
                <w:szCs w:val="18"/>
              </w:rPr>
            </w:pPr>
            <w:r w:rsidRPr="002F330C">
              <w:rPr>
                <w:sz w:val="18"/>
                <w:szCs w:val="18"/>
              </w:rPr>
              <w:t>2645</w:t>
            </w:r>
          </w:p>
        </w:tc>
        <w:tc>
          <w:tcPr>
            <w:tcW w:w="1564" w:type="dxa"/>
            <w:tcBorders>
              <w:right w:val="single" w:sz="4" w:space="0" w:color="auto"/>
            </w:tcBorders>
            <w:shd w:val="clear" w:color="auto" w:fill="D9D9D9" w:themeFill="background1" w:themeFillShade="D9"/>
          </w:tcPr>
          <w:p w14:paraId="7B9C2527" w14:textId="77777777" w:rsidR="00F61282" w:rsidRPr="002F330C" w:rsidRDefault="00F61282" w:rsidP="00F61282">
            <w:pPr>
              <w:ind w:left="0"/>
              <w:jc w:val="center"/>
              <w:rPr>
                <w:sz w:val="18"/>
                <w:szCs w:val="18"/>
              </w:rPr>
            </w:pPr>
            <w:r w:rsidRPr="002F330C">
              <w:rPr>
                <w:sz w:val="18"/>
                <w:szCs w:val="18"/>
              </w:rPr>
              <w:t>84</w:t>
            </w:r>
          </w:p>
        </w:tc>
      </w:tr>
      <w:tr w:rsidR="00F61282" w:rsidRPr="002F330C" w14:paraId="73949B1B" w14:textId="77777777" w:rsidTr="00F61282">
        <w:trPr>
          <w:trHeight w:val="170"/>
        </w:trPr>
        <w:tc>
          <w:tcPr>
            <w:tcW w:w="1806" w:type="dxa"/>
            <w:vMerge/>
            <w:tcBorders>
              <w:left w:val="single" w:sz="4" w:space="0" w:color="auto"/>
              <w:bottom w:val="single" w:sz="4" w:space="0" w:color="auto"/>
            </w:tcBorders>
          </w:tcPr>
          <w:p w14:paraId="2C4C9A81" w14:textId="77777777" w:rsidR="00F61282" w:rsidRPr="00E90B70" w:rsidRDefault="00F61282" w:rsidP="00F61282">
            <w:pPr>
              <w:rPr>
                <w:sz w:val="18"/>
                <w:szCs w:val="18"/>
              </w:rPr>
            </w:pPr>
          </w:p>
        </w:tc>
        <w:tc>
          <w:tcPr>
            <w:tcW w:w="1556" w:type="dxa"/>
            <w:vMerge/>
            <w:tcBorders>
              <w:bottom w:val="single" w:sz="4" w:space="0" w:color="auto"/>
            </w:tcBorders>
          </w:tcPr>
          <w:p w14:paraId="11D00176" w14:textId="77777777" w:rsidR="00F61282" w:rsidRPr="00E90B70" w:rsidRDefault="00F61282" w:rsidP="00F61282">
            <w:pPr>
              <w:rPr>
                <w:sz w:val="18"/>
                <w:szCs w:val="18"/>
              </w:rPr>
            </w:pPr>
          </w:p>
        </w:tc>
        <w:tc>
          <w:tcPr>
            <w:tcW w:w="2251" w:type="dxa"/>
            <w:vMerge/>
            <w:tcBorders>
              <w:bottom w:val="single" w:sz="4" w:space="0" w:color="auto"/>
            </w:tcBorders>
          </w:tcPr>
          <w:p w14:paraId="73D4C0FD" w14:textId="77777777" w:rsidR="00F61282" w:rsidRPr="00E90B70" w:rsidRDefault="00F61282" w:rsidP="00F61282">
            <w:pPr>
              <w:rPr>
                <w:sz w:val="18"/>
                <w:szCs w:val="18"/>
              </w:rPr>
            </w:pPr>
          </w:p>
        </w:tc>
        <w:tc>
          <w:tcPr>
            <w:tcW w:w="1701" w:type="dxa"/>
            <w:vMerge/>
            <w:tcBorders>
              <w:bottom w:val="single" w:sz="4" w:space="0" w:color="auto"/>
            </w:tcBorders>
          </w:tcPr>
          <w:p w14:paraId="43FCA1CC" w14:textId="77777777" w:rsidR="00F61282" w:rsidRDefault="00F61282" w:rsidP="00F61282">
            <w:pPr>
              <w:rPr>
                <w:sz w:val="18"/>
                <w:szCs w:val="18"/>
              </w:rPr>
            </w:pPr>
          </w:p>
        </w:tc>
        <w:tc>
          <w:tcPr>
            <w:tcW w:w="1965" w:type="dxa"/>
            <w:tcBorders>
              <w:bottom w:val="single" w:sz="4" w:space="0" w:color="auto"/>
            </w:tcBorders>
          </w:tcPr>
          <w:p w14:paraId="4DD7DA90" w14:textId="77777777" w:rsidR="00F61282" w:rsidRPr="002F330C" w:rsidRDefault="00F61282" w:rsidP="00F61282">
            <w:pPr>
              <w:ind w:left="0"/>
              <w:rPr>
                <w:sz w:val="18"/>
                <w:szCs w:val="18"/>
              </w:rPr>
            </w:pPr>
            <w:r w:rsidRPr="002F330C">
              <w:rPr>
                <w:sz w:val="18"/>
                <w:szCs w:val="18"/>
              </w:rPr>
              <w:t>Zinc, mg</w:t>
            </w:r>
          </w:p>
        </w:tc>
        <w:tc>
          <w:tcPr>
            <w:tcW w:w="1051" w:type="dxa"/>
            <w:tcBorders>
              <w:bottom w:val="single" w:sz="4" w:space="0" w:color="auto"/>
            </w:tcBorders>
          </w:tcPr>
          <w:p w14:paraId="6CE89CC7" w14:textId="77777777" w:rsidR="00F61282" w:rsidRPr="002F330C" w:rsidRDefault="00F61282" w:rsidP="00F61282">
            <w:pPr>
              <w:ind w:left="0"/>
              <w:jc w:val="center"/>
              <w:rPr>
                <w:sz w:val="18"/>
                <w:szCs w:val="18"/>
              </w:rPr>
            </w:pPr>
            <w:r w:rsidRPr="002F330C">
              <w:rPr>
                <w:sz w:val="18"/>
                <w:szCs w:val="18"/>
              </w:rPr>
              <w:t>11</w:t>
            </w:r>
          </w:p>
        </w:tc>
        <w:tc>
          <w:tcPr>
            <w:tcW w:w="1169" w:type="dxa"/>
            <w:tcBorders>
              <w:bottom w:val="single" w:sz="4" w:space="0" w:color="auto"/>
            </w:tcBorders>
          </w:tcPr>
          <w:p w14:paraId="32D36FA9" w14:textId="77777777" w:rsidR="00F61282" w:rsidRPr="002F330C" w:rsidRDefault="00F61282" w:rsidP="00F61282">
            <w:pPr>
              <w:ind w:left="0"/>
              <w:jc w:val="center"/>
              <w:rPr>
                <w:sz w:val="18"/>
                <w:szCs w:val="18"/>
              </w:rPr>
            </w:pPr>
            <w:r w:rsidRPr="002F330C">
              <w:rPr>
                <w:sz w:val="18"/>
                <w:szCs w:val="18"/>
              </w:rPr>
              <w:t>19</w:t>
            </w:r>
          </w:p>
        </w:tc>
        <w:tc>
          <w:tcPr>
            <w:tcW w:w="1564" w:type="dxa"/>
            <w:tcBorders>
              <w:bottom w:val="single" w:sz="4" w:space="0" w:color="auto"/>
              <w:right w:val="single" w:sz="4" w:space="0" w:color="auto"/>
            </w:tcBorders>
          </w:tcPr>
          <w:p w14:paraId="746F797D" w14:textId="77777777" w:rsidR="00F61282" w:rsidRPr="002F330C" w:rsidRDefault="00F61282" w:rsidP="00F61282">
            <w:pPr>
              <w:ind w:left="0"/>
              <w:jc w:val="center"/>
              <w:rPr>
                <w:sz w:val="18"/>
                <w:szCs w:val="18"/>
              </w:rPr>
            </w:pPr>
            <w:r w:rsidRPr="002F330C">
              <w:rPr>
                <w:sz w:val="18"/>
                <w:szCs w:val="18"/>
              </w:rPr>
              <w:t>72</w:t>
            </w:r>
          </w:p>
        </w:tc>
      </w:tr>
      <w:tr w:rsidR="00224BBA" w:rsidRPr="0052124B" w14:paraId="25319093" w14:textId="77777777" w:rsidTr="00F61282">
        <w:trPr>
          <w:trHeight w:val="170"/>
        </w:trPr>
        <w:tc>
          <w:tcPr>
            <w:tcW w:w="1806" w:type="dxa"/>
            <w:tcBorders>
              <w:top w:val="single" w:sz="4" w:space="0" w:color="auto"/>
              <w:left w:val="single" w:sz="4" w:space="0" w:color="auto"/>
            </w:tcBorders>
            <w:shd w:val="clear" w:color="auto" w:fill="D9D9D9" w:themeFill="background1" w:themeFillShade="D9"/>
          </w:tcPr>
          <w:p w14:paraId="56D0A660" w14:textId="22A7CF01" w:rsidR="00224BBA" w:rsidRPr="00610F7F" w:rsidRDefault="00224BBA" w:rsidP="00224BBA">
            <w:pPr>
              <w:ind w:left="0"/>
              <w:rPr>
                <w:color w:val="000000" w:themeColor="text1"/>
                <w:sz w:val="18"/>
                <w:szCs w:val="18"/>
              </w:rPr>
            </w:pPr>
            <w:r w:rsidRPr="00610F7F">
              <w:rPr>
                <w:color w:val="000000" w:themeColor="text1"/>
                <w:sz w:val="18"/>
                <w:szCs w:val="18"/>
              </w:rPr>
              <w:t xml:space="preserve">D’Souza &amp; Tandon (2015) </w:t>
            </w:r>
            <w:r w:rsidR="00610F7F">
              <w:rPr>
                <w:color w:val="000000" w:themeColor="text1"/>
                <w:sz w:val="18"/>
                <w:szCs w:val="18"/>
              </w:rPr>
              <w:fldChar w:fldCharType="begin" w:fldLock="1"/>
            </w:r>
            <w:r w:rsidR="005B0D26">
              <w:rPr>
                <w:color w:val="000000" w:themeColor="text1"/>
                <w:sz w:val="18"/>
                <w:szCs w:val="18"/>
              </w:rPr>
              <w:instrText>ADDIN CSL_CITATION {"citationItems":[{"id":"ITEM-1","itemData":{"DOI":"10.1086/698311","ISSN":"00130079","abstract":"I. Introduction Despite substantial improvements in nutrition and health over the past few decades, high levels of undernourishment and malnourishment persist in Bangladesh (Headey et al. 2015). Inequities in household consumption are particularly important to policymakers and researchers. Although undernourishment is a characteristic of the individual, much of its measurement has centered on national-level and, more recently, household-level statistics (FAO 2013; Rosen et al. 2014). The absence of individual-level food consumption data necessitates the identification of undernourished and food-insecure populations using aggregate data (i.e., household or national). These types of assessments have difficulty in precisely estimating how total available calories are distributed across individuals and subsequently can provide misleading assessments of undernourishment (Barrett 2010). In particular, assessments based on household-level consumption data make strict assumptions about the division of calories within a household such that all members share the same food security classification. Such assumptions can make it difficult to effectively target aid programs at populations that most need assistance. In this article, we use data from the Bangladesh Integrated Household Survey (BIHS) to explore the intrahousehold allocation of food. First, we examine potential inequities in consumption between household members. Second, we examine how inequities in consumption are related to household characteristics, such as women’s empowerment and economic well-being.","author":[{"dropping-particle":"","family":"D’Souza","given":"Anna","non-dropping-particle":"","parse-names":false,"suffix":""},{"dropping-particle":"","family":"Tandon","given":"Sharad","non-dropping-particle":"","parse-names":false,"suffix":""}],"container-title":"ERR-190","id":"ITEM-1","issued":{"date-parts":[["2015"]]},"publisher-place":"Washington, D.C.","title":"Using Household and Intrahousehold Data To Assess Food Insecurity: Evidence From Bangladesh","type":"report"},"uris":["http://www.mendeley.com/documents/?uuid=7c9327fb-d670-437f-adc0-b9ca1009cab3"]}],"mendeley":{"formattedCitation":"&lt;sup&gt;(10)&lt;/sup&gt;","plainTextFormattedCitation":"(10)","previouslyFormattedCitation":"[10]"},"properties":{"noteIndex":0},"schema":"https://github.com/citation-style-language/schema/raw/master/csl-citation.json"}</w:instrText>
            </w:r>
            <w:r w:rsidR="00610F7F">
              <w:rPr>
                <w:color w:val="000000" w:themeColor="text1"/>
                <w:sz w:val="18"/>
                <w:szCs w:val="18"/>
              </w:rPr>
              <w:fldChar w:fldCharType="separate"/>
            </w:r>
            <w:r w:rsidR="005B0D26" w:rsidRPr="005B0D26">
              <w:rPr>
                <w:noProof/>
                <w:color w:val="000000" w:themeColor="text1"/>
                <w:sz w:val="18"/>
                <w:szCs w:val="18"/>
                <w:vertAlign w:val="superscript"/>
              </w:rPr>
              <w:t>(10)</w:t>
            </w:r>
            <w:r w:rsidR="00610F7F">
              <w:rPr>
                <w:color w:val="000000" w:themeColor="text1"/>
                <w:sz w:val="18"/>
                <w:szCs w:val="18"/>
              </w:rPr>
              <w:fldChar w:fldCharType="end"/>
            </w:r>
            <w:r w:rsidRPr="00610F7F">
              <w:rPr>
                <w:color w:val="000000" w:themeColor="text1"/>
                <w:sz w:val="18"/>
                <w:szCs w:val="18"/>
              </w:rPr>
              <w:t>;</w:t>
            </w:r>
          </w:p>
          <w:p w14:paraId="1D8BA47E" w14:textId="77777777" w:rsidR="00224BBA" w:rsidRPr="00610F7F" w:rsidRDefault="00224BBA" w:rsidP="00224BBA">
            <w:pPr>
              <w:ind w:left="0"/>
              <w:rPr>
                <w:color w:val="000000" w:themeColor="text1"/>
                <w:sz w:val="18"/>
                <w:szCs w:val="18"/>
              </w:rPr>
            </w:pPr>
            <w:proofErr w:type="gramStart"/>
            <w:r w:rsidRPr="00610F7F">
              <w:rPr>
                <w:color w:val="000000" w:themeColor="text1"/>
                <w:sz w:val="18"/>
                <w:szCs w:val="18"/>
              </w:rPr>
              <w:t>Bangladesh;</w:t>
            </w:r>
            <w:proofErr w:type="gramEnd"/>
          </w:p>
          <w:p w14:paraId="5E4ECE3C" w14:textId="113233AB" w:rsidR="00224BBA" w:rsidRPr="00610F7F" w:rsidRDefault="00224BBA" w:rsidP="00224BBA">
            <w:pPr>
              <w:ind w:left="0"/>
              <w:rPr>
                <w:color w:val="000000" w:themeColor="text1"/>
                <w:sz w:val="18"/>
                <w:szCs w:val="18"/>
              </w:rPr>
            </w:pPr>
            <w:r w:rsidRPr="00610F7F">
              <w:rPr>
                <w:color w:val="000000" w:themeColor="text1"/>
                <w:sz w:val="18"/>
                <w:szCs w:val="18"/>
              </w:rPr>
              <w:t>means</w:t>
            </w:r>
          </w:p>
        </w:tc>
        <w:tc>
          <w:tcPr>
            <w:tcW w:w="1556" w:type="dxa"/>
            <w:tcBorders>
              <w:top w:val="single" w:sz="4" w:space="0" w:color="auto"/>
            </w:tcBorders>
            <w:shd w:val="clear" w:color="auto" w:fill="D9D9D9" w:themeFill="background1" w:themeFillShade="D9"/>
          </w:tcPr>
          <w:p w14:paraId="4DF4DBF2" w14:textId="77777777" w:rsidR="00224BBA" w:rsidRPr="00610F7F" w:rsidRDefault="00224BBA" w:rsidP="00224BBA">
            <w:pPr>
              <w:ind w:left="0"/>
              <w:rPr>
                <w:color w:val="000000" w:themeColor="text1"/>
                <w:sz w:val="18"/>
                <w:szCs w:val="18"/>
              </w:rPr>
            </w:pPr>
            <w:r w:rsidRPr="00610F7F">
              <w:rPr>
                <w:color w:val="000000" w:themeColor="text1"/>
                <w:sz w:val="18"/>
                <w:szCs w:val="18"/>
              </w:rPr>
              <w:t>24H recall of household meals and proportions consumed by individuals</w:t>
            </w:r>
          </w:p>
          <w:p w14:paraId="104AB7FB" w14:textId="45A6AEED" w:rsidR="00224BBA" w:rsidRPr="00610F7F" w:rsidRDefault="00224BBA" w:rsidP="00224BBA">
            <w:pPr>
              <w:ind w:left="0"/>
              <w:rPr>
                <w:color w:val="000000" w:themeColor="text1"/>
                <w:sz w:val="18"/>
                <w:szCs w:val="18"/>
              </w:rPr>
            </w:pPr>
            <w:r w:rsidRPr="00610F7F">
              <w:rPr>
                <w:color w:val="000000" w:themeColor="text1"/>
                <w:sz w:val="18"/>
                <w:szCs w:val="18"/>
              </w:rPr>
              <w:t>(N=21,795)</w:t>
            </w:r>
          </w:p>
        </w:tc>
        <w:tc>
          <w:tcPr>
            <w:tcW w:w="2251" w:type="dxa"/>
            <w:tcBorders>
              <w:top w:val="single" w:sz="4" w:space="0" w:color="auto"/>
            </w:tcBorders>
            <w:shd w:val="clear" w:color="auto" w:fill="D9D9D9" w:themeFill="background1" w:themeFillShade="D9"/>
          </w:tcPr>
          <w:p w14:paraId="26919609" w14:textId="77777777" w:rsidR="00224BBA" w:rsidRPr="00610F7F" w:rsidRDefault="00224BBA" w:rsidP="00224BBA">
            <w:pPr>
              <w:ind w:left="0"/>
              <w:rPr>
                <w:color w:val="000000" w:themeColor="text1"/>
                <w:sz w:val="18"/>
                <w:szCs w:val="18"/>
              </w:rPr>
            </w:pPr>
            <w:r w:rsidRPr="00610F7F">
              <w:rPr>
                <w:color w:val="000000" w:themeColor="text1"/>
                <w:sz w:val="18"/>
                <w:szCs w:val="18"/>
              </w:rPr>
              <w:t>7-day recall of household meals</w:t>
            </w:r>
          </w:p>
          <w:p w14:paraId="1D80C60B" w14:textId="3A35AC3D" w:rsidR="00224BBA" w:rsidRPr="00610F7F" w:rsidRDefault="00224BBA" w:rsidP="00224BBA">
            <w:pPr>
              <w:ind w:left="0"/>
              <w:rPr>
                <w:color w:val="000000" w:themeColor="text1"/>
                <w:sz w:val="18"/>
                <w:szCs w:val="18"/>
              </w:rPr>
            </w:pPr>
            <w:r w:rsidRPr="00610F7F">
              <w:rPr>
                <w:color w:val="000000" w:themeColor="text1"/>
                <w:sz w:val="18"/>
                <w:szCs w:val="18"/>
              </w:rPr>
              <w:t>(n=5319)</w:t>
            </w:r>
          </w:p>
        </w:tc>
        <w:tc>
          <w:tcPr>
            <w:tcW w:w="1701" w:type="dxa"/>
            <w:tcBorders>
              <w:top w:val="single" w:sz="4" w:space="0" w:color="auto"/>
            </w:tcBorders>
            <w:shd w:val="clear" w:color="auto" w:fill="D9D9D9" w:themeFill="background1" w:themeFillShade="D9"/>
          </w:tcPr>
          <w:p w14:paraId="381D7940" w14:textId="77777777" w:rsidR="00224BBA" w:rsidRPr="00610F7F" w:rsidRDefault="00224BBA" w:rsidP="00224BBA">
            <w:pPr>
              <w:ind w:left="0"/>
              <w:rPr>
                <w:color w:val="000000" w:themeColor="text1"/>
                <w:sz w:val="18"/>
                <w:szCs w:val="18"/>
              </w:rPr>
            </w:pPr>
            <w:r w:rsidRPr="00610F7F">
              <w:rPr>
                <w:color w:val="000000" w:themeColor="text1"/>
                <w:sz w:val="18"/>
                <w:szCs w:val="18"/>
              </w:rPr>
              <w:t>Total population</w:t>
            </w:r>
          </w:p>
          <w:p w14:paraId="703A4DC3" w14:textId="5DC164F7" w:rsidR="00224BBA" w:rsidRPr="00610F7F" w:rsidRDefault="00224BBA" w:rsidP="00224BBA">
            <w:pPr>
              <w:ind w:left="0"/>
              <w:rPr>
                <w:color w:val="000000" w:themeColor="text1"/>
                <w:sz w:val="18"/>
                <w:szCs w:val="18"/>
              </w:rPr>
            </w:pPr>
            <w:r w:rsidRPr="00610F7F">
              <w:rPr>
                <w:color w:val="000000" w:themeColor="text1"/>
                <w:sz w:val="18"/>
                <w:szCs w:val="18"/>
              </w:rPr>
              <w:t>(n=21,795)</w:t>
            </w:r>
          </w:p>
        </w:tc>
        <w:tc>
          <w:tcPr>
            <w:tcW w:w="1965" w:type="dxa"/>
            <w:tcBorders>
              <w:top w:val="single" w:sz="4" w:space="0" w:color="auto"/>
            </w:tcBorders>
            <w:shd w:val="clear" w:color="auto" w:fill="D9D9D9" w:themeFill="background1" w:themeFillShade="D9"/>
          </w:tcPr>
          <w:p w14:paraId="07C633C5" w14:textId="5F4B33F7" w:rsidR="00224BBA" w:rsidRPr="00610F7F" w:rsidRDefault="00224BBA" w:rsidP="00224BBA">
            <w:pPr>
              <w:ind w:left="0"/>
              <w:rPr>
                <w:color w:val="000000" w:themeColor="text1"/>
                <w:sz w:val="18"/>
                <w:szCs w:val="18"/>
              </w:rPr>
            </w:pPr>
            <w:r w:rsidRPr="00610F7F">
              <w:rPr>
                <w:color w:val="000000" w:themeColor="text1"/>
                <w:sz w:val="18"/>
                <w:szCs w:val="18"/>
              </w:rPr>
              <w:t>Energy, kcal</w:t>
            </w:r>
          </w:p>
        </w:tc>
        <w:tc>
          <w:tcPr>
            <w:tcW w:w="1051" w:type="dxa"/>
            <w:tcBorders>
              <w:top w:val="single" w:sz="4" w:space="0" w:color="auto"/>
            </w:tcBorders>
            <w:shd w:val="clear" w:color="auto" w:fill="D9D9D9" w:themeFill="background1" w:themeFillShade="D9"/>
          </w:tcPr>
          <w:p w14:paraId="59BCBED8" w14:textId="63157B92" w:rsidR="00224BBA" w:rsidRPr="00610F7F" w:rsidRDefault="00224BBA" w:rsidP="00224BBA">
            <w:pPr>
              <w:ind w:left="0"/>
              <w:jc w:val="center"/>
              <w:rPr>
                <w:color w:val="000000" w:themeColor="text1"/>
                <w:sz w:val="18"/>
                <w:szCs w:val="18"/>
              </w:rPr>
            </w:pPr>
            <w:r w:rsidRPr="00610F7F">
              <w:rPr>
                <w:color w:val="000000" w:themeColor="text1"/>
                <w:sz w:val="18"/>
                <w:szCs w:val="18"/>
              </w:rPr>
              <w:t>2436</w:t>
            </w:r>
          </w:p>
        </w:tc>
        <w:tc>
          <w:tcPr>
            <w:tcW w:w="1169" w:type="dxa"/>
            <w:tcBorders>
              <w:top w:val="single" w:sz="4" w:space="0" w:color="auto"/>
            </w:tcBorders>
            <w:shd w:val="clear" w:color="auto" w:fill="D9D9D9" w:themeFill="background1" w:themeFillShade="D9"/>
          </w:tcPr>
          <w:p w14:paraId="38F239BD" w14:textId="4A327F02" w:rsidR="00224BBA" w:rsidRPr="00610F7F" w:rsidRDefault="00224BBA" w:rsidP="00224BBA">
            <w:pPr>
              <w:ind w:left="0"/>
              <w:jc w:val="center"/>
              <w:rPr>
                <w:color w:val="000000" w:themeColor="text1"/>
                <w:sz w:val="18"/>
                <w:szCs w:val="18"/>
              </w:rPr>
            </w:pPr>
            <w:r w:rsidRPr="00610F7F">
              <w:rPr>
                <w:color w:val="000000" w:themeColor="text1"/>
                <w:sz w:val="18"/>
                <w:szCs w:val="18"/>
              </w:rPr>
              <w:t>2718</w:t>
            </w:r>
          </w:p>
        </w:tc>
        <w:tc>
          <w:tcPr>
            <w:tcW w:w="1564" w:type="dxa"/>
            <w:tcBorders>
              <w:top w:val="single" w:sz="4" w:space="0" w:color="auto"/>
              <w:right w:val="single" w:sz="4" w:space="0" w:color="auto"/>
            </w:tcBorders>
            <w:shd w:val="clear" w:color="auto" w:fill="D9D9D9" w:themeFill="background1" w:themeFillShade="D9"/>
          </w:tcPr>
          <w:p w14:paraId="3F9DD643" w14:textId="0E3F49F2" w:rsidR="00224BBA" w:rsidRPr="00610F7F" w:rsidRDefault="00224BBA" w:rsidP="00224BBA">
            <w:pPr>
              <w:ind w:left="0"/>
              <w:jc w:val="center"/>
              <w:rPr>
                <w:color w:val="000000" w:themeColor="text1"/>
                <w:sz w:val="18"/>
                <w:szCs w:val="18"/>
              </w:rPr>
            </w:pPr>
            <w:r w:rsidRPr="00610F7F">
              <w:rPr>
                <w:color w:val="000000" w:themeColor="text1"/>
                <w:sz w:val="18"/>
                <w:szCs w:val="18"/>
              </w:rPr>
              <w:t>12</w:t>
            </w:r>
          </w:p>
        </w:tc>
      </w:tr>
      <w:tr w:rsidR="00224BBA" w:rsidRPr="0052124B" w14:paraId="5F9E6989" w14:textId="77777777" w:rsidTr="00610F7F">
        <w:trPr>
          <w:trHeight w:val="170"/>
        </w:trPr>
        <w:tc>
          <w:tcPr>
            <w:tcW w:w="1806" w:type="dxa"/>
            <w:vMerge w:val="restart"/>
            <w:tcBorders>
              <w:top w:val="single" w:sz="4" w:space="0" w:color="auto"/>
              <w:left w:val="single" w:sz="4" w:space="0" w:color="auto"/>
            </w:tcBorders>
            <w:shd w:val="clear" w:color="auto" w:fill="FFFFFF" w:themeFill="background1"/>
          </w:tcPr>
          <w:p w14:paraId="270F4DD3" w14:textId="18D4DA6B" w:rsidR="00224BBA" w:rsidRPr="007D4C7E" w:rsidRDefault="00224BBA" w:rsidP="00224BBA">
            <w:pPr>
              <w:ind w:left="0"/>
              <w:rPr>
                <w:sz w:val="18"/>
                <w:szCs w:val="18"/>
                <w:lang w:val="fr-FR"/>
              </w:rPr>
            </w:pPr>
            <w:proofErr w:type="spellStart"/>
            <w:r w:rsidRPr="007D4C7E">
              <w:rPr>
                <w:sz w:val="18"/>
                <w:szCs w:val="18"/>
                <w:lang w:val="fr-FR"/>
              </w:rPr>
              <w:t>Karageorgou</w:t>
            </w:r>
            <w:proofErr w:type="spellEnd"/>
            <w:r w:rsidRPr="007D4C7E">
              <w:rPr>
                <w:sz w:val="18"/>
                <w:szCs w:val="18"/>
                <w:lang w:val="fr-FR"/>
              </w:rPr>
              <w:t xml:space="preserve"> </w:t>
            </w:r>
            <w:r w:rsidRPr="007D4C7E">
              <w:rPr>
                <w:i/>
                <w:iCs/>
                <w:sz w:val="18"/>
                <w:szCs w:val="18"/>
                <w:lang w:val="fr-FR"/>
              </w:rPr>
              <w:t>et al.</w:t>
            </w:r>
            <w:r w:rsidRPr="007D4C7E">
              <w:rPr>
                <w:sz w:val="18"/>
                <w:szCs w:val="18"/>
                <w:lang w:val="fr-FR"/>
              </w:rPr>
              <w:t xml:space="preserve"> (2018) </w:t>
            </w:r>
            <w:r>
              <w:rPr>
                <w:sz w:val="18"/>
                <w:szCs w:val="18"/>
              </w:rPr>
              <w:fldChar w:fldCharType="begin" w:fldLock="1"/>
            </w:r>
            <w:r w:rsidR="005B0D26">
              <w:rPr>
                <w:sz w:val="18"/>
                <w:szCs w:val="18"/>
                <w:lang w:val="fr-FR"/>
              </w:rPr>
              <w:instrText>ADDIN CSL_CITATION {"citationItems":[{"id":"ITEM-1","itemData":{"DOI":"10.1371/journal.pone.0202831","ISSN":"19326203","PMID":"30148863","abstract":"Background Accurate national information on dietary intakes, including heterogeneity among individuals, is critical to inform health implications and policy priorities. In low- and middle-income countries, household expenditure surveys constitute the major source of food data, but with uncertain validity for individual-level intakes. Objective To investigate how individualized dietary consumption estimated from household survey data compared with individual-level 24-hr dietary recalls (24hR); and to assess potential heterogeneity by method for individualizing household intakes, dietary indicator, and individual characteristics (age, sex, education, religion, household income). Methods We evaluated data from the 2011–2012 Bangladesh Household Integrated Survey (BIHS), which included household-level consumption data (5,503 households) and individual-level dietary data based on 24hR from these households (22,173 participants). Household and 24hR estimates were standardized and harmonized for 33 dietary indicators, including 9 food groups, total energy, 8 macronutrients, and 15 micronutrients. Individual consumption was estimated from household data using two approaches, the Adult Male Equivalent (AME) and per capita (PC) approach. For each dietary indicator, differences in household vs. individual mean estimates were evaluated overall and by strata of individual characteristics, using Spearman’s correlations and univariate and multivariate linear regression models. Results Individualized household estimates overestimated individual intakes from 24hR for all dietary factors using either estimation method (P&lt;0.001 for each), except for starchy vegetables (AME: P = 0.15; PC: P = 0.85). For foods, overestimation ranged from 4% for seafood to about 240% for fruits, and for nutrients from 11% for carbohydrates and polyunsaturated fats to 55% for vitamin C, with similar overestimation for the AME and the PC method. By strata, overestimation was modestly higher in men vs. women, in children (0-10y) vs. adolescents (11-19y) and adults (20-44y, 45y), among adults of higher (6y) vs. lower (&lt;6y) education, in Muslims vs. other religions (Christians, Hindus), and for the lowest vs. all other income groups. This overestimation was notably higher in young children (0-5y) vs. all other age groups and in the lowest vs. all other income groups. Underestimation was rarely observed, for example for milk intake (-56%) in young children (0-5y). The PC approach did not capture h…","author":[{"dropping-particle":"","family":"Karageorgou","given":"Dimitra","non-dropping-particle":"","parse-names":false,"suffix":""},{"dropping-particle":"","family":"Imamura","given":"Fumiaki","non-dropping-particle":"","parse-names":false,"suffix":""},{"dropping-particle":"","family":"Zhang","given":"Jianyi","non-dropping-particle":"","parse-names":false,"suffix":""},{"dropping-particle":"","family":"Shi","given":"Peilin","non-dropping-particle":"","parse-names":false,"suffix":""},{"dropping-particle":"","family":"Mozaffarian","given":"Dariush","non-dropping-particle":"","parse-names":false,"suffix":""},{"dropping-particle":"","family":"Micha","given":"Renata","non-dropping-particle":"","parse-names":false,"suffix":""}],"container-title":"PLoS ONE","id":"ITEM-1","issue":"8","issued":{"date-parts":[["2018"]]},"page":"e0202831","title":"Assessing dietary intakes from household budget surveys: A national analysis in Bangladesh","type":"article-journal","volume":"13"},"uris":["http://www.mendeley.com/documents/?uuid=96cd3f0b-0820-470e-b1cc-7eee30fa5259"]}],"mendeley":{"formattedCitation":"&lt;sup&gt;(38)&lt;/sup&gt;","plainTextFormattedCitation":"(38)","previouslyFormattedCitation":"[38]"},"properties":{"noteIndex":0},"schema":"https://github.com/citation-style-language/schema/raw/master/csl-citation.json"}</w:instrText>
            </w:r>
            <w:r>
              <w:rPr>
                <w:sz w:val="18"/>
                <w:szCs w:val="18"/>
              </w:rPr>
              <w:fldChar w:fldCharType="separate"/>
            </w:r>
            <w:r w:rsidR="005B0D26" w:rsidRPr="005B0D26">
              <w:rPr>
                <w:noProof/>
                <w:sz w:val="18"/>
                <w:szCs w:val="18"/>
                <w:vertAlign w:val="superscript"/>
                <w:lang w:val="fr-FR"/>
              </w:rPr>
              <w:t>(38)</w:t>
            </w:r>
            <w:r>
              <w:rPr>
                <w:sz w:val="18"/>
                <w:szCs w:val="18"/>
              </w:rPr>
              <w:fldChar w:fldCharType="end"/>
            </w:r>
            <w:r w:rsidRPr="007D4C7E">
              <w:rPr>
                <w:sz w:val="18"/>
                <w:szCs w:val="18"/>
                <w:lang w:val="fr-FR"/>
              </w:rPr>
              <w:t>;</w:t>
            </w:r>
          </w:p>
          <w:p w14:paraId="11296A9A" w14:textId="77777777" w:rsidR="00224BBA" w:rsidRPr="007D4C7E" w:rsidRDefault="00224BBA" w:rsidP="00224BBA">
            <w:pPr>
              <w:ind w:left="0"/>
              <w:rPr>
                <w:sz w:val="18"/>
                <w:szCs w:val="18"/>
                <w:lang w:val="fr-FR"/>
              </w:rPr>
            </w:pPr>
            <w:proofErr w:type="gramStart"/>
            <w:r w:rsidRPr="007D4C7E">
              <w:rPr>
                <w:sz w:val="18"/>
                <w:szCs w:val="18"/>
                <w:lang w:val="fr-FR"/>
              </w:rPr>
              <w:t>Bangladesh;</w:t>
            </w:r>
            <w:proofErr w:type="gramEnd"/>
          </w:p>
          <w:p w14:paraId="7CEB4C57" w14:textId="77777777" w:rsidR="00224BBA" w:rsidRPr="007D4C7E" w:rsidRDefault="00224BBA" w:rsidP="00224BBA">
            <w:pPr>
              <w:ind w:left="0"/>
              <w:rPr>
                <w:sz w:val="18"/>
                <w:szCs w:val="18"/>
                <w:lang w:val="fr-FR"/>
              </w:rPr>
            </w:pPr>
            <w:proofErr w:type="spellStart"/>
            <w:proofErr w:type="gramStart"/>
            <w:r w:rsidRPr="007D4C7E">
              <w:rPr>
                <w:sz w:val="18"/>
                <w:szCs w:val="18"/>
                <w:lang w:val="fr-FR"/>
              </w:rPr>
              <w:t>means</w:t>
            </w:r>
            <w:proofErr w:type="spellEnd"/>
            <w:proofErr w:type="gramEnd"/>
          </w:p>
        </w:tc>
        <w:tc>
          <w:tcPr>
            <w:tcW w:w="1556" w:type="dxa"/>
            <w:vMerge w:val="restart"/>
            <w:tcBorders>
              <w:top w:val="single" w:sz="4" w:space="0" w:color="auto"/>
            </w:tcBorders>
            <w:shd w:val="clear" w:color="auto" w:fill="FFFFFF" w:themeFill="background1"/>
          </w:tcPr>
          <w:p w14:paraId="1B3B069B" w14:textId="77777777" w:rsidR="00224BBA" w:rsidRDefault="00224BBA" w:rsidP="00224BBA">
            <w:pPr>
              <w:ind w:left="0"/>
              <w:rPr>
                <w:sz w:val="18"/>
                <w:szCs w:val="18"/>
              </w:rPr>
            </w:pPr>
            <w:r w:rsidRPr="00E90B70">
              <w:rPr>
                <w:sz w:val="18"/>
                <w:szCs w:val="18"/>
              </w:rPr>
              <w:t>24H</w:t>
            </w:r>
            <w:r>
              <w:rPr>
                <w:sz w:val="18"/>
                <w:szCs w:val="18"/>
              </w:rPr>
              <w:t xml:space="preserve"> </w:t>
            </w:r>
            <w:r w:rsidRPr="00E90B70">
              <w:rPr>
                <w:sz w:val="18"/>
                <w:szCs w:val="18"/>
              </w:rPr>
              <w:t>recall</w:t>
            </w:r>
            <w:r>
              <w:rPr>
                <w:sz w:val="18"/>
                <w:szCs w:val="18"/>
              </w:rPr>
              <w:t xml:space="preserve"> of household meals and proportions consumed by individuals</w:t>
            </w:r>
          </w:p>
          <w:p w14:paraId="2CC9227D" w14:textId="42791F15" w:rsidR="00224BBA" w:rsidRPr="00E90B70" w:rsidRDefault="00224BBA" w:rsidP="00224BBA">
            <w:pPr>
              <w:ind w:left="0"/>
              <w:rPr>
                <w:sz w:val="18"/>
                <w:szCs w:val="18"/>
              </w:rPr>
            </w:pPr>
            <w:r>
              <w:rPr>
                <w:sz w:val="18"/>
                <w:szCs w:val="18"/>
              </w:rPr>
              <w:lastRenderedPageBreak/>
              <w:t>(N=22,173)</w:t>
            </w:r>
          </w:p>
        </w:tc>
        <w:tc>
          <w:tcPr>
            <w:tcW w:w="2251" w:type="dxa"/>
            <w:vMerge w:val="restart"/>
            <w:tcBorders>
              <w:top w:val="single" w:sz="4" w:space="0" w:color="auto"/>
            </w:tcBorders>
            <w:shd w:val="clear" w:color="auto" w:fill="FFFFFF" w:themeFill="background1"/>
          </w:tcPr>
          <w:p w14:paraId="0C7FF5E2" w14:textId="1E646E2D" w:rsidR="00224BBA" w:rsidRDefault="00224BBA" w:rsidP="00224BBA">
            <w:pPr>
              <w:ind w:left="0"/>
              <w:rPr>
                <w:sz w:val="18"/>
                <w:szCs w:val="18"/>
              </w:rPr>
            </w:pPr>
            <w:r>
              <w:rPr>
                <w:sz w:val="18"/>
                <w:szCs w:val="18"/>
              </w:rPr>
              <w:lastRenderedPageBreak/>
              <w:t>7-day recall of household meals</w:t>
            </w:r>
          </w:p>
          <w:p w14:paraId="2B62BF8B" w14:textId="24089773" w:rsidR="00224BBA" w:rsidRPr="00E90B70" w:rsidRDefault="00224BBA" w:rsidP="00224BBA">
            <w:pPr>
              <w:ind w:left="0"/>
              <w:rPr>
                <w:sz w:val="18"/>
                <w:szCs w:val="18"/>
              </w:rPr>
            </w:pPr>
            <w:r>
              <w:rPr>
                <w:sz w:val="18"/>
                <w:szCs w:val="18"/>
              </w:rPr>
              <w:t>(n=5503)</w:t>
            </w:r>
          </w:p>
        </w:tc>
        <w:tc>
          <w:tcPr>
            <w:tcW w:w="1701" w:type="dxa"/>
            <w:vMerge w:val="restart"/>
            <w:tcBorders>
              <w:top w:val="single" w:sz="4" w:space="0" w:color="auto"/>
            </w:tcBorders>
            <w:shd w:val="clear" w:color="auto" w:fill="FFFFFF" w:themeFill="background1"/>
          </w:tcPr>
          <w:p w14:paraId="065B1130" w14:textId="77777777" w:rsidR="00224BBA" w:rsidRDefault="00224BBA" w:rsidP="00224BBA">
            <w:pPr>
              <w:ind w:left="0"/>
              <w:rPr>
                <w:sz w:val="18"/>
                <w:szCs w:val="18"/>
              </w:rPr>
            </w:pPr>
            <w:r>
              <w:rPr>
                <w:sz w:val="18"/>
                <w:szCs w:val="18"/>
              </w:rPr>
              <w:t>Total population</w:t>
            </w:r>
          </w:p>
          <w:p w14:paraId="6EAF222C" w14:textId="77777777" w:rsidR="00224BBA" w:rsidRDefault="00224BBA" w:rsidP="00224BBA">
            <w:pPr>
              <w:ind w:left="0"/>
              <w:rPr>
                <w:sz w:val="18"/>
                <w:szCs w:val="18"/>
              </w:rPr>
            </w:pPr>
            <w:r>
              <w:rPr>
                <w:sz w:val="18"/>
                <w:szCs w:val="18"/>
              </w:rPr>
              <w:t>(n=22,173)</w:t>
            </w:r>
          </w:p>
        </w:tc>
        <w:tc>
          <w:tcPr>
            <w:tcW w:w="1965" w:type="dxa"/>
            <w:tcBorders>
              <w:top w:val="single" w:sz="4" w:space="0" w:color="auto"/>
            </w:tcBorders>
            <w:shd w:val="clear" w:color="auto" w:fill="FFFFFF" w:themeFill="background1"/>
          </w:tcPr>
          <w:p w14:paraId="4FBED39E" w14:textId="77777777" w:rsidR="00224BBA" w:rsidRPr="0052124B" w:rsidRDefault="00224BBA" w:rsidP="00224BBA">
            <w:pPr>
              <w:ind w:left="0"/>
              <w:rPr>
                <w:sz w:val="18"/>
                <w:szCs w:val="18"/>
              </w:rPr>
            </w:pPr>
            <w:r w:rsidRPr="0052124B">
              <w:rPr>
                <w:sz w:val="18"/>
                <w:szCs w:val="18"/>
              </w:rPr>
              <w:t>Energy, kcal</w:t>
            </w:r>
          </w:p>
        </w:tc>
        <w:tc>
          <w:tcPr>
            <w:tcW w:w="1051" w:type="dxa"/>
            <w:tcBorders>
              <w:top w:val="single" w:sz="4" w:space="0" w:color="auto"/>
            </w:tcBorders>
            <w:shd w:val="clear" w:color="auto" w:fill="FFFFFF" w:themeFill="background1"/>
          </w:tcPr>
          <w:p w14:paraId="66C921F2" w14:textId="77777777" w:rsidR="00224BBA" w:rsidRPr="0052124B" w:rsidRDefault="00224BBA" w:rsidP="00224BBA">
            <w:pPr>
              <w:ind w:left="0"/>
              <w:jc w:val="center"/>
              <w:rPr>
                <w:sz w:val="18"/>
                <w:szCs w:val="18"/>
              </w:rPr>
            </w:pPr>
            <w:r w:rsidRPr="0052124B">
              <w:rPr>
                <w:sz w:val="18"/>
                <w:szCs w:val="18"/>
              </w:rPr>
              <w:t>2065</w:t>
            </w:r>
          </w:p>
        </w:tc>
        <w:tc>
          <w:tcPr>
            <w:tcW w:w="1169" w:type="dxa"/>
            <w:tcBorders>
              <w:top w:val="single" w:sz="4" w:space="0" w:color="auto"/>
            </w:tcBorders>
            <w:shd w:val="clear" w:color="auto" w:fill="FFFFFF" w:themeFill="background1"/>
          </w:tcPr>
          <w:p w14:paraId="4D28410A" w14:textId="77777777" w:rsidR="00224BBA" w:rsidRPr="0052124B" w:rsidRDefault="00224BBA" w:rsidP="00224BBA">
            <w:pPr>
              <w:ind w:left="0"/>
              <w:jc w:val="center"/>
              <w:rPr>
                <w:sz w:val="18"/>
                <w:szCs w:val="18"/>
              </w:rPr>
            </w:pPr>
            <w:r w:rsidRPr="0052124B">
              <w:rPr>
                <w:sz w:val="18"/>
                <w:szCs w:val="18"/>
              </w:rPr>
              <w:t>2322</w:t>
            </w:r>
          </w:p>
        </w:tc>
        <w:tc>
          <w:tcPr>
            <w:tcW w:w="1564" w:type="dxa"/>
            <w:tcBorders>
              <w:top w:val="single" w:sz="4" w:space="0" w:color="auto"/>
              <w:right w:val="single" w:sz="4" w:space="0" w:color="auto"/>
            </w:tcBorders>
            <w:shd w:val="clear" w:color="auto" w:fill="FFFFFF" w:themeFill="background1"/>
          </w:tcPr>
          <w:p w14:paraId="1C540DB4" w14:textId="77777777" w:rsidR="00224BBA" w:rsidRPr="0052124B" w:rsidRDefault="00224BBA" w:rsidP="00224BBA">
            <w:pPr>
              <w:ind w:left="0"/>
              <w:jc w:val="center"/>
              <w:rPr>
                <w:sz w:val="18"/>
                <w:szCs w:val="18"/>
              </w:rPr>
            </w:pPr>
            <w:r w:rsidRPr="0052124B">
              <w:rPr>
                <w:sz w:val="18"/>
                <w:szCs w:val="18"/>
              </w:rPr>
              <w:t>12</w:t>
            </w:r>
          </w:p>
        </w:tc>
      </w:tr>
      <w:tr w:rsidR="00224BBA" w:rsidRPr="0052124B" w14:paraId="7D0E055E" w14:textId="77777777" w:rsidTr="00610F7F">
        <w:trPr>
          <w:trHeight w:val="215"/>
        </w:trPr>
        <w:tc>
          <w:tcPr>
            <w:tcW w:w="1806" w:type="dxa"/>
            <w:vMerge/>
            <w:tcBorders>
              <w:left w:val="single" w:sz="4" w:space="0" w:color="auto"/>
            </w:tcBorders>
            <w:shd w:val="clear" w:color="auto" w:fill="FFFFFF" w:themeFill="background1"/>
          </w:tcPr>
          <w:p w14:paraId="5B43A0FB" w14:textId="77777777" w:rsidR="00224BBA" w:rsidRPr="00E90B70" w:rsidRDefault="00224BBA" w:rsidP="00224BBA">
            <w:pPr>
              <w:rPr>
                <w:sz w:val="18"/>
                <w:szCs w:val="18"/>
              </w:rPr>
            </w:pPr>
          </w:p>
        </w:tc>
        <w:tc>
          <w:tcPr>
            <w:tcW w:w="1556" w:type="dxa"/>
            <w:vMerge/>
            <w:shd w:val="clear" w:color="auto" w:fill="FFFFFF" w:themeFill="background1"/>
          </w:tcPr>
          <w:p w14:paraId="4C83B2D2" w14:textId="77777777" w:rsidR="00224BBA" w:rsidRPr="00E90B70" w:rsidRDefault="00224BBA" w:rsidP="00224BBA">
            <w:pPr>
              <w:rPr>
                <w:sz w:val="18"/>
                <w:szCs w:val="18"/>
              </w:rPr>
            </w:pPr>
          </w:p>
        </w:tc>
        <w:tc>
          <w:tcPr>
            <w:tcW w:w="2251" w:type="dxa"/>
            <w:vMerge/>
            <w:shd w:val="clear" w:color="auto" w:fill="FFFFFF" w:themeFill="background1"/>
          </w:tcPr>
          <w:p w14:paraId="737002DE" w14:textId="77777777" w:rsidR="00224BBA" w:rsidRPr="00E90B70" w:rsidRDefault="00224BBA" w:rsidP="00224BBA">
            <w:pPr>
              <w:rPr>
                <w:sz w:val="18"/>
                <w:szCs w:val="18"/>
              </w:rPr>
            </w:pPr>
          </w:p>
        </w:tc>
        <w:tc>
          <w:tcPr>
            <w:tcW w:w="1701" w:type="dxa"/>
            <w:vMerge/>
            <w:shd w:val="clear" w:color="auto" w:fill="FFFFFF" w:themeFill="background1"/>
          </w:tcPr>
          <w:p w14:paraId="2B2B0406" w14:textId="77777777" w:rsidR="00224BBA" w:rsidRDefault="00224BBA" w:rsidP="00224BBA">
            <w:pPr>
              <w:rPr>
                <w:sz w:val="18"/>
                <w:szCs w:val="18"/>
              </w:rPr>
            </w:pPr>
          </w:p>
        </w:tc>
        <w:tc>
          <w:tcPr>
            <w:tcW w:w="1965" w:type="dxa"/>
            <w:shd w:val="clear" w:color="auto" w:fill="D9D9D9" w:themeFill="background1" w:themeFillShade="D9"/>
          </w:tcPr>
          <w:p w14:paraId="2C4619F2" w14:textId="77777777" w:rsidR="00224BBA" w:rsidRPr="0052124B" w:rsidRDefault="00224BBA" w:rsidP="00224BBA">
            <w:pPr>
              <w:ind w:left="0"/>
              <w:rPr>
                <w:sz w:val="18"/>
                <w:szCs w:val="18"/>
              </w:rPr>
            </w:pPr>
            <w:r w:rsidRPr="0052124B">
              <w:rPr>
                <w:sz w:val="18"/>
                <w:szCs w:val="18"/>
              </w:rPr>
              <w:t>Protein, g</w:t>
            </w:r>
          </w:p>
        </w:tc>
        <w:tc>
          <w:tcPr>
            <w:tcW w:w="1051" w:type="dxa"/>
            <w:shd w:val="clear" w:color="auto" w:fill="D9D9D9" w:themeFill="background1" w:themeFillShade="D9"/>
          </w:tcPr>
          <w:p w14:paraId="185E227F" w14:textId="77777777" w:rsidR="00224BBA" w:rsidRPr="0052124B" w:rsidRDefault="00224BBA" w:rsidP="00224BBA">
            <w:pPr>
              <w:ind w:left="0"/>
              <w:jc w:val="center"/>
              <w:rPr>
                <w:sz w:val="18"/>
                <w:szCs w:val="18"/>
              </w:rPr>
            </w:pPr>
            <w:r w:rsidRPr="0052124B">
              <w:rPr>
                <w:sz w:val="18"/>
                <w:szCs w:val="18"/>
              </w:rPr>
              <w:t>50</w:t>
            </w:r>
          </w:p>
        </w:tc>
        <w:tc>
          <w:tcPr>
            <w:tcW w:w="1169" w:type="dxa"/>
            <w:shd w:val="clear" w:color="auto" w:fill="D9D9D9" w:themeFill="background1" w:themeFillShade="D9"/>
          </w:tcPr>
          <w:p w14:paraId="6E5E23D9" w14:textId="77777777" w:rsidR="00224BBA" w:rsidRPr="0052124B" w:rsidRDefault="00224BBA" w:rsidP="00224BBA">
            <w:pPr>
              <w:ind w:left="0"/>
              <w:jc w:val="center"/>
              <w:rPr>
                <w:sz w:val="18"/>
                <w:szCs w:val="18"/>
              </w:rPr>
            </w:pPr>
            <w:r w:rsidRPr="0052124B">
              <w:rPr>
                <w:sz w:val="18"/>
                <w:szCs w:val="18"/>
              </w:rPr>
              <w:t>57</w:t>
            </w:r>
          </w:p>
        </w:tc>
        <w:tc>
          <w:tcPr>
            <w:tcW w:w="1564" w:type="dxa"/>
            <w:tcBorders>
              <w:right w:val="single" w:sz="4" w:space="0" w:color="auto"/>
            </w:tcBorders>
            <w:shd w:val="clear" w:color="auto" w:fill="D9D9D9" w:themeFill="background1" w:themeFillShade="D9"/>
          </w:tcPr>
          <w:p w14:paraId="2C922123" w14:textId="77777777" w:rsidR="00224BBA" w:rsidRPr="0052124B" w:rsidRDefault="00224BBA" w:rsidP="00224BBA">
            <w:pPr>
              <w:ind w:left="0"/>
              <w:jc w:val="center"/>
              <w:rPr>
                <w:sz w:val="18"/>
                <w:szCs w:val="18"/>
              </w:rPr>
            </w:pPr>
            <w:r w:rsidRPr="0052124B">
              <w:rPr>
                <w:sz w:val="18"/>
                <w:szCs w:val="18"/>
              </w:rPr>
              <w:t>13</w:t>
            </w:r>
          </w:p>
        </w:tc>
      </w:tr>
      <w:tr w:rsidR="00224BBA" w:rsidRPr="0052124B" w14:paraId="2EFD25BE" w14:textId="77777777" w:rsidTr="00610F7F">
        <w:trPr>
          <w:trHeight w:val="161"/>
        </w:trPr>
        <w:tc>
          <w:tcPr>
            <w:tcW w:w="1806" w:type="dxa"/>
            <w:vMerge/>
            <w:tcBorders>
              <w:left w:val="single" w:sz="4" w:space="0" w:color="auto"/>
            </w:tcBorders>
            <w:shd w:val="clear" w:color="auto" w:fill="FFFFFF" w:themeFill="background1"/>
          </w:tcPr>
          <w:p w14:paraId="1DF0D632" w14:textId="77777777" w:rsidR="00224BBA" w:rsidRPr="00E90B70" w:rsidRDefault="00224BBA" w:rsidP="00224BBA">
            <w:pPr>
              <w:rPr>
                <w:sz w:val="18"/>
                <w:szCs w:val="18"/>
              </w:rPr>
            </w:pPr>
          </w:p>
        </w:tc>
        <w:tc>
          <w:tcPr>
            <w:tcW w:w="1556" w:type="dxa"/>
            <w:vMerge/>
            <w:shd w:val="clear" w:color="auto" w:fill="FFFFFF" w:themeFill="background1"/>
          </w:tcPr>
          <w:p w14:paraId="3B55F722" w14:textId="77777777" w:rsidR="00224BBA" w:rsidRPr="00E90B70" w:rsidRDefault="00224BBA" w:rsidP="00224BBA">
            <w:pPr>
              <w:rPr>
                <w:sz w:val="18"/>
                <w:szCs w:val="18"/>
              </w:rPr>
            </w:pPr>
          </w:p>
        </w:tc>
        <w:tc>
          <w:tcPr>
            <w:tcW w:w="2251" w:type="dxa"/>
            <w:vMerge/>
            <w:shd w:val="clear" w:color="auto" w:fill="FFFFFF" w:themeFill="background1"/>
          </w:tcPr>
          <w:p w14:paraId="6BF6AB51" w14:textId="77777777" w:rsidR="00224BBA" w:rsidRPr="00E90B70" w:rsidRDefault="00224BBA" w:rsidP="00224BBA">
            <w:pPr>
              <w:rPr>
                <w:sz w:val="18"/>
                <w:szCs w:val="18"/>
              </w:rPr>
            </w:pPr>
          </w:p>
        </w:tc>
        <w:tc>
          <w:tcPr>
            <w:tcW w:w="1701" w:type="dxa"/>
            <w:vMerge/>
            <w:shd w:val="clear" w:color="auto" w:fill="FFFFFF" w:themeFill="background1"/>
          </w:tcPr>
          <w:p w14:paraId="711725B4" w14:textId="77777777" w:rsidR="00224BBA" w:rsidRDefault="00224BBA" w:rsidP="00224BBA">
            <w:pPr>
              <w:rPr>
                <w:sz w:val="18"/>
                <w:szCs w:val="18"/>
              </w:rPr>
            </w:pPr>
          </w:p>
        </w:tc>
        <w:tc>
          <w:tcPr>
            <w:tcW w:w="1965" w:type="dxa"/>
            <w:shd w:val="clear" w:color="auto" w:fill="FFFFFF" w:themeFill="background1"/>
          </w:tcPr>
          <w:p w14:paraId="200E5E28" w14:textId="77777777" w:rsidR="00224BBA" w:rsidRPr="0052124B" w:rsidRDefault="00224BBA" w:rsidP="00224BBA">
            <w:pPr>
              <w:ind w:left="0"/>
              <w:rPr>
                <w:sz w:val="18"/>
                <w:szCs w:val="18"/>
              </w:rPr>
            </w:pPr>
            <w:r w:rsidRPr="0052124B">
              <w:rPr>
                <w:sz w:val="18"/>
                <w:szCs w:val="18"/>
              </w:rPr>
              <w:t>Carbohydrates, g</w:t>
            </w:r>
          </w:p>
        </w:tc>
        <w:tc>
          <w:tcPr>
            <w:tcW w:w="1051" w:type="dxa"/>
            <w:shd w:val="clear" w:color="auto" w:fill="FFFFFF" w:themeFill="background1"/>
          </w:tcPr>
          <w:p w14:paraId="623EF06F" w14:textId="77777777" w:rsidR="00224BBA" w:rsidRPr="0052124B" w:rsidRDefault="00224BBA" w:rsidP="00224BBA">
            <w:pPr>
              <w:ind w:left="0"/>
              <w:jc w:val="center"/>
              <w:rPr>
                <w:sz w:val="18"/>
                <w:szCs w:val="18"/>
              </w:rPr>
            </w:pPr>
            <w:r w:rsidRPr="0052124B">
              <w:rPr>
                <w:sz w:val="18"/>
                <w:szCs w:val="18"/>
              </w:rPr>
              <w:t>398</w:t>
            </w:r>
          </w:p>
        </w:tc>
        <w:tc>
          <w:tcPr>
            <w:tcW w:w="1169" w:type="dxa"/>
            <w:shd w:val="clear" w:color="auto" w:fill="FFFFFF" w:themeFill="background1"/>
          </w:tcPr>
          <w:p w14:paraId="239AAC3D" w14:textId="77777777" w:rsidR="00224BBA" w:rsidRPr="0052124B" w:rsidRDefault="00224BBA" w:rsidP="00224BBA">
            <w:pPr>
              <w:ind w:left="0"/>
              <w:jc w:val="center"/>
              <w:rPr>
                <w:sz w:val="18"/>
                <w:szCs w:val="18"/>
              </w:rPr>
            </w:pPr>
            <w:r w:rsidRPr="0052124B">
              <w:rPr>
                <w:sz w:val="18"/>
                <w:szCs w:val="18"/>
              </w:rPr>
              <w:t>444</w:t>
            </w:r>
          </w:p>
        </w:tc>
        <w:tc>
          <w:tcPr>
            <w:tcW w:w="1564" w:type="dxa"/>
            <w:tcBorders>
              <w:right w:val="single" w:sz="4" w:space="0" w:color="auto"/>
            </w:tcBorders>
            <w:shd w:val="clear" w:color="auto" w:fill="FFFFFF" w:themeFill="background1"/>
          </w:tcPr>
          <w:p w14:paraId="7FCE78CC" w14:textId="77777777" w:rsidR="00224BBA" w:rsidRPr="0052124B" w:rsidRDefault="00224BBA" w:rsidP="00224BBA">
            <w:pPr>
              <w:ind w:left="0"/>
              <w:jc w:val="center"/>
              <w:rPr>
                <w:sz w:val="18"/>
                <w:szCs w:val="18"/>
              </w:rPr>
            </w:pPr>
            <w:r w:rsidRPr="0052124B">
              <w:rPr>
                <w:sz w:val="18"/>
                <w:szCs w:val="18"/>
              </w:rPr>
              <w:t>12</w:t>
            </w:r>
          </w:p>
        </w:tc>
      </w:tr>
      <w:tr w:rsidR="00224BBA" w:rsidRPr="0052124B" w14:paraId="3C0BD33E" w14:textId="77777777" w:rsidTr="00610F7F">
        <w:trPr>
          <w:trHeight w:val="206"/>
        </w:trPr>
        <w:tc>
          <w:tcPr>
            <w:tcW w:w="1806" w:type="dxa"/>
            <w:vMerge/>
            <w:tcBorders>
              <w:left w:val="single" w:sz="4" w:space="0" w:color="auto"/>
            </w:tcBorders>
            <w:shd w:val="clear" w:color="auto" w:fill="FFFFFF" w:themeFill="background1"/>
          </w:tcPr>
          <w:p w14:paraId="409DB8C6" w14:textId="77777777" w:rsidR="00224BBA" w:rsidRPr="00E90B70" w:rsidRDefault="00224BBA" w:rsidP="00224BBA">
            <w:pPr>
              <w:rPr>
                <w:sz w:val="18"/>
                <w:szCs w:val="18"/>
              </w:rPr>
            </w:pPr>
          </w:p>
        </w:tc>
        <w:tc>
          <w:tcPr>
            <w:tcW w:w="1556" w:type="dxa"/>
            <w:vMerge/>
            <w:shd w:val="clear" w:color="auto" w:fill="FFFFFF" w:themeFill="background1"/>
          </w:tcPr>
          <w:p w14:paraId="7DC65A18" w14:textId="77777777" w:rsidR="00224BBA" w:rsidRPr="00E90B70" w:rsidRDefault="00224BBA" w:rsidP="00224BBA">
            <w:pPr>
              <w:rPr>
                <w:sz w:val="18"/>
                <w:szCs w:val="18"/>
              </w:rPr>
            </w:pPr>
          </w:p>
        </w:tc>
        <w:tc>
          <w:tcPr>
            <w:tcW w:w="2251" w:type="dxa"/>
            <w:vMerge/>
            <w:shd w:val="clear" w:color="auto" w:fill="FFFFFF" w:themeFill="background1"/>
          </w:tcPr>
          <w:p w14:paraId="3D7B4693" w14:textId="77777777" w:rsidR="00224BBA" w:rsidRPr="00E90B70" w:rsidRDefault="00224BBA" w:rsidP="00224BBA">
            <w:pPr>
              <w:rPr>
                <w:sz w:val="18"/>
                <w:szCs w:val="18"/>
              </w:rPr>
            </w:pPr>
          </w:p>
        </w:tc>
        <w:tc>
          <w:tcPr>
            <w:tcW w:w="1701" w:type="dxa"/>
            <w:vMerge/>
            <w:shd w:val="clear" w:color="auto" w:fill="FFFFFF" w:themeFill="background1"/>
          </w:tcPr>
          <w:p w14:paraId="3D4F58FC" w14:textId="77777777" w:rsidR="00224BBA" w:rsidRDefault="00224BBA" w:rsidP="00224BBA">
            <w:pPr>
              <w:rPr>
                <w:sz w:val="18"/>
                <w:szCs w:val="18"/>
              </w:rPr>
            </w:pPr>
          </w:p>
        </w:tc>
        <w:tc>
          <w:tcPr>
            <w:tcW w:w="1965" w:type="dxa"/>
            <w:shd w:val="clear" w:color="auto" w:fill="D9D9D9" w:themeFill="background1" w:themeFillShade="D9"/>
          </w:tcPr>
          <w:p w14:paraId="28157E62" w14:textId="77777777" w:rsidR="00224BBA" w:rsidRPr="0052124B" w:rsidRDefault="00224BBA" w:rsidP="00224BBA">
            <w:pPr>
              <w:ind w:left="0"/>
              <w:rPr>
                <w:sz w:val="18"/>
                <w:szCs w:val="18"/>
              </w:rPr>
            </w:pPr>
            <w:r w:rsidRPr="0052124B">
              <w:rPr>
                <w:sz w:val="18"/>
                <w:szCs w:val="18"/>
              </w:rPr>
              <w:t>Total fat, g</w:t>
            </w:r>
          </w:p>
        </w:tc>
        <w:tc>
          <w:tcPr>
            <w:tcW w:w="1051" w:type="dxa"/>
            <w:shd w:val="clear" w:color="auto" w:fill="D9D9D9" w:themeFill="background1" w:themeFillShade="D9"/>
          </w:tcPr>
          <w:p w14:paraId="5B9E5057" w14:textId="77777777" w:rsidR="00224BBA" w:rsidRPr="0052124B" w:rsidRDefault="00224BBA" w:rsidP="00224BBA">
            <w:pPr>
              <w:ind w:left="0"/>
              <w:jc w:val="center"/>
              <w:rPr>
                <w:sz w:val="18"/>
                <w:szCs w:val="18"/>
              </w:rPr>
            </w:pPr>
            <w:r w:rsidRPr="0052124B">
              <w:rPr>
                <w:sz w:val="18"/>
                <w:szCs w:val="18"/>
              </w:rPr>
              <w:t>26</w:t>
            </w:r>
          </w:p>
        </w:tc>
        <w:tc>
          <w:tcPr>
            <w:tcW w:w="1169" w:type="dxa"/>
            <w:shd w:val="clear" w:color="auto" w:fill="D9D9D9" w:themeFill="background1" w:themeFillShade="D9"/>
          </w:tcPr>
          <w:p w14:paraId="637CF22B" w14:textId="77777777" w:rsidR="00224BBA" w:rsidRPr="0052124B" w:rsidRDefault="00224BBA" w:rsidP="00224BBA">
            <w:pPr>
              <w:ind w:left="0"/>
              <w:jc w:val="center"/>
              <w:rPr>
                <w:sz w:val="18"/>
                <w:szCs w:val="18"/>
              </w:rPr>
            </w:pPr>
            <w:r w:rsidRPr="0052124B">
              <w:rPr>
                <w:sz w:val="18"/>
                <w:szCs w:val="18"/>
              </w:rPr>
              <w:t>30</w:t>
            </w:r>
          </w:p>
        </w:tc>
        <w:tc>
          <w:tcPr>
            <w:tcW w:w="1564" w:type="dxa"/>
            <w:tcBorders>
              <w:right w:val="single" w:sz="4" w:space="0" w:color="auto"/>
            </w:tcBorders>
            <w:shd w:val="clear" w:color="auto" w:fill="D9D9D9" w:themeFill="background1" w:themeFillShade="D9"/>
          </w:tcPr>
          <w:p w14:paraId="4B635049" w14:textId="77777777" w:rsidR="00224BBA" w:rsidRPr="0052124B" w:rsidRDefault="00224BBA" w:rsidP="00224BBA">
            <w:pPr>
              <w:ind w:left="0"/>
              <w:jc w:val="center"/>
              <w:rPr>
                <w:sz w:val="18"/>
                <w:szCs w:val="18"/>
              </w:rPr>
            </w:pPr>
            <w:r w:rsidRPr="0052124B">
              <w:rPr>
                <w:sz w:val="18"/>
                <w:szCs w:val="18"/>
              </w:rPr>
              <w:t>17</w:t>
            </w:r>
          </w:p>
        </w:tc>
      </w:tr>
      <w:tr w:rsidR="00224BBA" w:rsidRPr="0052124B" w14:paraId="5DF1B26F" w14:textId="77777777" w:rsidTr="00610F7F">
        <w:trPr>
          <w:trHeight w:val="143"/>
        </w:trPr>
        <w:tc>
          <w:tcPr>
            <w:tcW w:w="1806" w:type="dxa"/>
            <w:vMerge/>
            <w:tcBorders>
              <w:left w:val="single" w:sz="4" w:space="0" w:color="auto"/>
            </w:tcBorders>
            <w:shd w:val="clear" w:color="auto" w:fill="FFFFFF" w:themeFill="background1"/>
          </w:tcPr>
          <w:p w14:paraId="2CB3B962" w14:textId="77777777" w:rsidR="00224BBA" w:rsidRPr="00E90B70" w:rsidRDefault="00224BBA" w:rsidP="00224BBA">
            <w:pPr>
              <w:rPr>
                <w:sz w:val="18"/>
                <w:szCs w:val="18"/>
              </w:rPr>
            </w:pPr>
          </w:p>
        </w:tc>
        <w:tc>
          <w:tcPr>
            <w:tcW w:w="1556" w:type="dxa"/>
            <w:vMerge/>
            <w:shd w:val="clear" w:color="auto" w:fill="FFFFFF" w:themeFill="background1"/>
          </w:tcPr>
          <w:p w14:paraId="05DB9F80" w14:textId="77777777" w:rsidR="00224BBA" w:rsidRPr="00E90B70" w:rsidRDefault="00224BBA" w:rsidP="00224BBA">
            <w:pPr>
              <w:rPr>
                <w:sz w:val="18"/>
                <w:szCs w:val="18"/>
              </w:rPr>
            </w:pPr>
          </w:p>
        </w:tc>
        <w:tc>
          <w:tcPr>
            <w:tcW w:w="2251" w:type="dxa"/>
            <w:vMerge/>
            <w:shd w:val="clear" w:color="auto" w:fill="FFFFFF" w:themeFill="background1"/>
          </w:tcPr>
          <w:p w14:paraId="55829C22" w14:textId="77777777" w:rsidR="00224BBA" w:rsidRPr="00E90B70" w:rsidRDefault="00224BBA" w:rsidP="00224BBA">
            <w:pPr>
              <w:rPr>
                <w:sz w:val="18"/>
                <w:szCs w:val="18"/>
              </w:rPr>
            </w:pPr>
          </w:p>
        </w:tc>
        <w:tc>
          <w:tcPr>
            <w:tcW w:w="1701" w:type="dxa"/>
            <w:vMerge/>
            <w:shd w:val="clear" w:color="auto" w:fill="FFFFFF" w:themeFill="background1"/>
          </w:tcPr>
          <w:p w14:paraId="0EACABC2" w14:textId="77777777" w:rsidR="00224BBA" w:rsidRDefault="00224BBA" w:rsidP="00224BBA">
            <w:pPr>
              <w:rPr>
                <w:sz w:val="18"/>
                <w:szCs w:val="18"/>
              </w:rPr>
            </w:pPr>
          </w:p>
        </w:tc>
        <w:tc>
          <w:tcPr>
            <w:tcW w:w="1965" w:type="dxa"/>
            <w:shd w:val="clear" w:color="auto" w:fill="FFFFFF" w:themeFill="background1"/>
          </w:tcPr>
          <w:p w14:paraId="1145D811" w14:textId="77777777" w:rsidR="00224BBA" w:rsidRPr="0052124B" w:rsidRDefault="00224BBA" w:rsidP="00224BBA">
            <w:pPr>
              <w:ind w:left="0"/>
              <w:rPr>
                <w:sz w:val="18"/>
                <w:szCs w:val="18"/>
              </w:rPr>
            </w:pPr>
            <w:r w:rsidRPr="0052124B">
              <w:rPr>
                <w:sz w:val="18"/>
                <w:szCs w:val="18"/>
              </w:rPr>
              <w:t xml:space="preserve">Vitamin A RAE, </w:t>
            </w:r>
            <w:r w:rsidRPr="0052124B">
              <w:rPr>
                <w:sz w:val="18"/>
                <w:szCs w:val="18"/>
              </w:rPr>
              <w:sym w:font="Symbol" w:char="F06D"/>
            </w:r>
            <w:r w:rsidRPr="0052124B">
              <w:rPr>
                <w:sz w:val="18"/>
                <w:szCs w:val="18"/>
              </w:rPr>
              <w:t>g</w:t>
            </w:r>
          </w:p>
        </w:tc>
        <w:tc>
          <w:tcPr>
            <w:tcW w:w="1051" w:type="dxa"/>
            <w:shd w:val="clear" w:color="auto" w:fill="FFFFFF" w:themeFill="background1"/>
          </w:tcPr>
          <w:p w14:paraId="3F7ECC8F" w14:textId="77777777" w:rsidR="00224BBA" w:rsidRPr="0052124B" w:rsidRDefault="00224BBA" w:rsidP="00224BBA">
            <w:pPr>
              <w:ind w:left="0"/>
              <w:jc w:val="center"/>
              <w:rPr>
                <w:sz w:val="18"/>
                <w:szCs w:val="18"/>
              </w:rPr>
            </w:pPr>
            <w:r w:rsidRPr="0052124B">
              <w:rPr>
                <w:sz w:val="18"/>
                <w:szCs w:val="18"/>
              </w:rPr>
              <w:t>214</w:t>
            </w:r>
          </w:p>
        </w:tc>
        <w:tc>
          <w:tcPr>
            <w:tcW w:w="1169" w:type="dxa"/>
            <w:shd w:val="clear" w:color="auto" w:fill="FFFFFF" w:themeFill="background1"/>
          </w:tcPr>
          <w:p w14:paraId="7E7A4F41" w14:textId="77777777" w:rsidR="00224BBA" w:rsidRPr="0052124B" w:rsidRDefault="00224BBA" w:rsidP="00224BBA">
            <w:pPr>
              <w:ind w:left="0"/>
              <w:jc w:val="center"/>
              <w:rPr>
                <w:sz w:val="18"/>
                <w:szCs w:val="18"/>
              </w:rPr>
            </w:pPr>
            <w:r w:rsidRPr="0052124B">
              <w:rPr>
                <w:sz w:val="18"/>
                <w:szCs w:val="18"/>
              </w:rPr>
              <w:t>323</w:t>
            </w:r>
          </w:p>
        </w:tc>
        <w:tc>
          <w:tcPr>
            <w:tcW w:w="1564" w:type="dxa"/>
            <w:tcBorders>
              <w:right w:val="single" w:sz="4" w:space="0" w:color="auto"/>
            </w:tcBorders>
            <w:shd w:val="clear" w:color="auto" w:fill="FFFFFF" w:themeFill="background1"/>
          </w:tcPr>
          <w:p w14:paraId="353F717E" w14:textId="77777777" w:rsidR="00224BBA" w:rsidRPr="0052124B" w:rsidRDefault="00224BBA" w:rsidP="00224BBA">
            <w:pPr>
              <w:ind w:left="0"/>
              <w:jc w:val="center"/>
              <w:rPr>
                <w:sz w:val="18"/>
                <w:szCs w:val="18"/>
              </w:rPr>
            </w:pPr>
            <w:r w:rsidRPr="0052124B">
              <w:rPr>
                <w:sz w:val="18"/>
                <w:szCs w:val="18"/>
              </w:rPr>
              <w:t>50</w:t>
            </w:r>
          </w:p>
        </w:tc>
      </w:tr>
      <w:tr w:rsidR="00224BBA" w:rsidRPr="0052124B" w14:paraId="3645EBFC" w14:textId="77777777" w:rsidTr="00610F7F">
        <w:trPr>
          <w:trHeight w:val="170"/>
        </w:trPr>
        <w:tc>
          <w:tcPr>
            <w:tcW w:w="1806" w:type="dxa"/>
            <w:vMerge/>
            <w:tcBorders>
              <w:left w:val="single" w:sz="4" w:space="0" w:color="auto"/>
            </w:tcBorders>
            <w:shd w:val="clear" w:color="auto" w:fill="FFFFFF" w:themeFill="background1"/>
          </w:tcPr>
          <w:p w14:paraId="1C5726FD" w14:textId="77777777" w:rsidR="00224BBA" w:rsidRPr="00E90B70" w:rsidRDefault="00224BBA" w:rsidP="00224BBA">
            <w:pPr>
              <w:rPr>
                <w:sz w:val="18"/>
                <w:szCs w:val="18"/>
              </w:rPr>
            </w:pPr>
          </w:p>
        </w:tc>
        <w:tc>
          <w:tcPr>
            <w:tcW w:w="1556" w:type="dxa"/>
            <w:vMerge/>
            <w:shd w:val="clear" w:color="auto" w:fill="FFFFFF" w:themeFill="background1"/>
          </w:tcPr>
          <w:p w14:paraId="567F8982" w14:textId="77777777" w:rsidR="00224BBA" w:rsidRPr="00E90B70" w:rsidRDefault="00224BBA" w:rsidP="00224BBA">
            <w:pPr>
              <w:rPr>
                <w:sz w:val="18"/>
                <w:szCs w:val="18"/>
              </w:rPr>
            </w:pPr>
          </w:p>
        </w:tc>
        <w:tc>
          <w:tcPr>
            <w:tcW w:w="2251" w:type="dxa"/>
            <w:vMerge/>
            <w:shd w:val="clear" w:color="auto" w:fill="FFFFFF" w:themeFill="background1"/>
          </w:tcPr>
          <w:p w14:paraId="75CB12A5" w14:textId="77777777" w:rsidR="00224BBA" w:rsidRPr="00E90B70" w:rsidRDefault="00224BBA" w:rsidP="00224BBA">
            <w:pPr>
              <w:rPr>
                <w:sz w:val="18"/>
                <w:szCs w:val="18"/>
              </w:rPr>
            </w:pPr>
          </w:p>
        </w:tc>
        <w:tc>
          <w:tcPr>
            <w:tcW w:w="1701" w:type="dxa"/>
            <w:vMerge/>
            <w:shd w:val="clear" w:color="auto" w:fill="FFFFFF" w:themeFill="background1"/>
          </w:tcPr>
          <w:p w14:paraId="0A973CA8" w14:textId="77777777" w:rsidR="00224BBA" w:rsidRDefault="00224BBA" w:rsidP="00224BBA">
            <w:pPr>
              <w:rPr>
                <w:sz w:val="18"/>
                <w:szCs w:val="18"/>
              </w:rPr>
            </w:pPr>
          </w:p>
        </w:tc>
        <w:tc>
          <w:tcPr>
            <w:tcW w:w="1965" w:type="dxa"/>
            <w:shd w:val="clear" w:color="auto" w:fill="D9D9D9" w:themeFill="background1" w:themeFillShade="D9"/>
          </w:tcPr>
          <w:p w14:paraId="66FE9E1E" w14:textId="77777777" w:rsidR="00224BBA" w:rsidRPr="0052124B" w:rsidRDefault="00224BBA" w:rsidP="00224BBA">
            <w:pPr>
              <w:ind w:left="0"/>
              <w:rPr>
                <w:sz w:val="18"/>
                <w:szCs w:val="18"/>
              </w:rPr>
            </w:pPr>
            <w:r w:rsidRPr="0052124B">
              <w:rPr>
                <w:sz w:val="18"/>
                <w:szCs w:val="18"/>
              </w:rPr>
              <w:t xml:space="preserve">Vitamin D, </w:t>
            </w:r>
            <w:r w:rsidRPr="0052124B">
              <w:rPr>
                <w:sz w:val="18"/>
                <w:szCs w:val="18"/>
              </w:rPr>
              <w:sym w:font="Symbol" w:char="F06D"/>
            </w:r>
            <w:r w:rsidRPr="0052124B">
              <w:rPr>
                <w:sz w:val="18"/>
                <w:szCs w:val="18"/>
              </w:rPr>
              <w:t>g</w:t>
            </w:r>
          </w:p>
        </w:tc>
        <w:tc>
          <w:tcPr>
            <w:tcW w:w="1051" w:type="dxa"/>
            <w:shd w:val="clear" w:color="auto" w:fill="D9D9D9" w:themeFill="background1" w:themeFillShade="D9"/>
          </w:tcPr>
          <w:p w14:paraId="5104E1BA" w14:textId="77777777" w:rsidR="00224BBA" w:rsidRPr="0052124B" w:rsidRDefault="00224BBA" w:rsidP="00224BBA">
            <w:pPr>
              <w:ind w:left="0"/>
              <w:jc w:val="center"/>
              <w:rPr>
                <w:sz w:val="18"/>
                <w:szCs w:val="18"/>
              </w:rPr>
            </w:pPr>
            <w:r w:rsidRPr="0052124B">
              <w:rPr>
                <w:sz w:val="18"/>
                <w:szCs w:val="18"/>
              </w:rPr>
              <w:t>1.1</w:t>
            </w:r>
          </w:p>
        </w:tc>
        <w:tc>
          <w:tcPr>
            <w:tcW w:w="1169" w:type="dxa"/>
            <w:shd w:val="clear" w:color="auto" w:fill="D9D9D9" w:themeFill="background1" w:themeFillShade="D9"/>
          </w:tcPr>
          <w:p w14:paraId="43548DF0" w14:textId="77777777" w:rsidR="00224BBA" w:rsidRPr="0052124B" w:rsidRDefault="00224BBA" w:rsidP="00224BBA">
            <w:pPr>
              <w:ind w:left="0"/>
              <w:jc w:val="center"/>
              <w:rPr>
                <w:sz w:val="18"/>
                <w:szCs w:val="18"/>
              </w:rPr>
            </w:pPr>
            <w:r w:rsidRPr="0052124B">
              <w:rPr>
                <w:sz w:val="18"/>
                <w:szCs w:val="18"/>
              </w:rPr>
              <w:t>1.3</w:t>
            </w:r>
          </w:p>
        </w:tc>
        <w:tc>
          <w:tcPr>
            <w:tcW w:w="1564" w:type="dxa"/>
            <w:tcBorders>
              <w:right w:val="single" w:sz="4" w:space="0" w:color="auto"/>
            </w:tcBorders>
            <w:shd w:val="clear" w:color="auto" w:fill="D9D9D9" w:themeFill="background1" w:themeFillShade="D9"/>
          </w:tcPr>
          <w:p w14:paraId="1DD60336" w14:textId="77777777" w:rsidR="00224BBA" w:rsidRPr="0052124B" w:rsidRDefault="00224BBA" w:rsidP="00224BBA">
            <w:pPr>
              <w:ind w:left="0"/>
              <w:jc w:val="center"/>
              <w:rPr>
                <w:sz w:val="18"/>
                <w:szCs w:val="18"/>
              </w:rPr>
            </w:pPr>
            <w:r w:rsidRPr="0052124B">
              <w:rPr>
                <w:sz w:val="18"/>
                <w:szCs w:val="18"/>
              </w:rPr>
              <w:t>18</w:t>
            </w:r>
          </w:p>
        </w:tc>
      </w:tr>
      <w:tr w:rsidR="00224BBA" w:rsidRPr="0052124B" w14:paraId="4AD96939" w14:textId="77777777" w:rsidTr="00610F7F">
        <w:trPr>
          <w:trHeight w:val="206"/>
        </w:trPr>
        <w:tc>
          <w:tcPr>
            <w:tcW w:w="1806" w:type="dxa"/>
            <w:vMerge/>
            <w:tcBorders>
              <w:left w:val="single" w:sz="4" w:space="0" w:color="auto"/>
            </w:tcBorders>
            <w:shd w:val="clear" w:color="auto" w:fill="FFFFFF" w:themeFill="background1"/>
          </w:tcPr>
          <w:p w14:paraId="337AF352" w14:textId="77777777" w:rsidR="00224BBA" w:rsidRPr="00E90B70" w:rsidRDefault="00224BBA" w:rsidP="00224BBA">
            <w:pPr>
              <w:rPr>
                <w:sz w:val="18"/>
                <w:szCs w:val="18"/>
              </w:rPr>
            </w:pPr>
          </w:p>
        </w:tc>
        <w:tc>
          <w:tcPr>
            <w:tcW w:w="1556" w:type="dxa"/>
            <w:vMerge/>
            <w:shd w:val="clear" w:color="auto" w:fill="FFFFFF" w:themeFill="background1"/>
          </w:tcPr>
          <w:p w14:paraId="0ED5634A" w14:textId="77777777" w:rsidR="00224BBA" w:rsidRPr="00E90B70" w:rsidRDefault="00224BBA" w:rsidP="00224BBA">
            <w:pPr>
              <w:rPr>
                <w:sz w:val="18"/>
                <w:szCs w:val="18"/>
              </w:rPr>
            </w:pPr>
          </w:p>
        </w:tc>
        <w:tc>
          <w:tcPr>
            <w:tcW w:w="2251" w:type="dxa"/>
            <w:vMerge/>
            <w:shd w:val="clear" w:color="auto" w:fill="FFFFFF" w:themeFill="background1"/>
          </w:tcPr>
          <w:p w14:paraId="2B4EC0D6" w14:textId="77777777" w:rsidR="00224BBA" w:rsidRPr="00E90B70" w:rsidRDefault="00224BBA" w:rsidP="00224BBA">
            <w:pPr>
              <w:rPr>
                <w:sz w:val="18"/>
                <w:szCs w:val="18"/>
              </w:rPr>
            </w:pPr>
          </w:p>
        </w:tc>
        <w:tc>
          <w:tcPr>
            <w:tcW w:w="1701" w:type="dxa"/>
            <w:vMerge/>
            <w:shd w:val="clear" w:color="auto" w:fill="FFFFFF" w:themeFill="background1"/>
          </w:tcPr>
          <w:p w14:paraId="07489901" w14:textId="77777777" w:rsidR="00224BBA" w:rsidRDefault="00224BBA" w:rsidP="00224BBA">
            <w:pPr>
              <w:rPr>
                <w:sz w:val="18"/>
                <w:szCs w:val="18"/>
              </w:rPr>
            </w:pPr>
          </w:p>
        </w:tc>
        <w:tc>
          <w:tcPr>
            <w:tcW w:w="1965" w:type="dxa"/>
            <w:shd w:val="clear" w:color="auto" w:fill="FFFFFF" w:themeFill="background1"/>
          </w:tcPr>
          <w:p w14:paraId="072264E1" w14:textId="77777777" w:rsidR="00224BBA" w:rsidRPr="0052124B" w:rsidRDefault="00224BBA" w:rsidP="00224BBA">
            <w:pPr>
              <w:ind w:left="0"/>
              <w:rPr>
                <w:sz w:val="18"/>
                <w:szCs w:val="18"/>
              </w:rPr>
            </w:pPr>
            <w:r w:rsidRPr="0052124B">
              <w:rPr>
                <w:sz w:val="18"/>
                <w:szCs w:val="18"/>
              </w:rPr>
              <w:t>Vitamin E, mg</w:t>
            </w:r>
          </w:p>
        </w:tc>
        <w:tc>
          <w:tcPr>
            <w:tcW w:w="1051" w:type="dxa"/>
            <w:shd w:val="clear" w:color="auto" w:fill="FFFFFF" w:themeFill="background1"/>
          </w:tcPr>
          <w:p w14:paraId="4D84B0FA" w14:textId="77777777" w:rsidR="00224BBA" w:rsidRPr="0052124B" w:rsidRDefault="00224BBA" w:rsidP="00224BBA">
            <w:pPr>
              <w:ind w:left="0"/>
              <w:jc w:val="center"/>
              <w:rPr>
                <w:sz w:val="18"/>
                <w:szCs w:val="18"/>
              </w:rPr>
            </w:pPr>
            <w:r w:rsidRPr="0052124B">
              <w:rPr>
                <w:sz w:val="18"/>
                <w:szCs w:val="18"/>
              </w:rPr>
              <w:t>4.5</w:t>
            </w:r>
          </w:p>
        </w:tc>
        <w:tc>
          <w:tcPr>
            <w:tcW w:w="1169" w:type="dxa"/>
            <w:shd w:val="clear" w:color="auto" w:fill="FFFFFF" w:themeFill="background1"/>
          </w:tcPr>
          <w:p w14:paraId="76864B39" w14:textId="77777777" w:rsidR="00224BBA" w:rsidRPr="0052124B" w:rsidRDefault="00224BBA" w:rsidP="00224BBA">
            <w:pPr>
              <w:ind w:left="0"/>
              <w:jc w:val="center"/>
              <w:rPr>
                <w:sz w:val="18"/>
                <w:szCs w:val="18"/>
              </w:rPr>
            </w:pPr>
            <w:r w:rsidRPr="0052124B">
              <w:rPr>
                <w:sz w:val="18"/>
                <w:szCs w:val="18"/>
              </w:rPr>
              <w:t>5.4</w:t>
            </w:r>
          </w:p>
        </w:tc>
        <w:tc>
          <w:tcPr>
            <w:tcW w:w="1564" w:type="dxa"/>
            <w:tcBorders>
              <w:right w:val="single" w:sz="4" w:space="0" w:color="auto"/>
            </w:tcBorders>
            <w:shd w:val="clear" w:color="auto" w:fill="FFFFFF" w:themeFill="background1"/>
          </w:tcPr>
          <w:p w14:paraId="1900B2D6" w14:textId="77777777" w:rsidR="00224BBA" w:rsidRPr="0052124B" w:rsidRDefault="00224BBA" w:rsidP="00224BBA">
            <w:pPr>
              <w:ind w:left="0"/>
              <w:jc w:val="center"/>
              <w:rPr>
                <w:sz w:val="18"/>
                <w:szCs w:val="18"/>
              </w:rPr>
            </w:pPr>
            <w:r w:rsidRPr="0052124B">
              <w:rPr>
                <w:sz w:val="18"/>
                <w:szCs w:val="18"/>
              </w:rPr>
              <w:t>20</w:t>
            </w:r>
          </w:p>
        </w:tc>
      </w:tr>
      <w:tr w:rsidR="00224BBA" w:rsidRPr="0052124B" w14:paraId="4FABD45B" w14:textId="77777777" w:rsidTr="00610F7F">
        <w:trPr>
          <w:trHeight w:val="161"/>
        </w:trPr>
        <w:tc>
          <w:tcPr>
            <w:tcW w:w="1806" w:type="dxa"/>
            <w:vMerge/>
            <w:tcBorders>
              <w:left w:val="single" w:sz="4" w:space="0" w:color="auto"/>
            </w:tcBorders>
            <w:shd w:val="clear" w:color="auto" w:fill="FFFFFF" w:themeFill="background1"/>
          </w:tcPr>
          <w:p w14:paraId="11A6935D" w14:textId="77777777" w:rsidR="00224BBA" w:rsidRPr="00E90B70" w:rsidRDefault="00224BBA" w:rsidP="00224BBA">
            <w:pPr>
              <w:rPr>
                <w:sz w:val="18"/>
                <w:szCs w:val="18"/>
              </w:rPr>
            </w:pPr>
          </w:p>
        </w:tc>
        <w:tc>
          <w:tcPr>
            <w:tcW w:w="1556" w:type="dxa"/>
            <w:vMerge/>
            <w:shd w:val="clear" w:color="auto" w:fill="FFFFFF" w:themeFill="background1"/>
          </w:tcPr>
          <w:p w14:paraId="3E702097" w14:textId="77777777" w:rsidR="00224BBA" w:rsidRPr="00E90B70" w:rsidRDefault="00224BBA" w:rsidP="00224BBA">
            <w:pPr>
              <w:rPr>
                <w:sz w:val="18"/>
                <w:szCs w:val="18"/>
              </w:rPr>
            </w:pPr>
          </w:p>
        </w:tc>
        <w:tc>
          <w:tcPr>
            <w:tcW w:w="2251" w:type="dxa"/>
            <w:vMerge/>
            <w:shd w:val="clear" w:color="auto" w:fill="FFFFFF" w:themeFill="background1"/>
          </w:tcPr>
          <w:p w14:paraId="6E9F1778" w14:textId="77777777" w:rsidR="00224BBA" w:rsidRPr="00E90B70" w:rsidRDefault="00224BBA" w:rsidP="00224BBA">
            <w:pPr>
              <w:rPr>
                <w:sz w:val="18"/>
                <w:szCs w:val="18"/>
              </w:rPr>
            </w:pPr>
          </w:p>
        </w:tc>
        <w:tc>
          <w:tcPr>
            <w:tcW w:w="1701" w:type="dxa"/>
            <w:vMerge/>
            <w:shd w:val="clear" w:color="auto" w:fill="FFFFFF" w:themeFill="background1"/>
          </w:tcPr>
          <w:p w14:paraId="685455E5" w14:textId="77777777" w:rsidR="00224BBA" w:rsidRDefault="00224BBA" w:rsidP="00224BBA">
            <w:pPr>
              <w:rPr>
                <w:sz w:val="18"/>
                <w:szCs w:val="18"/>
              </w:rPr>
            </w:pPr>
          </w:p>
        </w:tc>
        <w:tc>
          <w:tcPr>
            <w:tcW w:w="1965" w:type="dxa"/>
            <w:shd w:val="clear" w:color="auto" w:fill="D9D9D9" w:themeFill="background1" w:themeFillShade="D9"/>
          </w:tcPr>
          <w:p w14:paraId="06702369" w14:textId="77777777" w:rsidR="00224BBA" w:rsidRPr="0052124B" w:rsidRDefault="00224BBA" w:rsidP="00224BBA">
            <w:pPr>
              <w:ind w:left="0"/>
              <w:rPr>
                <w:sz w:val="18"/>
                <w:szCs w:val="18"/>
              </w:rPr>
            </w:pPr>
            <w:r w:rsidRPr="0052124B">
              <w:rPr>
                <w:sz w:val="18"/>
                <w:szCs w:val="18"/>
              </w:rPr>
              <w:t>Thiamine, mg</w:t>
            </w:r>
          </w:p>
        </w:tc>
        <w:tc>
          <w:tcPr>
            <w:tcW w:w="1051" w:type="dxa"/>
            <w:shd w:val="clear" w:color="auto" w:fill="D9D9D9" w:themeFill="background1" w:themeFillShade="D9"/>
          </w:tcPr>
          <w:p w14:paraId="170B383B" w14:textId="77777777" w:rsidR="00224BBA" w:rsidRPr="0052124B" w:rsidRDefault="00224BBA" w:rsidP="00224BBA">
            <w:pPr>
              <w:ind w:left="0"/>
              <w:jc w:val="center"/>
              <w:rPr>
                <w:sz w:val="18"/>
                <w:szCs w:val="18"/>
              </w:rPr>
            </w:pPr>
            <w:r w:rsidRPr="0052124B">
              <w:rPr>
                <w:sz w:val="18"/>
                <w:szCs w:val="18"/>
              </w:rPr>
              <w:t>0.8</w:t>
            </w:r>
          </w:p>
        </w:tc>
        <w:tc>
          <w:tcPr>
            <w:tcW w:w="1169" w:type="dxa"/>
            <w:shd w:val="clear" w:color="auto" w:fill="D9D9D9" w:themeFill="background1" w:themeFillShade="D9"/>
          </w:tcPr>
          <w:p w14:paraId="2478F50B" w14:textId="77777777" w:rsidR="00224BBA" w:rsidRPr="0052124B" w:rsidRDefault="00224BBA" w:rsidP="00224BBA">
            <w:pPr>
              <w:ind w:left="0"/>
              <w:jc w:val="center"/>
              <w:rPr>
                <w:sz w:val="18"/>
                <w:szCs w:val="18"/>
              </w:rPr>
            </w:pPr>
            <w:r w:rsidRPr="0052124B">
              <w:rPr>
                <w:sz w:val="18"/>
                <w:szCs w:val="18"/>
              </w:rPr>
              <w:t>0.9</w:t>
            </w:r>
          </w:p>
        </w:tc>
        <w:tc>
          <w:tcPr>
            <w:tcW w:w="1564" w:type="dxa"/>
            <w:tcBorders>
              <w:right w:val="single" w:sz="4" w:space="0" w:color="auto"/>
            </w:tcBorders>
            <w:shd w:val="clear" w:color="auto" w:fill="D9D9D9" w:themeFill="background1" w:themeFillShade="D9"/>
          </w:tcPr>
          <w:p w14:paraId="4F5D7705" w14:textId="77777777" w:rsidR="00224BBA" w:rsidRPr="0052124B" w:rsidRDefault="00224BBA" w:rsidP="00224BBA">
            <w:pPr>
              <w:ind w:left="0"/>
              <w:jc w:val="center"/>
              <w:rPr>
                <w:sz w:val="18"/>
                <w:szCs w:val="18"/>
              </w:rPr>
            </w:pPr>
            <w:r w:rsidRPr="0052124B">
              <w:rPr>
                <w:sz w:val="18"/>
                <w:szCs w:val="18"/>
              </w:rPr>
              <w:t>25</w:t>
            </w:r>
          </w:p>
        </w:tc>
      </w:tr>
      <w:tr w:rsidR="00224BBA" w:rsidRPr="0052124B" w14:paraId="1511B8E2" w14:textId="77777777" w:rsidTr="00610F7F">
        <w:trPr>
          <w:trHeight w:val="206"/>
        </w:trPr>
        <w:tc>
          <w:tcPr>
            <w:tcW w:w="1806" w:type="dxa"/>
            <w:vMerge/>
            <w:tcBorders>
              <w:left w:val="single" w:sz="4" w:space="0" w:color="auto"/>
            </w:tcBorders>
            <w:shd w:val="clear" w:color="auto" w:fill="FFFFFF" w:themeFill="background1"/>
          </w:tcPr>
          <w:p w14:paraId="0DFE8339" w14:textId="77777777" w:rsidR="00224BBA" w:rsidRPr="00E90B70" w:rsidRDefault="00224BBA" w:rsidP="00224BBA">
            <w:pPr>
              <w:rPr>
                <w:sz w:val="18"/>
                <w:szCs w:val="18"/>
              </w:rPr>
            </w:pPr>
          </w:p>
        </w:tc>
        <w:tc>
          <w:tcPr>
            <w:tcW w:w="1556" w:type="dxa"/>
            <w:vMerge/>
            <w:shd w:val="clear" w:color="auto" w:fill="FFFFFF" w:themeFill="background1"/>
          </w:tcPr>
          <w:p w14:paraId="77FCE537" w14:textId="77777777" w:rsidR="00224BBA" w:rsidRPr="00E90B70" w:rsidRDefault="00224BBA" w:rsidP="00224BBA">
            <w:pPr>
              <w:rPr>
                <w:sz w:val="18"/>
                <w:szCs w:val="18"/>
              </w:rPr>
            </w:pPr>
          </w:p>
        </w:tc>
        <w:tc>
          <w:tcPr>
            <w:tcW w:w="2251" w:type="dxa"/>
            <w:vMerge/>
            <w:shd w:val="clear" w:color="auto" w:fill="FFFFFF" w:themeFill="background1"/>
          </w:tcPr>
          <w:p w14:paraId="3BF26212" w14:textId="77777777" w:rsidR="00224BBA" w:rsidRPr="00E90B70" w:rsidRDefault="00224BBA" w:rsidP="00224BBA">
            <w:pPr>
              <w:rPr>
                <w:sz w:val="18"/>
                <w:szCs w:val="18"/>
              </w:rPr>
            </w:pPr>
          </w:p>
        </w:tc>
        <w:tc>
          <w:tcPr>
            <w:tcW w:w="1701" w:type="dxa"/>
            <w:vMerge/>
            <w:shd w:val="clear" w:color="auto" w:fill="FFFFFF" w:themeFill="background1"/>
          </w:tcPr>
          <w:p w14:paraId="5CA92660" w14:textId="77777777" w:rsidR="00224BBA" w:rsidRDefault="00224BBA" w:rsidP="00224BBA">
            <w:pPr>
              <w:rPr>
                <w:sz w:val="18"/>
                <w:szCs w:val="18"/>
              </w:rPr>
            </w:pPr>
          </w:p>
        </w:tc>
        <w:tc>
          <w:tcPr>
            <w:tcW w:w="1965" w:type="dxa"/>
            <w:shd w:val="clear" w:color="auto" w:fill="FFFFFF" w:themeFill="background1"/>
          </w:tcPr>
          <w:p w14:paraId="603228E9" w14:textId="77777777" w:rsidR="00224BBA" w:rsidRPr="0052124B" w:rsidRDefault="00224BBA" w:rsidP="00224BBA">
            <w:pPr>
              <w:ind w:left="0"/>
              <w:rPr>
                <w:sz w:val="18"/>
                <w:szCs w:val="18"/>
              </w:rPr>
            </w:pPr>
            <w:r w:rsidRPr="0052124B">
              <w:rPr>
                <w:sz w:val="18"/>
                <w:szCs w:val="18"/>
              </w:rPr>
              <w:t>Riboflavin, mg</w:t>
            </w:r>
          </w:p>
        </w:tc>
        <w:tc>
          <w:tcPr>
            <w:tcW w:w="1051" w:type="dxa"/>
            <w:shd w:val="clear" w:color="auto" w:fill="FFFFFF" w:themeFill="background1"/>
          </w:tcPr>
          <w:p w14:paraId="7F584C08" w14:textId="77777777" w:rsidR="00224BBA" w:rsidRPr="0052124B" w:rsidRDefault="00224BBA" w:rsidP="00224BBA">
            <w:pPr>
              <w:ind w:left="0"/>
              <w:jc w:val="center"/>
              <w:rPr>
                <w:sz w:val="18"/>
                <w:szCs w:val="18"/>
              </w:rPr>
            </w:pPr>
            <w:r w:rsidRPr="0052124B">
              <w:rPr>
                <w:sz w:val="18"/>
                <w:szCs w:val="18"/>
              </w:rPr>
              <w:t>0.5</w:t>
            </w:r>
          </w:p>
        </w:tc>
        <w:tc>
          <w:tcPr>
            <w:tcW w:w="1169" w:type="dxa"/>
            <w:shd w:val="clear" w:color="auto" w:fill="FFFFFF" w:themeFill="background1"/>
          </w:tcPr>
          <w:p w14:paraId="7969C37E" w14:textId="77777777" w:rsidR="00224BBA" w:rsidRPr="0052124B" w:rsidRDefault="00224BBA" w:rsidP="00224BBA">
            <w:pPr>
              <w:ind w:left="0"/>
              <w:jc w:val="center"/>
              <w:rPr>
                <w:sz w:val="18"/>
                <w:szCs w:val="18"/>
              </w:rPr>
            </w:pPr>
            <w:r w:rsidRPr="0052124B">
              <w:rPr>
                <w:sz w:val="18"/>
                <w:szCs w:val="18"/>
              </w:rPr>
              <w:t>0.6</w:t>
            </w:r>
          </w:p>
        </w:tc>
        <w:tc>
          <w:tcPr>
            <w:tcW w:w="1564" w:type="dxa"/>
            <w:tcBorders>
              <w:right w:val="single" w:sz="4" w:space="0" w:color="auto"/>
            </w:tcBorders>
            <w:shd w:val="clear" w:color="auto" w:fill="FFFFFF" w:themeFill="background1"/>
          </w:tcPr>
          <w:p w14:paraId="697DAAE3" w14:textId="77777777" w:rsidR="00224BBA" w:rsidRPr="0052124B" w:rsidRDefault="00224BBA" w:rsidP="00224BBA">
            <w:pPr>
              <w:ind w:left="0"/>
              <w:jc w:val="center"/>
              <w:rPr>
                <w:sz w:val="18"/>
                <w:szCs w:val="18"/>
              </w:rPr>
            </w:pPr>
            <w:r w:rsidRPr="0052124B">
              <w:rPr>
                <w:sz w:val="18"/>
                <w:szCs w:val="18"/>
              </w:rPr>
              <w:t>20</w:t>
            </w:r>
          </w:p>
        </w:tc>
      </w:tr>
      <w:tr w:rsidR="00224BBA" w:rsidRPr="0052124B" w14:paraId="5C5FE6B2" w14:textId="77777777" w:rsidTr="00610F7F">
        <w:trPr>
          <w:trHeight w:val="152"/>
        </w:trPr>
        <w:tc>
          <w:tcPr>
            <w:tcW w:w="1806" w:type="dxa"/>
            <w:vMerge/>
            <w:tcBorders>
              <w:left w:val="single" w:sz="4" w:space="0" w:color="auto"/>
            </w:tcBorders>
            <w:shd w:val="clear" w:color="auto" w:fill="FFFFFF" w:themeFill="background1"/>
          </w:tcPr>
          <w:p w14:paraId="63EE7796" w14:textId="77777777" w:rsidR="00224BBA" w:rsidRPr="00E90B70" w:rsidRDefault="00224BBA" w:rsidP="00224BBA">
            <w:pPr>
              <w:rPr>
                <w:sz w:val="18"/>
                <w:szCs w:val="18"/>
              </w:rPr>
            </w:pPr>
          </w:p>
        </w:tc>
        <w:tc>
          <w:tcPr>
            <w:tcW w:w="1556" w:type="dxa"/>
            <w:vMerge/>
            <w:shd w:val="clear" w:color="auto" w:fill="FFFFFF" w:themeFill="background1"/>
          </w:tcPr>
          <w:p w14:paraId="4E6EAC41" w14:textId="77777777" w:rsidR="00224BBA" w:rsidRPr="00E90B70" w:rsidRDefault="00224BBA" w:rsidP="00224BBA">
            <w:pPr>
              <w:rPr>
                <w:sz w:val="18"/>
                <w:szCs w:val="18"/>
              </w:rPr>
            </w:pPr>
          </w:p>
        </w:tc>
        <w:tc>
          <w:tcPr>
            <w:tcW w:w="2251" w:type="dxa"/>
            <w:vMerge/>
            <w:shd w:val="clear" w:color="auto" w:fill="FFFFFF" w:themeFill="background1"/>
          </w:tcPr>
          <w:p w14:paraId="06D30FA3" w14:textId="77777777" w:rsidR="00224BBA" w:rsidRPr="00E90B70" w:rsidRDefault="00224BBA" w:rsidP="00224BBA">
            <w:pPr>
              <w:rPr>
                <w:sz w:val="18"/>
                <w:szCs w:val="18"/>
              </w:rPr>
            </w:pPr>
          </w:p>
        </w:tc>
        <w:tc>
          <w:tcPr>
            <w:tcW w:w="1701" w:type="dxa"/>
            <w:vMerge/>
            <w:shd w:val="clear" w:color="auto" w:fill="FFFFFF" w:themeFill="background1"/>
          </w:tcPr>
          <w:p w14:paraId="6A0B8168" w14:textId="77777777" w:rsidR="00224BBA" w:rsidRDefault="00224BBA" w:rsidP="00224BBA">
            <w:pPr>
              <w:rPr>
                <w:sz w:val="18"/>
                <w:szCs w:val="18"/>
              </w:rPr>
            </w:pPr>
          </w:p>
        </w:tc>
        <w:tc>
          <w:tcPr>
            <w:tcW w:w="1965" w:type="dxa"/>
            <w:shd w:val="clear" w:color="auto" w:fill="D9D9D9" w:themeFill="background1" w:themeFillShade="D9"/>
          </w:tcPr>
          <w:p w14:paraId="56705E87" w14:textId="77777777" w:rsidR="00224BBA" w:rsidRPr="0052124B" w:rsidRDefault="00224BBA" w:rsidP="00224BBA">
            <w:pPr>
              <w:ind w:left="0"/>
              <w:rPr>
                <w:sz w:val="18"/>
                <w:szCs w:val="18"/>
              </w:rPr>
            </w:pPr>
            <w:r w:rsidRPr="0052124B">
              <w:rPr>
                <w:sz w:val="18"/>
                <w:szCs w:val="18"/>
              </w:rPr>
              <w:t>Niacin, mg</w:t>
            </w:r>
          </w:p>
        </w:tc>
        <w:tc>
          <w:tcPr>
            <w:tcW w:w="1051" w:type="dxa"/>
            <w:shd w:val="clear" w:color="auto" w:fill="D9D9D9" w:themeFill="background1" w:themeFillShade="D9"/>
          </w:tcPr>
          <w:p w14:paraId="2FE74287" w14:textId="77777777" w:rsidR="00224BBA" w:rsidRPr="0052124B" w:rsidRDefault="00224BBA" w:rsidP="00224BBA">
            <w:pPr>
              <w:ind w:left="0"/>
              <w:jc w:val="center"/>
              <w:rPr>
                <w:sz w:val="18"/>
                <w:szCs w:val="18"/>
              </w:rPr>
            </w:pPr>
            <w:r w:rsidRPr="0052124B">
              <w:rPr>
                <w:sz w:val="18"/>
                <w:szCs w:val="18"/>
              </w:rPr>
              <w:t>14</w:t>
            </w:r>
          </w:p>
        </w:tc>
        <w:tc>
          <w:tcPr>
            <w:tcW w:w="1169" w:type="dxa"/>
            <w:shd w:val="clear" w:color="auto" w:fill="D9D9D9" w:themeFill="background1" w:themeFillShade="D9"/>
          </w:tcPr>
          <w:p w14:paraId="55EFF495" w14:textId="77777777" w:rsidR="00224BBA" w:rsidRPr="0052124B" w:rsidRDefault="00224BBA" w:rsidP="00224BBA">
            <w:pPr>
              <w:ind w:left="0"/>
              <w:jc w:val="center"/>
              <w:rPr>
                <w:sz w:val="18"/>
                <w:szCs w:val="18"/>
              </w:rPr>
            </w:pPr>
            <w:r w:rsidRPr="0052124B">
              <w:rPr>
                <w:sz w:val="18"/>
                <w:szCs w:val="18"/>
              </w:rPr>
              <w:t>16</w:t>
            </w:r>
          </w:p>
        </w:tc>
        <w:tc>
          <w:tcPr>
            <w:tcW w:w="1564" w:type="dxa"/>
            <w:tcBorders>
              <w:right w:val="single" w:sz="4" w:space="0" w:color="auto"/>
            </w:tcBorders>
            <w:shd w:val="clear" w:color="auto" w:fill="D9D9D9" w:themeFill="background1" w:themeFillShade="D9"/>
          </w:tcPr>
          <w:p w14:paraId="7186D32A" w14:textId="77777777" w:rsidR="00224BBA" w:rsidRPr="0052124B" w:rsidRDefault="00224BBA" w:rsidP="00224BBA">
            <w:pPr>
              <w:ind w:left="0"/>
              <w:jc w:val="center"/>
              <w:rPr>
                <w:sz w:val="18"/>
                <w:szCs w:val="18"/>
              </w:rPr>
            </w:pPr>
            <w:r w:rsidRPr="0052124B">
              <w:rPr>
                <w:sz w:val="18"/>
                <w:szCs w:val="18"/>
              </w:rPr>
              <w:t>13</w:t>
            </w:r>
          </w:p>
        </w:tc>
      </w:tr>
      <w:tr w:rsidR="00224BBA" w:rsidRPr="0052124B" w14:paraId="7D6D2D3F" w14:textId="77777777" w:rsidTr="00610F7F">
        <w:trPr>
          <w:trHeight w:val="197"/>
        </w:trPr>
        <w:tc>
          <w:tcPr>
            <w:tcW w:w="1806" w:type="dxa"/>
            <w:vMerge/>
            <w:tcBorders>
              <w:left w:val="single" w:sz="4" w:space="0" w:color="auto"/>
            </w:tcBorders>
            <w:shd w:val="clear" w:color="auto" w:fill="FFFFFF" w:themeFill="background1"/>
          </w:tcPr>
          <w:p w14:paraId="66221EFE" w14:textId="77777777" w:rsidR="00224BBA" w:rsidRPr="00E90B70" w:rsidRDefault="00224BBA" w:rsidP="00224BBA">
            <w:pPr>
              <w:rPr>
                <w:sz w:val="18"/>
                <w:szCs w:val="18"/>
              </w:rPr>
            </w:pPr>
          </w:p>
        </w:tc>
        <w:tc>
          <w:tcPr>
            <w:tcW w:w="1556" w:type="dxa"/>
            <w:vMerge/>
            <w:shd w:val="clear" w:color="auto" w:fill="FFFFFF" w:themeFill="background1"/>
          </w:tcPr>
          <w:p w14:paraId="460BD86E" w14:textId="77777777" w:rsidR="00224BBA" w:rsidRPr="00E90B70" w:rsidRDefault="00224BBA" w:rsidP="00224BBA">
            <w:pPr>
              <w:rPr>
                <w:sz w:val="18"/>
                <w:szCs w:val="18"/>
              </w:rPr>
            </w:pPr>
          </w:p>
        </w:tc>
        <w:tc>
          <w:tcPr>
            <w:tcW w:w="2251" w:type="dxa"/>
            <w:vMerge/>
            <w:shd w:val="clear" w:color="auto" w:fill="FFFFFF" w:themeFill="background1"/>
          </w:tcPr>
          <w:p w14:paraId="4F7ACBDA" w14:textId="77777777" w:rsidR="00224BBA" w:rsidRPr="00E90B70" w:rsidRDefault="00224BBA" w:rsidP="00224BBA">
            <w:pPr>
              <w:rPr>
                <w:sz w:val="18"/>
                <w:szCs w:val="18"/>
              </w:rPr>
            </w:pPr>
          </w:p>
        </w:tc>
        <w:tc>
          <w:tcPr>
            <w:tcW w:w="1701" w:type="dxa"/>
            <w:vMerge/>
            <w:shd w:val="clear" w:color="auto" w:fill="FFFFFF" w:themeFill="background1"/>
          </w:tcPr>
          <w:p w14:paraId="34EB4682" w14:textId="77777777" w:rsidR="00224BBA" w:rsidRDefault="00224BBA" w:rsidP="00224BBA">
            <w:pPr>
              <w:rPr>
                <w:sz w:val="18"/>
                <w:szCs w:val="18"/>
              </w:rPr>
            </w:pPr>
          </w:p>
        </w:tc>
        <w:tc>
          <w:tcPr>
            <w:tcW w:w="1965" w:type="dxa"/>
            <w:shd w:val="clear" w:color="auto" w:fill="FFFFFF" w:themeFill="background1"/>
          </w:tcPr>
          <w:p w14:paraId="40FCBAAD" w14:textId="77777777" w:rsidR="00224BBA" w:rsidRPr="0052124B" w:rsidRDefault="00224BBA" w:rsidP="00224BBA">
            <w:pPr>
              <w:ind w:left="0"/>
              <w:rPr>
                <w:sz w:val="18"/>
                <w:szCs w:val="18"/>
              </w:rPr>
            </w:pPr>
            <w:r w:rsidRPr="0052124B">
              <w:rPr>
                <w:sz w:val="18"/>
                <w:szCs w:val="18"/>
              </w:rPr>
              <w:t>Vitamin B6</w:t>
            </w:r>
          </w:p>
        </w:tc>
        <w:tc>
          <w:tcPr>
            <w:tcW w:w="1051" w:type="dxa"/>
            <w:shd w:val="clear" w:color="auto" w:fill="FFFFFF" w:themeFill="background1"/>
          </w:tcPr>
          <w:p w14:paraId="3A924355" w14:textId="77777777" w:rsidR="00224BBA" w:rsidRPr="0052124B" w:rsidRDefault="00224BBA" w:rsidP="00224BBA">
            <w:pPr>
              <w:ind w:left="0"/>
              <w:jc w:val="center"/>
              <w:rPr>
                <w:sz w:val="18"/>
                <w:szCs w:val="18"/>
              </w:rPr>
            </w:pPr>
            <w:r w:rsidRPr="0052124B">
              <w:rPr>
                <w:sz w:val="18"/>
                <w:szCs w:val="18"/>
              </w:rPr>
              <w:t>1.2</w:t>
            </w:r>
          </w:p>
        </w:tc>
        <w:tc>
          <w:tcPr>
            <w:tcW w:w="1169" w:type="dxa"/>
            <w:shd w:val="clear" w:color="auto" w:fill="FFFFFF" w:themeFill="background1"/>
          </w:tcPr>
          <w:p w14:paraId="182DEE78" w14:textId="77777777" w:rsidR="00224BBA" w:rsidRPr="0052124B" w:rsidRDefault="00224BBA" w:rsidP="00224BBA">
            <w:pPr>
              <w:ind w:left="0"/>
              <w:jc w:val="center"/>
              <w:rPr>
                <w:sz w:val="18"/>
                <w:szCs w:val="18"/>
              </w:rPr>
            </w:pPr>
            <w:r w:rsidRPr="0052124B">
              <w:rPr>
                <w:sz w:val="18"/>
                <w:szCs w:val="18"/>
              </w:rPr>
              <w:t>1.4</w:t>
            </w:r>
          </w:p>
        </w:tc>
        <w:tc>
          <w:tcPr>
            <w:tcW w:w="1564" w:type="dxa"/>
            <w:tcBorders>
              <w:right w:val="single" w:sz="4" w:space="0" w:color="auto"/>
            </w:tcBorders>
            <w:shd w:val="clear" w:color="auto" w:fill="FFFFFF" w:themeFill="background1"/>
          </w:tcPr>
          <w:p w14:paraId="35223C39" w14:textId="77777777" w:rsidR="00224BBA" w:rsidRPr="0052124B" w:rsidRDefault="00224BBA" w:rsidP="00224BBA">
            <w:pPr>
              <w:ind w:left="0"/>
              <w:jc w:val="center"/>
              <w:rPr>
                <w:sz w:val="18"/>
                <w:szCs w:val="18"/>
              </w:rPr>
            </w:pPr>
            <w:r w:rsidRPr="0052124B">
              <w:rPr>
                <w:sz w:val="18"/>
                <w:szCs w:val="18"/>
              </w:rPr>
              <w:t>17</w:t>
            </w:r>
          </w:p>
        </w:tc>
      </w:tr>
      <w:tr w:rsidR="00224BBA" w:rsidRPr="0052124B" w14:paraId="696AE3C6" w14:textId="77777777" w:rsidTr="00610F7F">
        <w:trPr>
          <w:trHeight w:val="134"/>
        </w:trPr>
        <w:tc>
          <w:tcPr>
            <w:tcW w:w="1806" w:type="dxa"/>
            <w:vMerge/>
            <w:tcBorders>
              <w:left w:val="single" w:sz="4" w:space="0" w:color="auto"/>
            </w:tcBorders>
            <w:shd w:val="clear" w:color="auto" w:fill="FFFFFF" w:themeFill="background1"/>
          </w:tcPr>
          <w:p w14:paraId="606DC238" w14:textId="77777777" w:rsidR="00224BBA" w:rsidRPr="00E90B70" w:rsidRDefault="00224BBA" w:rsidP="00224BBA">
            <w:pPr>
              <w:rPr>
                <w:sz w:val="18"/>
                <w:szCs w:val="18"/>
              </w:rPr>
            </w:pPr>
          </w:p>
        </w:tc>
        <w:tc>
          <w:tcPr>
            <w:tcW w:w="1556" w:type="dxa"/>
            <w:vMerge/>
            <w:shd w:val="clear" w:color="auto" w:fill="FFFFFF" w:themeFill="background1"/>
          </w:tcPr>
          <w:p w14:paraId="6DC0D3C1" w14:textId="77777777" w:rsidR="00224BBA" w:rsidRPr="00E90B70" w:rsidRDefault="00224BBA" w:rsidP="00224BBA">
            <w:pPr>
              <w:rPr>
                <w:sz w:val="18"/>
                <w:szCs w:val="18"/>
              </w:rPr>
            </w:pPr>
          </w:p>
        </w:tc>
        <w:tc>
          <w:tcPr>
            <w:tcW w:w="2251" w:type="dxa"/>
            <w:vMerge/>
            <w:shd w:val="clear" w:color="auto" w:fill="FFFFFF" w:themeFill="background1"/>
          </w:tcPr>
          <w:p w14:paraId="19888528" w14:textId="77777777" w:rsidR="00224BBA" w:rsidRPr="00E90B70" w:rsidRDefault="00224BBA" w:rsidP="00224BBA">
            <w:pPr>
              <w:rPr>
                <w:sz w:val="18"/>
                <w:szCs w:val="18"/>
              </w:rPr>
            </w:pPr>
          </w:p>
        </w:tc>
        <w:tc>
          <w:tcPr>
            <w:tcW w:w="1701" w:type="dxa"/>
            <w:vMerge/>
            <w:shd w:val="clear" w:color="auto" w:fill="FFFFFF" w:themeFill="background1"/>
          </w:tcPr>
          <w:p w14:paraId="256914B1" w14:textId="77777777" w:rsidR="00224BBA" w:rsidRDefault="00224BBA" w:rsidP="00224BBA">
            <w:pPr>
              <w:rPr>
                <w:sz w:val="18"/>
                <w:szCs w:val="18"/>
              </w:rPr>
            </w:pPr>
          </w:p>
        </w:tc>
        <w:tc>
          <w:tcPr>
            <w:tcW w:w="1965" w:type="dxa"/>
            <w:shd w:val="clear" w:color="auto" w:fill="D9D9D9" w:themeFill="background1" w:themeFillShade="D9"/>
          </w:tcPr>
          <w:p w14:paraId="4B4B96E1" w14:textId="77777777" w:rsidR="00224BBA" w:rsidRPr="0052124B" w:rsidRDefault="00224BBA" w:rsidP="00224BBA">
            <w:pPr>
              <w:ind w:left="0"/>
              <w:rPr>
                <w:sz w:val="18"/>
                <w:szCs w:val="18"/>
              </w:rPr>
            </w:pPr>
            <w:r w:rsidRPr="0052124B">
              <w:rPr>
                <w:sz w:val="18"/>
                <w:szCs w:val="18"/>
              </w:rPr>
              <w:t xml:space="preserve">Folate, </w:t>
            </w:r>
            <w:r w:rsidRPr="0052124B">
              <w:rPr>
                <w:sz w:val="18"/>
                <w:szCs w:val="18"/>
              </w:rPr>
              <w:sym w:font="Symbol" w:char="F06D"/>
            </w:r>
            <w:r w:rsidRPr="0052124B">
              <w:rPr>
                <w:sz w:val="18"/>
                <w:szCs w:val="18"/>
              </w:rPr>
              <w:t>g</w:t>
            </w:r>
          </w:p>
        </w:tc>
        <w:tc>
          <w:tcPr>
            <w:tcW w:w="1051" w:type="dxa"/>
            <w:shd w:val="clear" w:color="auto" w:fill="D9D9D9" w:themeFill="background1" w:themeFillShade="D9"/>
          </w:tcPr>
          <w:p w14:paraId="2DE801A4" w14:textId="77777777" w:rsidR="00224BBA" w:rsidRPr="0052124B" w:rsidRDefault="00224BBA" w:rsidP="00224BBA">
            <w:pPr>
              <w:ind w:left="0"/>
              <w:jc w:val="center"/>
              <w:rPr>
                <w:sz w:val="18"/>
                <w:szCs w:val="18"/>
              </w:rPr>
            </w:pPr>
            <w:r w:rsidRPr="0052124B">
              <w:rPr>
                <w:sz w:val="18"/>
                <w:szCs w:val="18"/>
              </w:rPr>
              <w:t>121</w:t>
            </w:r>
          </w:p>
        </w:tc>
        <w:tc>
          <w:tcPr>
            <w:tcW w:w="1169" w:type="dxa"/>
            <w:shd w:val="clear" w:color="auto" w:fill="D9D9D9" w:themeFill="background1" w:themeFillShade="D9"/>
          </w:tcPr>
          <w:p w14:paraId="3893CA7E" w14:textId="77777777" w:rsidR="00224BBA" w:rsidRPr="0052124B" w:rsidRDefault="00224BBA" w:rsidP="00224BBA">
            <w:pPr>
              <w:ind w:left="0"/>
              <w:jc w:val="center"/>
              <w:rPr>
                <w:sz w:val="18"/>
                <w:szCs w:val="18"/>
              </w:rPr>
            </w:pPr>
            <w:r w:rsidRPr="0052124B">
              <w:rPr>
                <w:sz w:val="18"/>
                <w:szCs w:val="18"/>
              </w:rPr>
              <w:t>157</w:t>
            </w:r>
          </w:p>
        </w:tc>
        <w:tc>
          <w:tcPr>
            <w:tcW w:w="1564" w:type="dxa"/>
            <w:tcBorders>
              <w:right w:val="single" w:sz="4" w:space="0" w:color="auto"/>
            </w:tcBorders>
            <w:shd w:val="clear" w:color="auto" w:fill="D9D9D9" w:themeFill="background1" w:themeFillShade="D9"/>
          </w:tcPr>
          <w:p w14:paraId="18CC1C6B" w14:textId="77777777" w:rsidR="00224BBA" w:rsidRPr="0052124B" w:rsidRDefault="00224BBA" w:rsidP="00224BBA">
            <w:pPr>
              <w:ind w:left="0"/>
              <w:jc w:val="center"/>
              <w:rPr>
                <w:sz w:val="18"/>
                <w:szCs w:val="18"/>
              </w:rPr>
            </w:pPr>
            <w:r w:rsidRPr="0052124B">
              <w:rPr>
                <w:sz w:val="18"/>
                <w:szCs w:val="18"/>
              </w:rPr>
              <w:t>31</w:t>
            </w:r>
          </w:p>
        </w:tc>
      </w:tr>
      <w:tr w:rsidR="00224BBA" w:rsidRPr="0052124B" w14:paraId="2579E722" w14:textId="77777777" w:rsidTr="00610F7F">
        <w:trPr>
          <w:trHeight w:val="179"/>
        </w:trPr>
        <w:tc>
          <w:tcPr>
            <w:tcW w:w="1806" w:type="dxa"/>
            <w:vMerge/>
            <w:tcBorders>
              <w:left w:val="single" w:sz="4" w:space="0" w:color="auto"/>
            </w:tcBorders>
            <w:shd w:val="clear" w:color="auto" w:fill="FFFFFF" w:themeFill="background1"/>
          </w:tcPr>
          <w:p w14:paraId="44B117E5" w14:textId="77777777" w:rsidR="00224BBA" w:rsidRPr="00E90B70" w:rsidRDefault="00224BBA" w:rsidP="00224BBA">
            <w:pPr>
              <w:rPr>
                <w:sz w:val="18"/>
                <w:szCs w:val="18"/>
              </w:rPr>
            </w:pPr>
          </w:p>
        </w:tc>
        <w:tc>
          <w:tcPr>
            <w:tcW w:w="1556" w:type="dxa"/>
            <w:vMerge/>
            <w:shd w:val="clear" w:color="auto" w:fill="FFFFFF" w:themeFill="background1"/>
          </w:tcPr>
          <w:p w14:paraId="58EE746C" w14:textId="77777777" w:rsidR="00224BBA" w:rsidRPr="00E90B70" w:rsidRDefault="00224BBA" w:rsidP="00224BBA">
            <w:pPr>
              <w:rPr>
                <w:sz w:val="18"/>
                <w:szCs w:val="18"/>
              </w:rPr>
            </w:pPr>
          </w:p>
        </w:tc>
        <w:tc>
          <w:tcPr>
            <w:tcW w:w="2251" w:type="dxa"/>
            <w:vMerge/>
            <w:shd w:val="clear" w:color="auto" w:fill="FFFFFF" w:themeFill="background1"/>
          </w:tcPr>
          <w:p w14:paraId="4EF530F8" w14:textId="77777777" w:rsidR="00224BBA" w:rsidRPr="00E90B70" w:rsidRDefault="00224BBA" w:rsidP="00224BBA">
            <w:pPr>
              <w:rPr>
                <w:sz w:val="18"/>
                <w:szCs w:val="18"/>
              </w:rPr>
            </w:pPr>
          </w:p>
        </w:tc>
        <w:tc>
          <w:tcPr>
            <w:tcW w:w="1701" w:type="dxa"/>
            <w:vMerge/>
            <w:shd w:val="clear" w:color="auto" w:fill="FFFFFF" w:themeFill="background1"/>
          </w:tcPr>
          <w:p w14:paraId="2F647CDA" w14:textId="77777777" w:rsidR="00224BBA" w:rsidRDefault="00224BBA" w:rsidP="00224BBA">
            <w:pPr>
              <w:rPr>
                <w:sz w:val="18"/>
                <w:szCs w:val="18"/>
              </w:rPr>
            </w:pPr>
          </w:p>
        </w:tc>
        <w:tc>
          <w:tcPr>
            <w:tcW w:w="1965" w:type="dxa"/>
            <w:shd w:val="clear" w:color="auto" w:fill="FFFFFF" w:themeFill="background1"/>
          </w:tcPr>
          <w:p w14:paraId="3D167A1B" w14:textId="77777777" w:rsidR="00224BBA" w:rsidRPr="0052124B" w:rsidRDefault="00224BBA" w:rsidP="00224BBA">
            <w:pPr>
              <w:ind w:left="0"/>
              <w:rPr>
                <w:sz w:val="18"/>
                <w:szCs w:val="18"/>
              </w:rPr>
            </w:pPr>
            <w:r w:rsidRPr="0052124B">
              <w:rPr>
                <w:sz w:val="18"/>
                <w:szCs w:val="18"/>
              </w:rPr>
              <w:t>Vitamin C, mg</w:t>
            </w:r>
          </w:p>
        </w:tc>
        <w:tc>
          <w:tcPr>
            <w:tcW w:w="1051" w:type="dxa"/>
            <w:shd w:val="clear" w:color="auto" w:fill="FFFFFF" w:themeFill="background1"/>
          </w:tcPr>
          <w:p w14:paraId="22573F84" w14:textId="77777777" w:rsidR="00224BBA" w:rsidRPr="0052124B" w:rsidRDefault="00224BBA" w:rsidP="00224BBA">
            <w:pPr>
              <w:ind w:left="0"/>
              <w:jc w:val="center"/>
              <w:rPr>
                <w:sz w:val="18"/>
                <w:szCs w:val="18"/>
              </w:rPr>
            </w:pPr>
            <w:r w:rsidRPr="0052124B">
              <w:rPr>
                <w:sz w:val="18"/>
                <w:szCs w:val="18"/>
              </w:rPr>
              <w:t>42</w:t>
            </w:r>
          </w:p>
        </w:tc>
        <w:tc>
          <w:tcPr>
            <w:tcW w:w="1169" w:type="dxa"/>
            <w:shd w:val="clear" w:color="auto" w:fill="FFFFFF" w:themeFill="background1"/>
          </w:tcPr>
          <w:p w14:paraId="082C7F67" w14:textId="77777777" w:rsidR="00224BBA" w:rsidRPr="0052124B" w:rsidRDefault="00224BBA" w:rsidP="00224BBA">
            <w:pPr>
              <w:ind w:left="0"/>
              <w:jc w:val="center"/>
              <w:rPr>
                <w:sz w:val="18"/>
                <w:szCs w:val="18"/>
              </w:rPr>
            </w:pPr>
            <w:r w:rsidRPr="0052124B">
              <w:rPr>
                <w:sz w:val="18"/>
                <w:szCs w:val="18"/>
              </w:rPr>
              <w:t>65</w:t>
            </w:r>
          </w:p>
        </w:tc>
        <w:tc>
          <w:tcPr>
            <w:tcW w:w="1564" w:type="dxa"/>
            <w:tcBorders>
              <w:right w:val="single" w:sz="4" w:space="0" w:color="auto"/>
            </w:tcBorders>
            <w:shd w:val="clear" w:color="auto" w:fill="FFFFFF" w:themeFill="background1"/>
          </w:tcPr>
          <w:p w14:paraId="2E203ABB" w14:textId="77777777" w:rsidR="00224BBA" w:rsidRPr="0052124B" w:rsidRDefault="00224BBA" w:rsidP="00224BBA">
            <w:pPr>
              <w:ind w:left="0"/>
              <w:jc w:val="center"/>
              <w:rPr>
                <w:sz w:val="18"/>
                <w:szCs w:val="18"/>
              </w:rPr>
            </w:pPr>
            <w:r w:rsidRPr="0052124B">
              <w:rPr>
                <w:sz w:val="18"/>
                <w:szCs w:val="18"/>
              </w:rPr>
              <w:t>55</w:t>
            </w:r>
          </w:p>
        </w:tc>
      </w:tr>
      <w:tr w:rsidR="00224BBA" w:rsidRPr="0052124B" w14:paraId="4C4D86D9" w14:textId="77777777" w:rsidTr="00610F7F">
        <w:trPr>
          <w:trHeight w:val="125"/>
        </w:trPr>
        <w:tc>
          <w:tcPr>
            <w:tcW w:w="1806" w:type="dxa"/>
            <w:vMerge/>
            <w:tcBorders>
              <w:left w:val="single" w:sz="4" w:space="0" w:color="auto"/>
            </w:tcBorders>
            <w:shd w:val="clear" w:color="auto" w:fill="FFFFFF" w:themeFill="background1"/>
          </w:tcPr>
          <w:p w14:paraId="50A4DCF7" w14:textId="77777777" w:rsidR="00224BBA" w:rsidRPr="00E90B70" w:rsidRDefault="00224BBA" w:rsidP="00224BBA">
            <w:pPr>
              <w:rPr>
                <w:sz w:val="18"/>
                <w:szCs w:val="18"/>
              </w:rPr>
            </w:pPr>
          </w:p>
        </w:tc>
        <w:tc>
          <w:tcPr>
            <w:tcW w:w="1556" w:type="dxa"/>
            <w:vMerge/>
            <w:shd w:val="clear" w:color="auto" w:fill="FFFFFF" w:themeFill="background1"/>
          </w:tcPr>
          <w:p w14:paraId="5FBDD2DC" w14:textId="77777777" w:rsidR="00224BBA" w:rsidRPr="00E90B70" w:rsidRDefault="00224BBA" w:rsidP="00224BBA">
            <w:pPr>
              <w:rPr>
                <w:sz w:val="18"/>
                <w:szCs w:val="18"/>
              </w:rPr>
            </w:pPr>
          </w:p>
        </w:tc>
        <w:tc>
          <w:tcPr>
            <w:tcW w:w="2251" w:type="dxa"/>
            <w:vMerge/>
            <w:shd w:val="clear" w:color="auto" w:fill="FFFFFF" w:themeFill="background1"/>
          </w:tcPr>
          <w:p w14:paraId="104F27AD" w14:textId="77777777" w:rsidR="00224BBA" w:rsidRPr="00E90B70" w:rsidRDefault="00224BBA" w:rsidP="00224BBA">
            <w:pPr>
              <w:rPr>
                <w:sz w:val="18"/>
                <w:szCs w:val="18"/>
              </w:rPr>
            </w:pPr>
          </w:p>
        </w:tc>
        <w:tc>
          <w:tcPr>
            <w:tcW w:w="1701" w:type="dxa"/>
            <w:vMerge/>
            <w:shd w:val="clear" w:color="auto" w:fill="FFFFFF" w:themeFill="background1"/>
          </w:tcPr>
          <w:p w14:paraId="47B1E4F3" w14:textId="77777777" w:rsidR="00224BBA" w:rsidRDefault="00224BBA" w:rsidP="00224BBA">
            <w:pPr>
              <w:rPr>
                <w:sz w:val="18"/>
                <w:szCs w:val="18"/>
              </w:rPr>
            </w:pPr>
          </w:p>
        </w:tc>
        <w:tc>
          <w:tcPr>
            <w:tcW w:w="1965" w:type="dxa"/>
            <w:shd w:val="clear" w:color="auto" w:fill="D9D9D9" w:themeFill="background1" w:themeFillShade="D9"/>
          </w:tcPr>
          <w:p w14:paraId="0EA91499" w14:textId="77777777" w:rsidR="00224BBA" w:rsidRPr="0052124B" w:rsidRDefault="00224BBA" w:rsidP="00224BBA">
            <w:pPr>
              <w:ind w:left="0"/>
              <w:rPr>
                <w:sz w:val="18"/>
                <w:szCs w:val="18"/>
              </w:rPr>
            </w:pPr>
            <w:r w:rsidRPr="0052124B">
              <w:rPr>
                <w:sz w:val="18"/>
                <w:szCs w:val="18"/>
              </w:rPr>
              <w:t>Calcium, mg</w:t>
            </w:r>
          </w:p>
        </w:tc>
        <w:tc>
          <w:tcPr>
            <w:tcW w:w="1051" w:type="dxa"/>
            <w:shd w:val="clear" w:color="auto" w:fill="D9D9D9" w:themeFill="background1" w:themeFillShade="D9"/>
          </w:tcPr>
          <w:p w14:paraId="0787EEA7" w14:textId="77777777" w:rsidR="00224BBA" w:rsidRPr="0052124B" w:rsidRDefault="00224BBA" w:rsidP="00224BBA">
            <w:pPr>
              <w:ind w:left="0"/>
              <w:jc w:val="center"/>
              <w:rPr>
                <w:sz w:val="18"/>
                <w:szCs w:val="18"/>
              </w:rPr>
            </w:pPr>
            <w:r w:rsidRPr="0052124B">
              <w:rPr>
                <w:sz w:val="18"/>
                <w:szCs w:val="18"/>
              </w:rPr>
              <w:t>274</w:t>
            </w:r>
          </w:p>
        </w:tc>
        <w:tc>
          <w:tcPr>
            <w:tcW w:w="1169" w:type="dxa"/>
            <w:shd w:val="clear" w:color="auto" w:fill="D9D9D9" w:themeFill="background1" w:themeFillShade="D9"/>
          </w:tcPr>
          <w:p w14:paraId="04DB3192" w14:textId="77777777" w:rsidR="00224BBA" w:rsidRPr="0052124B" w:rsidRDefault="00224BBA" w:rsidP="00224BBA">
            <w:pPr>
              <w:ind w:left="0"/>
              <w:jc w:val="center"/>
              <w:rPr>
                <w:sz w:val="18"/>
                <w:szCs w:val="18"/>
              </w:rPr>
            </w:pPr>
            <w:r w:rsidRPr="0052124B">
              <w:rPr>
                <w:sz w:val="18"/>
                <w:szCs w:val="18"/>
              </w:rPr>
              <w:t>343</w:t>
            </w:r>
          </w:p>
        </w:tc>
        <w:tc>
          <w:tcPr>
            <w:tcW w:w="1564" w:type="dxa"/>
            <w:tcBorders>
              <w:right w:val="single" w:sz="4" w:space="0" w:color="auto"/>
            </w:tcBorders>
            <w:shd w:val="clear" w:color="auto" w:fill="D9D9D9" w:themeFill="background1" w:themeFillShade="D9"/>
          </w:tcPr>
          <w:p w14:paraId="68096AA7" w14:textId="77777777" w:rsidR="00224BBA" w:rsidRPr="0052124B" w:rsidRDefault="00224BBA" w:rsidP="00224BBA">
            <w:pPr>
              <w:ind w:left="0"/>
              <w:jc w:val="center"/>
              <w:rPr>
                <w:sz w:val="18"/>
                <w:szCs w:val="18"/>
              </w:rPr>
            </w:pPr>
            <w:r w:rsidRPr="0052124B">
              <w:rPr>
                <w:sz w:val="18"/>
                <w:szCs w:val="18"/>
              </w:rPr>
              <w:t>25</w:t>
            </w:r>
          </w:p>
        </w:tc>
      </w:tr>
      <w:tr w:rsidR="00224BBA" w:rsidRPr="0052124B" w14:paraId="3D74B461" w14:textId="77777777" w:rsidTr="00610F7F">
        <w:trPr>
          <w:trHeight w:val="170"/>
        </w:trPr>
        <w:tc>
          <w:tcPr>
            <w:tcW w:w="1806" w:type="dxa"/>
            <w:vMerge/>
            <w:tcBorders>
              <w:left w:val="single" w:sz="4" w:space="0" w:color="auto"/>
            </w:tcBorders>
            <w:shd w:val="clear" w:color="auto" w:fill="FFFFFF" w:themeFill="background1"/>
          </w:tcPr>
          <w:p w14:paraId="553B082D" w14:textId="77777777" w:rsidR="00224BBA" w:rsidRPr="00E90B70" w:rsidRDefault="00224BBA" w:rsidP="00224BBA">
            <w:pPr>
              <w:rPr>
                <w:sz w:val="18"/>
                <w:szCs w:val="18"/>
              </w:rPr>
            </w:pPr>
          </w:p>
        </w:tc>
        <w:tc>
          <w:tcPr>
            <w:tcW w:w="1556" w:type="dxa"/>
            <w:vMerge/>
            <w:shd w:val="clear" w:color="auto" w:fill="FFFFFF" w:themeFill="background1"/>
          </w:tcPr>
          <w:p w14:paraId="54B57BEA" w14:textId="77777777" w:rsidR="00224BBA" w:rsidRPr="00E90B70" w:rsidRDefault="00224BBA" w:rsidP="00224BBA">
            <w:pPr>
              <w:rPr>
                <w:sz w:val="18"/>
                <w:szCs w:val="18"/>
              </w:rPr>
            </w:pPr>
          </w:p>
        </w:tc>
        <w:tc>
          <w:tcPr>
            <w:tcW w:w="2251" w:type="dxa"/>
            <w:vMerge/>
            <w:shd w:val="clear" w:color="auto" w:fill="FFFFFF" w:themeFill="background1"/>
          </w:tcPr>
          <w:p w14:paraId="515FAA7B" w14:textId="77777777" w:rsidR="00224BBA" w:rsidRPr="00E90B70" w:rsidRDefault="00224BBA" w:rsidP="00224BBA">
            <w:pPr>
              <w:rPr>
                <w:sz w:val="18"/>
                <w:szCs w:val="18"/>
              </w:rPr>
            </w:pPr>
          </w:p>
        </w:tc>
        <w:tc>
          <w:tcPr>
            <w:tcW w:w="1701" w:type="dxa"/>
            <w:vMerge/>
            <w:shd w:val="clear" w:color="auto" w:fill="FFFFFF" w:themeFill="background1"/>
          </w:tcPr>
          <w:p w14:paraId="5E1C0ECB" w14:textId="77777777" w:rsidR="00224BBA" w:rsidRDefault="00224BBA" w:rsidP="00224BBA">
            <w:pPr>
              <w:rPr>
                <w:sz w:val="18"/>
                <w:szCs w:val="18"/>
              </w:rPr>
            </w:pPr>
          </w:p>
        </w:tc>
        <w:tc>
          <w:tcPr>
            <w:tcW w:w="1965" w:type="dxa"/>
            <w:shd w:val="clear" w:color="auto" w:fill="FFFFFF" w:themeFill="background1"/>
          </w:tcPr>
          <w:p w14:paraId="757060FA" w14:textId="77777777" w:rsidR="00224BBA" w:rsidRPr="0052124B" w:rsidRDefault="00224BBA" w:rsidP="00224BBA">
            <w:pPr>
              <w:ind w:left="0"/>
              <w:rPr>
                <w:sz w:val="18"/>
                <w:szCs w:val="18"/>
              </w:rPr>
            </w:pPr>
            <w:r w:rsidRPr="0052124B">
              <w:rPr>
                <w:sz w:val="18"/>
                <w:szCs w:val="18"/>
              </w:rPr>
              <w:t>Iron, mg</w:t>
            </w:r>
          </w:p>
        </w:tc>
        <w:tc>
          <w:tcPr>
            <w:tcW w:w="1051" w:type="dxa"/>
            <w:shd w:val="clear" w:color="auto" w:fill="FFFFFF" w:themeFill="background1"/>
          </w:tcPr>
          <w:p w14:paraId="734551DA" w14:textId="77777777" w:rsidR="00224BBA" w:rsidRPr="0052124B" w:rsidRDefault="00224BBA" w:rsidP="00224BBA">
            <w:pPr>
              <w:ind w:left="0"/>
              <w:jc w:val="center"/>
              <w:rPr>
                <w:sz w:val="18"/>
                <w:szCs w:val="18"/>
              </w:rPr>
            </w:pPr>
            <w:r w:rsidRPr="0052124B">
              <w:rPr>
                <w:sz w:val="18"/>
                <w:szCs w:val="18"/>
              </w:rPr>
              <w:t>9.9</w:t>
            </w:r>
          </w:p>
        </w:tc>
        <w:tc>
          <w:tcPr>
            <w:tcW w:w="1169" w:type="dxa"/>
            <w:shd w:val="clear" w:color="auto" w:fill="FFFFFF" w:themeFill="background1"/>
          </w:tcPr>
          <w:p w14:paraId="4561FBED" w14:textId="77777777" w:rsidR="00224BBA" w:rsidRPr="0052124B" w:rsidRDefault="00224BBA" w:rsidP="00224BBA">
            <w:pPr>
              <w:ind w:left="0"/>
              <w:jc w:val="center"/>
              <w:rPr>
                <w:sz w:val="18"/>
                <w:szCs w:val="18"/>
              </w:rPr>
            </w:pPr>
            <w:r w:rsidRPr="0052124B">
              <w:rPr>
                <w:sz w:val="18"/>
                <w:szCs w:val="18"/>
              </w:rPr>
              <w:t>12</w:t>
            </w:r>
          </w:p>
        </w:tc>
        <w:tc>
          <w:tcPr>
            <w:tcW w:w="1564" w:type="dxa"/>
            <w:tcBorders>
              <w:right w:val="single" w:sz="4" w:space="0" w:color="auto"/>
            </w:tcBorders>
            <w:shd w:val="clear" w:color="auto" w:fill="FFFFFF" w:themeFill="background1"/>
          </w:tcPr>
          <w:p w14:paraId="5B0A83F2" w14:textId="77777777" w:rsidR="00224BBA" w:rsidRPr="0052124B" w:rsidRDefault="00224BBA" w:rsidP="00224BBA">
            <w:pPr>
              <w:ind w:left="0"/>
              <w:jc w:val="center"/>
              <w:rPr>
                <w:sz w:val="18"/>
                <w:szCs w:val="18"/>
              </w:rPr>
            </w:pPr>
            <w:r w:rsidRPr="0052124B">
              <w:rPr>
                <w:sz w:val="18"/>
                <w:szCs w:val="18"/>
              </w:rPr>
              <w:t>21</w:t>
            </w:r>
          </w:p>
        </w:tc>
      </w:tr>
      <w:tr w:rsidR="00224BBA" w:rsidRPr="0052124B" w14:paraId="162D308A" w14:textId="77777777" w:rsidTr="00610F7F">
        <w:trPr>
          <w:trHeight w:val="197"/>
        </w:trPr>
        <w:tc>
          <w:tcPr>
            <w:tcW w:w="1806" w:type="dxa"/>
            <w:vMerge/>
            <w:tcBorders>
              <w:left w:val="single" w:sz="4" w:space="0" w:color="auto"/>
            </w:tcBorders>
            <w:shd w:val="clear" w:color="auto" w:fill="FFFFFF" w:themeFill="background1"/>
          </w:tcPr>
          <w:p w14:paraId="4138C26F" w14:textId="77777777" w:rsidR="00224BBA" w:rsidRPr="00E90B70" w:rsidRDefault="00224BBA" w:rsidP="00224BBA">
            <w:pPr>
              <w:rPr>
                <w:sz w:val="18"/>
                <w:szCs w:val="18"/>
              </w:rPr>
            </w:pPr>
          </w:p>
        </w:tc>
        <w:tc>
          <w:tcPr>
            <w:tcW w:w="1556" w:type="dxa"/>
            <w:vMerge/>
            <w:shd w:val="clear" w:color="auto" w:fill="FFFFFF" w:themeFill="background1"/>
          </w:tcPr>
          <w:p w14:paraId="3987E3F5" w14:textId="77777777" w:rsidR="00224BBA" w:rsidRPr="00E90B70" w:rsidRDefault="00224BBA" w:rsidP="00224BBA">
            <w:pPr>
              <w:rPr>
                <w:sz w:val="18"/>
                <w:szCs w:val="18"/>
              </w:rPr>
            </w:pPr>
          </w:p>
        </w:tc>
        <w:tc>
          <w:tcPr>
            <w:tcW w:w="2251" w:type="dxa"/>
            <w:vMerge/>
            <w:shd w:val="clear" w:color="auto" w:fill="FFFFFF" w:themeFill="background1"/>
          </w:tcPr>
          <w:p w14:paraId="2D40FA5B" w14:textId="77777777" w:rsidR="00224BBA" w:rsidRPr="00E90B70" w:rsidRDefault="00224BBA" w:rsidP="00224BBA">
            <w:pPr>
              <w:rPr>
                <w:sz w:val="18"/>
                <w:szCs w:val="18"/>
              </w:rPr>
            </w:pPr>
          </w:p>
        </w:tc>
        <w:tc>
          <w:tcPr>
            <w:tcW w:w="1701" w:type="dxa"/>
            <w:vMerge/>
            <w:shd w:val="clear" w:color="auto" w:fill="FFFFFF" w:themeFill="background1"/>
          </w:tcPr>
          <w:p w14:paraId="30D1526C" w14:textId="77777777" w:rsidR="00224BBA" w:rsidRDefault="00224BBA" w:rsidP="00224BBA">
            <w:pPr>
              <w:rPr>
                <w:sz w:val="18"/>
                <w:szCs w:val="18"/>
              </w:rPr>
            </w:pPr>
          </w:p>
        </w:tc>
        <w:tc>
          <w:tcPr>
            <w:tcW w:w="1965" w:type="dxa"/>
            <w:shd w:val="clear" w:color="auto" w:fill="D9D9D9" w:themeFill="background1" w:themeFillShade="D9"/>
          </w:tcPr>
          <w:p w14:paraId="6953B925" w14:textId="77777777" w:rsidR="00224BBA" w:rsidRPr="0052124B" w:rsidRDefault="00224BBA" w:rsidP="00224BBA">
            <w:pPr>
              <w:ind w:left="0"/>
              <w:rPr>
                <w:sz w:val="18"/>
                <w:szCs w:val="18"/>
              </w:rPr>
            </w:pPr>
            <w:r w:rsidRPr="0052124B">
              <w:rPr>
                <w:sz w:val="18"/>
                <w:szCs w:val="18"/>
              </w:rPr>
              <w:t>Sodium, mg</w:t>
            </w:r>
          </w:p>
        </w:tc>
        <w:tc>
          <w:tcPr>
            <w:tcW w:w="1051" w:type="dxa"/>
            <w:shd w:val="clear" w:color="auto" w:fill="D9D9D9" w:themeFill="background1" w:themeFillShade="D9"/>
          </w:tcPr>
          <w:p w14:paraId="4BF2BE52" w14:textId="77777777" w:rsidR="00224BBA" w:rsidRPr="0052124B" w:rsidRDefault="00224BBA" w:rsidP="00224BBA">
            <w:pPr>
              <w:ind w:left="0"/>
              <w:jc w:val="center"/>
              <w:rPr>
                <w:sz w:val="18"/>
                <w:szCs w:val="18"/>
              </w:rPr>
            </w:pPr>
            <w:r w:rsidRPr="0052124B">
              <w:rPr>
                <w:sz w:val="18"/>
                <w:szCs w:val="18"/>
              </w:rPr>
              <w:t>4225</w:t>
            </w:r>
          </w:p>
        </w:tc>
        <w:tc>
          <w:tcPr>
            <w:tcW w:w="1169" w:type="dxa"/>
            <w:shd w:val="clear" w:color="auto" w:fill="D9D9D9" w:themeFill="background1" w:themeFillShade="D9"/>
          </w:tcPr>
          <w:p w14:paraId="3A7C2F9F" w14:textId="77777777" w:rsidR="00224BBA" w:rsidRPr="0052124B" w:rsidRDefault="00224BBA" w:rsidP="00224BBA">
            <w:pPr>
              <w:ind w:left="0"/>
              <w:jc w:val="center"/>
              <w:rPr>
                <w:sz w:val="18"/>
                <w:szCs w:val="18"/>
              </w:rPr>
            </w:pPr>
            <w:r w:rsidRPr="0052124B">
              <w:rPr>
                <w:sz w:val="18"/>
                <w:szCs w:val="18"/>
              </w:rPr>
              <w:t>5855</w:t>
            </w:r>
          </w:p>
        </w:tc>
        <w:tc>
          <w:tcPr>
            <w:tcW w:w="1564" w:type="dxa"/>
            <w:tcBorders>
              <w:right w:val="single" w:sz="4" w:space="0" w:color="auto"/>
            </w:tcBorders>
            <w:shd w:val="clear" w:color="auto" w:fill="D9D9D9" w:themeFill="background1" w:themeFillShade="D9"/>
          </w:tcPr>
          <w:p w14:paraId="493BCCD0" w14:textId="77777777" w:rsidR="00224BBA" w:rsidRPr="0052124B" w:rsidRDefault="00224BBA" w:rsidP="00224BBA">
            <w:pPr>
              <w:ind w:left="0"/>
              <w:jc w:val="center"/>
              <w:rPr>
                <w:sz w:val="18"/>
                <w:szCs w:val="18"/>
              </w:rPr>
            </w:pPr>
            <w:r w:rsidRPr="0052124B">
              <w:rPr>
                <w:sz w:val="18"/>
                <w:szCs w:val="18"/>
              </w:rPr>
              <w:t>39</w:t>
            </w:r>
          </w:p>
        </w:tc>
      </w:tr>
      <w:tr w:rsidR="00224BBA" w:rsidRPr="0052124B" w14:paraId="77FB6A48" w14:textId="77777777" w:rsidTr="00610F7F">
        <w:trPr>
          <w:trHeight w:val="161"/>
        </w:trPr>
        <w:tc>
          <w:tcPr>
            <w:tcW w:w="1806" w:type="dxa"/>
            <w:vMerge/>
            <w:tcBorders>
              <w:left w:val="single" w:sz="4" w:space="0" w:color="auto"/>
            </w:tcBorders>
            <w:shd w:val="clear" w:color="auto" w:fill="FFFFFF" w:themeFill="background1"/>
          </w:tcPr>
          <w:p w14:paraId="5EABE3F7" w14:textId="77777777" w:rsidR="00224BBA" w:rsidRPr="00E90B70" w:rsidRDefault="00224BBA" w:rsidP="00224BBA">
            <w:pPr>
              <w:rPr>
                <w:sz w:val="18"/>
                <w:szCs w:val="18"/>
              </w:rPr>
            </w:pPr>
          </w:p>
        </w:tc>
        <w:tc>
          <w:tcPr>
            <w:tcW w:w="1556" w:type="dxa"/>
            <w:vMerge/>
            <w:shd w:val="clear" w:color="auto" w:fill="FFFFFF" w:themeFill="background1"/>
          </w:tcPr>
          <w:p w14:paraId="03555FAA" w14:textId="77777777" w:rsidR="00224BBA" w:rsidRPr="00E90B70" w:rsidRDefault="00224BBA" w:rsidP="00224BBA">
            <w:pPr>
              <w:rPr>
                <w:sz w:val="18"/>
                <w:szCs w:val="18"/>
              </w:rPr>
            </w:pPr>
          </w:p>
        </w:tc>
        <w:tc>
          <w:tcPr>
            <w:tcW w:w="2251" w:type="dxa"/>
            <w:vMerge/>
            <w:shd w:val="clear" w:color="auto" w:fill="FFFFFF" w:themeFill="background1"/>
          </w:tcPr>
          <w:p w14:paraId="7D43A391" w14:textId="77777777" w:rsidR="00224BBA" w:rsidRPr="00E90B70" w:rsidRDefault="00224BBA" w:rsidP="00224BBA">
            <w:pPr>
              <w:rPr>
                <w:sz w:val="18"/>
                <w:szCs w:val="18"/>
              </w:rPr>
            </w:pPr>
          </w:p>
        </w:tc>
        <w:tc>
          <w:tcPr>
            <w:tcW w:w="1701" w:type="dxa"/>
            <w:vMerge/>
            <w:shd w:val="clear" w:color="auto" w:fill="FFFFFF" w:themeFill="background1"/>
          </w:tcPr>
          <w:p w14:paraId="26E6F554" w14:textId="77777777" w:rsidR="00224BBA" w:rsidRDefault="00224BBA" w:rsidP="00224BBA">
            <w:pPr>
              <w:rPr>
                <w:sz w:val="18"/>
                <w:szCs w:val="18"/>
              </w:rPr>
            </w:pPr>
          </w:p>
        </w:tc>
        <w:tc>
          <w:tcPr>
            <w:tcW w:w="1965" w:type="dxa"/>
            <w:shd w:val="clear" w:color="auto" w:fill="FFFFFF" w:themeFill="background1"/>
          </w:tcPr>
          <w:p w14:paraId="055E6778" w14:textId="77777777" w:rsidR="00224BBA" w:rsidRPr="0052124B" w:rsidRDefault="00224BBA" w:rsidP="00224BBA">
            <w:pPr>
              <w:ind w:left="0"/>
              <w:rPr>
                <w:sz w:val="18"/>
                <w:szCs w:val="18"/>
              </w:rPr>
            </w:pPr>
            <w:r w:rsidRPr="0052124B">
              <w:rPr>
                <w:sz w:val="18"/>
                <w:szCs w:val="18"/>
              </w:rPr>
              <w:t>Potassium, mg</w:t>
            </w:r>
          </w:p>
        </w:tc>
        <w:tc>
          <w:tcPr>
            <w:tcW w:w="1051" w:type="dxa"/>
            <w:shd w:val="clear" w:color="auto" w:fill="FFFFFF" w:themeFill="background1"/>
          </w:tcPr>
          <w:p w14:paraId="11B412CE" w14:textId="77777777" w:rsidR="00224BBA" w:rsidRPr="0052124B" w:rsidRDefault="00224BBA" w:rsidP="00224BBA">
            <w:pPr>
              <w:ind w:left="0"/>
              <w:jc w:val="center"/>
              <w:rPr>
                <w:sz w:val="18"/>
                <w:szCs w:val="18"/>
              </w:rPr>
            </w:pPr>
            <w:r w:rsidRPr="0052124B">
              <w:rPr>
                <w:sz w:val="18"/>
                <w:szCs w:val="18"/>
              </w:rPr>
              <w:t>1395</w:t>
            </w:r>
          </w:p>
        </w:tc>
        <w:tc>
          <w:tcPr>
            <w:tcW w:w="1169" w:type="dxa"/>
            <w:shd w:val="clear" w:color="auto" w:fill="FFFFFF" w:themeFill="background1"/>
          </w:tcPr>
          <w:p w14:paraId="444222C1" w14:textId="77777777" w:rsidR="00224BBA" w:rsidRPr="0052124B" w:rsidRDefault="00224BBA" w:rsidP="00224BBA">
            <w:pPr>
              <w:ind w:left="0"/>
              <w:jc w:val="center"/>
              <w:rPr>
                <w:sz w:val="18"/>
                <w:szCs w:val="18"/>
              </w:rPr>
            </w:pPr>
            <w:r w:rsidRPr="0052124B">
              <w:rPr>
                <w:sz w:val="18"/>
                <w:szCs w:val="18"/>
              </w:rPr>
              <w:t>1745</w:t>
            </w:r>
          </w:p>
        </w:tc>
        <w:tc>
          <w:tcPr>
            <w:tcW w:w="1564" w:type="dxa"/>
            <w:tcBorders>
              <w:right w:val="single" w:sz="4" w:space="0" w:color="auto"/>
            </w:tcBorders>
            <w:shd w:val="clear" w:color="auto" w:fill="FFFFFF" w:themeFill="background1"/>
          </w:tcPr>
          <w:p w14:paraId="383C2F9D" w14:textId="77777777" w:rsidR="00224BBA" w:rsidRPr="0052124B" w:rsidRDefault="00224BBA" w:rsidP="00224BBA">
            <w:pPr>
              <w:ind w:left="0"/>
              <w:jc w:val="center"/>
              <w:rPr>
                <w:sz w:val="18"/>
                <w:szCs w:val="18"/>
              </w:rPr>
            </w:pPr>
            <w:r w:rsidRPr="0052124B">
              <w:rPr>
                <w:sz w:val="18"/>
                <w:szCs w:val="18"/>
              </w:rPr>
              <w:t>25</w:t>
            </w:r>
          </w:p>
        </w:tc>
      </w:tr>
      <w:tr w:rsidR="00224BBA" w:rsidRPr="0052124B" w14:paraId="4E2E4252" w14:textId="77777777" w:rsidTr="00610F7F">
        <w:trPr>
          <w:trHeight w:val="206"/>
        </w:trPr>
        <w:tc>
          <w:tcPr>
            <w:tcW w:w="1806" w:type="dxa"/>
            <w:vMerge/>
            <w:tcBorders>
              <w:left w:val="single" w:sz="4" w:space="0" w:color="auto"/>
            </w:tcBorders>
            <w:shd w:val="clear" w:color="auto" w:fill="FFFFFF" w:themeFill="background1"/>
          </w:tcPr>
          <w:p w14:paraId="03293A9B" w14:textId="77777777" w:rsidR="00224BBA" w:rsidRPr="00E90B70" w:rsidRDefault="00224BBA" w:rsidP="00224BBA">
            <w:pPr>
              <w:rPr>
                <w:sz w:val="18"/>
                <w:szCs w:val="18"/>
              </w:rPr>
            </w:pPr>
          </w:p>
        </w:tc>
        <w:tc>
          <w:tcPr>
            <w:tcW w:w="1556" w:type="dxa"/>
            <w:vMerge/>
            <w:shd w:val="clear" w:color="auto" w:fill="FFFFFF" w:themeFill="background1"/>
          </w:tcPr>
          <w:p w14:paraId="5FB9F5E4" w14:textId="77777777" w:rsidR="00224BBA" w:rsidRPr="00E90B70" w:rsidRDefault="00224BBA" w:rsidP="00224BBA">
            <w:pPr>
              <w:rPr>
                <w:sz w:val="18"/>
                <w:szCs w:val="18"/>
              </w:rPr>
            </w:pPr>
          </w:p>
        </w:tc>
        <w:tc>
          <w:tcPr>
            <w:tcW w:w="2251" w:type="dxa"/>
            <w:vMerge/>
            <w:shd w:val="clear" w:color="auto" w:fill="FFFFFF" w:themeFill="background1"/>
          </w:tcPr>
          <w:p w14:paraId="7C1B24C3" w14:textId="77777777" w:rsidR="00224BBA" w:rsidRPr="00E90B70" w:rsidRDefault="00224BBA" w:rsidP="00224BBA">
            <w:pPr>
              <w:rPr>
                <w:sz w:val="18"/>
                <w:szCs w:val="18"/>
              </w:rPr>
            </w:pPr>
          </w:p>
        </w:tc>
        <w:tc>
          <w:tcPr>
            <w:tcW w:w="1701" w:type="dxa"/>
            <w:vMerge/>
            <w:shd w:val="clear" w:color="auto" w:fill="FFFFFF" w:themeFill="background1"/>
          </w:tcPr>
          <w:p w14:paraId="385E4420" w14:textId="77777777" w:rsidR="00224BBA" w:rsidRDefault="00224BBA" w:rsidP="00224BBA">
            <w:pPr>
              <w:rPr>
                <w:sz w:val="18"/>
                <w:szCs w:val="18"/>
              </w:rPr>
            </w:pPr>
          </w:p>
        </w:tc>
        <w:tc>
          <w:tcPr>
            <w:tcW w:w="1965" w:type="dxa"/>
            <w:shd w:val="clear" w:color="auto" w:fill="D9D9D9" w:themeFill="background1" w:themeFillShade="D9"/>
          </w:tcPr>
          <w:p w14:paraId="13686010" w14:textId="77777777" w:rsidR="00224BBA" w:rsidRPr="0052124B" w:rsidRDefault="00224BBA" w:rsidP="00224BBA">
            <w:pPr>
              <w:ind w:left="0"/>
              <w:rPr>
                <w:sz w:val="18"/>
                <w:szCs w:val="18"/>
              </w:rPr>
            </w:pPr>
            <w:r w:rsidRPr="0052124B">
              <w:rPr>
                <w:sz w:val="18"/>
                <w:szCs w:val="18"/>
              </w:rPr>
              <w:t>Magnesium, mg</w:t>
            </w:r>
          </w:p>
        </w:tc>
        <w:tc>
          <w:tcPr>
            <w:tcW w:w="1051" w:type="dxa"/>
            <w:shd w:val="clear" w:color="auto" w:fill="D9D9D9" w:themeFill="background1" w:themeFillShade="D9"/>
          </w:tcPr>
          <w:p w14:paraId="2639F086" w14:textId="77777777" w:rsidR="00224BBA" w:rsidRPr="0052124B" w:rsidRDefault="00224BBA" w:rsidP="00224BBA">
            <w:pPr>
              <w:ind w:left="0"/>
              <w:jc w:val="center"/>
              <w:rPr>
                <w:sz w:val="18"/>
                <w:szCs w:val="18"/>
              </w:rPr>
            </w:pPr>
            <w:r w:rsidRPr="0052124B">
              <w:rPr>
                <w:sz w:val="18"/>
                <w:szCs w:val="18"/>
              </w:rPr>
              <w:t>321</w:t>
            </w:r>
          </w:p>
        </w:tc>
        <w:tc>
          <w:tcPr>
            <w:tcW w:w="1169" w:type="dxa"/>
            <w:shd w:val="clear" w:color="auto" w:fill="D9D9D9" w:themeFill="background1" w:themeFillShade="D9"/>
          </w:tcPr>
          <w:p w14:paraId="17CD0CB0" w14:textId="77777777" w:rsidR="00224BBA" w:rsidRPr="0052124B" w:rsidRDefault="00224BBA" w:rsidP="00224BBA">
            <w:pPr>
              <w:ind w:left="0"/>
              <w:jc w:val="center"/>
              <w:rPr>
                <w:sz w:val="18"/>
                <w:szCs w:val="18"/>
              </w:rPr>
            </w:pPr>
            <w:r w:rsidRPr="0052124B">
              <w:rPr>
                <w:sz w:val="18"/>
                <w:szCs w:val="18"/>
              </w:rPr>
              <w:t>377</w:t>
            </w:r>
          </w:p>
        </w:tc>
        <w:tc>
          <w:tcPr>
            <w:tcW w:w="1564" w:type="dxa"/>
            <w:tcBorders>
              <w:right w:val="single" w:sz="4" w:space="0" w:color="auto"/>
            </w:tcBorders>
            <w:shd w:val="clear" w:color="auto" w:fill="D9D9D9" w:themeFill="background1" w:themeFillShade="D9"/>
          </w:tcPr>
          <w:p w14:paraId="306C84C5" w14:textId="77777777" w:rsidR="00224BBA" w:rsidRPr="0052124B" w:rsidRDefault="00224BBA" w:rsidP="00224BBA">
            <w:pPr>
              <w:ind w:left="0"/>
              <w:jc w:val="center"/>
              <w:rPr>
                <w:sz w:val="18"/>
                <w:szCs w:val="18"/>
              </w:rPr>
            </w:pPr>
            <w:r w:rsidRPr="0052124B">
              <w:rPr>
                <w:sz w:val="18"/>
                <w:szCs w:val="18"/>
              </w:rPr>
              <w:t>18</w:t>
            </w:r>
          </w:p>
        </w:tc>
      </w:tr>
      <w:tr w:rsidR="00224BBA" w:rsidRPr="0052124B" w14:paraId="37F8B210" w14:textId="77777777" w:rsidTr="00610F7F">
        <w:trPr>
          <w:trHeight w:val="143"/>
        </w:trPr>
        <w:tc>
          <w:tcPr>
            <w:tcW w:w="1806" w:type="dxa"/>
            <w:vMerge/>
            <w:tcBorders>
              <w:left w:val="single" w:sz="4" w:space="0" w:color="auto"/>
              <w:bottom w:val="single" w:sz="4" w:space="0" w:color="auto"/>
            </w:tcBorders>
            <w:shd w:val="clear" w:color="auto" w:fill="FFFFFF" w:themeFill="background1"/>
          </w:tcPr>
          <w:p w14:paraId="5FB32BF0" w14:textId="77777777" w:rsidR="00224BBA" w:rsidRPr="00E90B70" w:rsidRDefault="00224BBA" w:rsidP="00224BBA">
            <w:pPr>
              <w:rPr>
                <w:sz w:val="18"/>
                <w:szCs w:val="18"/>
              </w:rPr>
            </w:pPr>
          </w:p>
        </w:tc>
        <w:tc>
          <w:tcPr>
            <w:tcW w:w="1556" w:type="dxa"/>
            <w:vMerge/>
            <w:tcBorders>
              <w:bottom w:val="single" w:sz="4" w:space="0" w:color="auto"/>
            </w:tcBorders>
            <w:shd w:val="clear" w:color="auto" w:fill="FFFFFF" w:themeFill="background1"/>
          </w:tcPr>
          <w:p w14:paraId="77A98275" w14:textId="77777777" w:rsidR="00224BBA" w:rsidRPr="00E90B70" w:rsidRDefault="00224BBA" w:rsidP="00224BBA">
            <w:pPr>
              <w:rPr>
                <w:sz w:val="18"/>
                <w:szCs w:val="18"/>
              </w:rPr>
            </w:pPr>
          </w:p>
        </w:tc>
        <w:tc>
          <w:tcPr>
            <w:tcW w:w="2251" w:type="dxa"/>
            <w:vMerge/>
            <w:tcBorders>
              <w:bottom w:val="single" w:sz="4" w:space="0" w:color="auto"/>
            </w:tcBorders>
            <w:shd w:val="clear" w:color="auto" w:fill="FFFFFF" w:themeFill="background1"/>
          </w:tcPr>
          <w:p w14:paraId="3CFEAE67" w14:textId="77777777" w:rsidR="00224BBA" w:rsidRPr="00E90B70" w:rsidRDefault="00224BBA" w:rsidP="00224BBA">
            <w:pPr>
              <w:rPr>
                <w:sz w:val="18"/>
                <w:szCs w:val="18"/>
              </w:rPr>
            </w:pPr>
          </w:p>
        </w:tc>
        <w:tc>
          <w:tcPr>
            <w:tcW w:w="1701" w:type="dxa"/>
            <w:vMerge/>
            <w:tcBorders>
              <w:bottom w:val="single" w:sz="4" w:space="0" w:color="auto"/>
            </w:tcBorders>
            <w:shd w:val="clear" w:color="auto" w:fill="FFFFFF" w:themeFill="background1"/>
          </w:tcPr>
          <w:p w14:paraId="11756E7A" w14:textId="77777777" w:rsidR="00224BBA" w:rsidRDefault="00224BBA" w:rsidP="00224BBA">
            <w:pPr>
              <w:rPr>
                <w:sz w:val="18"/>
                <w:szCs w:val="18"/>
              </w:rPr>
            </w:pPr>
          </w:p>
        </w:tc>
        <w:tc>
          <w:tcPr>
            <w:tcW w:w="1965" w:type="dxa"/>
            <w:tcBorders>
              <w:bottom w:val="single" w:sz="4" w:space="0" w:color="auto"/>
            </w:tcBorders>
            <w:shd w:val="clear" w:color="auto" w:fill="FFFFFF" w:themeFill="background1"/>
          </w:tcPr>
          <w:p w14:paraId="611BF59E" w14:textId="77777777" w:rsidR="00224BBA" w:rsidRPr="0052124B" w:rsidRDefault="00224BBA" w:rsidP="00224BBA">
            <w:pPr>
              <w:ind w:left="0"/>
              <w:rPr>
                <w:sz w:val="18"/>
                <w:szCs w:val="18"/>
              </w:rPr>
            </w:pPr>
            <w:r w:rsidRPr="0052124B">
              <w:rPr>
                <w:sz w:val="18"/>
                <w:szCs w:val="18"/>
              </w:rPr>
              <w:t>Zinc, mg</w:t>
            </w:r>
          </w:p>
        </w:tc>
        <w:tc>
          <w:tcPr>
            <w:tcW w:w="1051" w:type="dxa"/>
            <w:tcBorders>
              <w:bottom w:val="single" w:sz="4" w:space="0" w:color="auto"/>
            </w:tcBorders>
            <w:shd w:val="clear" w:color="auto" w:fill="FFFFFF" w:themeFill="background1"/>
          </w:tcPr>
          <w:p w14:paraId="08AA8A30" w14:textId="77777777" w:rsidR="00224BBA" w:rsidRPr="0052124B" w:rsidRDefault="00224BBA" w:rsidP="00224BBA">
            <w:pPr>
              <w:ind w:left="0"/>
              <w:jc w:val="center"/>
              <w:rPr>
                <w:sz w:val="18"/>
                <w:szCs w:val="18"/>
              </w:rPr>
            </w:pPr>
            <w:r w:rsidRPr="0052124B">
              <w:rPr>
                <w:sz w:val="18"/>
                <w:szCs w:val="18"/>
              </w:rPr>
              <w:t>8.6</w:t>
            </w:r>
          </w:p>
        </w:tc>
        <w:tc>
          <w:tcPr>
            <w:tcW w:w="1169" w:type="dxa"/>
            <w:tcBorders>
              <w:bottom w:val="single" w:sz="4" w:space="0" w:color="auto"/>
            </w:tcBorders>
            <w:shd w:val="clear" w:color="auto" w:fill="FFFFFF" w:themeFill="background1"/>
          </w:tcPr>
          <w:p w14:paraId="11841A79" w14:textId="77777777" w:rsidR="00224BBA" w:rsidRPr="0052124B" w:rsidRDefault="00224BBA" w:rsidP="00224BBA">
            <w:pPr>
              <w:ind w:left="0"/>
              <w:jc w:val="center"/>
              <w:rPr>
                <w:sz w:val="18"/>
                <w:szCs w:val="18"/>
              </w:rPr>
            </w:pPr>
            <w:r w:rsidRPr="0052124B">
              <w:rPr>
                <w:sz w:val="18"/>
                <w:szCs w:val="18"/>
              </w:rPr>
              <w:t>9.8</w:t>
            </w:r>
          </w:p>
        </w:tc>
        <w:tc>
          <w:tcPr>
            <w:tcW w:w="1564" w:type="dxa"/>
            <w:tcBorders>
              <w:bottom w:val="single" w:sz="4" w:space="0" w:color="auto"/>
              <w:right w:val="single" w:sz="4" w:space="0" w:color="auto"/>
            </w:tcBorders>
            <w:shd w:val="clear" w:color="auto" w:fill="FFFFFF" w:themeFill="background1"/>
          </w:tcPr>
          <w:p w14:paraId="13F84EEE" w14:textId="77777777" w:rsidR="00224BBA" w:rsidRPr="0052124B" w:rsidRDefault="00224BBA" w:rsidP="00224BBA">
            <w:pPr>
              <w:ind w:left="0"/>
              <w:jc w:val="center"/>
              <w:rPr>
                <w:sz w:val="18"/>
                <w:szCs w:val="18"/>
              </w:rPr>
            </w:pPr>
            <w:r w:rsidRPr="0052124B">
              <w:rPr>
                <w:sz w:val="18"/>
                <w:szCs w:val="18"/>
              </w:rPr>
              <w:t>14</w:t>
            </w:r>
          </w:p>
        </w:tc>
      </w:tr>
    </w:tbl>
    <w:p w14:paraId="5AD3F317" w14:textId="77777777" w:rsidR="00681CDB" w:rsidRDefault="00681CDB" w:rsidP="00681CDB">
      <w:r>
        <w:br w:type="page"/>
      </w:r>
    </w:p>
    <w:p w14:paraId="1021AD0C" w14:textId="77777777" w:rsidR="00681CDB" w:rsidRPr="00F3550D" w:rsidRDefault="00681CDB" w:rsidP="00FF3F99">
      <w:pPr>
        <w:pStyle w:val="Heading1"/>
        <w:rPr>
          <w:b/>
          <w:bCs/>
        </w:rPr>
      </w:pPr>
      <w:bookmarkStart w:id="5" w:name="_Toc76569018"/>
      <w:r w:rsidRPr="00F3550D">
        <w:rPr>
          <w:b/>
          <w:bCs/>
        </w:rPr>
        <w:lastRenderedPageBreak/>
        <w:t>Table S</w:t>
      </w:r>
      <w:r>
        <w:rPr>
          <w:b/>
          <w:bCs/>
        </w:rPr>
        <w:t>4</w:t>
      </w:r>
      <w:r w:rsidRPr="00F3550D">
        <w:rPr>
          <w:b/>
          <w:bCs/>
        </w:rPr>
        <w:t>.</w:t>
      </w:r>
      <w:r w:rsidRPr="00F3550D">
        <w:t xml:space="preserve"> </w:t>
      </w:r>
      <w:r>
        <w:t>Publications</w:t>
      </w:r>
      <w:r w:rsidRPr="00F3550D">
        <w:t xml:space="preserve"> comparing </w:t>
      </w:r>
      <w:r>
        <w:t xml:space="preserve">apparent </w:t>
      </w:r>
      <w:r w:rsidRPr="00F3550D">
        <w:t xml:space="preserve">nutrient, energy or fortifiable food item intake estimates using HCES adult male equivalent methods to </w:t>
      </w:r>
      <w:r>
        <w:t xml:space="preserve">intake </w:t>
      </w:r>
      <w:r w:rsidRPr="00F3550D">
        <w:t>estimates calculated using individual-level dietary intake data for infants and children</w:t>
      </w:r>
      <w:r>
        <w:t xml:space="preserve"> </w:t>
      </w:r>
      <w:r w:rsidRPr="00094417">
        <w:t>where no studies adjusted for assumed or recommended breastmilk intake</w:t>
      </w:r>
      <w:r w:rsidRPr="00F3550D">
        <w:t xml:space="preserve"> (expanded to include all reported nutrients and food items)</w:t>
      </w:r>
      <w:bookmarkEnd w:id="5"/>
    </w:p>
    <w:tbl>
      <w:tblPr>
        <w:tblStyle w:val="TableGrid"/>
        <w:tblW w:w="13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440"/>
        <w:gridCol w:w="2108"/>
        <w:gridCol w:w="1701"/>
        <w:gridCol w:w="1965"/>
        <w:gridCol w:w="1051"/>
        <w:gridCol w:w="1169"/>
        <w:gridCol w:w="1564"/>
      </w:tblGrid>
      <w:tr w:rsidR="00681CDB" w:rsidRPr="00827915" w14:paraId="13B514D9" w14:textId="77777777" w:rsidTr="007F7EA3">
        <w:trPr>
          <w:trHeight w:val="612"/>
        </w:trPr>
        <w:tc>
          <w:tcPr>
            <w:tcW w:w="2065" w:type="dxa"/>
            <w:tcBorders>
              <w:top w:val="single" w:sz="4" w:space="0" w:color="auto"/>
              <w:left w:val="single" w:sz="4" w:space="0" w:color="auto"/>
              <w:bottom w:val="single" w:sz="4" w:space="0" w:color="auto"/>
            </w:tcBorders>
          </w:tcPr>
          <w:p w14:paraId="76F86A37" w14:textId="77777777" w:rsidR="00681CDB" w:rsidRPr="00EC3718" w:rsidRDefault="00681CDB" w:rsidP="007F7EA3">
            <w:pPr>
              <w:ind w:left="0"/>
              <w:rPr>
                <w:b/>
                <w:bCs/>
                <w:color w:val="000000" w:themeColor="text1"/>
                <w:sz w:val="18"/>
                <w:szCs w:val="18"/>
              </w:rPr>
            </w:pPr>
            <w:proofErr w:type="gramStart"/>
            <w:r w:rsidRPr="00EC3718">
              <w:rPr>
                <w:b/>
                <w:bCs/>
                <w:color w:val="000000" w:themeColor="text1"/>
                <w:sz w:val="18"/>
                <w:szCs w:val="18"/>
              </w:rPr>
              <w:t>Reference;</w:t>
            </w:r>
            <w:proofErr w:type="gramEnd"/>
            <w:r w:rsidRPr="00EC3718">
              <w:rPr>
                <w:b/>
                <w:bCs/>
                <w:color w:val="000000" w:themeColor="text1"/>
                <w:sz w:val="18"/>
                <w:szCs w:val="18"/>
              </w:rPr>
              <w:t xml:space="preserve"> </w:t>
            </w:r>
          </w:p>
          <w:p w14:paraId="330FBD69" w14:textId="77777777" w:rsidR="00681CDB" w:rsidRPr="00EC3718" w:rsidRDefault="00681CDB" w:rsidP="007F7EA3">
            <w:pPr>
              <w:ind w:left="0"/>
              <w:rPr>
                <w:b/>
                <w:bCs/>
                <w:color w:val="000000" w:themeColor="text1"/>
                <w:sz w:val="18"/>
                <w:szCs w:val="18"/>
              </w:rPr>
            </w:pPr>
            <w:proofErr w:type="gramStart"/>
            <w:r w:rsidRPr="00EC3718">
              <w:rPr>
                <w:b/>
                <w:bCs/>
                <w:color w:val="000000" w:themeColor="text1"/>
                <w:sz w:val="18"/>
                <w:szCs w:val="18"/>
              </w:rPr>
              <w:t>country;</w:t>
            </w:r>
            <w:proofErr w:type="gramEnd"/>
            <w:r w:rsidRPr="00EC3718">
              <w:rPr>
                <w:b/>
                <w:bCs/>
                <w:color w:val="000000" w:themeColor="text1"/>
                <w:sz w:val="18"/>
                <w:szCs w:val="18"/>
              </w:rPr>
              <w:t xml:space="preserve"> </w:t>
            </w:r>
          </w:p>
          <w:p w14:paraId="7DE241AD"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summary metric</w:t>
            </w:r>
          </w:p>
        </w:tc>
        <w:tc>
          <w:tcPr>
            <w:tcW w:w="1440" w:type="dxa"/>
            <w:tcBorders>
              <w:top w:val="single" w:sz="4" w:space="0" w:color="auto"/>
              <w:bottom w:val="single" w:sz="4" w:space="0" w:color="auto"/>
            </w:tcBorders>
          </w:tcPr>
          <w:p w14:paraId="6BFE9690"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Individual dietary assessment data (N)</w:t>
            </w:r>
          </w:p>
        </w:tc>
        <w:tc>
          <w:tcPr>
            <w:tcW w:w="2108" w:type="dxa"/>
            <w:tcBorders>
              <w:top w:val="single" w:sz="4" w:space="0" w:color="auto"/>
              <w:bottom w:val="single" w:sz="4" w:space="0" w:color="auto"/>
            </w:tcBorders>
          </w:tcPr>
          <w:p w14:paraId="20E2F0F3"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HCES dietary data, (n households)</w:t>
            </w:r>
          </w:p>
        </w:tc>
        <w:tc>
          <w:tcPr>
            <w:tcW w:w="1701" w:type="dxa"/>
            <w:tcBorders>
              <w:top w:val="single" w:sz="4" w:space="0" w:color="auto"/>
              <w:bottom w:val="single" w:sz="4" w:space="0" w:color="auto"/>
            </w:tcBorders>
          </w:tcPr>
          <w:p w14:paraId="3D425DA3"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Study sample population (n)</w:t>
            </w:r>
          </w:p>
        </w:tc>
        <w:tc>
          <w:tcPr>
            <w:tcW w:w="1965" w:type="dxa"/>
            <w:tcBorders>
              <w:top w:val="single" w:sz="4" w:space="0" w:color="auto"/>
              <w:bottom w:val="single" w:sz="4" w:space="0" w:color="auto"/>
            </w:tcBorders>
          </w:tcPr>
          <w:p w14:paraId="360F1B5E"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Nutrient/ food item</w:t>
            </w:r>
          </w:p>
        </w:tc>
        <w:tc>
          <w:tcPr>
            <w:tcW w:w="1051" w:type="dxa"/>
            <w:tcBorders>
              <w:top w:val="single" w:sz="4" w:space="0" w:color="auto"/>
              <w:bottom w:val="single" w:sz="4" w:space="0" w:color="auto"/>
            </w:tcBorders>
          </w:tcPr>
          <w:p w14:paraId="7C99C73A"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Individual intake</w:t>
            </w:r>
          </w:p>
        </w:tc>
        <w:tc>
          <w:tcPr>
            <w:tcW w:w="1169" w:type="dxa"/>
            <w:tcBorders>
              <w:top w:val="single" w:sz="4" w:space="0" w:color="auto"/>
              <w:bottom w:val="single" w:sz="4" w:space="0" w:color="auto"/>
            </w:tcBorders>
          </w:tcPr>
          <w:p w14:paraId="327CF35B"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HCES AME apparent intake</w:t>
            </w:r>
          </w:p>
        </w:tc>
        <w:tc>
          <w:tcPr>
            <w:tcW w:w="1564" w:type="dxa"/>
            <w:tcBorders>
              <w:top w:val="single" w:sz="4" w:space="0" w:color="auto"/>
              <w:bottom w:val="single" w:sz="4" w:space="0" w:color="auto"/>
              <w:right w:val="single" w:sz="4" w:space="0" w:color="auto"/>
            </w:tcBorders>
          </w:tcPr>
          <w:p w14:paraId="7E90CA7D" w14:textId="77777777" w:rsidR="00681CDB" w:rsidRPr="00827915" w:rsidRDefault="00681CDB" w:rsidP="007F7EA3">
            <w:pPr>
              <w:ind w:left="0"/>
              <w:rPr>
                <w:b/>
                <w:bCs/>
                <w:sz w:val="18"/>
                <w:szCs w:val="18"/>
              </w:rPr>
            </w:pPr>
            <w:r>
              <w:rPr>
                <w:b/>
                <w:bCs/>
                <w:sz w:val="18"/>
                <w:szCs w:val="18"/>
              </w:rPr>
              <w:t>Percentage point</w:t>
            </w:r>
            <w:r w:rsidRPr="00827915">
              <w:rPr>
                <w:b/>
                <w:bCs/>
                <w:sz w:val="18"/>
                <w:szCs w:val="18"/>
              </w:rPr>
              <w:t xml:space="preserve"> Difference</w:t>
            </w:r>
          </w:p>
        </w:tc>
      </w:tr>
      <w:tr w:rsidR="007F4EDE" w:rsidRPr="00827915" w14:paraId="3D751CD3" w14:textId="77777777" w:rsidTr="006F6225">
        <w:trPr>
          <w:trHeight w:val="206"/>
        </w:trPr>
        <w:tc>
          <w:tcPr>
            <w:tcW w:w="13063" w:type="dxa"/>
            <w:gridSpan w:val="8"/>
            <w:tcBorders>
              <w:top w:val="single" w:sz="4" w:space="0" w:color="auto"/>
              <w:left w:val="single" w:sz="4" w:space="0" w:color="auto"/>
              <w:bottom w:val="single" w:sz="4" w:space="0" w:color="auto"/>
              <w:right w:val="single" w:sz="4" w:space="0" w:color="auto"/>
            </w:tcBorders>
          </w:tcPr>
          <w:p w14:paraId="3A0DC616" w14:textId="2A5F41AC" w:rsidR="007F4EDE" w:rsidRPr="00EC3718" w:rsidRDefault="007F4EDE" w:rsidP="007F4EDE">
            <w:pPr>
              <w:ind w:left="0"/>
              <w:rPr>
                <w:b/>
                <w:bCs/>
                <w:color w:val="000000" w:themeColor="text1"/>
                <w:sz w:val="18"/>
                <w:szCs w:val="18"/>
              </w:rPr>
            </w:pPr>
            <w:r w:rsidRPr="00EC3718">
              <w:rPr>
                <w:b/>
                <w:bCs/>
                <w:i/>
                <w:iCs/>
                <w:color w:val="000000" w:themeColor="text1"/>
                <w:sz w:val="18"/>
                <w:szCs w:val="18"/>
              </w:rPr>
              <w:t>I. Study compared intake estimates derived from individual-level versus HCES dietary data</w:t>
            </w:r>
          </w:p>
        </w:tc>
      </w:tr>
      <w:tr w:rsidR="00800A64" w:rsidRPr="00800A64" w14:paraId="53EAF3AB" w14:textId="77777777" w:rsidTr="007F7EA3">
        <w:trPr>
          <w:trHeight w:val="224"/>
        </w:trPr>
        <w:tc>
          <w:tcPr>
            <w:tcW w:w="2065" w:type="dxa"/>
            <w:vMerge w:val="restart"/>
            <w:tcBorders>
              <w:top w:val="single" w:sz="4" w:space="0" w:color="auto"/>
              <w:left w:val="single" w:sz="4" w:space="0" w:color="auto"/>
            </w:tcBorders>
          </w:tcPr>
          <w:p w14:paraId="2DB3E258" w14:textId="04FC9B41" w:rsidR="00800A64" w:rsidRPr="00151FCF" w:rsidRDefault="00800A64" w:rsidP="00800A64">
            <w:pPr>
              <w:ind w:left="0"/>
              <w:rPr>
                <w:color w:val="000000" w:themeColor="text1"/>
                <w:sz w:val="18"/>
                <w:szCs w:val="18"/>
                <w:lang w:val="fr-FR"/>
              </w:rPr>
            </w:pPr>
            <w:proofErr w:type="spellStart"/>
            <w:r w:rsidRPr="00151FCF">
              <w:rPr>
                <w:color w:val="000000" w:themeColor="text1"/>
                <w:sz w:val="18"/>
                <w:szCs w:val="18"/>
                <w:lang w:val="fr-FR"/>
              </w:rPr>
              <w:t>Karageorgou</w:t>
            </w:r>
            <w:proofErr w:type="spellEnd"/>
            <w:r w:rsidRPr="00151FCF">
              <w:rPr>
                <w:color w:val="000000" w:themeColor="text1"/>
                <w:sz w:val="18"/>
                <w:szCs w:val="18"/>
                <w:lang w:val="fr-FR"/>
              </w:rPr>
              <w:t xml:space="preserve"> </w:t>
            </w:r>
            <w:r w:rsidRPr="00151FCF">
              <w:rPr>
                <w:i/>
                <w:iCs/>
                <w:color w:val="000000" w:themeColor="text1"/>
                <w:sz w:val="18"/>
                <w:szCs w:val="18"/>
                <w:lang w:val="fr-FR"/>
              </w:rPr>
              <w:t>et al.</w:t>
            </w:r>
            <w:r w:rsidRPr="00151FCF">
              <w:rPr>
                <w:color w:val="000000" w:themeColor="text1"/>
                <w:sz w:val="18"/>
                <w:szCs w:val="18"/>
                <w:lang w:val="fr-FR"/>
              </w:rPr>
              <w:t xml:space="preserve"> (2018) </w:t>
            </w:r>
            <w:r w:rsidRPr="00EC3718">
              <w:rPr>
                <w:color w:val="000000" w:themeColor="text1"/>
                <w:sz w:val="18"/>
                <w:szCs w:val="18"/>
              </w:rPr>
              <w:fldChar w:fldCharType="begin" w:fldLock="1"/>
            </w:r>
            <w:r w:rsidR="005B0D26" w:rsidRPr="00151FCF">
              <w:rPr>
                <w:color w:val="000000" w:themeColor="text1"/>
                <w:sz w:val="18"/>
                <w:szCs w:val="18"/>
                <w:lang w:val="fr-FR"/>
              </w:rPr>
              <w:instrText>ADDIN CSL_CITATION {"citationItems":[{"id":"ITEM-1","itemData":{"DOI":"10.1371/journal.pone.0202831","ISSN":"19326203","PMID":"30148863","abstract":"Background Accurate national information on dietary intakes, including heterogeneity among individuals, is critical to inform health implications and policy priorities. In low- and middle-income countries, household expenditure surveys constitute the major source of food data, but with uncertain validity for individual-level intakes. Objective To investigate how individualized dietary consumption estimated from household survey data compared with individual-level 24-hr dietary recalls (24hR); and to assess potential heterogeneity by method for individualizing household intakes, dietary indicator, and individual characteristics (age, sex, education, religion, household income). Methods We evaluated data from the 2011–2012 Bangladesh Household Integrated Survey (BIHS), which included household-level consumption data (5,503 households) and individual-level dietary data based on 24hR from these households (22,173 participants). Household and 24hR estimates were standardized and harmonized for 33 dietary indicators, including 9 food groups, total energy, 8 macronutrients, and 15 micronutrients. Individual consumption was estimated from household data using two approaches, the Adult Male Equivalent (AME) and per capita (PC) approach. For each dietary indicator, differences in household vs. individual mean estimates were evaluated overall and by strata of individual characteristics, using Spearman’s correlations and univariate and multivariate linear regression models. Results Individualized household estimates overestimated individual intakes from 24hR for all dietary factors using either estimation method (P&lt;0.001 for each), except for starchy vegetables (AME: P = 0.15; PC: P = 0.85). For foods, overestimation ranged from 4% for seafood to about 240% for fruits, and for nutrients from 11% for carbohydrates and polyunsaturated fats to 55% for vitamin C, with similar overestimation for the AME and the PC method. By strata, overestimation was modestly higher in men vs. women, in children (0-10y) vs. adolescents (11-19y) and adults (20-44y, 45y), among adults of higher (6y) vs. lower (&lt;6y) education, in Muslims vs. other religions (Christians, Hindus), and for the lowest vs. all other income groups. This overestimation was notably higher in young children (0-5y) vs. all other age groups and in the lowest vs. all other income groups. Underestimation was rarely observed, for example for milk intake (-56%) in young children (0-5y). The PC approach did not capture h…","author":[{"dropping-particle":"","family":"Karageorgou","given":"Dimitra","non-dropping-particle":"","parse-names":false,"suffix":""},{"dropping-particle":"","family":"Imamura","given":"Fumiaki","non-dropping-particle":"","parse-names":false,"suffix":""},{"dropping-particle":"","family":"Zhang","given":"Jianyi","non-dropping-particle":"","parse-names":false,"suffix":""},{"dropping-particle":"","family":"Shi","given":"Peilin","non-dropping-particle":"","parse-names":false,"suffix":""},{"dropping-particle":"","family":"Mozaffarian","given":"Dariush","non-dropping-particle":"","parse-names":false,"suffix":""},{"dropping-particle":"","family":"Micha","given":"Renata","non-dropping-particle":"","parse-names":false,"suffix":""}],"container-title":"PLoS ONE","id":"ITEM-1","issue":"8","issued":{"date-parts":[["2018"]]},"page":"e0202831","title":"Assessing dietary intakes from household budget surveys: A national analysis in Bangladesh","type":"article-journal","volume":"13"},"uris":["http://www.mendeley.com/documents/?uuid=96cd3f0b-0820-470e-b1cc-7eee30fa5259"]}],"mendeley":{"formattedCitation":"&lt;sup&gt;(38)&lt;/sup&gt;","plainTextFormattedCitation":"(38)","previouslyFormattedCitation":"[38]"},"properties":{"noteIndex":0},"schema":"https://github.com/citation-style-language/schema/raw/master/csl-citation.json"}</w:instrText>
            </w:r>
            <w:r w:rsidRPr="00EC3718">
              <w:rPr>
                <w:color w:val="000000" w:themeColor="text1"/>
                <w:sz w:val="18"/>
                <w:szCs w:val="18"/>
              </w:rPr>
              <w:fldChar w:fldCharType="separate"/>
            </w:r>
            <w:r w:rsidR="005B0D26" w:rsidRPr="00151FCF">
              <w:rPr>
                <w:noProof/>
                <w:color w:val="000000" w:themeColor="text1"/>
                <w:sz w:val="18"/>
                <w:szCs w:val="18"/>
                <w:vertAlign w:val="superscript"/>
                <w:lang w:val="fr-FR"/>
              </w:rPr>
              <w:t>(38)</w:t>
            </w:r>
            <w:r w:rsidRPr="00EC3718">
              <w:rPr>
                <w:color w:val="000000" w:themeColor="text1"/>
                <w:sz w:val="18"/>
                <w:szCs w:val="18"/>
              </w:rPr>
              <w:fldChar w:fldCharType="end"/>
            </w:r>
            <w:r w:rsidRPr="00151FCF">
              <w:rPr>
                <w:color w:val="000000" w:themeColor="text1"/>
                <w:sz w:val="18"/>
                <w:szCs w:val="18"/>
                <w:lang w:val="fr-FR"/>
              </w:rPr>
              <w:t>;</w:t>
            </w:r>
          </w:p>
          <w:p w14:paraId="68FF1784" w14:textId="77777777" w:rsidR="00800A64" w:rsidRPr="00151FCF" w:rsidRDefault="00800A64" w:rsidP="00800A64">
            <w:pPr>
              <w:ind w:left="0"/>
              <w:rPr>
                <w:color w:val="000000" w:themeColor="text1"/>
                <w:sz w:val="18"/>
                <w:szCs w:val="18"/>
                <w:lang w:val="fr-FR"/>
              </w:rPr>
            </w:pPr>
            <w:proofErr w:type="gramStart"/>
            <w:r w:rsidRPr="00151FCF">
              <w:rPr>
                <w:color w:val="000000" w:themeColor="text1"/>
                <w:sz w:val="18"/>
                <w:szCs w:val="18"/>
                <w:lang w:val="fr-FR"/>
              </w:rPr>
              <w:t>Bangladesh;</w:t>
            </w:r>
            <w:proofErr w:type="gramEnd"/>
          </w:p>
          <w:p w14:paraId="1D362315" w14:textId="77777777" w:rsidR="00800A64" w:rsidRPr="00151FCF" w:rsidRDefault="00800A64" w:rsidP="00800A64">
            <w:pPr>
              <w:ind w:left="0"/>
              <w:rPr>
                <w:color w:val="000000" w:themeColor="text1"/>
                <w:sz w:val="18"/>
                <w:szCs w:val="18"/>
                <w:lang w:val="fr-FR"/>
              </w:rPr>
            </w:pPr>
            <w:proofErr w:type="spellStart"/>
            <w:proofErr w:type="gramStart"/>
            <w:r w:rsidRPr="00151FCF">
              <w:rPr>
                <w:color w:val="000000" w:themeColor="text1"/>
                <w:sz w:val="18"/>
                <w:szCs w:val="18"/>
                <w:lang w:val="fr-FR"/>
              </w:rPr>
              <w:t>means</w:t>
            </w:r>
            <w:proofErr w:type="spellEnd"/>
            <w:proofErr w:type="gramEnd"/>
          </w:p>
        </w:tc>
        <w:tc>
          <w:tcPr>
            <w:tcW w:w="1440" w:type="dxa"/>
            <w:vMerge w:val="restart"/>
            <w:tcBorders>
              <w:top w:val="single" w:sz="4" w:space="0" w:color="auto"/>
            </w:tcBorders>
          </w:tcPr>
          <w:p w14:paraId="708871D8" w14:textId="77777777" w:rsidR="00800A64" w:rsidRDefault="00800A64" w:rsidP="00800A64">
            <w:pPr>
              <w:ind w:left="0"/>
              <w:rPr>
                <w:sz w:val="18"/>
                <w:szCs w:val="18"/>
              </w:rPr>
            </w:pPr>
            <w:r w:rsidRPr="00E90B70">
              <w:rPr>
                <w:sz w:val="18"/>
                <w:szCs w:val="18"/>
              </w:rPr>
              <w:t>24H</w:t>
            </w:r>
            <w:r>
              <w:rPr>
                <w:sz w:val="18"/>
                <w:szCs w:val="18"/>
              </w:rPr>
              <w:t xml:space="preserve"> </w:t>
            </w:r>
            <w:r w:rsidRPr="00E90B70">
              <w:rPr>
                <w:sz w:val="18"/>
                <w:szCs w:val="18"/>
              </w:rPr>
              <w:t>recall</w:t>
            </w:r>
            <w:r>
              <w:rPr>
                <w:sz w:val="18"/>
                <w:szCs w:val="18"/>
              </w:rPr>
              <w:t xml:space="preserve"> of household meals and proportions consumed by individuals</w:t>
            </w:r>
          </w:p>
          <w:p w14:paraId="0A5EDB2F" w14:textId="3D8454D2" w:rsidR="00800A64" w:rsidRPr="00224BBA" w:rsidRDefault="00800A64" w:rsidP="00800A64">
            <w:pPr>
              <w:ind w:left="0"/>
              <w:rPr>
                <w:color w:val="000000" w:themeColor="text1"/>
                <w:sz w:val="18"/>
                <w:szCs w:val="18"/>
              </w:rPr>
            </w:pPr>
            <w:r>
              <w:rPr>
                <w:sz w:val="18"/>
                <w:szCs w:val="18"/>
              </w:rPr>
              <w:t>(N=22,173)</w:t>
            </w:r>
          </w:p>
        </w:tc>
        <w:tc>
          <w:tcPr>
            <w:tcW w:w="2108" w:type="dxa"/>
            <w:vMerge w:val="restart"/>
            <w:tcBorders>
              <w:top w:val="single" w:sz="4" w:space="0" w:color="auto"/>
              <w:right w:val="single" w:sz="4" w:space="0" w:color="auto"/>
            </w:tcBorders>
          </w:tcPr>
          <w:p w14:paraId="35C0AA03" w14:textId="67E6A710" w:rsidR="00800A64" w:rsidRDefault="00E663ED" w:rsidP="00800A64">
            <w:pPr>
              <w:ind w:left="0"/>
              <w:rPr>
                <w:sz w:val="18"/>
                <w:szCs w:val="18"/>
              </w:rPr>
            </w:pPr>
            <w:r>
              <w:rPr>
                <w:sz w:val="18"/>
                <w:szCs w:val="18"/>
              </w:rPr>
              <w:t>7-day</w:t>
            </w:r>
            <w:r w:rsidR="00800A64">
              <w:rPr>
                <w:sz w:val="18"/>
                <w:szCs w:val="18"/>
              </w:rPr>
              <w:t xml:space="preserve"> recall of household meals</w:t>
            </w:r>
          </w:p>
          <w:p w14:paraId="6F159E20" w14:textId="3B46FBE6" w:rsidR="00800A64" w:rsidRPr="00800A64" w:rsidRDefault="00800A64" w:rsidP="00800A64">
            <w:pPr>
              <w:ind w:left="0"/>
              <w:rPr>
                <w:color w:val="000000" w:themeColor="text1"/>
                <w:sz w:val="18"/>
                <w:szCs w:val="18"/>
              </w:rPr>
            </w:pPr>
            <w:r>
              <w:rPr>
                <w:sz w:val="18"/>
                <w:szCs w:val="18"/>
              </w:rPr>
              <w:t>(n=5503)</w:t>
            </w:r>
          </w:p>
        </w:tc>
        <w:tc>
          <w:tcPr>
            <w:tcW w:w="1701" w:type="dxa"/>
            <w:vMerge w:val="restart"/>
            <w:tcBorders>
              <w:top w:val="single" w:sz="4" w:space="0" w:color="auto"/>
              <w:left w:val="single" w:sz="4" w:space="0" w:color="auto"/>
            </w:tcBorders>
          </w:tcPr>
          <w:p w14:paraId="2B603713" w14:textId="77777777" w:rsidR="00800A64" w:rsidRPr="00224BBA" w:rsidRDefault="00800A64" w:rsidP="00800A64">
            <w:pPr>
              <w:ind w:left="0"/>
              <w:rPr>
                <w:color w:val="000000" w:themeColor="text1"/>
                <w:sz w:val="18"/>
                <w:szCs w:val="18"/>
              </w:rPr>
            </w:pPr>
            <w:r w:rsidRPr="00224BBA">
              <w:rPr>
                <w:color w:val="000000" w:themeColor="text1"/>
                <w:sz w:val="18"/>
                <w:szCs w:val="18"/>
              </w:rPr>
              <w:t>Children (&lt;5 years)</w:t>
            </w:r>
          </w:p>
          <w:p w14:paraId="252D9AB6" w14:textId="77777777" w:rsidR="00800A64" w:rsidRPr="00224BBA" w:rsidRDefault="00800A64" w:rsidP="00800A64">
            <w:pPr>
              <w:ind w:left="0"/>
              <w:rPr>
                <w:color w:val="000000" w:themeColor="text1"/>
                <w:sz w:val="18"/>
                <w:szCs w:val="18"/>
              </w:rPr>
            </w:pPr>
            <w:r w:rsidRPr="00224BBA">
              <w:rPr>
                <w:color w:val="000000" w:themeColor="text1"/>
                <w:sz w:val="18"/>
                <w:szCs w:val="18"/>
              </w:rPr>
              <w:t>(n=2807)</w:t>
            </w:r>
          </w:p>
        </w:tc>
        <w:tc>
          <w:tcPr>
            <w:tcW w:w="1965" w:type="dxa"/>
            <w:tcBorders>
              <w:top w:val="single" w:sz="4" w:space="0" w:color="auto"/>
            </w:tcBorders>
          </w:tcPr>
          <w:p w14:paraId="6195048B" w14:textId="77777777" w:rsidR="00800A64" w:rsidRPr="00224BBA" w:rsidRDefault="00800A64" w:rsidP="00800A64">
            <w:pPr>
              <w:ind w:left="0"/>
              <w:rPr>
                <w:color w:val="000000" w:themeColor="text1"/>
                <w:sz w:val="18"/>
                <w:szCs w:val="18"/>
              </w:rPr>
            </w:pPr>
            <w:r w:rsidRPr="00224BBA">
              <w:rPr>
                <w:color w:val="000000" w:themeColor="text1"/>
                <w:sz w:val="18"/>
                <w:szCs w:val="18"/>
              </w:rPr>
              <w:t>Energy, kcal</w:t>
            </w:r>
          </w:p>
        </w:tc>
        <w:tc>
          <w:tcPr>
            <w:tcW w:w="1051" w:type="dxa"/>
            <w:tcBorders>
              <w:top w:val="single" w:sz="4" w:space="0" w:color="auto"/>
            </w:tcBorders>
          </w:tcPr>
          <w:p w14:paraId="2CDC2CD4" w14:textId="77777777" w:rsidR="00800A64" w:rsidRPr="00224BBA" w:rsidRDefault="00800A64" w:rsidP="00800A64">
            <w:pPr>
              <w:ind w:left="0"/>
              <w:jc w:val="center"/>
              <w:rPr>
                <w:color w:val="000000" w:themeColor="text1"/>
                <w:sz w:val="18"/>
                <w:szCs w:val="18"/>
              </w:rPr>
            </w:pPr>
            <w:r w:rsidRPr="00224BBA">
              <w:rPr>
                <w:color w:val="000000" w:themeColor="text1"/>
                <w:sz w:val="18"/>
                <w:szCs w:val="18"/>
              </w:rPr>
              <w:t>880</w:t>
            </w:r>
          </w:p>
        </w:tc>
        <w:tc>
          <w:tcPr>
            <w:tcW w:w="1169" w:type="dxa"/>
            <w:tcBorders>
              <w:top w:val="single" w:sz="4" w:space="0" w:color="auto"/>
            </w:tcBorders>
          </w:tcPr>
          <w:p w14:paraId="15B07CD0" w14:textId="77777777" w:rsidR="00800A64" w:rsidRPr="00224BBA" w:rsidRDefault="00800A64" w:rsidP="00800A64">
            <w:pPr>
              <w:ind w:left="0"/>
              <w:jc w:val="center"/>
              <w:rPr>
                <w:color w:val="000000" w:themeColor="text1"/>
                <w:sz w:val="18"/>
                <w:szCs w:val="18"/>
              </w:rPr>
            </w:pPr>
            <w:r w:rsidRPr="00224BBA">
              <w:rPr>
                <w:color w:val="000000" w:themeColor="text1"/>
                <w:sz w:val="18"/>
                <w:szCs w:val="18"/>
              </w:rPr>
              <w:t>1130</w:t>
            </w:r>
          </w:p>
        </w:tc>
        <w:tc>
          <w:tcPr>
            <w:tcW w:w="1564" w:type="dxa"/>
            <w:tcBorders>
              <w:top w:val="single" w:sz="4" w:space="0" w:color="auto"/>
              <w:right w:val="single" w:sz="4" w:space="0" w:color="auto"/>
            </w:tcBorders>
          </w:tcPr>
          <w:p w14:paraId="2EB0E917" w14:textId="77777777" w:rsidR="00800A64" w:rsidRPr="00224BBA" w:rsidRDefault="00800A64" w:rsidP="00800A64">
            <w:pPr>
              <w:ind w:left="0"/>
              <w:jc w:val="center"/>
              <w:rPr>
                <w:sz w:val="18"/>
                <w:szCs w:val="18"/>
              </w:rPr>
            </w:pPr>
            <w:r w:rsidRPr="00224BBA">
              <w:rPr>
                <w:sz w:val="18"/>
                <w:szCs w:val="18"/>
              </w:rPr>
              <w:t>28</w:t>
            </w:r>
          </w:p>
        </w:tc>
      </w:tr>
      <w:tr w:rsidR="007F4EDE" w:rsidRPr="00800A64" w14:paraId="247CF64B" w14:textId="77777777" w:rsidTr="007F7EA3">
        <w:trPr>
          <w:trHeight w:val="224"/>
        </w:trPr>
        <w:tc>
          <w:tcPr>
            <w:tcW w:w="2065" w:type="dxa"/>
            <w:vMerge/>
            <w:tcBorders>
              <w:left w:val="single" w:sz="4" w:space="0" w:color="auto"/>
            </w:tcBorders>
          </w:tcPr>
          <w:p w14:paraId="7792B891" w14:textId="77777777" w:rsidR="007F4EDE" w:rsidRPr="00224BBA" w:rsidRDefault="007F4EDE" w:rsidP="007F4EDE">
            <w:pPr>
              <w:rPr>
                <w:color w:val="000000" w:themeColor="text1"/>
                <w:sz w:val="18"/>
                <w:szCs w:val="18"/>
              </w:rPr>
            </w:pPr>
          </w:p>
        </w:tc>
        <w:tc>
          <w:tcPr>
            <w:tcW w:w="1440" w:type="dxa"/>
            <w:vMerge/>
          </w:tcPr>
          <w:p w14:paraId="52BF7D86"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173F586C"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742FD96F"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6AB56BFC" w14:textId="77777777" w:rsidR="007F4EDE" w:rsidRPr="00224BBA" w:rsidRDefault="007F4EDE" w:rsidP="007F4EDE">
            <w:pPr>
              <w:ind w:left="0"/>
              <w:rPr>
                <w:color w:val="000000" w:themeColor="text1"/>
                <w:sz w:val="18"/>
                <w:szCs w:val="18"/>
              </w:rPr>
            </w:pPr>
            <w:r w:rsidRPr="00224BBA">
              <w:rPr>
                <w:color w:val="000000" w:themeColor="text1"/>
                <w:sz w:val="18"/>
                <w:szCs w:val="18"/>
              </w:rPr>
              <w:t>Protein, g</w:t>
            </w:r>
          </w:p>
        </w:tc>
        <w:tc>
          <w:tcPr>
            <w:tcW w:w="1051" w:type="dxa"/>
            <w:shd w:val="clear" w:color="auto" w:fill="D9D9D9" w:themeFill="background1" w:themeFillShade="D9"/>
          </w:tcPr>
          <w:p w14:paraId="4CFC9BB5"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22</w:t>
            </w:r>
          </w:p>
        </w:tc>
        <w:tc>
          <w:tcPr>
            <w:tcW w:w="1169" w:type="dxa"/>
            <w:shd w:val="clear" w:color="auto" w:fill="D9D9D9" w:themeFill="background1" w:themeFillShade="D9"/>
          </w:tcPr>
          <w:p w14:paraId="11EE3D95"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28</w:t>
            </w:r>
          </w:p>
        </w:tc>
        <w:tc>
          <w:tcPr>
            <w:tcW w:w="1564" w:type="dxa"/>
            <w:tcBorders>
              <w:right w:val="single" w:sz="4" w:space="0" w:color="auto"/>
            </w:tcBorders>
            <w:shd w:val="clear" w:color="auto" w:fill="D9D9D9" w:themeFill="background1" w:themeFillShade="D9"/>
          </w:tcPr>
          <w:p w14:paraId="7BBD33E6" w14:textId="77777777" w:rsidR="007F4EDE" w:rsidRPr="00224BBA" w:rsidRDefault="007F4EDE" w:rsidP="007F4EDE">
            <w:pPr>
              <w:ind w:left="0"/>
              <w:jc w:val="center"/>
              <w:rPr>
                <w:sz w:val="18"/>
                <w:szCs w:val="18"/>
              </w:rPr>
            </w:pPr>
            <w:r w:rsidRPr="00224BBA">
              <w:rPr>
                <w:sz w:val="18"/>
                <w:szCs w:val="18"/>
              </w:rPr>
              <w:t>26</w:t>
            </w:r>
          </w:p>
        </w:tc>
      </w:tr>
      <w:tr w:rsidR="007F4EDE" w:rsidRPr="00800A64" w14:paraId="7FA12012" w14:textId="77777777" w:rsidTr="007F7EA3">
        <w:trPr>
          <w:trHeight w:val="224"/>
        </w:trPr>
        <w:tc>
          <w:tcPr>
            <w:tcW w:w="2065" w:type="dxa"/>
            <w:vMerge/>
            <w:tcBorders>
              <w:left w:val="single" w:sz="4" w:space="0" w:color="auto"/>
            </w:tcBorders>
          </w:tcPr>
          <w:p w14:paraId="690158E9" w14:textId="77777777" w:rsidR="007F4EDE" w:rsidRPr="00224BBA" w:rsidRDefault="007F4EDE" w:rsidP="007F4EDE">
            <w:pPr>
              <w:rPr>
                <w:color w:val="000000" w:themeColor="text1"/>
                <w:sz w:val="18"/>
                <w:szCs w:val="18"/>
              </w:rPr>
            </w:pPr>
          </w:p>
        </w:tc>
        <w:tc>
          <w:tcPr>
            <w:tcW w:w="1440" w:type="dxa"/>
            <w:vMerge/>
          </w:tcPr>
          <w:p w14:paraId="73BCCF4A"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2D693242"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37B9E8DE" w14:textId="77777777" w:rsidR="007F4EDE" w:rsidRPr="00224BBA" w:rsidRDefault="007F4EDE" w:rsidP="007F4EDE">
            <w:pPr>
              <w:rPr>
                <w:color w:val="000000" w:themeColor="text1"/>
                <w:sz w:val="18"/>
                <w:szCs w:val="18"/>
              </w:rPr>
            </w:pPr>
          </w:p>
        </w:tc>
        <w:tc>
          <w:tcPr>
            <w:tcW w:w="1965" w:type="dxa"/>
          </w:tcPr>
          <w:p w14:paraId="72274CC9" w14:textId="77777777" w:rsidR="007F4EDE" w:rsidRPr="00224BBA" w:rsidRDefault="007F4EDE" w:rsidP="007F4EDE">
            <w:pPr>
              <w:ind w:left="0"/>
              <w:rPr>
                <w:color w:val="000000" w:themeColor="text1"/>
                <w:sz w:val="18"/>
                <w:szCs w:val="18"/>
              </w:rPr>
            </w:pPr>
            <w:r w:rsidRPr="00224BBA">
              <w:rPr>
                <w:color w:val="000000" w:themeColor="text1"/>
                <w:sz w:val="18"/>
                <w:szCs w:val="18"/>
              </w:rPr>
              <w:t>Carbohydrates, g</w:t>
            </w:r>
          </w:p>
        </w:tc>
        <w:tc>
          <w:tcPr>
            <w:tcW w:w="1051" w:type="dxa"/>
          </w:tcPr>
          <w:p w14:paraId="68B9A770"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164</w:t>
            </w:r>
          </w:p>
        </w:tc>
        <w:tc>
          <w:tcPr>
            <w:tcW w:w="1169" w:type="dxa"/>
          </w:tcPr>
          <w:p w14:paraId="35596D99"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216</w:t>
            </w:r>
          </w:p>
        </w:tc>
        <w:tc>
          <w:tcPr>
            <w:tcW w:w="1564" w:type="dxa"/>
            <w:tcBorders>
              <w:right w:val="single" w:sz="4" w:space="0" w:color="auto"/>
            </w:tcBorders>
          </w:tcPr>
          <w:p w14:paraId="42CE4E5D" w14:textId="77777777" w:rsidR="007F4EDE" w:rsidRPr="00224BBA" w:rsidRDefault="007F4EDE" w:rsidP="007F4EDE">
            <w:pPr>
              <w:ind w:left="0"/>
              <w:jc w:val="center"/>
              <w:rPr>
                <w:sz w:val="18"/>
                <w:szCs w:val="18"/>
              </w:rPr>
            </w:pPr>
            <w:r w:rsidRPr="00224BBA">
              <w:rPr>
                <w:sz w:val="18"/>
                <w:szCs w:val="18"/>
              </w:rPr>
              <w:t>32</w:t>
            </w:r>
          </w:p>
        </w:tc>
      </w:tr>
      <w:tr w:rsidR="007F4EDE" w:rsidRPr="00800A64" w14:paraId="359890A7" w14:textId="77777777" w:rsidTr="007F7EA3">
        <w:trPr>
          <w:trHeight w:val="224"/>
        </w:trPr>
        <w:tc>
          <w:tcPr>
            <w:tcW w:w="2065" w:type="dxa"/>
            <w:vMerge/>
            <w:tcBorders>
              <w:left w:val="single" w:sz="4" w:space="0" w:color="auto"/>
            </w:tcBorders>
          </w:tcPr>
          <w:p w14:paraId="63584E05" w14:textId="77777777" w:rsidR="007F4EDE" w:rsidRPr="00224BBA" w:rsidRDefault="007F4EDE" w:rsidP="007F4EDE">
            <w:pPr>
              <w:rPr>
                <w:color w:val="000000" w:themeColor="text1"/>
                <w:sz w:val="18"/>
                <w:szCs w:val="18"/>
              </w:rPr>
            </w:pPr>
          </w:p>
        </w:tc>
        <w:tc>
          <w:tcPr>
            <w:tcW w:w="1440" w:type="dxa"/>
            <w:vMerge/>
          </w:tcPr>
          <w:p w14:paraId="4DB5FCD8"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59B1BAF1"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125D8C8A"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29E54D92" w14:textId="77777777" w:rsidR="007F4EDE" w:rsidRPr="00224BBA" w:rsidRDefault="007F4EDE" w:rsidP="007F4EDE">
            <w:pPr>
              <w:ind w:left="0"/>
              <w:rPr>
                <w:color w:val="000000" w:themeColor="text1"/>
                <w:sz w:val="18"/>
                <w:szCs w:val="18"/>
              </w:rPr>
            </w:pPr>
            <w:r w:rsidRPr="00224BBA">
              <w:rPr>
                <w:color w:val="000000" w:themeColor="text1"/>
                <w:sz w:val="18"/>
                <w:szCs w:val="18"/>
              </w:rPr>
              <w:t>Total fat, g</w:t>
            </w:r>
          </w:p>
        </w:tc>
        <w:tc>
          <w:tcPr>
            <w:tcW w:w="1051" w:type="dxa"/>
            <w:shd w:val="clear" w:color="auto" w:fill="D9D9D9" w:themeFill="background1" w:themeFillShade="D9"/>
          </w:tcPr>
          <w:p w14:paraId="5CDD9FCC"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13</w:t>
            </w:r>
          </w:p>
        </w:tc>
        <w:tc>
          <w:tcPr>
            <w:tcW w:w="1169" w:type="dxa"/>
            <w:shd w:val="clear" w:color="auto" w:fill="D9D9D9" w:themeFill="background1" w:themeFillShade="D9"/>
          </w:tcPr>
          <w:p w14:paraId="3D483312"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15</w:t>
            </w:r>
          </w:p>
        </w:tc>
        <w:tc>
          <w:tcPr>
            <w:tcW w:w="1564" w:type="dxa"/>
            <w:tcBorders>
              <w:right w:val="single" w:sz="4" w:space="0" w:color="auto"/>
            </w:tcBorders>
            <w:shd w:val="clear" w:color="auto" w:fill="D9D9D9" w:themeFill="background1" w:themeFillShade="D9"/>
          </w:tcPr>
          <w:p w14:paraId="15DC0AD7" w14:textId="77777777" w:rsidR="007F4EDE" w:rsidRPr="00224BBA" w:rsidRDefault="007F4EDE" w:rsidP="007F4EDE">
            <w:pPr>
              <w:ind w:left="0"/>
              <w:jc w:val="center"/>
              <w:rPr>
                <w:sz w:val="18"/>
                <w:szCs w:val="18"/>
              </w:rPr>
            </w:pPr>
            <w:r w:rsidRPr="00224BBA">
              <w:rPr>
                <w:sz w:val="18"/>
                <w:szCs w:val="18"/>
              </w:rPr>
              <w:t>10</w:t>
            </w:r>
          </w:p>
        </w:tc>
      </w:tr>
      <w:tr w:rsidR="007F4EDE" w:rsidRPr="00800A64" w14:paraId="1E06ADED" w14:textId="77777777" w:rsidTr="007F7EA3">
        <w:trPr>
          <w:trHeight w:val="224"/>
        </w:trPr>
        <w:tc>
          <w:tcPr>
            <w:tcW w:w="2065" w:type="dxa"/>
            <w:vMerge/>
            <w:tcBorders>
              <w:left w:val="single" w:sz="4" w:space="0" w:color="auto"/>
            </w:tcBorders>
          </w:tcPr>
          <w:p w14:paraId="38F23980" w14:textId="77777777" w:rsidR="007F4EDE" w:rsidRPr="00224BBA" w:rsidRDefault="007F4EDE" w:rsidP="007F4EDE">
            <w:pPr>
              <w:rPr>
                <w:color w:val="000000" w:themeColor="text1"/>
                <w:sz w:val="18"/>
                <w:szCs w:val="18"/>
              </w:rPr>
            </w:pPr>
          </w:p>
        </w:tc>
        <w:tc>
          <w:tcPr>
            <w:tcW w:w="1440" w:type="dxa"/>
            <w:vMerge/>
          </w:tcPr>
          <w:p w14:paraId="3F94AD61"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45CC3FD3"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47B95679" w14:textId="77777777" w:rsidR="007F4EDE" w:rsidRPr="00224BBA" w:rsidRDefault="007F4EDE" w:rsidP="007F4EDE">
            <w:pPr>
              <w:rPr>
                <w:color w:val="000000" w:themeColor="text1"/>
                <w:sz w:val="18"/>
                <w:szCs w:val="18"/>
              </w:rPr>
            </w:pPr>
          </w:p>
        </w:tc>
        <w:tc>
          <w:tcPr>
            <w:tcW w:w="1965" w:type="dxa"/>
          </w:tcPr>
          <w:p w14:paraId="2C372B1D" w14:textId="77777777" w:rsidR="007F4EDE" w:rsidRPr="00224BBA" w:rsidRDefault="007F4EDE" w:rsidP="007F4EDE">
            <w:pPr>
              <w:ind w:left="0"/>
              <w:rPr>
                <w:color w:val="000000" w:themeColor="text1"/>
                <w:sz w:val="18"/>
                <w:szCs w:val="18"/>
              </w:rPr>
            </w:pPr>
            <w:r w:rsidRPr="00224BBA">
              <w:rPr>
                <w:color w:val="000000" w:themeColor="text1"/>
                <w:sz w:val="18"/>
                <w:szCs w:val="18"/>
              </w:rPr>
              <w:t xml:space="preserve">Vitamin A RAE, </w:t>
            </w:r>
            <w:r w:rsidRPr="00EC3718">
              <w:rPr>
                <w:color w:val="000000" w:themeColor="text1"/>
                <w:sz w:val="18"/>
                <w:szCs w:val="18"/>
              </w:rPr>
              <w:sym w:font="Symbol" w:char="F06D"/>
            </w:r>
            <w:r w:rsidRPr="00224BBA">
              <w:rPr>
                <w:color w:val="000000" w:themeColor="text1"/>
                <w:sz w:val="18"/>
                <w:szCs w:val="18"/>
              </w:rPr>
              <w:t>g</w:t>
            </w:r>
          </w:p>
        </w:tc>
        <w:tc>
          <w:tcPr>
            <w:tcW w:w="1051" w:type="dxa"/>
          </w:tcPr>
          <w:p w14:paraId="5B7DB221"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108</w:t>
            </w:r>
          </w:p>
        </w:tc>
        <w:tc>
          <w:tcPr>
            <w:tcW w:w="1169" w:type="dxa"/>
          </w:tcPr>
          <w:p w14:paraId="0027777B"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158</w:t>
            </w:r>
          </w:p>
        </w:tc>
        <w:tc>
          <w:tcPr>
            <w:tcW w:w="1564" w:type="dxa"/>
            <w:tcBorders>
              <w:right w:val="single" w:sz="4" w:space="0" w:color="auto"/>
            </w:tcBorders>
          </w:tcPr>
          <w:p w14:paraId="051F54D9" w14:textId="77777777" w:rsidR="007F4EDE" w:rsidRPr="00224BBA" w:rsidRDefault="007F4EDE" w:rsidP="007F4EDE">
            <w:pPr>
              <w:ind w:left="0"/>
              <w:jc w:val="center"/>
              <w:rPr>
                <w:sz w:val="18"/>
                <w:szCs w:val="18"/>
              </w:rPr>
            </w:pPr>
            <w:r w:rsidRPr="00224BBA">
              <w:rPr>
                <w:sz w:val="18"/>
                <w:szCs w:val="18"/>
              </w:rPr>
              <w:t>47</w:t>
            </w:r>
          </w:p>
        </w:tc>
      </w:tr>
      <w:tr w:rsidR="007F4EDE" w:rsidRPr="00800A64" w14:paraId="59BDE566" w14:textId="77777777" w:rsidTr="007F7EA3">
        <w:trPr>
          <w:trHeight w:val="224"/>
        </w:trPr>
        <w:tc>
          <w:tcPr>
            <w:tcW w:w="2065" w:type="dxa"/>
            <w:vMerge/>
            <w:tcBorders>
              <w:left w:val="single" w:sz="4" w:space="0" w:color="auto"/>
            </w:tcBorders>
          </w:tcPr>
          <w:p w14:paraId="014B1B94" w14:textId="77777777" w:rsidR="007F4EDE" w:rsidRPr="00224BBA" w:rsidRDefault="007F4EDE" w:rsidP="007F4EDE">
            <w:pPr>
              <w:rPr>
                <w:color w:val="000000" w:themeColor="text1"/>
                <w:sz w:val="18"/>
                <w:szCs w:val="18"/>
              </w:rPr>
            </w:pPr>
          </w:p>
        </w:tc>
        <w:tc>
          <w:tcPr>
            <w:tcW w:w="1440" w:type="dxa"/>
            <w:vMerge/>
          </w:tcPr>
          <w:p w14:paraId="396DAC15"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3F6F8360"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340FCA20"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5CC9F5B4" w14:textId="77777777" w:rsidR="007F4EDE" w:rsidRPr="00224BBA" w:rsidRDefault="007F4EDE" w:rsidP="007F4EDE">
            <w:pPr>
              <w:ind w:left="0"/>
              <w:rPr>
                <w:color w:val="000000" w:themeColor="text1"/>
                <w:sz w:val="18"/>
                <w:szCs w:val="18"/>
              </w:rPr>
            </w:pPr>
            <w:r w:rsidRPr="00224BBA">
              <w:rPr>
                <w:color w:val="000000" w:themeColor="text1"/>
                <w:sz w:val="18"/>
                <w:szCs w:val="18"/>
              </w:rPr>
              <w:t xml:space="preserve">Vitamin D, </w:t>
            </w:r>
            <w:r w:rsidRPr="00EC3718">
              <w:rPr>
                <w:color w:val="000000" w:themeColor="text1"/>
                <w:sz w:val="18"/>
                <w:szCs w:val="18"/>
              </w:rPr>
              <w:sym w:font="Symbol" w:char="F06D"/>
            </w:r>
            <w:r w:rsidRPr="00224BBA">
              <w:rPr>
                <w:color w:val="000000" w:themeColor="text1"/>
                <w:sz w:val="18"/>
                <w:szCs w:val="18"/>
              </w:rPr>
              <w:t>g</w:t>
            </w:r>
          </w:p>
        </w:tc>
        <w:tc>
          <w:tcPr>
            <w:tcW w:w="1051" w:type="dxa"/>
            <w:shd w:val="clear" w:color="auto" w:fill="D9D9D9" w:themeFill="background1" w:themeFillShade="D9"/>
          </w:tcPr>
          <w:p w14:paraId="4AE3F08D"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0.5</w:t>
            </w:r>
          </w:p>
        </w:tc>
        <w:tc>
          <w:tcPr>
            <w:tcW w:w="1169" w:type="dxa"/>
            <w:shd w:val="clear" w:color="auto" w:fill="D9D9D9" w:themeFill="background1" w:themeFillShade="D9"/>
          </w:tcPr>
          <w:p w14:paraId="25903C39"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0.6</w:t>
            </w:r>
          </w:p>
        </w:tc>
        <w:tc>
          <w:tcPr>
            <w:tcW w:w="1564" w:type="dxa"/>
            <w:tcBorders>
              <w:right w:val="single" w:sz="4" w:space="0" w:color="auto"/>
            </w:tcBorders>
            <w:shd w:val="clear" w:color="auto" w:fill="D9D9D9" w:themeFill="background1" w:themeFillShade="D9"/>
          </w:tcPr>
          <w:p w14:paraId="296318DF" w14:textId="77777777" w:rsidR="007F4EDE" w:rsidRPr="00224BBA" w:rsidRDefault="007F4EDE" w:rsidP="007F4EDE">
            <w:pPr>
              <w:ind w:left="0"/>
              <w:jc w:val="center"/>
              <w:rPr>
                <w:sz w:val="18"/>
                <w:szCs w:val="18"/>
              </w:rPr>
            </w:pPr>
            <w:r w:rsidRPr="00224BBA">
              <w:rPr>
                <w:sz w:val="18"/>
                <w:szCs w:val="18"/>
              </w:rPr>
              <w:t>40</w:t>
            </w:r>
          </w:p>
        </w:tc>
      </w:tr>
      <w:tr w:rsidR="007F4EDE" w:rsidRPr="00800A64" w14:paraId="01253A52" w14:textId="77777777" w:rsidTr="007F7EA3">
        <w:trPr>
          <w:trHeight w:val="224"/>
        </w:trPr>
        <w:tc>
          <w:tcPr>
            <w:tcW w:w="2065" w:type="dxa"/>
            <w:vMerge/>
            <w:tcBorders>
              <w:left w:val="single" w:sz="4" w:space="0" w:color="auto"/>
            </w:tcBorders>
          </w:tcPr>
          <w:p w14:paraId="65165158" w14:textId="77777777" w:rsidR="007F4EDE" w:rsidRPr="00224BBA" w:rsidRDefault="007F4EDE" w:rsidP="007F4EDE">
            <w:pPr>
              <w:rPr>
                <w:color w:val="000000" w:themeColor="text1"/>
                <w:sz w:val="18"/>
                <w:szCs w:val="18"/>
              </w:rPr>
            </w:pPr>
          </w:p>
        </w:tc>
        <w:tc>
          <w:tcPr>
            <w:tcW w:w="1440" w:type="dxa"/>
            <w:vMerge/>
          </w:tcPr>
          <w:p w14:paraId="243B8E43"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1BCD6C65"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32C4202E" w14:textId="77777777" w:rsidR="007F4EDE" w:rsidRPr="00224BBA" w:rsidRDefault="007F4EDE" w:rsidP="007F4EDE">
            <w:pPr>
              <w:rPr>
                <w:color w:val="000000" w:themeColor="text1"/>
                <w:sz w:val="18"/>
                <w:szCs w:val="18"/>
              </w:rPr>
            </w:pPr>
          </w:p>
        </w:tc>
        <w:tc>
          <w:tcPr>
            <w:tcW w:w="1965" w:type="dxa"/>
          </w:tcPr>
          <w:p w14:paraId="2913551C" w14:textId="77777777" w:rsidR="007F4EDE" w:rsidRPr="00224BBA" w:rsidRDefault="007F4EDE" w:rsidP="007F4EDE">
            <w:pPr>
              <w:ind w:left="0"/>
              <w:rPr>
                <w:color w:val="000000" w:themeColor="text1"/>
                <w:sz w:val="18"/>
                <w:szCs w:val="18"/>
              </w:rPr>
            </w:pPr>
            <w:r w:rsidRPr="00224BBA">
              <w:rPr>
                <w:color w:val="000000" w:themeColor="text1"/>
                <w:sz w:val="18"/>
                <w:szCs w:val="18"/>
              </w:rPr>
              <w:t>Vitamin E, mg</w:t>
            </w:r>
          </w:p>
        </w:tc>
        <w:tc>
          <w:tcPr>
            <w:tcW w:w="1051" w:type="dxa"/>
          </w:tcPr>
          <w:p w14:paraId="65B4E930"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2.0</w:t>
            </w:r>
          </w:p>
        </w:tc>
        <w:tc>
          <w:tcPr>
            <w:tcW w:w="1169" w:type="dxa"/>
          </w:tcPr>
          <w:p w14:paraId="6862C45B"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2.6</w:t>
            </w:r>
          </w:p>
        </w:tc>
        <w:tc>
          <w:tcPr>
            <w:tcW w:w="1564" w:type="dxa"/>
            <w:tcBorders>
              <w:right w:val="single" w:sz="4" w:space="0" w:color="auto"/>
            </w:tcBorders>
          </w:tcPr>
          <w:p w14:paraId="3013C2CF" w14:textId="77777777" w:rsidR="007F4EDE" w:rsidRPr="00224BBA" w:rsidRDefault="007F4EDE" w:rsidP="007F4EDE">
            <w:pPr>
              <w:ind w:left="0"/>
              <w:jc w:val="center"/>
              <w:rPr>
                <w:sz w:val="18"/>
                <w:szCs w:val="18"/>
              </w:rPr>
            </w:pPr>
            <w:r w:rsidRPr="00224BBA">
              <w:rPr>
                <w:sz w:val="18"/>
                <w:szCs w:val="18"/>
              </w:rPr>
              <w:t>30</w:t>
            </w:r>
          </w:p>
        </w:tc>
      </w:tr>
      <w:tr w:rsidR="007F4EDE" w:rsidRPr="00800A64" w14:paraId="79DF59E5" w14:textId="77777777" w:rsidTr="007F7EA3">
        <w:trPr>
          <w:trHeight w:val="224"/>
        </w:trPr>
        <w:tc>
          <w:tcPr>
            <w:tcW w:w="2065" w:type="dxa"/>
            <w:vMerge/>
            <w:tcBorders>
              <w:left w:val="single" w:sz="4" w:space="0" w:color="auto"/>
            </w:tcBorders>
          </w:tcPr>
          <w:p w14:paraId="0C3B1B55" w14:textId="77777777" w:rsidR="007F4EDE" w:rsidRPr="00224BBA" w:rsidRDefault="007F4EDE" w:rsidP="007F4EDE">
            <w:pPr>
              <w:rPr>
                <w:color w:val="000000" w:themeColor="text1"/>
                <w:sz w:val="18"/>
                <w:szCs w:val="18"/>
              </w:rPr>
            </w:pPr>
          </w:p>
        </w:tc>
        <w:tc>
          <w:tcPr>
            <w:tcW w:w="1440" w:type="dxa"/>
            <w:vMerge/>
          </w:tcPr>
          <w:p w14:paraId="5294408E"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1C7D612A"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110554B0"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148EA1E8" w14:textId="77777777" w:rsidR="007F4EDE" w:rsidRPr="00224BBA" w:rsidRDefault="007F4EDE" w:rsidP="007F4EDE">
            <w:pPr>
              <w:ind w:left="0"/>
              <w:rPr>
                <w:color w:val="000000" w:themeColor="text1"/>
                <w:sz w:val="18"/>
                <w:szCs w:val="18"/>
              </w:rPr>
            </w:pPr>
            <w:r w:rsidRPr="00224BBA">
              <w:rPr>
                <w:color w:val="000000" w:themeColor="text1"/>
                <w:sz w:val="18"/>
                <w:szCs w:val="18"/>
              </w:rPr>
              <w:t>Thiamine, mg</w:t>
            </w:r>
          </w:p>
        </w:tc>
        <w:tc>
          <w:tcPr>
            <w:tcW w:w="1051" w:type="dxa"/>
            <w:shd w:val="clear" w:color="auto" w:fill="D9D9D9" w:themeFill="background1" w:themeFillShade="D9"/>
          </w:tcPr>
          <w:p w14:paraId="3EE5FD13"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0.3</w:t>
            </w:r>
          </w:p>
        </w:tc>
        <w:tc>
          <w:tcPr>
            <w:tcW w:w="1169" w:type="dxa"/>
            <w:shd w:val="clear" w:color="auto" w:fill="D9D9D9" w:themeFill="background1" w:themeFillShade="D9"/>
          </w:tcPr>
          <w:p w14:paraId="182A99CC"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0.4</w:t>
            </w:r>
          </w:p>
        </w:tc>
        <w:tc>
          <w:tcPr>
            <w:tcW w:w="1564" w:type="dxa"/>
            <w:tcBorders>
              <w:right w:val="single" w:sz="4" w:space="0" w:color="auto"/>
            </w:tcBorders>
            <w:shd w:val="clear" w:color="auto" w:fill="D9D9D9" w:themeFill="background1" w:themeFillShade="D9"/>
          </w:tcPr>
          <w:p w14:paraId="355ADD0F" w14:textId="77777777" w:rsidR="007F4EDE" w:rsidRPr="00224BBA" w:rsidRDefault="007F4EDE" w:rsidP="007F4EDE">
            <w:pPr>
              <w:ind w:left="0"/>
              <w:jc w:val="center"/>
              <w:rPr>
                <w:sz w:val="18"/>
                <w:szCs w:val="18"/>
              </w:rPr>
            </w:pPr>
            <w:r w:rsidRPr="00224BBA">
              <w:rPr>
                <w:sz w:val="18"/>
                <w:szCs w:val="18"/>
              </w:rPr>
              <w:t>33</w:t>
            </w:r>
          </w:p>
        </w:tc>
      </w:tr>
      <w:tr w:rsidR="007F4EDE" w:rsidRPr="00800A64" w14:paraId="33FDAD39" w14:textId="77777777" w:rsidTr="007F7EA3">
        <w:trPr>
          <w:trHeight w:val="224"/>
        </w:trPr>
        <w:tc>
          <w:tcPr>
            <w:tcW w:w="2065" w:type="dxa"/>
            <w:vMerge/>
            <w:tcBorders>
              <w:left w:val="single" w:sz="4" w:space="0" w:color="auto"/>
            </w:tcBorders>
          </w:tcPr>
          <w:p w14:paraId="0888910B" w14:textId="77777777" w:rsidR="007F4EDE" w:rsidRPr="00224BBA" w:rsidRDefault="007F4EDE" w:rsidP="007F4EDE">
            <w:pPr>
              <w:rPr>
                <w:color w:val="000000" w:themeColor="text1"/>
                <w:sz w:val="18"/>
                <w:szCs w:val="18"/>
              </w:rPr>
            </w:pPr>
          </w:p>
        </w:tc>
        <w:tc>
          <w:tcPr>
            <w:tcW w:w="1440" w:type="dxa"/>
            <w:vMerge/>
          </w:tcPr>
          <w:p w14:paraId="7A31075E"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45F4A014"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54ADEDB7" w14:textId="77777777" w:rsidR="007F4EDE" w:rsidRPr="00224BBA" w:rsidRDefault="007F4EDE" w:rsidP="007F4EDE">
            <w:pPr>
              <w:rPr>
                <w:color w:val="000000" w:themeColor="text1"/>
                <w:sz w:val="18"/>
                <w:szCs w:val="18"/>
              </w:rPr>
            </w:pPr>
          </w:p>
        </w:tc>
        <w:tc>
          <w:tcPr>
            <w:tcW w:w="1965" w:type="dxa"/>
          </w:tcPr>
          <w:p w14:paraId="2F856624" w14:textId="77777777" w:rsidR="007F4EDE" w:rsidRPr="00224BBA" w:rsidRDefault="007F4EDE" w:rsidP="007F4EDE">
            <w:pPr>
              <w:ind w:left="0"/>
              <w:rPr>
                <w:color w:val="000000" w:themeColor="text1"/>
                <w:sz w:val="18"/>
                <w:szCs w:val="18"/>
              </w:rPr>
            </w:pPr>
            <w:r w:rsidRPr="00224BBA">
              <w:rPr>
                <w:color w:val="000000" w:themeColor="text1"/>
                <w:sz w:val="18"/>
                <w:szCs w:val="18"/>
              </w:rPr>
              <w:t>Riboflavin, mg</w:t>
            </w:r>
          </w:p>
        </w:tc>
        <w:tc>
          <w:tcPr>
            <w:tcW w:w="1051" w:type="dxa"/>
          </w:tcPr>
          <w:p w14:paraId="2BAC32B2"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0.3</w:t>
            </w:r>
          </w:p>
        </w:tc>
        <w:tc>
          <w:tcPr>
            <w:tcW w:w="1169" w:type="dxa"/>
          </w:tcPr>
          <w:p w14:paraId="08219250"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0.3</w:t>
            </w:r>
          </w:p>
        </w:tc>
        <w:tc>
          <w:tcPr>
            <w:tcW w:w="1564" w:type="dxa"/>
            <w:tcBorders>
              <w:right w:val="single" w:sz="4" w:space="0" w:color="auto"/>
            </w:tcBorders>
          </w:tcPr>
          <w:p w14:paraId="0AF6AAA8" w14:textId="77777777" w:rsidR="007F4EDE" w:rsidRPr="00224BBA" w:rsidRDefault="007F4EDE" w:rsidP="007F4EDE">
            <w:pPr>
              <w:ind w:left="0"/>
              <w:jc w:val="center"/>
              <w:rPr>
                <w:sz w:val="18"/>
                <w:szCs w:val="18"/>
              </w:rPr>
            </w:pPr>
            <w:r w:rsidRPr="00224BBA">
              <w:rPr>
                <w:sz w:val="18"/>
                <w:szCs w:val="18"/>
              </w:rPr>
              <w:t>10</w:t>
            </w:r>
          </w:p>
        </w:tc>
      </w:tr>
      <w:tr w:rsidR="007F4EDE" w:rsidRPr="00800A64" w14:paraId="00511624" w14:textId="77777777" w:rsidTr="007F7EA3">
        <w:trPr>
          <w:trHeight w:val="224"/>
        </w:trPr>
        <w:tc>
          <w:tcPr>
            <w:tcW w:w="2065" w:type="dxa"/>
            <w:vMerge/>
            <w:tcBorders>
              <w:left w:val="single" w:sz="4" w:space="0" w:color="auto"/>
            </w:tcBorders>
          </w:tcPr>
          <w:p w14:paraId="25EB3468" w14:textId="77777777" w:rsidR="007F4EDE" w:rsidRPr="00224BBA" w:rsidRDefault="007F4EDE" w:rsidP="007F4EDE">
            <w:pPr>
              <w:rPr>
                <w:color w:val="000000" w:themeColor="text1"/>
                <w:sz w:val="18"/>
                <w:szCs w:val="18"/>
              </w:rPr>
            </w:pPr>
          </w:p>
        </w:tc>
        <w:tc>
          <w:tcPr>
            <w:tcW w:w="1440" w:type="dxa"/>
            <w:vMerge/>
          </w:tcPr>
          <w:p w14:paraId="4B46454F"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61DDC522"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13E0969A"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29FE3EFB" w14:textId="77777777" w:rsidR="007F4EDE" w:rsidRPr="00224BBA" w:rsidRDefault="007F4EDE" w:rsidP="007F4EDE">
            <w:pPr>
              <w:ind w:left="0"/>
              <w:rPr>
                <w:color w:val="000000" w:themeColor="text1"/>
                <w:sz w:val="18"/>
                <w:szCs w:val="18"/>
              </w:rPr>
            </w:pPr>
            <w:r w:rsidRPr="00224BBA">
              <w:rPr>
                <w:color w:val="000000" w:themeColor="text1"/>
                <w:sz w:val="18"/>
                <w:szCs w:val="18"/>
              </w:rPr>
              <w:t>Niacin, mg</w:t>
            </w:r>
          </w:p>
        </w:tc>
        <w:tc>
          <w:tcPr>
            <w:tcW w:w="1051" w:type="dxa"/>
            <w:shd w:val="clear" w:color="auto" w:fill="D9D9D9" w:themeFill="background1" w:themeFillShade="D9"/>
          </w:tcPr>
          <w:p w14:paraId="19C2DD08"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5.7</w:t>
            </w:r>
          </w:p>
        </w:tc>
        <w:tc>
          <w:tcPr>
            <w:tcW w:w="1169" w:type="dxa"/>
            <w:shd w:val="clear" w:color="auto" w:fill="D9D9D9" w:themeFill="background1" w:themeFillShade="D9"/>
          </w:tcPr>
          <w:p w14:paraId="63A63812"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7.8</w:t>
            </w:r>
          </w:p>
        </w:tc>
        <w:tc>
          <w:tcPr>
            <w:tcW w:w="1564" w:type="dxa"/>
            <w:tcBorders>
              <w:right w:val="single" w:sz="4" w:space="0" w:color="auto"/>
            </w:tcBorders>
            <w:shd w:val="clear" w:color="auto" w:fill="D9D9D9" w:themeFill="background1" w:themeFillShade="D9"/>
          </w:tcPr>
          <w:p w14:paraId="7AC20545" w14:textId="77777777" w:rsidR="007F4EDE" w:rsidRPr="00224BBA" w:rsidRDefault="007F4EDE" w:rsidP="007F4EDE">
            <w:pPr>
              <w:ind w:left="0"/>
              <w:jc w:val="center"/>
              <w:rPr>
                <w:sz w:val="18"/>
                <w:szCs w:val="18"/>
              </w:rPr>
            </w:pPr>
            <w:r w:rsidRPr="00224BBA">
              <w:rPr>
                <w:sz w:val="18"/>
                <w:szCs w:val="18"/>
              </w:rPr>
              <w:t>37</w:t>
            </w:r>
          </w:p>
        </w:tc>
      </w:tr>
      <w:tr w:rsidR="007F4EDE" w:rsidRPr="00800A64" w14:paraId="525BF78C" w14:textId="77777777" w:rsidTr="007F7EA3">
        <w:trPr>
          <w:trHeight w:val="224"/>
        </w:trPr>
        <w:tc>
          <w:tcPr>
            <w:tcW w:w="2065" w:type="dxa"/>
            <w:vMerge/>
            <w:tcBorders>
              <w:left w:val="single" w:sz="4" w:space="0" w:color="auto"/>
            </w:tcBorders>
          </w:tcPr>
          <w:p w14:paraId="41CB101C" w14:textId="77777777" w:rsidR="007F4EDE" w:rsidRPr="00224BBA" w:rsidRDefault="007F4EDE" w:rsidP="007F4EDE">
            <w:pPr>
              <w:rPr>
                <w:color w:val="000000" w:themeColor="text1"/>
                <w:sz w:val="18"/>
                <w:szCs w:val="18"/>
              </w:rPr>
            </w:pPr>
          </w:p>
        </w:tc>
        <w:tc>
          <w:tcPr>
            <w:tcW w:w="1440" w:type="dxa"/>
            <w:vMerge/>
          </w:tcPr>
          <w:p w14:paraId="2635E262"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7C3A9427"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6E52921A" w14:textId="77777777" w:rsidR="007F4EDE" w:rsidRPr="00224BBA" w:rsidRDefault="007F4EDE" w:rsidP="007F4EDE">
            <w:pPr>
              <w:rPr>
                <w:color w:val="000000" w:themeColor="text1"/>
                <w:sz w:val="18"/>
                <w:szCs w:val="18"/>
              </w:rPr>
            </w:pPr>
          </w:p>
        </w:tc>
        <w:tc>
          <w:tcPr>
            <w:tcW w:w="1965" w:type="dxa"/>
          </w:tcPr>
          <w:p w14:paraId="70BBEC0C" w14:textId="77777777" w:rsidR="007F4EDE" w:rsidRPr="00224BBA" w:rsidRDefault="007F4EDE" w:rsidP="007F4EDE">
            <w:pPr>
              <w:ind w:left="0"/>
              <w:rPr>
                <w:color w:val="000000" w:themeColor="text1"/>
                <w:sz w:val="18"/>
                <w:szCs w:val="18"/>
              </w:rPr>
            </w:pPr>
            <w:r w:rsidRPr="00224BBA">
              <w:rPr>
                <w:color w:val="000000" w:themeColor="text1"/>
                <w:sz w:val="18"/>
                <w:szCs w:val="18"/>
              </w:rPr>
              <w:t>Vitamin B6</w:t>
            </w:r>
          </w:p>
        </w:tc>
        <w:tc>
          <w:tcPr>
            <w:tcW w:w="1051" w:type="dxa"/>
          </w:tcPr>
          <w:p w14:paraId="745B8B42"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0.5</w:t>
            </w:r>
          </w:p>
        </w:tc>
        <w:tc>
          <w:tcPr>
            <w:tcW w:w="1169" w:type="dxa"/>
          </w:tcPr>
          <w:p w14:paraId="76FA4967"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0.7</w:t>
            </w:r>
          </w:p>
        </w:tc>
        <w:tc>
          <w:tcPr>
            <w:tcW w:w="1564" w:type="dxa"/>
            <w:tcBorders>
              <w:right w:val="single" w:sz="4" w:space="0" w:color="auto"/>
            </w:tcBorders>
          </w:tcPr>
          <w:p w14:paraId="7ADED9F1" w14:textId="77777777" w:rsidR="007F4EDE" w:rsidRPr="00224BBA" w:rsidRDefault="007F4EDE" w:rsidP="007F4EDE">
            <w:pPr>
              <w:ind w:left="0"/>
              <w:jc w:val="center"/>
              <w:rPr>
                <w:sz w:val="18"/>
                <w:szCs w:val="18"/>
              </w:rPr>
            </w:pPr>
            <w:r w:rsidRPr="00224BBA">
              <w:rPr>
                <w:sz w:val="18"/>
                <w:szCs w:val="18"/>
              </w:rPr>
              <w:t>40</w:t>
            </w:r>
          </w:p>
        </w:tc>
      </w:tr>
      <w:tr w:rsidR="007F4EDE" w:rsidRPr="00800A64" w14:paraId="04817924" w14:textId="77777777" w:rsidTr="007F7EA3">
        <w:trPr>
          <w:trHeight w:val="224"/>
        </w:trPr>
        <w:tc>
          <w:tcPr>
            <w:tcW w:w="2065" w:type="dxa"/>
            <w:vMerge/>
            <w:tcBorders>
              <w:left w:val="single" w:sz="4" w:space="0" w:color="auto"/>
            </w:tcBorders>
          </w:tcPr>
          <w:p w14:paraId="2D349F96" w14:textId="77777777" w:rsidR="007F4EDE" w:rsidRPr="00224BBA" w:rsidRDefault="007F4EDE" w:rsidP="007F4EDE">
            <w:pPr>
              <w:rPr>
                <w:color w:val="000000" w:themeColor="text1"/>
                <w:sz w:val="18"/>
                <w:szCs w:val="18"/>
              </w:rPr>
            </w:pPr>
          </w:p>
        </w:tc>
        <w:tc>
          <w:tcPr>
            <w:tcW w:w="1440" w:type="dxa"/>
            <w:vMerge/>
          </w:tcPr>
          <w:p w14:paraId="56DAFC48"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2A0D383D"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58334D15"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4320FF10" w14:textId="77777777" w:rsidR="007F4EDE" w:rsidRPr="00224BBA" w:rsidRDefault="007F4EDE" w:rsidP="007F4EDE">
            <w:pPr>
              <w:ind w:left="0"/>
              <w:rPr>
                <w:color w:val="000000" w:themeColor="text1"/>
                <w:sz w:val="18"/>
                <w:szCs w:val="18"/>
              </w:rPr>
            </w:pPr>
            <w:r w:rsidRPr="00224BBA">
              <w:rPr>
                <w:color w:val="000000" w:themeColor="text1"/>
                <w:sz w:val="18"/>
                <w:szCs w:val="18"/>
              </w:rPr>
              <w:t xml:space="preserve">Folate, </w:t>
            </w:r>
            <w:r w:rsidRPr="00EC3718">
              <w:rPr>
                <w:color w:val="000000" w:themeColor="text1"/>
                <w:sz w:val="18"/>
                <w:szCs w:val="18"/>
              </w:rPr>
              <w:sym w:font="Symbol" w:char="F06D"/>
            </w:r>
            <w:r w:rsidRPr="00224BBA">
              <w:rPr>
                <w:color w:val="000000" w:themeColor="text1"/>
                <w:sz w:val="18"/>
                <w:szCs w:val="18"/>
              </w:rPr>
              <w:t>g</w:t>
            </w:r>
          </w:p>
        </w:tc>
        <w:tc>
          <w:tcPr>
            <w:tcW w:w="1051" w:type="dxa"/>
            <w:shd w:val="clear" w:color="auto" w:fill="D9D9D9" w:themeFill="background1" w:themeFillShade="D9"/>
          </w:tcPr>
          <w:p w14:paraId="63E5D9E2"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55</w:t>
            </w:r>
          </w:p>
        </w:tc>
        <w:tc>
          <w:tcPr>
            <w:tcW w:w="1169" w:type="dxa"/>
            <w:shd w:val="clear" w:color="auto" w:fill="D9D9D9" w:themeFill="background1" w:themeFillShade="D9"/>
          </w:tcPr>
          <w:p w14:paraId="03E4A17A"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76</w:t>
            </w:r>
          </w:p>
        </w:tc>
        <w:tc>
          <w:tcPr>
            <w:tcW w:w="1564" w:type="dxa"/>
            <w:tcBorders>
              <w:right w:val="single" w:sz="4" w:space="0" w:color="auto"/>
            </w:tcBorders>
            <w:shd w:val="clear" w:color="auto" w:fill="D9D9D9" w:themeFill="background1" w:themeFillShade="D9"/>
          </w:tcPr>
          <w:p w14:paraId="751367C9" w14:textId="77777777" w:rsidR="007F4EDE" w:rsidRPr="00224BBA" w:rsidRDefault="007F4EDE" w:rsidP="007F4EDE">
            <w:pPr>
              <w:ind w:left="0"/>
              <w:jc w:val="center"/>
              <w:rPr>
                <w:sz w:val="18"/>
                <w:szCs w:val="18"/>
              </w:rPr>
            </w:pPr>
            <w:r w:rsidRPr="00224BBA">
              <w:rPr>
                <w:sz w:val="18"/>
                <w:szCs w:val="18"/>
              </w:rPr>
              <w:t>40</w:t>
            </w:r>
          </w:p>
        </w:tc>
      </w:tr>
      <w:tr w:rsidR="007F4EDE" w:rsidRPr="00800A64" w14:paraId="3667F439" w14:textId="77777777" w:rsidTr="007F7EA3">
        <w:trPr>
          <w:trHeight w:val="224"/>
        </w:trPr>
        <w:tc>
          <w:tcPr>
            <w:tcW w:w="2065" w:type="dxa"/>
            <w:vMerge/>
            <w:tcBorders>
              <w:left w:val="single" w:sz="4" w:space="0" w:color="auto"/>
            </w:tcBorders>
          </w:tcPr>
          <w:p w14:paraId="76111BF0" w14:textId="77777777" w:rsidR="007F4EDE" w:rsidRPr="00224BBA" w:rsidRDefault="007F4EDE" w:rsidP="007F4EDE">
            <w:pPr>
              <w:rPr>
                <w:color w:val="000000" w:themeColor="text1"/>
                <w:sz w:val="18"/>
                <w:szCs w:val="18"/>
              </w:rPr>
            </w:pPr>
          </w:p>
        </w:tc>
        <w:tc>
          <w:tcPr>
            <w:tcW w:w="1440" w:type="dxa"/>
            <w:vMerge/>
          </w:tcPr>
          <w:p w14:paraId="0969B96E"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37FB7286"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4465560C" w14:textId="77777777" w:rsidR="007F4EDE" w:rsidRPr="00224BBA" w:rsidRDefault="007F4EDE" w:rsidP="007F4EDE">
            <w:pPr>
              <w:rPr>
                <w:color w:val="000000" w:themeColor="text1"/>
                <w:sz w:val="18"/>
                <w:szCs w:val="18"/>
              </w:rPr>
            </w:pPr>
          </w:p>
        </w:tc>
        <w:tc>
          <w:tcPr>
            <w:tcW w:w="1965" w:type="dxa"/>
          </w:tcPr>
          <w:p w14:paraId="7EA2DC41" w14:textId="77777777" w:rsidR="007F4EDE" w:rsidRPr="00224BBA" w:rsidRDefault="007F4EDE" w:rsidP="007F4EDE">
            <w:pPr>
              <w:ind w:left="0"/>
              <w:rPr>
                <w:color w:val="000000" w:themeColor="text1"/>
                <w:sz w:val="18"/>
                <w:szCs w:val="18"/>
              </w:rPr>
            </w:pPr>
            <w:r w:rsidRPr="00224BBA">
              <w:rPr>
                <w:color w:val="000000" w:themeColor="text1"/>
                <w:sz w:val="18"/>
                <w:szCs w:val="18"/>
              </w:rPr>
              <w:t>Vitamin C, mg</w:t>
            </w:r>
          </w:p>
        </w:tc>
        <w:tc>
          <w:tcPr>
            <w:tcW w:w="1051" w:type="dxa"/>
          </w:tcPr>
          <w:p w14:paraId="48E897E8"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18</w:t>
            </w:r>
          </w:p>
        </w:tc>
        <w:tc>
          <w:tcPr>
            <w:tcW w:w="1169" w:type="dxa"/>
          </w:tcPr>
          <w:p w14:paraId="1E188782"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32</w:t>
            </w:r>
          </w:p>
        </w:tc>
        <w:tc>
          <w:tcPr>
            <w:tcW w:w="1564" w:type="dxa"/>
            <w:tcBorders>
              <w:right w:val="single" w:sz="4" w:space="0" w:color="auto"/>
            </w:tcBorders>
          </w:tcPr>
          <w:p w14:paraId="2E13531B" w14:textId="77777777" w:rsidR="007F4EDE" w:rsidRPr="00224BBA" w:rsidRDefault="007F4EDE" w:rsidP="007F4EDE">
            <w:pPr>
              <w:ind w:left="0"/>
              <w:jc w:val="center"/>
              <w:rPr>
                <w:sz w:val="18"/>
                <w:szCs w:val="18"/>
              </w:rPr>
            </w:pPr>
            <w:r w:rsidRPr="00224BBA">
              <w:rPr>
                <w:sz w:val="18"/>
                <w:szCs w:val="18"/>
              </w:rPr>
              <w:t>80</w:t>
            </w:r>
          </w:p>
        </w:tc>
      </w:tr>
      <w:tr w:rsidR="007F4EDE" w:rsidRPr="00800A64" w14:paraId="5A2AAEBF" w14:textId="77777777" w:rsidTr="007F7EA3">
        <w:trPr>
          <w:trHeight w:val="224"/>
        </w:trPr>
        <w:tc>
          <w:tcPr>
            <w:tcW w:w="2065" w:type="dxa"/>
            <w:vMerge/>
            <w:tcBorders>
              <w:left w:val="single" w:sz="4" w:space="0" w:color="auto"/>
            </w:tcBorders>
          </w:tcPr>
          <w:p w14:paraId="4D10F823" w14:textId="77777777" w:rsidR="007F4EDE" w:rsidRPr="00224BBA" w:rsidRDefault="007F4EDE" w:rsidP="007F4EDE">
            <w:pPr>
              <w:rPr>
                <w:color w:val="000000" w:themeColor="text1"/>
                <w:sz w:val="18"/>
                <w:szCs w:val="18"/>
              </w:rPr>
            </w:pPr>
          </w:p>
        </w:tc>
        <w:tc>
          <w:tcPr>
            <w:tcW w:w="1440" w:type="dxa"/>
            <w:vMerge/>
          </w:tcPr>
          <w:p w14:paraId="1F0C30DB"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31BB08BE"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6F4B29ED"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31945F30" w14:textId="77777777" w:rsidR="007F4EDE" w:rsidRPr="00224BBA" w:rsidRDefault="007F4EDE" w:rsidP="007F4EDE">
            <w:pPr>
              <w:ind w:left="0"/>
              <w:rPr>
                <w:color w:val="000000" w:themeColor="text1"/>
                <w:sz w:val="18"/>
                <w:szCs w:val="18"/>
              </w:rPr>
            </w:pPr>
            <w:r w:rsidRPr="00224BBA">
              <w:rPr>
                <w:color w:val="000000" w:themeColor="text1"/>
                <w:sz w:val="18"/>
                <w:szCs w:val="18"/>
              </w:rPr>
              <w:t>Calcium, mg</w:t>
            </w:r>
          </w:p>
        </w:tc>
        <w:tc>
          <w:tcPr>
            <w:tcW w:w="1051" w:type="dxa"/>
            <w:shd w:val="clear" w:color="auto" w:fill="D9D9D9" w:themeFill="background1" w:themeFillShade="D9"/>
          </w:tcPr>
          <w:p w14:paraId="2414721B"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151</w:t>
            </w:r>
          </w:p>
        </w:tc>
        <w:tc>
          <w:tcPr>
            <w:tcW w:w="1169" w:type="dxa"/>
            <w:shd w:val="clear" w:color="auto" w:fill="D9D9D9" w:themeFill="background1" w:themeFillShade="D9"/>
          </w:tcPr>
          <w:p w14:paraId="3F6A3C17"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166</w:t>
            </w:r>
          </w:p>
        </w:tc>
        <w:tc>
          <w:tcPr>
            <w:tcW w:w="1564" w:type="dxa"/>
            <w:tcBorders>
              <w:right w:val="single" w:sz="4" w:space="0" w:color="auto"/>
            </w:tcBorders>
            <w:shd w:val="clear" w:color="auto" w:fill="D9D9D9" w:themeFill="background1" w:themeFillShade="D9"/>
          </w:tcPr>
          <w:p w14:paraId="699026BA" w14:textId="77777777" w:rsidR="007F4EDE" w:rsidRPr="00224BBA" w:rsidRDefault="007F4EDE" w:rsidP="007F4EDE">
            <w:pPr>
              <w:ind w:left="0"/>
              <w:jc w:val="center"/>
              <w:rPr>
                <w:sz w:val="18"/>
                <w:szCs w:val="18"/>
              </w:rPr>
            </w:pPr>
            <w:r w:rsidRPr="00224BBA">
              <w:rPr>
                <w:sz w:val="18"/>
                <w:szCs w:val="18"/>
              </w:rPr>
              <w:t>10</w:t>
            </w:r>
          </w:p>
        </w:tc>
      </w:tr>
      <w:tr w:rsidR="007F4EDE" w:rsidRPr="00800A64" w14:paraId="43A0307B" w14:textId="77777777" w:rsidTr="007F7EA3">
        <w:trPr>
          <w:trHeight w:val="224"/>
        </w:trPr>
        <w:tc>
          <w:tcPr>
            <w:tcW w:w="2065" w:type="dxa"/>
            <w:vMerge/>
            <w:tcBorders>
              <w:left w:val="single" w:sz="4" w:space="0" w:color="auto"/>
            </w:tcBorders>
          </w:tcPr>
          <w:p w14:paraId="327EB4EC" w14:textId="77777777" w:rsidR="007F4EDE" w:rsidRPr="00224BBA" w:rsidRDefault="007F4EDE" w:rsidP="007F4EDE">
            <w:pPr>
              <w:rPr>
                <w:color w:val="000000" w:themeColor="text1"/>
                <w:sz w:val="18"/>
                <w:szCs w:val="18"/>
              </w:rPr>
            </w:pPr>
          </w:p>
        </w:tc>
        <w:tc>
          <w:tcPr>
            <w:tcW w:w="1440" w:type="dxa"/>
            <w:vMerge/>
          </w:tcPr>
          <w:p w14:paraId="41EF8BEA"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1DD7631B"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6B01C724" w14:textId="77777777" w:rsidR="007F4EDE" w:rsidRPr="00224BBA" w:rsidRDefault="007F4EDE" w:rsidP="007F4EDE">
            <w:pPr>
              <w:rPr>
                <w:color w:val="000000" w:themeColor="text1"/>
                <w:sz w:val="18"/>
                <w:szCs w:val="18"/>
              </w:rPr>
            </w:pPr>
          </w:p>
        </w:tc>
        <w:tc>
          <w:tcPr>
            <w:tcW w:w="1965" w:type="dxa"/>
          </w:tcPr>
          <w:p w14:paraId="3E41A318" w14:textId="77777777" w:rsidR="007F4EDE" w:rsidRPr="00224BBA" w:rsidRDefault="007F4EDE" w:rsidP="007F4EDE">
            <w:pPr>
              <w:ind w:left="0"/>
              <w:rPr>
                <w:color w:val="000000" w:themeColor="text1"/>
                <w:sz w:val="18"/>
                <w:szCs w:val="18"/>
              </w:rPr>
            </w:pPr>
            <w:r w:rsidRPr="00224BBA">
              <w:rPr>
                <w:color w:val="000000" w:themeColor="text1"/>
                <w:sz w:val="18"/>
                <w:szCs w:val="18"/>
              </w:rPr>
              <w:t>Iron, mg</w:t>
            </w:r>
          </w:p>
        </w:tc>
        <w:tc>
          <w:tcPr>
            <w:tcW w:w="1051" w:type="dxa"/>
          </w:tcPr>
          <w:p w14:paraId="771AA2A9"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4.2</w:t>
            </w:r>
          </w:p>
        </w:tc>
        <w:tc>
          <w:tcPr>
            <w:tcW w:w="1169" w:type="dxa"/>
          </w:tcPr>
          <w:p w14:paraId="53DF3085"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5.8</w:t>
            </w:r>
          </w:p>
        </w:tc>
        <w:tc>
          <w:tcPr>
            <w:tcW w:w="1564" w:type="dxa"/>
            <w:tcBorders>
              <w:right w:val="single" w:sz="4" w:space="0" w:color="auto"/>
            </w:tcBorders>
          </w:tcPr>
          <w:p w14:paraId="3455335C" w14:textId="77777777" w:rsidR="007F4EDE" w:rsidRPr="00224BBA" w:rsidRDefault="007F4EDE" w:rsidP="007F4EDE">
            <w:pPr>
              <w:ind w:left="0"/>
              <w:jc w:val="center"/>
              <w:rPr>
                <w:sz w:val="18"/>
                <w:szCs w:val="18"/>
              </w:rPr>
            </w:pPr>
            <w:r w:rsidRPr="00224BBA">
              <w:rPr>
                <w:sz w:val="18"/>
                <w:szCs w:val="18"/>
              </w:rPr>
              <w:t>38</w:t>
            </w:r>
          </w:p>
        </w:tc>
      </w:tr>
      <w:tr w:rsidR="007F4EDE" w:rsidRPr="00800A64" w14:paraId="5ACF0AD9" w14:textId="77777777" w:rsidTr="007F7EA3">
        <w:trPr>
          <w:trHeight w:val="224"/>
        </w:trPr>
        <w:tc>
          <w:tcPr>
            <w:tcW w:w="2065" w:type="dxa"/>
            <w:vMerge/>
            <w:tcBorders>
              <w:left w:val="single" w:sz="4" w:space="0" w:color="auto"/>
            </w:tcBorders>
          </w:tcPr>
          <w:p w14:paraId="7370B346" w14:textId="77777777" w:rsidR="007F4EDE" w:rsidRPr="00224BBA" w:rsidRDefault="007F4EDE" w:rsidP="007F4EDE">
            <w:pPr>
              <w:rPr>
                <w:color w:val="000000" w:themeColor="text1"/>
                <w:sz w:val="18"/>
                <w:szCs w:val="18"/>
              </w:rPr>
            </w:pPr>
          </w:p>
        </w:tc>
        <w:tc>
          <w:tcPr>
            <w:tcW w:w="1440" w:type="dxa"/>
            <w:vMerge/>
          </w:tcPr>
          <w:p w14:paraId="459A8768"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544967BD"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1F1D9807"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4D5DFA44" w14:textId="77777777" w:rsidR="007F4EDE" w:rsidRPr="00224BBA" w:rsidRDefault="007F4EDE" w:rsidP="007F4EDE">
            <w:pPr>
              <w:ind w:left="0"/>
              <w:rPr>
                <w:color w:val="000000" w:themeColor="text1"/>
                <w:sz w:val="18"/>
                <w:szCs w:val="18"/>
              </w:rPr>
            </w:pPr>
            <w:r w:rsidRPr="00224BBA">
              <w:rPr>
                <w:color w:val="000000" w:themeColor="text1"/>
                <w:sz w:val="18"/>
                <w:szCs w:val="18"/>
              </w:rPr>
              <w:t>Sodium, mg</w:t>
            </w:r>
          </w:p>
        </w:tc>
        <w:tc>
          <w:tcPr>
            <w:tcW w:w="1051" w:type="dxa"/>
            <w:shd w:val="clear" w:color="auto" w:fill="D9D9D9" w:themeFill="background1" w:themeFillShade="D9"/>
          </w:tcPr>
          <w:p w14:paraId="2956E59C"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1960</w:t>
            </w:r>
          </w:p>
        </w:tc>
        <w:tc>
          <w:tcPr>
            <w:tcW w:w="1169" w:type="dxa"/>
            <w:shd w:val="clear" w:color="auto" w:fill="D9D9D9" w:themeFill="background1" w:themeFillShade="D9"/>
          </w:tcPr>
          <w:p w14:paraId="05B36286"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2887</w:t>
            </w:r>
          </w:p>
        </w:tc>
        <w:tc>
          <w:tcPr>
            <w:tcW w:w="1564" w:type="dxa"/>
            <w:tcBorders>
              <w:right w:val="single" w:sz="4" w:space="0" w:color="auto"/>
            </w:tcBorders>
            <w:shd w:val="clear" w:color="auto" w:fill="D9D9D9" w:themeFill="background1" w:themeFillShade="D9"/>
          </w:tcPr>
          <w:p w14:paraId="4DD761C8" w14:textId="77777777" w:rsidR="007F4EDE" w:rsidRPr="00224BBA" w:rsidRDefault="007F4EDE" w:rsidP="007F4EDE">
            <w:pPr>
              <w:ind w:left="0"/>
              <w:jc w:val="center"/>
              <w:rPr>
                <w:sz w:val="18"/>
                <w:szCs w:val="18"/>
              </w:rPr>
            </w:pPr>
            <w:r w:rsidRPr="00224BBA">
              <w:rPr>
                <w:sz w:val="18"/>
                <w:szCs w:val="18"/>
              </w:rPr>
              <w:t>47</w:t>
            </w:r>
          </w:p>
        </w:tc>
      </w:tr>
      <w:tr w:rsidR="007F4EDE" w:rsidRPr="00800A64" w14:paraId="57E5C836" w14:textId="77777777" w:rsidTr="007F7EA3">
        <w:trPr>
          <w:trHeight w:val="224"/>
        </w:trPr>
        <w:tc>
          <w:tcPr>
            <w:tcW w:w="2065" w:type="dxa"/>
            <w:vMerge/>
            <w:tcBorders>
              <w:left w:val="single" w:sz="4" w:space="0" w:color="auto"/>
            </w:tcBorders>
          </w:tcPr>
          <w:p w14:paraId="53E014D3" w14:textId="77777777" w:rsidR="007F4EDE" w:rsidRPr="00224BBA" w:rsidRDefault="007F4EDE" w:rsidP="007F4EDE">
            <w:pPr>
              <w:rPr>
                <w:color w:val="000000" w:themeColor="text1"/>
                <w:sz w:val="18"/>
                <w:szCs w:val="18"/>
              </w:rPr>
            </w:pPr>
          </w:p>
        </w:tc>
        <w:tc>
          <w:tcPr>
            <w:tcW w:w="1440" w:type="dxa"/>
            <w:vMerge/>
          </w:tcPr>
          <w:p w14:paraId="568BD55E"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4D855482"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0F07E582" w14:textId="77777777" w:rsidR="007F4EDE" w:rsidRPr="00224BBA" w:rsidRDefault="007F4EDE" w:rsidP="007F4EDE">
            <w:pPr>
              <w:rPr>
                <w:color w:val="000000" w:themeColor="text1"/>
                <w:sz w:val="18"/>
                <w:szCs w:val="18"/>
              </w:rPr>
            </w:pPr>
          </w:p>
        </w:tc>
        <w:tc>
          <w:tcPr>
            <w:tcW w:w="1965" w:type="dxa"/>
          </w:tcPr>
          <w:p w14:paraId="3CFC5D61" w14:textId="77777777" w:rsidR="007F4EDE" w:rsidRPr="00224BBA" w:rsidRDefault="007F4EDE" w:rsidP="007F4EDE">
            <w:pPr>
              <w:ind w:left="0"/>
              <w:rPr>
                <w:color w:val="000000" w:themeColor="text1"/>
                <w:sz w:val="18"/>
                <w:szCs w:val="18"/>
              </w:rPr>
            </w:pPr>
            <w:r w:rsidRPr="00224BBA">
              <w:rPr>
                <w:color w:val="000000" w:themeColor="text1"/>
                <w:sz w:val="18"/>
                <w:szCs w:val="18"/>
              </w:rPr>
              <w:t>Potassium, mg</w:t>
            </w:r>
          </w:p>
        </w:tc>
        <w:tc>
          <w:tcPr>
            <w:tcW w:w="1051" w:type="dxa"/>
          </w:tcPr>
          <w:p w14:paraId="38973213"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621</w:t>
            </w:r>
          </w:p>
        </w:tc>
        <w:tc>
          <w:tcPr>
            <w:tcW w:w="1169" w:type="dxa"/>
          </w:tcPr>
          <w:p w14:paraId="1B68C298"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850</w:t>
            </w:r>
          </w:p>
        </w:tc>
        <w:tc>
          <w:tcPr>
            <w:tcW w:w="1564" w:type="dxa"/>
            <w:tcBorders>
              <w:right w:val="single" w:sz="4" w:space="0" w:color="auto"/>
            </w:tcBorders>
          </w:tcPr>
          <w:p w14:paraId="1CFE03D5" w14:textId="77777777" w:rsidR="007F4EDE" w:rsidRPr="00224BBA" w:rsidRDefault="007F4EDE" w:rsidP="007F4EDE">
            <w:pPr>
              <w:ind w:left="0"/>
              <w:jc w:val="center"/>
              <w:rPr>
                <w:sz w:val="18"/>
                <w:szCs w:val="18"/>
              </w:rPr>
            </w:pPr>
            <w:r w:rsidRPr="00224BBA">
              <w:rPr>
                <w:sz w:val="18"/>
                <w:szCs w:val="18"/>
              </w:rPr>
              <w:t>37</w:t>
            </w:r>
          </w:p>
        </w:tc>
      </w:tr>
      <w:tr w:rsidR="007F4EDE" w:rsidRPr="00800A64" w14:paraId="7CF285E1" w14:textId="77777777" w:rsidTr="007F7EA3">
        <w:trPr>
          <w:trHeight w:val="224"/>
        </w:trPr>
        <w:tc>
          <w:tcPr>
            <w:tcW w:w="2065" w:type="dxa"/>
            <w:vMerge/>
            <w:tcBorders>
              <w:left w:val="single" w:sz="4" w:space="0" w:color="auto"/>
            </w:tcBorders>
          </w:tcPr>
          <w:p w14:paraId="253EA48C" w14:textId="77777777" w:rsidR="007F4EDE" w:rsidRPr="00224BBA" w:rsidRDefault="007F4EDE" w:rsidP="007F4EDE">
            <w:pPr>
              <w:rPr>
                <w:color w:val="000000" w:themeColor="text1"/>
                <w:sz w:val="18"/>
                <w:szCs w:val="18"/>
              </w:rPr>
            </w:pPr>
          </w:p>
        </w:tc>
        <w:tc>
          <w:tcPr>
            <w:tcW w:w="1440" w:type="dxa"/>
            <w:vMerge/>
          </w:tcPr>
          <w:p w14:paraId="6F3B5C08" w14:textId="77777777" w:rsidR="007F4EDE" w:rsidRPr="00224BBA" w:rsidRDefault="007F4EDE" w:rsidP="007F4EDE">
            <w:pPr>
              <w:rPr>
                <w:color w:val="000000" w:themeColor="text1"/>
                <w:sz w:val="18"/>
                <w:szCs w:val="18"/>
              </w:rPr>
            </w:pPr>
          </w:p>
        </w:tc>
        <w:tc>
          <w:tcPr>
            <w:tcW w:w="2108" w:type="dxa"/>
            <w:vMerge/>
            <w:tcBorders>
              <w:right w:val="single" w:sz="4" w:space="0" w:color="auto"/>
            </w:tcBorders>
          </w:tcPr>
          <w:p w14:paraId="5346A28E" w14:textId="77777777" w:rsidR="007F4EDE" w:rsidRPr="00224BBA" w:rsidRDefault="007F4EDE" w:rsidP="007F4EDE">
            <w:pPr>
              <w:rPr>
                <w:color w:val="000000" w:themeColor="text1"/>
                <w:sz w:val="18"/>
                <w:szCs w:val="18"/>
              </w:rPr>
            </w:pPr>
          </w:p>
        </w:tc>
        <w:tc>
          <w:tcPr>
            <w:tcW w:w="1701" w:type="dxa"/>
            <w:vMerge/>
            <w:tcBorders>
              <w:left w:val="single" w:sz="4" w:space="0" w:color="auto"/>
            </w:tcBorders>
          </w:tcPr>
          <w:p w14:paraId="57D700F8" w14:textId="77777777" w:rsidR="007F4EDE" w:rsidRPr="00224BBA" w:rsidRDefault="007F4EDE" w:rsidP="007F4EDE">
            <w:pPr>
              <w:rPr>
                <w:color w:val="000000" w:themeColor="text1"/>
                <w:sz w:val="18"/>
                <w:szCs w:val="18"/>
              </w:rPr>
            </w:pPr>
          </w:p>
        </w:tc>
        <w:tc>
          <w:tcPr>
            <w:tcW w:w="1965" w:type="dxa"/>
            <w:shd w:val="clear" w:color="auto" w:fill="D9D9D9" w:themeFill="background1" w:themeFillShade="D9"/>
          </w:tcPr>
          <w:p w14:paraId="6E4D0CB2" w14:textId="77777777" w:rsidR="007F4EDE" w:rsidRPr="00224BBA" w:rsidRDefault="007F4EDE" w:rsidP="007F4EDE">
            <w:pPr>
              <w:ind w:left="0"/>
              <w:rPr>
                <w:color w:val="000000" w:themeColor="text1"/>
                <w:sz w:val="18"/>
                <w:szCs w:val="18"/>
              </w:rPr>
            </w:pPr>
            <w:r w:rsidRPr="00224BBA">
              <w:rPr>
                <w:color w:val="000000" w:themeColor="text1"/>
                <w:sz w:val="18"/>
                <w:szCs w:val="18"/>
              </w:rPr>
              <w:t>Magnesium, mg</w:t>
            </w:r>
          </w:p>
        </w:tc>
        <w:tc>
          <w:tcPr>
            <w:tcW w:w="1051" w:type="dxa"/>
            <w:shd w:val="clear" w:color="auto" w:fill="D9D9D9" w:themeFill="background1" w:themeFillShade="D9"/>
          </w:tcPr>
          <w:p w14:paraId="1CED0A5E"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132</w:t>
            </w:r>
          </w:p>
        </w:tc>
        <w:tc>
          <w:tcPr>
            <w:tcW w:w="1169" w:type="dxa"/>
            <w:shd w:val="clear" w:color="auto" w:fill="D9D9D9" w:themeFill="background1" w:themeFillShade="D9"/>
          </w:tcPr>
          <w:p w14:paraId="4CB37BCF"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184</w:t>
            </w:r>
          </w:p>
        </w:tc>
        <w:tc>
          <w:tcPr>
            <w:tcW w:w="1564" w:type="dxa"/>
            <w:tcBorders>
              <w:right w:val="single" w:sz="4" w:space="0" w:color="auto"/>
            </w:tcBorders>
            <w:shd w:val="clear" w:color="auto" w:fill="D9D9D9" w:themeFill="background1" w:themeFillShade="D9"/>
          </w:tcPr>
          <w:p w14:paraId="1CA18EDD" w14:textId="77777777" w:rsidR="007F4EDE" w:rsidRPr="00224BBA" w:rsidRDefault="007F4EDE" w:rsidP="007F4EDE">
            <w:pPr>
              <w:ind w:left="0"/>
              <w:jc w:val="center"/>
              <w:rPr>
                <w:sz w:val="18"/>
                <w:szCs w:val="18"/>
              </w:rPr>
            </w:pPr>
            <w:r w:rsidRPr="00224BBA">
              <w:rPr>
                <w:sz w:val="18"/>
                <w:szCs w:val="18"/>
              </w:rPr>
              <w:t>40</w:t>
            </w:r>
          </w:p>
        </w:tc>
      </w:tr>
      <w:tr w:rsidR="007F4EDE" w:rsidRPr="00800A64" w14:paraId="28354CE6" w14:textId="77777777" w:rsidTr="007F7EA3">
        <w:trPr>
          <w:trHeight w:val="224"/>
        </w:trPr>
        <w:tc>
          <w:tcPr>
            <w:tcW w:w="2065" w:type="dxa"/>
            <w:vMerge/>
            <w:tcBorders>
              <w:left w:val="single" w:sz="4" w:space="0" w:color="auto"/>
              <w:bottom w:val="single" w:sz="4" w:space="0" w:color="auto"/>
            </w:tcBorders>
          </w:tcPr>
          <w:p w14:paraId="7F070185" w14:textId="77777777" w:rsidR="007F4EDE" w:rsidRPr="00224BBA" w:rsidRDefault="007F4EDE" w:rsidP="007F4EDE">
            <w:pPr>
              <w:rPr>
                <w:color w:val="000000" w:themeColor="text1"/>
                <w:sz w:val="18"/>
                <w:szCs w:val="18"/>
              </w:rPr>
            </w:pPr>
          </w:p>
        </w:tc>
        <w:tc>
          <w:tcPr>
            <w:tcW w:w="1440" w:type="dxa"/>
            <w:vMerge/>
            <w:tcBorders>
              <w:bottom w:val="single" w:sz="4" w:space="0" w:color="auto"/>
            </w:tcBorders>
          </w:tcPr>
          <w:p w14:paraId="4AD24407" w14:textId="77777777" w:rsidR="007F4EDE" w:rsidRPr="00224BBA" w:rsidRDefault="007F4EDE" w:rsidP="007F4EDE">
            <w:pPr>
              <w:rPr>
                <w:color w:val="000000" w:themeColor="text1"/>
                <w:sz w:val="18"/>
                <w:szCs w:val="18"/>
              </w:rPr>
            </w:pPr>
          </w:p>
        </w:tc>
        <w:tc>
          <w:tcPr>
            <w:tcW w:w="2108" w:type="dxa"/>
            <w:vMerge/>
            <w:tcBorders>
              <w:bottom w:val="single" w:sz="4" w:space="0" w:color="auto"/>
              <w:right w:val="single" w:sz="4" w:space="0" w:color="auto"/>
            </w:tcBorders>
          </w:tcPr>
          <w:p w14:paraId="7F888BFE" w14:textId="77777777" w:rsidR="007F4EDE" w:rsidRPr="00224BBA" w:rsidRDefault="007F4EDE" w:rsidP="007F4EDE">
            <w:pPr>
              <w:rPr>
                <w:color w:val="000000" w:themeColor="text1"/>
                <w:sz w:val="18"/>
                <w:szCs w:val="18"/>
              </w:rPr>
            </w:pPr>
          </w:p>
        </w:tc>
        <w:tc>
          <w:tcPr>
            <w:tcW w:w="1701" w:type="dxa"/>
            <w:vMerge/>
            <w:tcBorders>
              <w:left w:val="single" w:sz="4" w:space="0" w:color="auto"/>
              <w:bottom w:val="single" w:sz="4" w:space="0" w:color="auto"/>
            </w:tcBorders>
          </w:tcPr>
          <w:p w14:paraId="346F8C1B" w14:textId="77777777" w:rsidR="007F4EDE" w:rsidRPr="00224BBA" w:rsidRDefault="007F4EDE" w:rsidP="007F4EDE">
            <w:pPr>
              <w:rPr>
                <w:color w:val="000000" w:themeColor="text1"/>
                <w:sz w:val="18"/>
                <w:szCs w:val="18"/>
              </w:rPr>
            </w:pPr>
          </w:p>
        </w:tc>
        <w:tc>
          <w:tcPr>
            <w:tcW w:w="1965" w:type="dxa"/>
            <w:tcBorders>
              <w:bottom w:val="single" w:sz="4" w:space="0" w:color="auto"/>
            </w:tcBorders>
          </w:tcPr>
          <w:p w14:paraId="365EB2F6" w14:textId="77777777" w:rsidR="007F4EDE" w:rsidRPr="00224BBA" w:rsidRDefault="007F4EDE" w:rsidP="007F4EDE">
            <w:pPr>
              <w:ind w:left="0"/>
              <w:rPr>
                <w:color w:val="000000" w:themeColor="text1"/>
                <w:sz w:val="18"/>
                <w:szCs w:val="18"/>
              </w:rPr>
            </w:pPr>
            <w:r w:rsidRPr="00224BBA">
              <w:rPr>
                <w:color w:val="000000" w:themeColor="text1"/>
                <w:sz w:val="18"/>
                <w:szCs w:val="18"/>
              </w:rPr>
              <w:t>Zinc, mg</w:t>
            </w:r>
          </w:p>
        </w:tc>
        <w:tc>
          <w:tcPr>
            <w:tcW w:w="1051" w:type="dxa"/>
            <w:tcBorders>
              <w:bottom w:val="single" w:sz="4" w:space="0" w:color="auto"/>
            </w:tcBorders>
          </w:tcPr>
          <w:p w14:paraId="6A046852"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3.6</w:t>
            </w:r>
          </w:p>
        </w:tc>
        <w:tc>
          <w:tcPr>
            <w:tcW w:w="1169" w:type="dxa"/>
            <w:tcBorders>
              <w:bottom w:val="single" w:sz="4" w:space="0" w:color="auto"/>
            </w:tcBorders>
          </w:tcPr>
          <w:p w14:paraId="462313A4" w14:textId="77777777" w:rsidR="007F4EDE" w:rsidRPr="00224BBA" w:rsidRDefault="007F4EDE" w:rsidP="007F4EDE">
            <w:pPr>
              <w:ind w:left="0"/>
              <w:jc w:val="center"/>
              <w:rPr>
                <w:color w:val="000000" w:themeColor="text1"/>
                <w:sz w:val="18"/>
                <w:szCs w:val="18"/>
              </w:rPr>
            </w:pPr>
            <w:r w:rsidRPr="00224BBA">
              <w:rPr>
                <w:color w:val="000000" w:themeColor="text1"/>
                <w:sz w:val="18"/>
                <w:szCs w:val="18"/>
              </w:rPr>
              <w:t>4.8</w:t>
            </w:r>
          </w:p>
        </w:tc>
        <w:tc>
          <w:tcPr>
            <w:tcW w:w="1564" w:type="dxa"/>
            <w:tcBorders>
              <w:bottom w:val="single" w:sz="4" w:space="0" w:color="auto"/>
              <w:right w:val="single" w:sz="4" w:space="0" w:color="auto"/>
            </w:tcBorders>
          </w:tcPr>
          <w:p w14:paraId="4AB54C1A" w14:textId="77777777" w:rsidR="007F4EDE" w:rsidRPr="00224BBA" w:rsidRDefault="007F4EDE" w:rsidP="007F4EDE">
            <w:pPr>
              <w:ind w:left="0"/>
              <w:jc w:val="center"/>
              <w:rPr>
                <w:sz w:val="18"/>
                <w:szCs w:val="18"/>
              </w:rPr>
            </w:pPr>
            <w:r w:rsidRPr="00224BBA">
              <w:rPr>
                <w:sz w:val="18"/>
                <w:szCs w:val="18"/>
              </w:rPr>
              <w:t>31</w:t>
            </w:r>
          </w:p>
        </w:tc>
      </w:tr>
      <w:tr w:rsidR="00F41059" w:rsidRPr="0013134C" w14:paraId="1460CEC7" w14:textId="77777777" w:rsidTr="007F7EA3">
        <w:trPr>
          <w:trHeight w:val="224"/>
        </w:trPr>
        <w:tc>
          <w:tcPr>
            <w:tcW w:w="2065" w:type="dxa"/>
            <w:tcBorders>
              <w:top w:val="single" w:sz="4" w:space="0" w:color="auto"/>
              <w:left w:val="single" w:sz="4" w:space="0" w:color="auto"/>
              <w:bottom w:val="single" w:sz="4" w:space="0" w:color="auto"/>
            </w:tcBorders>
            <w:shd w:val="clear" w:color="auto" w:fill="D9D9D9" w:themeFill="background1" w:themeFillShade="D9"/>
          </w:tcPr>
          <w:p w14:paraId="1FD3EA06" w14:textId="0297D528" w:rsidR="00F41059" w:rsidRPr="00EC3718" w:rsidRDefault="00F41059" w:rsidP="00F41059">
            <w:pPr>
              <w:ind w:left="0"/>
              <w:rPr>
                <w:color w:val="000000" w:themeColor="text1"/>
                <w:sz w:val="18"/>
                <w:szCs w:val="18"/>
              </w:rPr>
            </w:pPr>
            <w:proofErr w:type="spellStart"/>
            <w:r w:rsidRPr="00224BBA">
              <w:rPr>
                <w:color w:val="000000" w:themeColor="text1"/>
                <w:sz w:val="18"/>
                <w:szCs w:val="18"/>
              </w:rPr>
              <w:t>Lividini</w:t>
            </w:r>
            <w:proofErr w:type="spellEnd"/>
            <w:r w:rsidRPr="00224BBA">
              <w:rPr>
                <w:color w:val="000000" w:themeColor="text1"/>
                <w:sz w:val="18"/>
                <w:szCs w:val="18"/>
              </w:rPr>
              <w:t xml:space="preserve"> </w:t>
            </w:r>
            <w:r w:rsidRPr="00224BBA">
              <w:rPr>
                <w:i/>
                <w:iCs/>
                <w:color w:val="000000" w:themeColor="text1"/>
                <w:sz w:val="18"/>
                <w:szCs w:val="18"/>
              </w:rPr>
              <w:t>et al.</w:t>
            </w:r>
            <w:r w:rsidRPr="00224BBA">
              <w:rPr>
                <w:color w:val="000000" w:themeColor="text1"/>
                <w:sz w:val="18"/>
                <w:szCs w:val="18"/>
              </w:rPr>
              <w:t xml:space="preserve"> (2013) </w:t>
            </w:r>
            <w:r w:rsidRPr="00EC3718">
              <w:rPr>
                <w:color w:val="000000" w:themeColor="text1"/>
                <w:sz w:val="18"/>
                <w:szCs w:val="18"/>
                <w:lang w:val="fr-FR"/>
              </w:rPr>
              <w:fldChar w:fldCharType="begin" w:fldLock="1"/>
            </w:r>
            <w:r w:rsidR="005B0D26">
              <w:rPr>
                <w:color w:val="000000" w:themeColor="text1"/>
                <w:sz w:val="18"/>
                <w:szCs w:val="18"/>
              </w:rPr>
              <w:instrText>ADDIN CSL_CITATION {"citationItems":[{"id":"ITEM-1","itemData":{"DOI":"10.1177/156482651303400414","ISSN":"03795721","abstract":"Background. Observed-Weighed Food Record Surveys (OWFR) are regarded as the most precise dietary assessment methodology, despite their recognized shortcomings, which include limited availability, high cost, small samples with uncertain external validity that rarely include all household members, Hawthorne effects, and using only 1 or 2 days to identify \"usual intake.\" Although Household Consumption and Expenditures Surveys (HCES) also have significant limitations, they are increasingly being used to inform nutrition policy. Objective. To investigate differences in fortification simulations based on OWFR and HCES from Bangladesh. Methods. The pre- and postfortification nutrient intake levels from the two surveys were compared. Results. The total population-based rank orderings of oil, wheat flour, and sugar coverage were identical for the two surveys. OWFR found differences in women's and children's coverage rates and average quantities consumed for all three foods that were not detected by HCES. Guided by the Food Fortification Formulator, we found that these differences did not result in differences in recommended fortification levels. Differences were found, however, in estimated impacts: although both surveys found that oil would be effective in reducing the prevalence of inadequate vitamin A intake among both subpopulations, only OWFR also found that sugar and wheat flour fortification would significantly reduce inadequate vitamin A intake among children. Conclusions. Despite the less precise measure of food consumption from HCES, the two surveys provide similar guidance for designing a fortification program. The external validity of these findings is limited. With relatively minor modifications, the precision of HCES in dietary assessment and the use of HCES in fortification programming could be strengthened. © 2013, The Nevin Scrimshaw International Nutrition Foundation.","author":[{"dropping-particle":"","family":"Lividini","given":"Keith","non-dropping-particle":"","parse-names":false,"suffix":""},{"dropping-particle":"","family":"Fiedler","given":"John L.","non-dropping-particle":"","parse-names":false,"suffix":""},{"dropping-particle":"","family":"Bermudez","given":"Odilia I.","non-dropping-particle":"","parse-names":false,"suffix":""}],"container-title":"Food and Nutrition Bulletin","id":"ITEM-1","issue":"4","issued":{"date-parts":[["2013"]]},"page":"520-32","title":"Policy implications of using a Household Consumption and Expenditures Survey versus an Observed-Weighed Food Record Survey to design a food fortification program","type":"article-journal","volume":"34"},"uris":["http://www.mendeley.com/documents/?uuid=b4a07d97-8051-4aac-aa55-9362929debad"]}],"mendeley":{"formattedCitation":"&lt;sup&gt;(40)&lt;/sup&gt;","plainTextFormattedCitation":"(40)","previouslyFormattedCitation":"[40]"},"properties":{"noteIndex":0},"schema":"https://github.com/citation-style-language/schema/raw/master/csl-citation.json"}</w:instrText>
            </w:r>
            <w:r w:rsidRPr="00EC3718">
              <w:rPr>
                <w:color w:val="000000" w:themeColor="text1"/>
                <w:sz w:val="18"/>
                <w:szCs w:val="18"/>
                <w:lang w:val="fr-FR"/>
              </w:rPr>
              <w:fldChar w:fldCharType="separate"/>
            </w:r>
            <w:r w:rsidR="005B0D26" w:rsidRPr="005B0D26">
              <w:rPr>
                <w:noProof/>
                <w:color w:val="000000" w:themeColor="text1"/>
                <w:sz w:val="18"/>
                <w:szCs w:val="18"/>
                <w:vertAlign w:val="superscript"/>
              </w:rPr>
              <w:t>(40)</w:t>
            </w:r>
            <w:r w:rsidRPr="00EC3718">
              <w:rPr>
                <w:color w:val="000000" w:themeColor="text1"/>
                <w:sz w:val="18"/>
                <w:szCs w:val="18"/>
                <w:lang w:val="fr-FR"/>
              </w:rPr>
              <w:fldChar w:fldCharType="end"/>
            </w:r>
            <w:r w:rsidRPr="00EC3718">
              <w:rPr>
                <w:color w:val="000000" w:themeColor="text1"/>
                <w:sz w:val="18"/>
                <w:szCs w:val="18"/>
              </w:rPr>
              <w:t>;</w:t>
            </w:r>
          </w:p>
          <w:p w14:paraId="1FC5B32F" w14:textId="77777777" w:rsidR="00F41059" w:rsidRPr="00EC3718" w:rsidRDefault="00F41059" w:rsidP="00F41059">
            <w:pPr>
              <w:ind w:left="0"/>
              <w:rPr>
                <w:color w:val="000000" w:themeColor="text1"/>
                <w:sz w:val="18"/>
                <w:szCs w:val="18"/>
              </w:rPr>
            </w:pPr>
            <w:proofErr w:type="spellStart"/>
            <w:r w:rsidRPr="00EC3718">
              <w:rPr>
                <w:color w:val="000000" w:themeColor="text1"/>
                <w:sz w:val="18"/>
                <w:szCs w:val="18"/>
              </w:rPr>
              <w:t>Rajshahi</w:t>
            </w:r>
            <w:proofErr w:type="spellEnd"/>
            <w:r w:rsidRPr="00EC3718">
              <w:rPr>
                <w:color w:val="000000" w:themeColor="text1"/>
                <w:sz w:val="18"/>
                <w:szCs w:val="18"/>
              </w:rPr>
              <w:t xml:space="preserve">, </w:t>
            </w:r>
            <w:proofErr w:type="gramStart"/>
            <w:r w:rsidRPr="00EC3718">
              <w:rPr>
                <w:color w:val="000000" w:themeColor="text1"/>
                <w:sz w:val="18"/>
                <w:szCs w:val="18"/>
              </w:rPr>
              <w:t>Bangladesh;</w:t>
            </w:r>
            <w:proofErr w:type="gramEnd"/>
          </w:p>
          <w:p w14:paraId="7E77E517" w14:textId="77777777" w:rsidR="00F41059" w:rsidRPr="00EC3718" w:rsidRDefault="00F41059" w:rsidP="00F41059">
            <w:pPr>
              <w:ind w:left="0"/>
              <w:rPr>
                <w:color w:val="000000" w:themeColor="text1"/>
                <w:sz w:val="18"/>
                <w:szCs w:val="18"/>
              </w:rPr>
            </w:pPr>
            <w:r w:rsidRPr="00EC3718">
              <w:rPr>
                <w:color w:val="000000" w:themeColor="text1"/>
                <w:sz w:val="18"/>
                <w:szCs w:val="18"/>
              </w:rPr>
              <w:t>medians</w:t>
            </w:r>
          </w:p>
        </w:tc>
        <w:tc>
          <w:tcPr>
            <w:tcW w:w="1440" w:type="dxa"/>
            <w:tcBorders>
              <w:top w:val="single" w:sz="4" w:space="0" w:color="auto"/>
              <w:bottom w:val="single" w:sz="4" w:space="0" w:color="auto"/>
            </w:tcBorders>
            <w:shd w:val="clear" w:color="auto" w:fill="D9D9D9" w:themeFill="background1" w:themeFillShade="D9"/>
          </w:tcPr>
          <w:p w14:paraId="31997022" w14:textId="77777777" w:rsidR="00F41059" w:rsidRPr="00F41059" w:rsidRDefault="00F41059" w:rsidP="00F41059">
            <w:pPr>
              <w:ind w:left="0"/>
              <w:rPr>
                <w:color w:val="000000" w:themeColor="text1"/>
                <w:sz w:val="18"/>
                <w:szCs w:val="18"/>
              </w:rPr>
            </w:pPr>
            <w:r w:rsidRPr="00F41059">
              <w:rPr>
                <w:color w:val="000000" w:themeColor="text1"/>
                <w:sz w:val="18"/>
                <w:szCs w:val="18"/>
              </w:rPr>
              <w:t>2 non-consecutive days of 12-hour observed weighed food records &amp; 12-hour dietary recall (n=477)</w:t>
            </w:r>
          </w:p>
          <w:p w14:paraId="0DB6E5A1" w14:textId="666FA38A" w:rsidR="00F41059" w:rsidRPr="00EC3718" w:rsidRDefault="00F41059" w:rsidP="00F41059">
            <w:pPr>
              <w:rPr>
                <w:color w:val="000000" w:themeColor="text1"/>
                <w:sz w:val="18"/>
                <w:szCs w:val="18"/>
              </w:rPr>
            </w:pPr>
            <w:r w:rsidRPr="00F41059">
              <w:rPr>
                <w:color w:val="000000" w:themeColor="text1"/>
                <w:sz w:val="18"/>
                <w:szCs w:val="18"/>
              </w:rPr>
              <w:t xml:space="preserve"> </w:t>
            </w:r>
          </w:p>
        </w:tc>
        <w:tc>
          <w:tcPr>
            <w:tcW w:w="2108" w:type="dxa"/>
            <w:tcBorders>
              <w:top w:val="single" w:sz="4" w:space="0" w:color="auto"/>
              <w:bottom w:val="single" w:sz="4" w:space="0" w:color="auto"/>
              <w:right w:val="single" w:sz="4" w:space="0" w:color="auto"/>
            </w:tcBorders>
            <w:shd w:val="clear" w:color="auto" w:fill="D9D9D9" w:themeFill="background1" w:themeFillShade="D9"/>
          </w:tcPr>
          <w:p w14:paraId="66BB8460" w14:textId="77777777" w:rsidR="00F41059" w:rsidRPr="00F41059" w:rsidRDefault="00F41059" w:rsidP="00F41059">
            <w:pPr>
              <w:ind w:left="0"/>
              <w:rPr>
                <w:color w:val="000000" w:themeColor="text1"/>
                <w:sz w:val="18"/>
                <w:szCs w:val="18"/>
              </w:rPr>
            </w:pPr>
            <w:r w:rsidRPr="00F41059">
              <w:rPr>
                <w:color w:val="000000" w:themeColor="text1"/>
                <w:sz w:val="18"/>
                <w:szCs w:val="18"/>
              </w:rPr>
              <w:t xml:space="preserve">14-day food diary of </w:t>
            </w:r>
          </w:p>
          <w:p w14:paraId="1580EA0D" w14:textId="42D25235" w:rsidR="00F41059" w:rsidRPr="00EC3718" w:rsidRDefault="00F41059" w:rsidP="00F41059">
            <w:pPr>
              <w:ind w:left="0"/>
              <w:rPr>
                <w:color w:val="000000" w:themeColor="text1"/>
                <w:sz w:val="18"/>
                <w:szCs w:val="18"/>
              </w:rPr>
            </w:pPr>
            <w:r w:rsidRPr="00F41059">
              <w:rPr>
                <w:color w:val="000000" w:themeColor="text1"/>
                <w:sz w:val="18"/>
                <w:szCs w:val="18"/>
              </w:rPr>
              <w:t>hou</w:t>
            </w:r>
            <w:r>
              <w:rPr>
                <w:color w:val="000000" w:themeColor="text1"/>
                <w:sz w:val="18"/>
                <w:szCs w:val="18"/>
              </w:rPr>
              <w:t>s</w:t>
            </w:r>
            <w:r w:rsidRPr="00F41059">
              <w:rPr>
                <w:color w:val="000000" w:themeColor="text1"/>
                <w:sz w:val="18"/>
                <w:szCs w:val="18"/>
              </w:rPr>
              <w:t xml:space="preserve">eholds with children </w:t>
            </w:r>
            <w:proofErr w:type="gramStart"/>
            <w:r w:rsidRPr="00F41059">
              <w:rPr>
                <w:color w:val="000000" w:themeColor="text1"/>
                <w:sz w:val="18"/>
                <w:szCs w:val="18"/>
              </w:rPr>
              <w:t>age</w:t>
            </w:r>
            <w:proofErr w:type="gramEnd"/>
            <w:r w:rsidRPr="00F41059">
              <w:rPr>
                <w:color w:val="000000" w:themeColor="text1"/>
                <w:sz w:val="18"/>
                <w:szCs w:val="18"/>
              </w:rPr>
              <w:t xml:space="preserve"> 2-3 (n=513)</w:t>
            </w:r>
          </w:p>
        </w:tc>
        <w:tc>
          <w:tcPr>
            <w:tcW w:w="1701" w:type="dxa"/>
            <w:tcBorders>
              <w:top w:val="single" w:sz="4" w:space="0" w:color="auto"/>
              <w:left w:val="single" w:sz="4" w:space="0" w:color="auto"/>
              <w:bottom w:val="single" w:sz="4" w:space="0" w:color="auto"/>
            </w:tcBorders>
            <w:shd w:val="clear" w:color="auto" w:fill="D9D9D9" w:themeFill="background1" w:themeFillShade="D9"/>
          </w:tcPr>
          <w:p w14:paraId="0D9FBC5C" w14:textId="77777777" w:rsidR="00F41059" w:rsidRPr="00EC3718" w:rsidRDefault="00F41059" w:rsidP="00F41059">
            <w:pPr>
              <w:ind w:left="0"/>
              <w:rPr>
                <w:color w:val="000000" w:themeColor="text1"/>
                <w:sz w:val="18"/>
                <w:szCs w:val="18"/>
              </w:rPr>
            </w:pPr>
            <w:r w:rsidRPr="00EC3718">
              <w:rPr>
                <w:color w:val="000000" w:themeColor="text1"/>
                <w:sz w:val="18"/>
                <w:szCs w:val="18"/>
              </w:rPr>
              <w:t>Children (2-3 years)</w:t>
            </w:r>
          </w:p>
          <w:p w14:paraId="4409BB69" w14:textId="77777777" w:rsidR="00F41059" w:rsidRPr="00EC3718" w:rsidRDefault="00F41059" w:rsidP="00F41059">
            <w:pPr>
              <w:ind w:left="0"/>
              <w:rPr>
                <w:color w:val="000000" w:themeColor="text1"/>
                <w:sz w:val="18"/>
                <w:szCs w:val="18"/>
              </w:rPr>
            </w:pPr>
            <w:r w:rsidRPr="00EC3718">
              <w:rPr>
                <w:color w:val="000000" w:themeColor="text1"/>
                <w:sz w:val="18"/>
                <w:szCs w:val="18"/>
              </w:rPr>
              <w:t>(n=237)</w:t>
            </w:r>
          </w:p>
        </w:tc>
        <w:tc>
          <w:tcPr>
            <w:tcW w:w="1965" w:type="dxa"/>
            <w:tcBorders>
              <w:top w:val="single" w:sz="4" w:space="0" w:color="auto"/>
              <w:bottom w:val="single" w:sz="4" w:space="0" w:color="auto"/>
            </w:tcBorders>
            <w:shd w:val="clear" w:color="auto" w:fill="D9D9D9" w:themeFill="background1" w:themeFillShade="D9"/>
          </w:tcPr>
          <w:p w14:paraId="44678881" w14:textId="77777777" w:rsidR="00F41059" w:rsidRPr="00EC3718" w:rsidRDefault="00F41059" w:rsidP="00F41059">
            <w:pPr>
              <w:ind w:left="0"/>
              <w:rPr>
                <w:b/>
                <w:bCs/>
                <w:color w:val="000000" w:themeColor="text1"/>
                <w:sz w:val="18"/>
                <w:szCs w:val="18"/>
              </w:rPr>
            </w:pPr>
            <w:r w:rsidRPr="00EC3718">
              <w:rPr>
                <w:color w:val="000000" w:themeColor="text1"/>
                <w:sz w:val="18"/>
                <w:szCs w:val="18"/>
              </w:rPr>
              <w:t>Energy, kcal</w:t>
            </w:r>
          </w:p>
        </w:tc>
        <w:tc>
          <w:tcPr>
            <w:tcW w:w="1051" w:type="dxa"/>
            <w:tcBorders>
              <w:top w:val="single" w:sz="4" w:space="0" w:color="auto"/>
              <w:bottom w:val="single" w:sz="4" w:space="0" w:color="auto"/>
            </w:tcBorders>
            <w:shd w:val="clear" w:color="auto" w:fill="D9D9D9" w:themeFill="background1" w:themeFillShade="D9"/>
          </w:tcPr>
          <w:p w14:paraId="52ECA324" w14:textId="77777777" w:rsidR="00F41059" w:rsidRPr="00EC3718" w:rsidRDefault="00F41059" w:rsidP="00F41059">
            <w:pPr>
              <w:ind w:left="0"/>
              <w:jc w:val="center"/>
              <w:rPr>
                <w:color w:val="000000" w:themeColor="text1"/>
                <w:sz w:val="18"/>
                <w:szCs w:val="18"/>
              </w:rPr>
            </w:pPr>
            <w:r w:rsidRPr="00EC3718">
              <w:rPr>
                <w:color w:val="000000" w:themeColor="text1"/>
                <w:sz w:val="18"/>
                <w:szCs w:val="18"/>
              </w:rPr>
              <w:t>905</w:t>
            </w:r>
          </w:p>
        </w:tc>
        <w:tc>
          <w:tcPr>
            <w:tcW w:w="1169" w:type="dxa"/>
            <w:tcBorders>
              <w:top w:val="single" w:sz="4" w:space="0" w:color="auto"/>
              <w:bottom w:val="single" w:sz="4" w:space="0" w:color="auto"/>
            </w:tcBorders>
            <w:shd w:val="clear" w:color="auto" w:fill="D9D9D9" w:themeFill="background1" w:themeFillShade="D9"/>
          </w:tcPr>
          <w:p w14:paraId="5B3B7398" w14:textId="77777777" w:rsidR="00F41059" w:rsidRPr="00EC3718" w:rsidRDefault="00F41059" w:rsidP="00F41059">
            <w:pPr>
              <w:ind w:left="0"/>
              <w:jc w:val="center"/>
              <w:rPr>
                <w:color w:val="000000" w:themeColor="text1"/>
                <w:sz w:val="18"/>
                <w:szCs w:val="18"/>
              </w:rPr>
            </w:pPr>
            <w:r w:rsidRPr="00EC3718">
              <w:rPr>
                <w:color w:val="000000" w:themeColor="text1"/>
                <w:sz w:val="18"/>
                <w:szCs w:val="18"/>
              </w:rPr>
              <w:t>1098</w:t>
            </w:r>
          </w:p>
        </w:tc>
        <w:tc>
          <w:tcPr>
            <w:tcW w:w="1564" w:type="dxa"/>
            <w:tcBorders>
              <w:top w:val="single" w:sz="4" w:space="0" w:color="auto"/>
              <w:bottom w:val="single" w:sz="4" w:space="0" w:color="auto"/>
              <w:right w:val="single" w:sz="4" w:space="0" w:color="auto"/>
            </w:tcBorders>
            <w:shd w:val="clear" w:color="auto" w:fill="D9D9D9" w:themeFill="background1" w:themeFillShade="D9"/>
          </w:tcPr>
          <w:p w14:paraId="12CE6E0E" w14:textId="77777777" w:rsidR="00F41059" w:rsidRPr="00D45127" w:rsidRDefault="00F41059" w:rsidP="00F41059">
            <w:pPr>
              <w:ind w:left="0"/>
              <w:jc w:val="center"/>
              <w:rPr>
                <w:sz w:val="18"/>
                <w:szCs w:val="18"/>
              </w:rPr>
            </w:pPr>
            <w:r w:rsidRPr="00D45127">
              <w:rPr>
                <w:sz w:val="18"/>
                <w:szCs w:val="18"/>
              </w:rPr>
              <w:t>18</w:t>
            </w:r>
          </w:p>
        </w:tc>
      </w:tr>
      <w:tr w:rsidR="00F41059" w:rsidRPr="000F1FF1" w14:paraId="6B1E8DA2" w14:textId="77777777" w:rsidTr="007F7EA3">
        <w:trPr>
          <w:trHeight w:val="224"/>
        </w:trPr>
        <w:tc>
          <w:tcPr>
            <w:tcW w:w="2065" w:type="dxa"/>
            <w:tcBorders>
              <w:top w:val="single" w:sz="4" w:space="0" w:color="auto"/>
              <w:left w:val="single" w:sz="4" w:space="0" w:color="auto"/>
              <w:bottom w:val="single" w:sz="4" w:space="0" w:color="auto"/>
            </w:tcBorders>
          </w:tcPr>
          <w:p w14:paraId="60E96AE7" w14:textId="6D1064DA" w:rsidR="00F41059" w:rsidRPr="00EC3718" w:rsidRDefault="00F41059" w:rsidP="00F41059">
            <w:pPr>
              <w:ind w:left="0"/>
              <w:rPr>
                <w:color w:val="000000" w:themeColor="text1"/>
                <w:sz w:val="18"/>
                <w:szCs w:val="18"/>
              </w:rPr>
            </w:pPr>
            <w:proofErr w:type="spellStart"/>
            <w:r w:rsidRPr="00EC3718">
              <w:rPr>
                <w:color w:val="000000" w:themeColor="text1"/>
                <w:sz w:val="18"/>
                <w:szCs w:val="18"/>
              </w:rPr>
              <w:t>Lividini</w:t>
            </w:r>
            <w:proofErr w:type="spellEnd"/>
            <w:r w:rsidRPr="00EC3718">
              <w:rPr>
                <w:color w:val="000000" w:themeColor="text1"/>
                <w:sz w:val="18"/>
                <w:szCs w:val="18"/>
              </w:rPr>
              <w:t xml:space="preserve"> </w:t>
            </w:r>
            <w:r w:rsidRPr="00EC3718">
              <w:rPr>
                <w:i/>
                <w:iCs/>
                <w:color w:val="000000" w:themeColor="text1"/>
                <w:sz w:val="18"/>
                <w:szCs w:val="18"/>
              </w:rPr>
              <w:t>et al.</w:t>
            </w:r>
            <w:r w:rsidRPr="00EC3718">
              <w:rPr>
                <w:color w:val="000000" w:themeColor="text1"/>
                <w:sz w:val="18"/>
                <w:szCs w:val="18"/>
              </w:rPr>
              <w:t xml:space="preserve"> (2013) </w:t>
            </w:r>
            <w:r w:rsidRPr="00EC3718">
              <w:rPr>
                <w:color w:val="000000" w:themeColor="text1"/>
                <w:sz w:val="18"/>
                <w:szCs w:val="18"/>
                <w:lang w:val="fr-FR"/>
              </w:rPr>
              <w:fldChar w:fldCharType="begin" w:fldLock="1"/>
            </w:r>
            <w:r w:rsidR="005B0D26">
              <w:rPr>
                <w:color w:val="000000" w:themeColor="text1"/>
                <w:sz w:val="18"/>
                <w:szCs w:val="18"/>
              </w:rPr>
              <w:instrText>ADDIN CSL_CITATION {"citationItems":[{"id":"ITEM-1","itemData":{"DOI":"10.1177/156482651303400414","ISSN":"03795721","abstract":"Background. Observed-Weighed Food Record Surveys (OWFR) are regarded as the most precise dietary assessment methodology, despite their recognized shortcomings, which include limited availability, high cost, small samples with uncertain external validity that rarely include all household members, Hawthorne effects, and using only 1 or 2 days to identify \"usual intake.\" Although Household Consumption and Expenditures Surveys (HCES) also have significant limitations, they are increasingly being used to inform nutrition policy. Objective. To investigate differences in fortification simulations based on OWFR and HCES from Bangladesh. Methods. The pre- and postfortification nutrient intake levels from the two surveys were compared. Results. The total population-based rank orderings of oil, wheat flour, and sugar coverage were identical for the two surveys. OWFR found differences in women's and children's coverage rates and average quantities consumed for all three foods that were not detected by HCES. Guided by the Food Fortification Formulator, we found that these differences did not result in differences in recommended fortification levels. Differences were found, however, in estimated impacts: although both surveys found that oil would be effective in reducing the prevalence of inadequate vitamin A intake among both subpopulations, only OWFR also found that sugar and wheat flour fortification would significantly reduce inadequate vitamin A intake among children. Conclusions. Despite the less precise measure of food consumption from HCES, the two surveys provide similar guidance for designing a fortification program. The external validity of these findings is limited. With relatively minor modifications, the precision of HCES in dietary assessment and the use of HCES in fortification programming could be strengthened. © 2013, The Nevin Scrimshaw International Nutrition Foundation.","author":[{"dropping-particle":"","family":"Lividini","given":"Keith","non-dropping-particle":"","parse-names":false,"suffix":""},{"dropping-particle":"","family":"Fiedler","given":"John L.","non-dropping-particle":"","parse-names":false,"suffix":""},{"dropping-particle":"","family":"Bermudez","given":"Odilia I.","non-dropping-particle":"","parse-names":false,"suffix":""}],"container-title":"Food and Nutrition Bulletin","id":"ITEM-1","issue":"4","issued":{"date-parts":[["2013"]]},"page":"520-32","title":"Policy implications of using a Household Consumption and Expenditures Survey versus an Observed-Weighed Food Record Survey to design a food fortification program","type":"article-journal","volume":"34"},"uris":["http://www.mendeley.com/documents/?uuid=b4a07d97-8051-4aac-aa55-9362929debad"]}],"mendeley":{"formattedCitation":"&lt;sup&gt;(40)&lt;/sup&gt;","plainTextFormattedCitation":"(40)","previouslyFormattedCitation":"[40]"},"properties":{"noteIndex":0},"schema":"https://github.com/citation-style-language/schema/raw/master/csl-citation.json"}</w:instrText>
            </w:r>
            <w:r w:rsidRPr="00EC3718">
              <w:rPr>
                <w:color w:val="000000" w:themeColor="text1"/>
                <w:sz w:val="18"/>
                <w:szCs w:val="18"/>
                <w:lang w:val="fr-FR"/>
              </w:rPr>
              <w:fldChar w:fldCharType="separate"/>
            </w:r>
            <w:r w:rsidR="005B0D26" w:rsidRPr="005B0D26">
              <w:rPr>
                <w:noProof/>
                <w:color w:val="000000" w:themeColor="text1"/>
                <w:sz w:val="18"/>
                <w:szCs w:val="18"/>
                <w:vertAlign w:val="superscript"/>
              </w:rPr>
              <w:t>(40)</w:t>
            </w:r>
            <w:r w:rsidRPr="00EC3718">
              <w:rPr>
                <w:color w:val="000000" w:themeColor="text1"/>
                <w:sz w:val="18"/>
                <w:szCs w:val="18"/>
                <w:lang w:val="fr-FR"/>
              </w:rPr>
              <w:fldChar w:fldCharType="end"/>
            </w:r>
            <w:r w:rsidRPr="00EC3718">
              <w:rPr>
                <w:color w:val="000000" w:themeColor="text1"/>
                <w:sz w:val="18"/>
                <w:szCs w:val="18"/>
              </w:rPr>
              <w:t>;</w:t>
            </w:r>
          </w:p>
          <w:p w14:paraId="75B70C1D" w14:textId="77777777" w:rsidR="00F41059" w:rsidRPr="00EC3718" w:rsidRDefault="00F41059" w:rsidP="00F41059">
            <w:pPr>
              <w:ind w:left="0"/>
              <w:rPr>
                <w:color w:val="000000" w:themeColor="text1"/>
                <w:sz w:val="18"/>
                <w:szCs w:val="18"/>
              </w:rPr>
            </w:pPr>
            <w:r w:rsidRPr="00EC3718">
              <w:rPr>
                <w:color w:val="000000" w:themeColor="text1"/>
                <w:sz w:val="18"/>
                <w:szCs w:val="18"/>
              </w:rPr>
              <w:t xml:space="preserve">Dhaka, </w:t>
            </w:r>
            <w:proofErr w:type="gramStart"/>
            <w:r w:rsidRPr="00EC3718">
              <w:rPr>
                <w:color w:val="000000" w:themeColor="text1"/>
                <w:sz w:val="18"/>
                <w:szCs w:val="18"/>
              </w:rPr>
              <w:t>Bangladesh;</w:t>
            </w:r>
            <w:proofErr w:type="gramEnd"/>
          </w:p>
          <w:p w14:paraId="0A589978" w14:textId="77777777" w:rsidR="00F41059" w:rsidRPr="00EC3718" w:rsidRDefault="00F41059" w:rsidP="00F41059">
            <w:pPr>
              <w:ind w:left="0"/>
              <w:rPr>
                <w:color w:val="000000" w:themeColor="text1"/>
                <w:sz w:val="18"/>
                <w:szCs w:val="18"/>
              </w:rPr>
            </w:pPr>
            <w:r w:rsidRPr="00EC3718">
              <w:rPr>
                <w:color w:val="000000" w:themeColor="text1"/>
                <w:sz w:val="18"/>
                <w:szCs w:val="18"/>
              </w:rPr>
              <w:t>medians</w:t>
            </w:r>
          </w:p>
        </w:tc>
        <w:tc>
          <w:tcPr>
            <w:tcW w:w="1440" w:type="dxa"/>
            <w:tcBorders>
              <w:top w:val="single" w:sz="4" w:space="0" w:color="auto"/>
              <w:bottom w:val="single" w:sz="4" w:space="0" w:color="auto"/>
            </w:tcBorders>
          </w:tcPr>
          <w:p w14:paraId="30D14DF0" w14:textId="67B45FB1" w:rsidR="00F41059" w:rsidRPr="00EC3718" w:rsidRDefault="00F41059" w:rsidP="00F41059">
            <w:pPr>
              <w:ind w:left="0"/>
              <w:rPr>
                <w:color w:val="000000" w:themeColor="text1"/>
                <w:sz w:val="18"/>
                <w:szCs w:val="18"/>
              </w:rPr>
            </w:pPr>
            <w:r w:rsidRPr="00F41059">
              <w:rPr>
                <w:color w:val="000000" w:themeColor="text1"/>
                <w:sz w:val="18"/>
                <w:szCs w:val="18"/>
              </w:rPr>
              <w:t xml:space="preserve">2 non-consecutive days of 12-hour observed </w:t>
            </w:r>
            <w:r w:rsidRPr="00F41059">
              <w:rPr>
                <w:color w:val="000000" w:themeColor="text1"/>
                <w:sz w:val="18"/>
                <w:szCs w:val="18"/>
              </w:rPr>
              <w:lastRenderedPageBreak/>
              <w:t>weighed food records &amp; 12-hour dietary recall (n=464)</w:t>
            </w:r>
          </w:p>
        </w:tc>
        <w:tc>
          <w:tcPr>
            <w:tcW w:w="2108" w:type="dxa"/>
            <w:tcBorders>
              <w:top w:val="single" w:sz="4" w:space="0" w:color="auto"/>
              <w:bottom w:val="single" w:sz="4" w:space="0" w:color="auto"/>
              <w:right w:val="single" w:sz="4" w:space="0" w:color="auto"/>
            </w:tcBorders>
          </w:tcPr>
          <w:p w14:paraId="0DC7FF04" w14:textId="77777777" w:rsidR="00F41059" w:rsidRPr="00F41059" w:rsidRDefault="00F41059" w:rsidP="00F41059">
            <w:pPr>
              <w:ind w:left="0"/>
              <w:rPr>
                <w:color w:val="000000" w:themeColor="text1"/>
                <w:sz w:val="18"/>
                <w:szCs w:val="18"/>
              </w:rPr>
            </w:pPr>
            <w:r w:rsidRPr="00F41059">
              <w:rPr>
                <w:color w:val="000000" w:themeColor="text1"/>
                <w:sz w:val="18"/>
                <w:szCs w:val="18"/>
              </w:rPr>
              <w:lastRenderedPageBreak/>
              <w:t xml:space="preserve">14-day food diary of </w:t>
            </w:r>
          </w:p>
          <w:p w14:paraId="4C8EFDA4" w14:textId="77777777" w:rsidR="00F41059" w:rsidRPr="00F41059" w:rsidRDefault="00F41059" w:rsidP="00F41059">
            <w:pPr>
              <w:ind w:left="0"/>
              <w:rPr>
                <w:color w:val="000000" w:themeColor="text1"/>
                <w:sz w:val="18"/>
                <w:szCs w:val="18"/>
              </w:rPr>
            </w:pPr>
            <w:r w:rsidRPr="00F41059">
              <w:rPr>
                <w:color w:val="000000" w:themeColor="text1"/>
                <w:sz w:val="18"/>
                <w:szCs w:val="18"/>
              </w:rPr>
              <w:t xml:space="preserve">households with children </w:t>
            </w:r>
            <w:proofErr w:type="gramStart"/>
            <w:r w:rsidRPr="00F41059">
              <w:rPr>
                <w:color w:val="000000" w:themeColor="text1"/>
                <w:sz w:val="18"/>
                <w:szCs w:val="18"/>
              </w:rPr>
              <w:t>age</w:t>
            </w:r>
            <w:proofErr w:type="gramEnd"/>
            <w:r w:rsidRPr="00F41059">
              <w:rPr>
                <w:color w:val="000000" w:themeColor="text1"/>
                <w:sz w:val="18"/>
                <w:szCs w:val="18"/>
              </w:rPr>
              <w:t xml:space="preserve"> 2-3 (n=678)</w:t>
            </w:r>
          </w:p>
          <w:p w14:paraId="00E5C968" w14:textId="77777777" w:rsidR="00F41059" w:rsidRPr="00EC3718" w:rsidRDefault="00F41059" w:rsidP="00F41059">
            <w:pPr>
              <w:rPr>
                <w:color w:val="000000" w:themeColor="text1"/>
                <w:sz w:val="18"/>
                <w:szCs w:val="18"/>
              </w:rPr>
            </w:pPr>
          </w:p>
        </w:tc>
        <w:tc>
          <w:tcPr>
            <w:tcW w:w="1701" w:type="dxa"/>
            <w:tcBorders>
              <w:top w:val="single" w:sz="4" w:space="0" w:color="auto"/>
              <w:left w:val="single" w:sz="4" w:space="0" w:color="auto"/>
              <w:bottom w:val="single" w:sz="4" w:space="0" w:color="auto"/>
            </w:tcBorders>
          </w:tcPr>
          <w:p w14:paraId="0A6C4964" w14:textId="77777777" w:rsidR="00F41059" w:rsidRPr="00EC3718" w:rsidRDefault="00F41059" w:rsidP="00F41059">
            <w:pPr>
              <w:ind w:left="0"/>
              <w:rPr>
                <w:color w:val="000000" w:themeColor="text1"/>
                <w:sz w:val="18"/>
                <w:szCs w:val="18"/>
              </w:rPr>
            </w:pPr>
            <w:r w:rsidRPr="00EC3718">
              <w:rPr>
                <w:color w:val="000000" w:themeColor="text1"/>
                <w:sz w:val="18"/>
                <w:szCs w:val="18"/>
              </w:rPr>
              <w:t>Children (2-3 years)</w:t>
            </w:r>
          </w:p>
          <w:p w14:paraId="7748340D" w14:textId="77777777" w:rsidR="00F41059" w:rsidRPr="00EC3718" w:rsidRDefault="00F41059" w:rsidP="00F41059">
            <w:pPr>
              <w:ind w:left="0"/>
              <w:rPr>
                <w:color w:val="000000" w:themeColor="text1"/>
                <w:sz w:val="18"/>
                <w:szCs w:val="18"/>
              </w:rPr>
            </w:pPr>
            <w:r w:rsidRPr="00EC3718">
              <w:rPr>
                <w:color w:val="000000" w:themeColor="text1"/>
                <w:sz w:val="18"/>
                <w:szCs w:val="18"/>
              </w:rPr>
              <w:t>(n=226)</w:t>
            </w:r>
          </w:p>
        </w:tc>
        <w:tc>
          <w:tcPr>
            <w:tcW w:w="1965" w:type="dxa"/>
            <w:tcBorders>
              <w:top w:val="single" w:sz="4" w:space="0" w:color="auto"/>
              <w:bottom w:val="single" w:sz="4" w:space="0" w:color="auto"/>
            </w:tcBorders>
          </w:tcPr>
          <w:p w14:paraId="2801E14E" w14:textId="77777777" w:rsidR="00F41059" w:rsidRPr="00EC3718" w:rsidRDefault="00F41059" w:rsidP="00F41059">
            <w:pPr>
              <w:ind w:left="0"/>
              <w:rPr>
                <w:color w:val="000000" w:themeColor="text1"/>
                <w:sz w:val="18"/>
                <w:szCs w:val="18"/>
              </w:rPr>
            </w:pPr>
            <w:r w:rsidRPr="00EC3718">
              <w:rPr>
                <w:color w:val="000000" w:themeColor="text1"/>
                <w:sz w:val="18"/>
                <w:szCs w:val="18"/>
              </w:rPr>
              <w:t xml:space="preserve">Energy, kcal </w:t>
            </w:r>
          </w:p>
        </w:tc>
        <w:tc>
          <w:tcPr>
            <w:tcW w:w="1051" w:type="dxa"/>
            <w:tcBorders>
              <w:top w:val="single" w:sz="4" w:space="0" w:color="auto"/>
              <w:bottom w:val="single" w:sz="4" w:space="0" w:color="auto"/>
            </w:tcBorders>
          </w:tcPr>
          <w:p w14:paraId="6B2D31E5" w14:textId="77777777" w:rsidR="00F41059" w:rsidRPr="00EC3718" w:rsidRDefault="00F41059" w:rsidP="00F41059">
            <w:pPr>
              <w:ind w:left="0"/>
              <w:jc w:val="center"/>
              <w:rPr>
                <w:color w:val="000000" w:themeColor="text1"/>
                <w:sz w:val="18"/>
                <w:szCs w:val="18"/>
              </w:rPr>
            </w:pPr>
            <w:r w:rsidRPr="00EC3718">
              <w:rPr>
                <w:color w:val="000000" w:themeColor="text1"/>
                <w:sz w:val="18"/>
                <w:szCs w:val="18"/>
              </w:rPr>
              <w:t>868</w:t>
            </w:r>
          </w:p>
        </w:tc>
        <w:tc>
          <w:tcPr>
            <w:tcW w:w="1169" w:type="dxa"/>
            <w:tcBorders>
              <w:top w:val="single" w:sz="4" w:space="0" w:color="auto"/>
              <w:bottom w:val="single" w:sz="4" w:space="0" w:color="auto"/>
            </w:tcBorders>
          </w:tcPr>
          <w:p w14:paraId="3FDFFFC0" w14:textId="77777777" w:rsidR="00F41059" w:rsidRPr="00EC3718" w:rsidRDefault="00F41059" w:rsidP="00F41059">
            <w:pPr>
              <w:ind w:left="0"/>
              <w:jc w:val="center"/>
              <w:rPr>
                <w:color w:val="000000" w:themeColor="text1"/>
                <w:sz w:val="18"/>
                <w:szCs w:val="18"/>
              </w:rPr>
            </w:pPr>
            <w:r w:rsidRPr="00EC3718">
              <w:rPr>
                <w:color w:val="000000" w:themeColor="text1"/>
                <w:sz w:val="18"/>
                <w:szCs w:val="18"/>
              </w:rPr>
              <w:t>1104</w:t>
            </w:r>
          </w:p>
        </w:tc>
        <w:tc>
          <w:tcPr>
            <w:tcW w:w="1564" w:type="dxa"/>
            <w:tcBorders>
              <w:top w:val="single" w:sz="4" w:space="0" w:color="auto"/>
              <w:bottom w:val="single" w:sz="4" w:space="0" w:color="auto"/>
              <w:right w:val="single" w:sz="4" w:space="0" w:color="auto"/>
            </w:tcBorders>
          </w:tcPr>
          <w:p w14:paraId="0F632F69" w14:textId="77777777" w:rsidR="00F41059" w:rsidRPr="00D45127" w:rsidRDefault="00F41059" w:rsidP="00F41059">
            <w:pPr>
              <w:ind w:left="0"/>
              <w:jc w:val="center"/>
              <w:rPr>
                <w:sz w:val="18"/>
                <w:szCs w:val="18"/>
              </w:rPr>
            </w:pPr>
            <w:r w:rsidRPr="00D45127">
              <w:rPr>
                <w:sz w:val="18"/>
                <w:szCs w:val="18"/>
              </w:rPr>
              <w:t>21</w:t>
            </w:r>
          </w:p>
        </w:tc>
      </w:tr>
      <w:tr w:rsidR="00CB7D5E" w14:paraId="752CFBF6" w14:textId="77777777" w:rsidTr="006F6225">
        <w:trPr>
          <w:trHeight w:val="224"/>
        </w:trPr>
        <w:tc>
          <w:tcPr>
            <w:tcW w:w="13063" w:type="dxa"/>
            <w:gridSpan w:val="8"/>
            <w:tcBorders>
              <w:left w:val="single" w:sz="4" w:space="0" w:color="auto"/>
              <w:bottom w:val="single" w:sz="4" w:space="0" w:color="auto"/>
              <w:right w:val="single" w:sz="4" w:space="0" w:color="auto"/>
            </w:tcBorders>
            <w:shd w:val="clear" w:color="auto" w:fill="FFFFFF" w:themeFill="background1"/>
          </w:tcPr>
          <w:p w14:paraId="744AD07B" w14:textId="31F87DD1" w:rsidR="00CB7D5E" w:rsidRPr="00EC3718" w:rsidRDefault="00CB7D5E" w:rsidP="00CB7D5E">
            <w:pPr>
              <w:ind w:left="0"/>
              <w:rPr>
                <w:color w:val="000000" w:themeColor="text1"/>
                <w:sz w:val="18"/>
                <w:szCs w:val="18"/>
              </w:rPr>
            </w:pPr>
            <w:r w:rsidRPr="00EC3718">
              <w:rPr>
                <w:b/>
                <w:bCs/>
                <w:i/>
                <w:iCs/>
                <w:color w:val="000000" w:themeColor="text1"/>
                <w:sz w:val="18"/>
                <w:szCs w:val="18"/>
              </w:rPr>
              <w:t>II. Study compared consumption of fortified food vehicles derived from individual-level versus HCES dietary data</w:t>
            </w:r>
          </w:p>
        </w:tc>
      </w:tr>
      <w:tr w:rsidR="007F4EDE" w14:paraId="1AE64F4C" w14:textId="77777777" w:rsidTr="007F4EDE">
        <w:trPr>
          <w:trHeight w:val="224"/>
        </w:trPr>
        <w:tc>
          <w:tcPr>
            <w:tcW w:w="2065" w:type="dxa"/>
            <w:vMerge w:val="restart"/>
            <w:tcBorders>
              <w:left w:val="single" w:sz="4" w:space="0" w:color="auto"/>
            </w:tcBorders>
            <w:shd w:val="clear" w:color="auto" w:fill="D9D9D9" w:themeFill="background1" w:themeFillShade="D9"/>
          </w:tcPr>
          <w:p w14:paraId="3A671118" w14:textId="035B7DDF" w:rsidR="007F4EDE" w:rsidRPr="00EC3718" w:rsidRDefault="007F4EDE" w:rsidP="007F4EDE">
            <w:pPr>
              <w:ind w:left="0"/>
              <w:rPr>
                <w:color w:val="000000" w:themeColor="text1"/>
                <w:sz w:val="18"/>
                <w:szCs w:val="18"/>
              </w:rPr>
            </w:pPr>
            <w:r w:rsidRPr="00EC3718">
              <w:rPr>
                <w:color w:val="000000" w:themeColor="text1"/>
                <w:sz w:val="18"/>
                <w:szCs w:val="18"/>
              </w:rPr>
              <w:t xml:space="preserve">Engle-Stone &amp; Brown (2015) </w:t>
            </w:r>
            <w:r w:rsidRPr="00EC3718">
              <w:rPr>
                <w:color w:val="000000" w:themeColor="text1"/>
                <w:sz w:val="18"/>
                <w:szCs w:val="18"/>
              </w:rPr>
              <w:fldChar w:fldCharType="begin" w:fldLock="1"/>
            </w:r>
            <w:r w:rsidR="005B0D26">
              <w:rPr>
                <w:color w:val="000000" w:themeColor="text1"/>
                <w:sz w:val="18"/>
                <w:szCs w:val="18"/>
              </w:rPr>
              <w:instrText>ADDIN CSL_CITATION {"citationItems":[{"id":"ITEM-1","itemData":{"DOI":"10.1177/0379572115587272","ISSN":"03795721","abstract":"Background: Household Consumption and Expenditures Surveys (HCES) are potential sources of data on dietary patterns for planning fortification programs, but they rarely have been compared with individual-level dietary assessment methods. Objective: To compare apparent consumption of fortifiable foods estimated from the Third Cameroon Household Survey (ECAM3) with the results of a national dietary survey using food frequency questionnaire (FFQ) and 24-hour recall (24HR) methods among women aged 15 to 49 years and children aged 12 to 59 months. Methods: We estimated coverage and frequency of consumption in the previous week (ECAM3 and FFQ) and coverage and amount consumed on the previous day (ECAM3 and 24HR) of refined vegetable oil, wheat flour, sugar, and bouillon cubes. Results: Coverage in the past week as measured by the ECAM3 and FFQ, respectively, was 64% vs. 54% for oil, 60% vs. 92% for flour, 69% vs. 78% for sugar, and 85% vs. 96% for bouillon cubes. The different methods identified similar patterns of coverage among subgroups for oil, but patterns for other foods were variable. Frequency of consumption and previous-day coverage were lower with the ECAM3 than with the FFQ and 24HR, likely reflecting infrequent acquisition relative to intake. For women, the mean amounts consumed on the previous day (among consumers) were 43 vs. 29 g of oil, 71 vs. 83 g of flour, 42 vs. 32 g of sugar, and 5.0 vs. 2.4 g of bouillon cubes (ECAM and 24HR, respectively). Conclusions: HCES provide useful information on patterns of food access but inadequate information on individual consumption amounts to estimate appropriate food fortification levels.","author":[{"dropping-particle":"","family":"Engle-Stone","given":"Reina","non-dropping-particle":"","parse-names":false,"suffix":""},{"dropping-particle":"","family":"Brown","given":"Kenneth H.","non-dropping-particle":"","parse-names":false,"suffix":""}],"container-title":"Food and Nutrition Bulletin","id":"ITEM-1","issue":"2","issued":{"date-parts":[["2015"]]},"page":"211-30","title":"Comparison of a household consumption and expenditures survey with nationally representative food frequency questionnaire and 24-hour dietary recall data for assessing consumption of fortifiable foods by women and young children in Cameroon","type":"article-journal","volume":"36"},"uris":["http://www.mendeley.com/documents/?uuid=a0fa259a-1290-4768-953d-777a1601ee29"]}],"mendeley":{"formattedCitation":"&lt;sup&gt;(18)&lt;/sup&gt;","plainTextFormattedCitation":"(18)","previouslyFormattedCitation":"[18]"},"properties":{"noteIndex":0},"schema":"https://github.com/citation-style-language/schema/raw/master/csl-citation.json"}</w:instrText>
            </w:r>
            <w:r w:rsidRPr="00EC3718">
              <w:rPr>
                <w:color w:val="000000" w:themeColor="text1"/>
                <w:sz w:val="18"/>
                <w:szCs w:val="18"/>
              </w:rPr>
              <w:fldChar w:fldCharType="separate"/>
            </w:r>
            <w:r w:rsidR="005B0D26" w:rsidRPr="005B0D26">
              <w:rPr>
                <w:noProof/>
                <w:color w:val="000000" w:themeColor="text1"/>
                <w:sz w:val="18"/>
                <w:szCs w:val="18"/>
                <w:vertAlign w:val="superscript"/>
              </w:rPr>
              <w:t>(18)</w:t>
            </w:r>
            <w:r w:rsidRPr="00EC3718">
              <w:rPr>
                <w:color w:val="000000" w:themeColor="text1"/>
                <w:sz w:val="18"/>
                <w:szCs w:val="18"/>
              </w:rPr>
              <w:fldChar w:fldCharType="end"/>
            </w:r>
            <w:r w:rsidRPr="00EC3718">
              <w:rPr>
                <w:color w:val="000000" w:themeColor="text1"/>
                <w:sz w:val="18"/>
                <w:szCs w:val="18"/>
              </w:rPr>
              <w:t>;</w:t>
            </w:r>
          </w:p>
          <w:p w14:paraId="1F079EA9" w14:textId="77777777" w:rsidR="007F4EDE" w:rsidRPr="00EC3718" w:rsidRDefault="007F4EDE" w:rsidP="007F4EDE">
            <w:pPr>
              <w:ind w:left="0"/>
              <w:rPr>
                <w:color w:val="000000" w:themeColor="text1"/>
                <w:sz w:val="18"/>
                <w:szCs w:val="18"/>
              </w:rPr>
            </w:pPr>
            <w:proofErr w:type="gramStart"/>
            <w:r w:rsidRPr="00EC3718">
              <w:rPr>
                <w:color w:val="000000" w:themeColor="text1"/>
                <w:sz w:val="18"/>
                <w:szCs w:val="18"/>
              </w:rPr>
              <w:t>Cameroon;</w:t>
            </w:r>
            <w:proofErr w:type="gramEnd"/>
          </w:p>
          <w:p w14:paraId="57CEBA80" w14:textId="025E842D" w:rsidR="007F4EDE" w:rsidRPr="00EC3718" w:rsidRDefault="007F4EDE" w:rsidP="007F4EDE">
            <w:pPr>
              <w:ind w:left="0"/>
              <w:rPr>
                <w:color w:val="000000" w:themeColor="text1"/>
                <w:sz w:val="18"/>
                <w:szCs w:val="18"/>
              </w:rPr>
            </w:pPr>
            <w:r w:rsidRPr="00EC3718">
              <w:rPr>
                <w:color w:val="000000" w:themeColor="text1"/>
                <w:sz w:val="18"/>
                <w:szCs w:val="18"/>
              </w:rPr>
              <w:t>medians</w:t>
            </w:r>
          </w:p>
        </w:tc>
        <w:tc>
          <w:tcPr>
            <w:tcW w:w="1440" w:type="dxa"/>
            <w:vMerge w:val="restart"/>
            <w:shd w:val="clear" w:color="auto" w:fill="D9D9D9" w:themeFill="background1" w:themeFillShade="D9"/>
          </w:tcPr>
          <w:p w14:paraId="40FFC10C" w14:textId="77777777" w:rsidR="005E26C0" w:rsidRPr="00EC3718" w:rsidRDefault="005E26C0" w:rsidP="005E26C0">
            <w:pPr>
              <w:ind w:left="0"/>
              <w:rPr>
                <w:color w:val="000000" w:themeColor="text1"/>
                <w:sz w:val="18"/>
                <w:szCs w:val="18"/>
              </w:rPr>
            </w:pPr>
            <w:r w:rsidRPr="00EC3718">
              <w:rPr>
                <w:color w:val="000000" w:themeColor="text1"/>
                <w:sz w:val="18"/>
                <w:szCs w:val="18"/>
              </w:rPr>
              <w:t>24H individual recall</w:t>
            </w:r>
          </w:p>
          <w:p w14:paraId="30D5B59D" w14:textId="72179292" w:rsidR="007F4EDE" w:rsidRPr="00EC3718" w:rsidRDefault="005E26C0" w:rsidP="005E26C0">
            <w:pPr>
              <w:ind w:left="0"/>
              <w:rPr>
                <w:color w:val="000000" w:themeColor="text1"/>
                <w:sz w:val="18"/>
                <w:szCs w:val="18"/>
              </w:rPr>
            </w:pPr>
            <w:r w:rsidRPr="00EC3718">
              <w:rPr>
                <w:color w:val="000000" w:themeColor="text1"/>
                <w:sz w:val="18"/>
                <w:szCs w:val="18"/>
              </w:rPr>
              <w:t>(N=</w:t>
            </w:r>
            <w:r>
              <w:rPr>
                <w:color w:val="000000" w:themeColor="text1"/>
                <w:sz w:val="18"/>
                <w:szCs w:val="18"/>
              </w:rPr>
              <w:t>1794</w:t>
            </w:r>
            <w:r w:rsidRPr="00EC3718">
              <w:rPr>
                <w:color w:val="000000" w:themeColor="text1"/>
                <w:sz w:val="18"/>
                <w:szCs w:val="18"/>
              </w:rPr>
              <w:t>)</w:t>
            </w:r>
          </w:p>
        </w:tc>
        <w:tc>
          <w:tcPr>
            <w:tcW w:w="2108" w:type="dxa"/>
            <w:vMerge w:val="restart"/>
            <w:tcBorders>
              <w:right w:val="single" w:sz="4" w:space="0" w:color="auto"/>
            </w:tcBorders>
            <w:shd w:val="clear" w:color="auto" w:fill="D9D9D9" w:themeFill="background1" w:themeFillShade="D9"/>
          </w:tcPr>
          <w:p w14:paraId="58961A18" w14:textId="5896D951" w:rsidR="007F4EDE" w:rsidRPr="00EC3718" w:rsidRDefault="005E26C0" w:rsidP="007F4EDE">
            <w:pPr>
              <w:ind w:left="0"/>
              <w:rPr>
                <w:color w:val="000000" w:themeColor="text1"/>
                <w:sz w:val="18"/>
                <w:szCs w:val="18"/>
              </w:rPr>
            </w:pPr>
            <w:r>
              <w:rPr>
                <w:color w:val="000000" w:themeColor="text1"/>
                <w:sz w:val="18"/>
                <w:szCs w:val="18"/>
              </w:rPr>
              <w:t>Combination of 3 to 7 day recalls and 15-day diary depending on sub-population</w:t>
            </w:r>
            <w:r w:rsidR="007F4EDE" w:rsidRPr="00EC3718">
              <w:rPr>
                <w:color w:val="000000" w:themeColor="text1"/>
                <w:sz w:val="18"/>
                <w:szCs w:val="18"/>
              </w:rPr>
              <w:t>, different survey sample</w:t>
            </w:r>
          </w:p>
          <w:p w14:paraId="11A51E35" w14:textId="1173E5C3" w:rsidR="007F4EDE" w:rsidRPr="00EC3718" w:rsidRDefault="007F4EDE" w:rsidP="007F4EDE">
            <w:pPr>
              <w:ind w:left="0"/>
              <w:rPr>
                <w:color w:val="000000" w:themeColor="text1"/>
                <w:sz w:val="18"/>
                <w:szCs w:val="18"/>
              </w:rPr>
            </w:pPr>
            <w:r w:rsidRPr="00EC3718">
              <w:rPr>
                <w:color w:val="000000" w:themeColor="text1"/>
                <w:sz w:val="18"/>
                <w:szCs w:val="18"/>
              </w:rPr>
              <w:t>(n=4363)</w:t>
            </w:r>
          </w:p>
        </w:tc>
        <w:tc>
          <w:tcPr>
            <w:tcW w:w="1701" w:type="dxa"/>
            <w:vMerge w:val="restart"/>
            <w:tcBorders>
              <w:top w:val="single" w:sz="4" w:space="0" w:color="auto"/>
              <w:left w:val="single" w:sz="4" w:space="0" w:color="auto"/>
            </w:tcBorders>
            <w:shd w:val="clear" w:color="auto" w:fill="D9D9D9" w:themeFill="background1" w:themeFillShade="D9"/>
          </w:tcPr>
          <w:p w14:paraId="3532DCB2" w14:textId="711A4B61" w:rsidR="007F4EDE" w:rsidRPr="00EC3718" w:rsidRDefault="007F4EDE" w:rsidP="007F4EDE">
            <w:pPr>
              <w:ind w:left="0"/>
              <w:rPr>
                <w:color w:val="000000" w:themeColor="text1"/>
                <w:sz w:val="18"/>
                <w:szCs w:val="18"/>
              </w:rPr>
            </w:pPr>
            <w:r w:rsidRPr="00EC3718">
              <w:rPr>
                <w:color w:val="000000" w:themeColor="text1"/>
                <w:sz w:val="18"/>
                <w:szCs w:val="18"/>
              </w:rPr>
              <w:t>Children</w:t>
            </w:r>
            <w:r w:rsidR="00E663ED">
              <w:rPr>
                <w:color w:val="000000" w:themeColor="text1"/>
                <w:sz w:val="18"/>
                <w:szCs w:val="18"/>
              </w:rPr>
              <w:t xml:space="preserve"> (12-59 months) (n=882)</w:t>
            </w:r>
          </w:p>
          <w:p w14:paraId="06848663" w14:textId="77777777" w:rsidR="007F4EDE" w:rsidRPr="00EC3718" w:rsidRDefault="007F4EDE" w:rsidP="007F4EDE">
            <w:pPr>
              <w:rPr>
                <w:color w:val="000000" w:themeColor="text1"/>
                <w:sz w:val="18"/>
                <w:szCs w:val="18"/>
              </w:rPr>
            </w:pPr>
          </w:p>
        </w:tc>
        <w:tc>
          <w:tcPr>
            <w:tcW w:w="1965" w:type="dxa"/>
            <w:tcBorders>
              <w:top w:val="single" w:sz="4" w:space="0" w:color="auto"/>
            </w:tcBorders>
            <w:shd w:val="clear" w:color="auto" w:fill="D9D9D9" w:themeFill="background1" w:themeFillShade="D9"/>
          </w:tcPr>
          <w:p w14:paraId="2524411C" w14:textId="1821E27C" w:rsidR="007F4EDE" w:rsidRPr="00EC3718" w:rsidRDefault="007F4EDE" w:rsidP="007F4EDE">
            <w:pPr>
              <w:ind w:left="0"/>
              <w:rPr>
                <w:color w:val="000000" w:themeColor="text1"/>
                <w:sz w:val="18"/>
                <w:szCs w:val="18"/>
              </w:rPr>
            </w:pPr>
            <w:r w:rsidRPr="00EC3718">
              <w:rPr>
                <w:color w:val="000000" w:themeColor="text1"/>
                <w:sz w:val="18"/>
                <w:szCs w:val="18"/>
              </w:rPr>
              <w:t>Refined oil, g</w:t>
            </w:r>
          </w:p>
        </w:tc>
        <w:tc>
          <w:tcPr>
            <w:tcW w:w="1051" w:type="dxa"/>
            <w:tcBorders>
              <w:top w:val="single" w:sz="4" w:space="0" w:color="auto"/>
            </w:tcBorders>
            <w:shd w:val="clear" w:color="auto" w:fill="D9D9D9" w:themeFill="background1" w:themeFillShade="D9"/>
          </w:tcPr>
          <w:p w14:paraId="7AE28B09" w14:textId="66FA763A" w:rsidR="007F4EDE" w:rsidRPr="002F330C" w:rsidRDefault="007F4EDE" w:rsidP="007F4EDE">
            <w:pPr>
              <w:ind w:left="0"/>
              <w:jc w:val="center"/>
              <w:rPr>
                <w:sz w:val="18"/>
                <w:szCs w:val="18"/>
              </w:rPr>
            </w:pPr>
            <w:r w:rsidRPr="002F330C">
              <w:rPr>
                <w:sz w:val="18"/>
                <w:szCs w:val="18"/>
              </w:rPr>
              <w:t>11.7</w:t>
            </w:r>
          </w:p>
        </w:tc>
        <w:tc>
          <w:tcPr>
            <w:tcW w:w="1169" w:type="dxa"/>
            <w:tcBorders>
              <w:top w:val="single" w:sz="4" w:space="0" w:color="auto"/>
            </w:tcBorders>
            <w:shd w:val="clear" w:color="auto" w:fill="D9D9D9" w:themeFill="background1" w:themeFillShade="D9"/>
          </w:tcPr>
          <w:p w14:paraId="5FFCDD7E" w14:textId="31967E57" w:rsidR="007F4EDE" w:rsidRPr="002F330C" w:rsidRDefault="007F4EDE" w:rsidP="007F4EDE">
            <w:pPr>
              <w:ind w:left="0"/>
              <w:jc w:val="center"/>
              <w:rPr>
                <w:sz w:val="18"/>
                <w:szCs w:val="18"/>
              </w:rPr>
            </w:pPr>
            <w:r w:rsidRPr="002F330C">
              <w:rPr>
                <w:sz w:val="18"/>
                <w:szCs w:val="18"/>
              </w:rPr>
              <w:t>6.2</w:t>
            </w:r>
          </w:p>
        </w:tc>
        <w:tc>
          <w:tcPr>
            <w:tcW w:w="1564" w:type="dxa"/>
            <w:tcBorders>
              <w:top w:val="single" w:sz="4" w:space="0" w:color="auto"/>
              <w:right w:val="single" w:sz="4" w:space="0" w:color="auto"/>
            </w:tcBorders>
            <w:shd w:val="clear" w:color="auto" w:fill="D9D9D9" w:themeFill="background1" w:themeFillShade="D9"/>
          </w:tcPr>
          <w:p w14:paraId="02CA031E" w14:textId="75799F54" w:rsidR="007F4EDE" w:rsidRPr="002F330C" w:rsidRDefault="007F4EDE" w:rsidP="007F4EDE">
            <w:pPr>
              <w:ind w:left="0"/>
              <w:jc w:val="center"/>
              <w:rPr>
                <w:sz w:val="18"/>
                <w:szCs w:val="18"/>
              </w:rPr>
            </w:pPr>
            <w:r w:rsidRPr="002F330C">
              <w:rPr>
                <w:sz w:val="18"/>
                <w:szCs w:val="18"/>
              </w:rPr>
              <w:t>-89</w:t>
            </w:r>
          </w:p>
        </w:tc>
      </w:tr>
      <w:tr w:rsidR="007F4EDE" w14:paraId="23B58E04" w14:textId="77777777" w:rsidTr="007F4EDE">
        <w:trPr>
          <w:trHeight w:val="224"/>
        </w:trPr>
        <w:tc>
          <w:tcPr>
            <w:tcW w:w="2065" w:type="dxa"/>
            <w:vMerge/>
            <w:tcBorders>
              <w:left w:val="single" w:sz="4" w:space="0" w:color="auto"/>
            </w:tcBorders>
            <w:shd w:val="clear" w:color="auto" w:fill="D9D9D9" w:themeFill="background1" w:themeFillShade="D9"/>
          </w:tcPr>
          <w:p w14:paraId="5B5F5D44" w14:textId="77777777" w:rsidR="007F4EDE" w:rsidRPr="00EC3718" w:rsidRDefault="007F4EDE" w:rsidP="007F4EDE">
            <w:pPr>
              <w:rPr>
                <w:color w:val="000000" w:themeColor="text1"/>
                <w:sz w:val="18"/>
                <w:szCs w:val="18"/>
              </w:rPr>
            </w:pPr>
          </w:p>
        </w:tc>
        <w:tc>
          <w:tcPr>
            <w:tcW w:w="1440" w:type="dxa"/>
            <w:vMerge/>
            <w:shd w:val="clear" w:color="auto" w:fill="D9D9D9" w:themeFill="background1" w:themeFillShade="D9"/>
          </w:tcPr>
          <w:p w14:paraId="7489F2EF" w14:textId="77777777" w:rsidR="007F4EDE" w:rsidRPr="00EC3718" w:rsidRDefault="007F4EDE" w:rsidP="007F4EDE">
            <w:pPr>
              <w:rPr>
                <w:color w:val="000000" w:themeColor="text1"/>
                <w:sz w:val="18"/>
                <w:szCs w:val="18"/>
              </w:rPr>
            </w:pPr>
          </w:p>
        </w:tc>
        <w:tc>
          <w:tcPr>
            <w:tcW w:w="2108" w:type="dxa"/>
            <w:vMerge/>
            <w:tcBorders>
              <w:right w:val="single" w:sz="4" w:space="0" w:color="auto"/>
            </w:tcBorders>
            <w:shd w:val="clear" w:color="auto" w:fill="D9D9D9" w:themeFill="background1" w:themeFillShade="D9"/>
          </w:tcPr>
          <w:p w14:paraId="6B39B6FA" w14:textId="77777777" w:rsidR="007F4EDE" w:rsidRPr="00EC3718" w:rsidRDefault="007F4EDE" w:rsidP="007F4EDE">
            <w:pPr>
              <w:rPr>
                <w:color w:val="000000" w:themeColor="text1"/>
                <w:sz w:val="18"/>
                <w:szCs w:val="18"/>
              </w:rPr>
            </w:pPr>
          </w:p>
        </w:tc>
        <w:tc>
          <w:tcPr>
            <w:tcW w:w="1701" w:type="dxa"/>
            <w:vMerge/>
            <w:tcBorders>
              <w:left w:val="single" w:sz="4" w:space="0" w:color="auto"/>
            </w:tcBorders>
            <w:shd w:val="clear" w:color="auto" w:fill="D9D9D9" w:themeFill="background1" w:themeFillShade="D9"/>
          </w:tcPr>
          <w:p w14:paraId="202D9447" w14:textId="77777777" w:rsidR="007F4EDE" w:rsidRPr="00EC3718" w:rsidRDefault="007F4EDE" w:rsidP="007F4EDE">
            <w:pPr>
              <w:rPr>
                <w:color w:val="000000" w:themeColor="text1"/>
                <w:sz w:val="18"/>
                <w:szCs w:val="18"/>
              </w:rPr>
            </w:pPr>
          </w:p>
        </w:tc>
        <w:tc>
          <w:tcPr>
            <w:tcW w:w="1965" w:type="dxa"/>
          </w:tcPr>
          <w:p w14:paraId="0F9E1A39" w14:textId="55E23D8B" w:rsidR="007F4EDE" w:rsidRPr="00EC3718" w:rsidRDefault="007F4EDE" w:rsidP="007F4EDE">
            <w:pPr>
              <w:ind w:left="0"/>
              <w:rPr>
                <w:color w:val="000000" w:themeColor="text1"/>
                <w:sz w:val="18"/>
                <w:szCs w:val="18"/>
              </w:rPr>
            </w:pPr>
            <w:r w:rsidRPr="00EC3718">
              <w:rPr>
                <w:color w:val="000000" w:themeColor="text1"/>
                <w:sz w:val="18"/>
                <w:szCs w:val="18"/>
              </w:rPr>
              <w:t xml:space="preserve">Wheat flour, g </w:t>
            </w:r>
          </w:p>
        </w:tc>
        <w:tc>
          <w:tcPr>
            <w:tcW w:w="1051" w:type="dxa"/>
          </w:tcPr>
          <w:p w14:paraId="3F60B98D" w14:textId="635FEA37" w:rsidR="007F4EDE" w:rsidRPr="002F330C" w:rsidRDefault="007F4EDE" w:rsidP="007F4EDE">
            <w:pPr>
              <w:ind w:left="0"/>
              <w:jc w:val="center"/>
              <w:rPr>
                <w:sz w:val="18"/>
                <w:szCs w:val="18"/>
              </w:rPr>
            </w:pPr>
            <w:r w:rsidRPr="002F330C">
              <w:rPr>
                <w:sz w:val="18"/>
                <w:szCs w:val="18"/>
              </w:rPr>
              <w:t>49.4</w:t>
            </w:r>
          </w:p>
        </w:tc>
        <w:tc>
          <w:tcPr>
            <w:tcW w:w="1169" w:type="dxa"/>
          </w:tcPr>
          <w:p w14:paraId="7CBB1C94" w14:textId="71A92F52" w:rsidR="007F4EDE" w:rsidRPr="002F330C" w:rsidRDefault="007F4EDE" w:rsidP="007F4EDE">
            <w:pPr>
              <w:ind w:left="0"/>
              <w:jc w:val="center"/>
              <w:rPr>
                <w:sz w:val="18"/>
                <w:szCs w:val="18"/>
              </w:rPr>
            </w:pPr>
            <w:r w:rsidRPr="002F330C">
              <w:rPr>
                <w:sz w:val="18"/>
                <w:szCs w:val="18"/>
              </w:rPr>
              <w:t>24.2</w:t>
            </w:r>
          </w:p>
        </w:tc>
        <w:tc>
          <w:tcPr>
            <w:tcW w:w="1564" w:type="dxa"/>
            <w:tcBorders>
              <w:right w:val="single" w:sz="4" w:space="0" w:color="auto"/>
            </w:tcBorders>
          </w:tcPr>
          <w:p w14:paraId="3144491C" w14:textId="028959D9" w:rsidR="007F4EDE" w:rsidRPr="002F330C" w:rsidRDefault="007F4EDE" w:rsidP="007F4EDE">
            <w:pPr>
              <w:ind w:left="0"/>
              <w:jc w:val="center"/>
              <w:rPr>
                <w:sz w:val="18"/>
                <w:szCs w:val="18"/>
              </w:rPr>
            </w:pPr>
            <w:r w:rsidRPr="002F330C">
              <w:rPr>
                <w:sz w:val="18"/>
                <w:szCs w:val="18"/>
              </w:rPr>
              <w:t>-104</w:t>
            </w:r>
          </w:p>
        </w:tc>
      </w:tr>
      <w:tr w:rsidR="007F4EDE" w14:paraId="5D8D822A" w14:textId="77777777" w:rsidTr="007F4EDE">
        <w:trPr>
          <w:trHeight w:val="224"/>
        </w:trPr>
        <w:tc>
          <w:tcPr>
            <w:tcW w:w="2065" w:type="dxa"/>
            <w:vMerge/>
            <w:tcBorders>
              <w:left w:val="single" w:sz="4" w:space="0" w:color="auto"/>
            </w:tcBorders>
            <w:shd w:val="clear" w:color="auto" w:fill="D9D9D9" w:themeFill="background1" w:themeFillShade="D9"/>
          </w:tcPr>
          <w:p w14:paraId="7983B5D1" w14:textId="77777777" w:rsidR="007F4EDE" w:rsidRPr="00EC3718" w:rsidRDefault="007F4EDE" w:rsidP="007F4EDE">
            <w:pPr>
              <w:rPr>
                <w:color w:val="000000" w:themeColor="text1"/>
                <w:sz w:val="18"/>
                <w:szCs w:val="18"/>
              </w:rPr>
            </w:pPr>
          </w:p>
        </w:tc>
        <w:tc>
          <w:tcPr>
            <w:tcW w:w="1440" w:type="dxa"/>
            <w:vMerge/>
            <w:shd w:val="clear" w:color="auto" w:fill="D9D9D9" w:themeFill="background1" w:themeFillShade="D9"/>
          </w:tcPr>
          <w:p w14:paraId="4CE31D2B" w14:textId="77777777" w:rsidR="007F4EDE" w:rsidRPr="00EC3718" w:rsidRDefault="007F4EDE" w:rsidP="007F4EDE">
            <w:pPr>
              <w:rPr>
                <w:color w:val="000000" w:themeColor="text1"/>
                <w:sz w:val="18"/>
                <w:szCs w:val="18"/>
              </w:rPr>
            </w:pPr>
          </w:p>
        </w:tc>
        <w:tc>
          <w:tcPr>
            <w:tcW w:w="2108" w:type="dxa"/>
            <w:vMerge/>
            <w:tcBorders>
              <w:right w:val="single" w:sz="4" w:space="0" w:color="auto"/>
            </w:tcBorders>
            <w:shd w:val="clear" w:color="auto" w:fill="D9D9D9" w:themeFill="background1" w:themeFillShade="D9"/>
          </w:tcPr>
          <w:p w14:paraId="3FE2D968" w14:textId="77777777" w:rsidR="007F4EDE" w:rsidRPr="00EC3718" w:rsidRDefault="007F4EDE" w:rsidP="007F4EDE">
            <w:pPr>
              <w:rPr>
                <w:color w:val="000000" w:themeColor="text1"/>
                <w:sz w:val="18"/>
                <w:szCs w:val="18"/>
              </w:rPr>
            </w:pPr>
          </w:p>
        </w:tc>
        <w:tc>
          <w:tcPr>
            <w:tcW w:w="1701" w:type="dxa"/>
            <w:vMerge/>
            <w:tcBorders>
              <w:left w:val="single" w:sz="4" w:space="0" w:color="auto"/>
            </w:tcBorders>
            <w:shd w:val="clear" w:color="auto" w:fill="D9D9D9" w:themeFill="background1" w:themeFillShade="D9"/>
          </w:tcPr>
          <w:p w14:paraId="7CBB3C00" w14:textId="77777777" w:rsidR="007F4EDE" w:rsidRPr="00EC3718" w:rsidRDefault="007F4EDE" w:rsidP="007F4EDE">
            <w:pPr>
              <w:rPr>
                <w:color w:val="000000" w:themeColor="text1"/>
                <w:sz w:val="18"/>
                <w:szCs w:val="18"/>
              </w:rPr>
            </w:pPr>
          </w:p>
        </w:tc>
        <w:tc>
          <w:tcPr>
            <w:tcW w:w="1965" w:type="dxa"/>
            <w:shd w:val="clear" w:color="auto" w:fill="D9D9D9" w:themeFill="background1" w:themeFillShade="D9"/>
          </w:tcPr>
          <w:p w14:paraId="35F9C84F" w14:textId="6A489373" w:rsidR="007F4EDE" w:rsidRPr="00EC3718" w:rsidRDefault="007F4EDE" w:rsidP="007F4EDE">
            <w:pPr>
              <w:ind w:left="0"/>
              <w:rPr>
                <w:color w:val="000000" w:themeColor="text1"/>
                <w:sz w:val="18"/>
                <w:szCs w:val="18"/>
              </w:rPr>
            </w:pPr>
            <w:r w:rsidRPr="00EC3718">
              <w:rPr>
                <w:color w:val="000000" w:themeColor="text1"/>
                <w:sz w:val="18"/>
                <w:szCs w:val="18"/>
              </w:rPr>
              <w:t xml:space="preserve">Sugar, g </w:t>
            </w:r>
          </w:p>
        </w:tc>
        <w:tc>
          <w:tcPr>
            <w:tcW w:w="1051" w:type="dxa"/>
            <w:shd w:val="clear" w:color="auto" w:fill="D9D9D9" w:themeFill="background1" w:themeFillShade="D9"/>
          </w:tcPr>
          <w:p w14:paraId="4A863F5D" w14:textId="7D4D96C4" w:rsidR="007F4EDE" w:rsidRPr="002F330C" w:rsidRDefault="007F4EDE" w:rsidP="007F4EDE">
            <w:pPr>
              <w:ind w:left="0"/>
              <w:jc w:val="center"/>
              <w:rPr>
                <w:sz w:val="18"/>
                <w:szCs w:val="18"/>
              </w:rPr>
            </w:pPr>
            <w:r w:rsidRPr="002F330C">
              <w:rPr>
                <w:sz w:val="18"/>
                <w:szCs w:val="18"/>
              </w:rPr>
              <w:t>19.6</w:t>
            </w:r>
          </w:p>
        </w:tc>
        <w:tc>
          <w:tcPr>
            <w:tcW w:w="1169" w:type="dxa"/>
            <w:shd w:val="clear" w:color="auto" w:fill="D9D9D9" w:themeFill="background1" w:themeFillShade="D9"/>
          </w:tcPr>
          <w:p w14:paraId="1B39A343" w14:textId="249DD4F1" w:rsidR="007F4EDE" w:rsidRPr="002F330C" w:rsidRDefault="007F4EDE" w:rsidP="007F4EDE">
            <w:pPr>
              <w:ind w:left="0"/>
              <w:jc w:val="center"/>
              <w:rPr>
                <w:sz w:val="18"/>
                <w:szCs w:val="18"/>
              </w:rPr>
            </w:pPr>
            <w:r w:rsidRPr="002F330C">
              <w:rPr>
                <w:sz w:val="18"/>
                <w:szCs w:val="18"/>
              </w:rPr>
              <w:t>7.2</w:t>
            </w:r>
          </w:p>
        </w:tc>
        <w:tc>
          <w:tcPr>
            <w:tcW w:w="1564" w:type="dxa"/>
            <w:tcBorders>
              <w:right w:val="single" w:sz="4" w:space="0" w:color="auto"/>
            </w:tcBorders>
            <w:shd w:val="clear" w:color="auto" w:fill="D9D9D9" w:themeFill="background1" w:themeFillShade="D9"/>
          </w:tcPr>
          <w:p w14:paraId="0D38F7F7" w14:textId="55FEDF37" w:rsidR="007F4EDE" w:rsidRPr="002F330C" w:rsidRDefault="007F4EDE" w:rsidP="007F4EDE">
            <w:pPr>
              <w:ind w:left="0"/>
              <w:jc w:val="center"/>
              <w:rPr>
                <w:sz w:val="18"/>
                <w:szCs w:val="18"/>
              </w:rPr>
            </w:pPr>
            <w:r w:rsidRPr="002F330C">
              <w:rPr>
                <w:sz w:val="18"/>
                <w:szCs w:val="18"/>
              </w:rPr>
              <w:t>-172</w:t>
            </w:r>
          </w:p>
        </w:tc>
      </w:tr>
      <w:tr w:rsidR="007F4EDE" w14:paraId="0AE6B1D2" w14:textId="77777777" w:rsidTr="007F4EDE">
        <w:trPr>
          <w:trHeight w:val="224"/>
        </w:trPr>
        <w:tc>
          <w:tcPr>
            <w:tcW w:w="2065" w:type="dxa"/>
            <w:vMerge/>
            <w:tcBorders>
              <w:left w:val="single" w:sz="4" w:space="0" w:color="auto"/>
              <w:bottom w:val="single" w:sz="4" w:space="0" w:color="auto"/>
            </w:tcBorders>
            <w:shd w:val="clear" w:color="auto" w:fill="D9D9D9" w:themeFill="background1" w:themeFillShade="D9"/>
          </w:tcPr>
          <w:p w14:paraId="18C77162" w14:textId="77777777" w:rsidR="007F4EDE" w:rsidRPr="006E189F" w:rsidRDefault="007F4EDE" w:rsidP="007F4EDE">
            <w:pPr>
              <w:rPr>
                <w:sz w:val="18"/>
                <w:szCs w:val="18"/>
              </w:rPr>
            </w:pPr>
          </w:p>
        </w:tc>
        <w:tc>
          <w:tcPr>
            <w:tcW w:w="1440" w:type="dxa"/>
            <w:vMerge/>
            <w:tcBorders>
              <w:bottom w:val="single" w:sz="4" w:space="0" w:color="auto"/>
            </w:tcBorders>
            <w:shd w:val="clear" w:color="auto" w:fill="D9D9D9" w:themeFill="background1" w:themeFillShade="D9"/>
          </w:tcPr>
          <w:p w14:paraId="36557433" w14:textId="77777777" w:rsidR="007F4EDE" w:rsidRPr="00E90B70" w:rsidRDefault="007F4EDE" w:rsidP="007F4EDE">
            <w:pPr>
              <w:rPr>
                <w:sz w:val="18"/>
                <w:szCs w:val="18"/>
              </w:rPr>
            </w:pPr>
          </w:p>
        </w:tc>
        <w:tc>
          <w:tcPr>
            <w:tcW w:w="2108" w:type="dxa"/>
            <w:vMerge/>
            <w:tcBorders>
              <w:bottom w:val="single" w:sz="4" w:space="0" w:color="auto"/>
              <w:right w:val="single" w:sz="4" w:space="0" w:color="auto"/>
            </w:tcBorders>
            <w:shd w:val="clear" w:color="auto" w:fill="D9D9D9" w:themeFill="background1" w:themeFillShade="D9"/>
          </w:tcPr>
          <w:p w14:paraId="075799D4" w14:textId="77777777" w:rsidR="007F4EDE" w:rsidRPr="00E90B70" w:rsidRDefault="007F4EDE" w:rsidP="007F4EDE">
            <w:pPr>
              <w:rPr>
                <w:sz w:val="18"/>
                <w:szCs w:val="18"/>
              </w:rPr>
            </w:pPr>
          </w:p>
        </w:tc>
        <w:tc>
          <w:tcPr>
            <w:tcW w:w="1701" w:type="dxa"/>
            <w:vMerge/>
            <w:tcBorders>
              <w:left w:val="single" w:sz="4" w:space="0" w:color="auto"/>
              <w:bottom w:val="single" w:sz="4" w:space="0" w:color="auto"/>
            </w:tcBorders>
            <w:shd w:val="clear" w:color="auto" w:fill="D9D9D9" w:themeFill="background1" w:themeFillShade="D9"/>
          </w:tcPr>
          <w:p w14:paraId="46B51090" w14:textId="77777777" w:rsidR="007F4EDE" w:rsidRDefault="007F4EDE" w:rsidP="007F4EDE">
            <w:pPr>
              <w:rPr>
                <w:sz w:val="18"/>
                <w:szCs w:val="18"/>
              </w:rPr>
            </w:pPr>
          </w:p>
        </w:tc>
        <w:tc>
          <w:tcPr>
            <w:tcW w:w="1965" w:type="dxa"/>
            <w:tcBorders>
              <w:bottom w:val="single" w:sz="4" w:space="0" w:color="auto"/>
            </w:tcBorders>
          </w:tcPr>
          <w:p w14:paraId="2B494725" w14:textId="2DC62DA1" w:rsidR="007F4EDE" w:rsidRPr="00F6485E" w:rsidRDefault="007F4EDE" w:rsidP="007F4EDE">
            <w:pPr>
              <w:ind w:left="0"/>
              <w:rPr>
                <w:sz w:val="18"/>
                <w:szCs w:val="18"/>
              </w:rPr>
            </w:pPr>
            <w:r w:rsidRPr="00F6485E">
              <w:rPr>
                <w:sz w:val="18"/>
                <w:szCs w:val="18"/>
              </w:rPr>
              <w:t xml:space="preserve">Bouillon, g </w:t>
            </w:r>
          </w:p>
        </w:tc>
        <w:tc>
          <w:tcPr>
            <w:tcW w:w="1051" w:type="dxa"/>
            <w:tcBorders>
              <w:bottom w:val="single" w:sz="4" w:space="0" w:color="auto"/>
            </w:tcBorders>
          </w:tcPr>
          <w:p w14:paraId="353B2052" w14:textId="26D13B81" w:rsidR="007F4EDE" w:rsidRPr="002F330C" w:rsidRDefault="007F4EDE" w:rsidP="007F4EDE">
            <w:pPr>
              <w:ind w:left="0"/>
              <w:jc w:val="center"/>
              <w:rPr>
                <w:sz w:val="18"/>
                <w:szCs w:val="18"/>
              </w:rPr>
            </w:pPr>
            <w:r w:rsidRPr="002F330C">
              <w:rPr>
                <w:sz w:val="18"/>
                <w:szCs w:val="18"/>
              </w:rPr>
              <w:t>0.9</w:t>
            </w:r>
          </w:p>
        </w:tc>
        <w:tc>
          <w:tcPr>
            <w:tcW w:w="1169" w:type="dxa"/>
            <w:tcBorders>
              <w:bottom w:val="single" w:sz="4" w:space="0" w:color="auto"/>
            </w:tcBorders>
          </w:tcPr>
          <w:p w14:paraId="3853C760" w14:textId="43E47850" w:rsidR="007F4EDE" w:rsidRPr="002F330C" w:rsidRDefault="007F4EDE" w:rsidP="007F4EDE">
            <w:pPr>
              <w:ind w:left="0"/>
              <w:jc w:val="center"/>
              <w:rPr>
                <w:sz w:val="18"/>
                <w:szCs w:val="18"/>
              </w:rPr>
            </w:pPr>
            <w:r w:rsidRPr="002F330C">
              <w:rPr>
                <w:sz w:val="18"/>
                <w:szCs w:val="18"/>
              </w:rPr>
              <w:t>1.3</w:t>
            </w:r>
          </w:p>
        </w:tc>
        <w:tc>
          <w:tcPr>
            <w:tcW w:w="1564" w:type="dxa"/>
            <w:tcBorders>
              <w:bottom w:val="single" w:sz="4" w:space="0" w:color="auto"/>
              <w:right w:val="single" w:sz="4" w:space="0" w:color="auto"/>
            </w:tcBorders>
          </w:tcPr>
          <w:p w14:paraId="011482B3" w14:textId="2EE87499" w:rsidR="007F4EDE" w:rsidRPr="002F330C" w:rsidRDefault="007F4EDE" w:rsidP="007F4EDE">
            <w:pPr>
              <w:ind w:left="0"/>
              <w:jc w:val="center"/>
              <w:rPr>
                <w:sz w:val="18"/>
                <w:szCs w:val="18"/>
              </w:rPr>
            </w:pPr>
            <w:r w:rsidRPr="002F330C">
              <w:rPr>
                <w:sz w:val="18"/>
                <w:szCs w:val="18"/>
              </w:rPr>
              <w:t>31</w:t>
            </w:r>
          </w:p>
        </w:tc>
      </w:tr>
      <w:tr w:rsidR="007F4EDE" w14:paraId="70F281B6" w14:textId="77777777" w:rsidTr="007F4EDE">
        <w:trPr>
          <w:trHeight w:val="224"/>
        </w:trPr>
        <w:tc>
          <w:tcPr>
            <w:tcW w:w="2065" w:type="dxa"/>
            <w:vMerge w:val="restart"/>
            <w:tcBorders>
              <w:top w:val="single" w:sz="4" w:space="0" w:color="auto"/>
              <w:left w:val="single" w:sz="4" w:space="0" w:color="auto"/>
            </w:tcBorders>
          </w:tcPr>
          <w:p w14:paraId="6ECC35C4" w14:textId="47963F8D" w:rsidR="007F4EDE" w:rsidRPr="00D45127" w:rsidRDefault="007F4EDE" w:rsidP="007F4EDE">
            <w:pPr>
              <w:ind w:left="0"/>
              <w:rPr>
                <w:sz w:val="18"/>
                <w:szCs w:val="18"/>
                <w:lang w:val="es-GT"/>
              </w:rPr>
            </w:pPr>
            <w:r w:rsidRPr="00D45127">
              <w:rPr>
                <w:sz w:val="18"/>
                <w:szCs w:val="18"/>
                <w:lang w:val="es-GT"/>
              </w:rPr>
              <w:t xml:space="preserve">Dary &amp; Jariseta (2012) </w:t>
            </w:r>
            <w:r w:rsidRPr="001000F1">
              <w:rPr>
                <w:sz w:val="18"/>
                <w:szCs w:val="18"/>
              </w:rPr>
              <w:fldChar w:fldCharType="begin" w:fldLock="1"/>
            </w:r>
            <w:r w:rsidR="005B0D26">
              <w:rPr>
                <w:sz w:val="18"/>
                <w:szCs w:val="18"/>
                <w:lang w:val="es-GT"/>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sidRPr="001000F1">
              <w:rPr>
                <w:sz w:val="18"/>
                <w:szCs w:val="18"/>
              </w:rPr>
              <w:fldChar w:fldCharType="separate"/>
            </w:r>
            <w:r w:rsidR="005B0D26" w:rsidRPr="005B0D26">
              <w:rPr>
                <w:noProof/>
                <w:sz w:val="18"/>
                <w:szCs w:val="18"/>
                <w:vertAlign w:val="superscript"/>
                <w:lang w:val="es-GT"/>
              </w:rPr>
              <w:t>(11)</w:t>
            </w:r>
            <w:r w:rsidRPr="001000F1">
              <w:rPr>
                <w:sz w:val="18"/>
                <w:szCs w:val="18"/>
              </w:rPr>
              <w:fldChar w:fldCharType="end"/>
            </w:r>
            <w:r w:rsidRPr="00D45127">
              <w:rPr>
                <w:sz w:val="18"/>
                <w:szCs w:val="18"/>
                <w:lang w:val="es-GT"/>
              </w:rPr>
              <w:t>;</w:t>
            </w:r>
          </w:p>
          <w:p w14:paraId="2B3786EE" w14:textId="77777777" w:rsidR="007F4EDE" w:rsidRPr="00D45127" w:rsidRDefault="007F4EDE" w:rsidP="007F4EDE">
            <w:pPr>
              <w:ind w:left="0"/>
              <w:rPr>
                <w:sz w:val="18"/>
                <w:szCs w:val="18"/>
                <w:lang w:val="es-GT"/>
              </w:rPr>
            </w:pPr>
            <w:r w:rsidRPr="00D45127">
              <w:rPr>
                <w:sz w:val="18"/>
                <w:szCs w:val="18"/>
                <w:lang w:val="es-GT"/>
              </w:rPr>
              <w:t>Kampala, Uganda;</w:t>
            </w:r>
          </w:p>
          <w:p w14:paraId="0C403381" w14:textId="77777777" w:rsidR="007F4EDE" w:rsidRPr="00D45127" w:rsidRDefault="007F4EDE" w:rsidP="007F4EDE">
            <w:pPr>
              <w:ind w:left="0"/>
              <w:rPr>
                <w:sz w:val="18"/>
                <w:szCs w:val="18"/>
                <w:lang w:val="es-GT"/>
              </w:rPr>
            </w:pPr>
            <w:r w:rsidRPr="00D45127">
              <w:rPr>
                <w:sz w:val="18"/>
                <w:szCs w:val="18"/>
                <w:lang w:val="es-GT"/>
              </w:rPr>
              <w:t>medians</w:t>
            </w:r>
          </w:p>
        </w:tc>
        <w:tc>
          <w:tcPr>
            <w:tcW w:w="1440" w:type="dxa"/>
            <w:vMerge w:val="restart"/>
            <w:tcBorders>
              <w:top w:val="single" w:sz="4" w:space="0" w:color="auto"/>
            </w:tcBorders>
          </w:tcPr>
          <w:p w14:paraId="16048394" w14:textId="77777777" w:rsidR="007F4EDE" w:rsidRPr="00E90B70" w:rsidRDefault="007F4EDE" w:rsidP="007F4EDE">
            <w:pPr>
              <w:ind w:left="0"/>
              <w:rPr>
                <w:sz w:val="18"/>
                <w:szCs w:val="18"/>
              </w:rPr>
            </w:pPr>
            <w:r w:rsidRPr="00E90B70">
              <w:rPr>
                <w:sz w:val="18"/>
                <w:szCs w:val="18"/>
              </w:rPr>
              <w:t>24H individual recall</w:t>
            </w:r>
          </w:p>
        </w:tc>
        <w:tc>
          <w:tcPr>
            <w:tcW w:w="2108" w:type="dxa"/>
            <w:vMerge w:val="restart"/>
            <w:tcBorders>
              <w:top w:val="single" w:sz="4" w:space="0" w:color="auto"/>
              <w:right w:val="single" w:sz="4" w:space="0" w:color="auto"/>
            </w:tcBorders>
          </w:tcPr>
          <w:p w14:paraId="646644AB" w14:textId="77777777" w:rsidR="00E663ED" w:rsidRDefault="00E663ED" w:rsidP="00E663ED">
            <w:pPr>
              <w:ind w:left="0"/>
              <w:rPr>
                <w:sz w:val="18"/>
                <w:szCs w:val="18"/>
              </w:rPr>
            </w:pPr>
            <w:r>
              <w:rPr>
                <w:sz w:val="18"/>
                <w:szCs w:val="18"/>
              </w:rPr>
              <w:t>7-day recall of household meals</w:t>
            </w:r>
          </w:p>
          <w:p w14:paraId="00F6625A" w14:textId="77777777" w:rsidR="007F4EDE" w:rsidRPr="00E90B70" w:rsidRDefault="007F4EDE" w:rsidP="007F4EDE">
            <w:pPr>
              <w:ind w:left="0"/>
              <w:rPr>
                <w:sz w:val="18"/>
                <w:szCs w:val="18"/>
              </w:rPr>
            </w:pPr>
            <w:r w:rsidRPr="00E90B70">
              <w:rPr>
                <w:sz w:val="18"/>
                <w:szCs w:val="18"/>
              </w:rPr>
              <w:t>(n=</w:t>
            </w:r>
            <w:r>
              <w:rPr>
                <w:sz w:val="18"/>
                <w:szCs w:val="18"/>
              </w:rPr>
              <w:t>314)</w:t>
            </w:r>
          </w:p>
        </w:tc>
        <w:tc>
          <w:tcPr>
            <w:tcW w:w="1701" w:type="dxa"/>
            <w:vMerge w:val="restart"/>
            <w:tcBorders>
              <w:top w:val="single" w:sz="4" w:space="0" w:color="auto"/>
              <w:left w:val="single" w:sz="4" w:space="0" w:color="auto"/>
            </w:tcBorders>
          </w:tcPr>
          <w:p w14:paraId="0727D078" w14:textId="77777777" w:rsidR="007F4EDE" w:rsidRDefault="007F4EDE" w:rsidP="007F4EDE">
            <w:pPr>
              <w:ind w:left="0"/>
              <w:rPr>
                <w:sz w:val="18"/>
                <w:szCs w:val="18"/>
              </w:rPr>
            </w:pPr>
            <w:r>
              <w:rPr>
                <w:sz w:val="18"/>
                <w:szCs w:val="18"/>
              </w:rPr>
              <w:t>Children (2-5 years)</w:t>
            </w:r>
          </w:p>
          <w:p w14:paraId="1D7540CC" w14:textId="77777777" w:rsidR="007F4EDE" w:rsidRDefault="007F4EDE" w:rsidP="007F4EDE">
            <w:pPr>
              <w:rPr>
                <w:sz w:val="18"/>
                <w:szCs w:val="18"/>
              </w:rPr>
            </w:pPr>
          </w:p>
        </w:tc>
        <w:tc>
          <w:tcPr>
            <w:tcW w:w="1965" w:type="dxa"/>
            <w:tcBorders>
              <w:top w:val="single" w:sz="4" w:space="0" w:color="auto"/>
            </w:tcBorders>
            <w:shd w:val="clear" w:color="auto" w:fill="D9D9D9" w:themeFill="background1" w:themeFillShade="D9"/>
          </w:tcPr>
          <w:p w14:paraId="36438FBD" w14:textId="77777777" w:rsidR="007F4EDE" w:rsidRPr="00F6485E" w:rsidRDefault="007F4EDE" w:rsidP="007F4EDE">
            <w:pPr>
              <w:ind w:left="0"/>
              <w:rPr>
                <w:sz w:val="18"/>
                <w:szCs w:val="18"/>
              </w:rPr>
            </w:pPr>
            <w:r w:rsidRPr="00F6485E">
              <w:rPr>
                <w:sz w:val="18"/>
                <w:szCs w:val="18"/>
              </w:rPr>
              <w:t xml:space="preserve">Vegetable oil, g </w:t>
            </w:r>
          </w:p>
        </w:tc>
        <w:tc>
          <w:tcPr>
            <w:tcW w:w="1051" w:type="dxa"/>
            <w:tcBorders>
              <w:top w:val="single" w:sz="4" w:space="0" w:color="auto"/>
            </w:tcBorders>
            <w:shd w:val="clear" w:color="auto" w:fill="D9D9D9" w:themeFill="background1" w:themeFillShade="D9"/>
          </w:tcPr>
          <w:p w14:paraId="58EE1BA4" w14:textId="77777777" w:rsidR="007F4EDE" w:rsidRPr="00F6485E" w:rsidRDefault="007F4EDE" w:rsidP="007F4EDE">
            <w:pPr>
              <w:ind w:left="0"/>
              <w:jc w:val="center"/>
              <w:rPr>
                <w:sz w:val="18"/>
                <w:szCs w:val="18"/>
              </w:rPr>
            </w:pPr>
            <w:r w:rsidRPr="00F6485E">
              <w:rPr>
                <w:sz w:val="18"/>
                <w:szCs w:val="18"/>
              </w:rPr>
              <w:t>4.9</w:t>
            </w:r>
          </w:p>
        </w:tc>
        <w:tc>
          <w:tcPr>
            <w:tcW w:w="1169" w:type="dxa"/>
            <w:tcBorders>
              <w:top w:val="single" w:sz="4" w:space="0" w:color="auto"/>
            </w:tcBorders>
            <w:shd w:val="clear" w:color="auto" w:fill="D9D9D9" w:themeFill="background1" w:themeFillShade="D9"/>
          </w:tcPr>
          <w:p w14:paraId="41A739CB" w14:textId="77777777" w:rsidR="007F4EDE" w:rsidRPr="00F6485E" w:rsidRDefault="007F4EDE" w:rsidP="007F4EDE">
            <w:pPr>
              <w:ind w:left="0"/>
              <w:jc w:val="center"/>
              <w:rPr>
                <w:sz w:val="18"/>
                <w:szCs w:val="18"/>
              </w:rPr>
            </w:pPr>
            <w:r w:rsidRPr="00F6485E">
              <w:rPr>
                <w:sz w:val="18"/>
                <w:szCs w:val="18"/>
              </w:rPr>
              <w:t>7.0</w:t>
            </w:r>
          </w:p>
        </w:tc>
        <w:tc>
          <w:tcPr>
            <w:tcW w:w="1564" w:type="dxa"/>
            <w:tcBorders>
              <w:top w:val="single" w:sz="4" w:space="0" w:color="auto"/>
              <w:right w:val="single" w:sz="4" w:space="0" w:color="auto"/>
            </w:tcBorders>
            <w:shd w:val="clear" w:color="auto" w:fill="D9D9D9" w:themeFill="background1" w:themeFillShade="D9"/>
          </w:tcPr>
          <w:p w14:paraId="47610B12" w14:textId="77777777" w:rsidR="007F4EDE" w:rsidRPr="00F6485E" w:rsidRDefault="007F4EDE" w:rsidP="007F4EDE">
            <w:pPr>
              <w:ind w:left="0"/>
              <w:jc w:val="center"/>
              <w:rPr>
                <w:sz w:val="18"/>
                <w:szCs w:val="18"/>
              </w:rPr>
            </w:pPr>
            <w:r w:rsidRPr="00F6485E">
              <w:rPr>
                <w:sz w:val="18"/>
                <w:szCs w:val="18"/>
              </w:rPr>
              <w:t>30</w:t>
            </w:r>
          </w:p>
        </w:tc>
      </w:tr>
      <w:tr w:rsidR="007F4EDE" w14:paraId="1DCFE866" w14:textId="77777777" w:rsidTr="007F7EA3">
        <w:trPr>
          <w:trHeight w:val="224"/>
        </w:trPr>
        <w:tc>
          <w:tcPr>
            <w:tcW w:w="2065" w:type="dxa"/>
            <w:vMerge/>
            <w:tcBorders>
              <w:left w:val="single" w:sz="4" w:space="0" w:color="auto"/>
            </w:tcBorders>
          </w:tcPr>
          <w:p w14:paraId="22670A98" w14:textId="77777777" w:rsidR="007F4EDE" w:rsidRPr="006E189F" w:rsidRDefault="007F4EDE" w:rsidP="007F4EDE">
            <w:pPr>
              <w:rPr>
                <w:sz w:val="18"/>
                <w:szCs w:val="18"/>
              </w:rPr>
            </w:pPr>
          </w:p>
        </w:tc>
        <w:tc>
          <w:tcPr>
            <w:tcW w:w="1440" w:type="dxa"/>
            <w:vMerge/>
          </w:tcPr>
          <w:p w14:paraId="660E3D36" w14:textId="77777777" w:rsidR="007F4EDE" w:rsidRPr="00E90B70" w:rsidRDefault="007F4EDE" w:rsidP="007F4EDE">
            <w:pPr>
              <w:rPr>
                <w:sz w:val="18"/>
                <w:szCs w:val="18"/>
              </w:rPr>
            </w:pPr>
          </w:p>
        </w:tc>
        <w:tc>
          <w:tcPr>
            <w:tcW w:w="2108" w:type="dxa"/>
            <w:vMerge/>
            <w:tcBorders>
              <w:right w:val="single" w:sz="4" w:space="0" w:color="auto"/>
            </w:tcBorders>
          </w:tcPr>
          <w:p w14:paraId="4B4F3235" w14:textId="77777777" w:rsidR="007F4EDE" w:rsidRPr="00E90B70" w:rsidRDefault="007F4EDE" w:rsidP="007F4EDE">
            <w:pPr>
              <w:rPr>
                <w:sz w:val="18"/>
                <w:szCs w:val="18"/>
              </w:rPr>
            </w:pPr>
          </w:p>
        </w:tc>
        <w:tc>
          <w:tcPr>
            <w:tcW w:w="1701" w:type="dxa"/>
            <w:vMerge/>
            <w:tcBorders>
              <w:left w:val="single" w:sz="4" w:space="0" w:color="auto"/>
            </w:tcBorders>
          </w:tcPr>
          <w:p w14:paraId="3846032E" w14:textId="77777777" w:rsidR="007F4EDE" w:rsidRDefault="007F4EDE" w:rsidP="007F4EDE">
            <w:pPr>
              <w:rPr>
                <w:sz w:val="18"/>
                <w:szCs w:val="18"/>
              </w:rPr>
            </w:pPr>
          </w:p>
        </w:tc>
        <w:tc>
          <w:tcPr>
            <w:tcW w:w="1965" w:type="dxa"/>
          </w:tcPr>
          <w:p w14:paraId="70F4D313" w14:textId="77777777" w:rsidR="007F4EDE" w:rsidRPr="00F6485E" w:rsidRDefault="007F4EDE" w:rsidP="007F4EDE">
            <w:pPr>
              <w:ind w:left="0"/>
              <w:rPr>
                <w:sz w:val="18"/>
                <w:szCs w:val="18"/>
              </w:rPr>
            </w:pPr>
            <w:r w:rsidRPr="00F6485E">
              <w:rPr>
                <w:sz w:val="18"/>
                <w:szCs w:val="18"/>
              </w:rPr>
              <w:t xml:space="preserve">Wheat flour, g </w:t>
            </w:r>
          </w:p>
        </w:tc>
        <w:tc>
          <w:tcPr>
            <w:tcW w:w="1051" w:type="dxa"/>
          </w:tcPr>
          <w:p w14:paraId="7B527829" w14:textId="77777777" w:rsidR="007F4EDE" w:rsidRPr="00F6485E" w:rsidRDefault="007F4EDE" w:rsidP="007F4EDE">
            <w:pPr>
              <w:ind w:left="0"/>
              <w:jc w:val="center"/>
              <w:rPr>
                <w:sz w:val="18"/>
                <w:szCs w:val="18"/>
              </w:rPr>
            </w:pPr>
            <w:r w:rsidRPr="00F6485E">
              <w:rPr>
                <w:sz w:val="18"/>
                <w:szCs w:val="18"/>
              </w:rPr>
              <w:t>36.2</w:t>
            </w:r>
          </w:p>
        </w:tc>
        <w:tc>
          <w:tcPr>
            <w:tcW w:w="1169" w:type="dxa"/>
          </w:tcPr>
          <w:p w14:paraId="25D8AB44" w14:textId="77777777" w:rsidR="007F4EDE" w:rsidRPr="00F6485E" w:rsidRDefault="007F4EDE" w:rsidP="007F4EDE">
            <w:pPr>
              <w:ind w:left="0"/>
              <w:jc w:val="center"/>
              <w:rPr>
                <w:sz w:val="18"/>
                <w:szCs w:val="18"/>
              </w:rPr>
            </w:pPr>
            <w:r w:rsidRPr="00F6485E">
              <w:rPr>
                <w:sz w:val="18"/>
                <w:szCs w:val="18"/>
              </w:rPr>
              <w:t>16.0</w:t>
            </w:r>
          </w:p>
        </w:tc>
        <w:tc>
          <w:tcPr>
            <w:tcW w:w="1564" w:type="dxa"/>
            <w:tcBorders>
              <w:right w:val="single" w:sz="4" w:space="0" w:color="auto"/>
            </w:tcBorders>
          </w:tcPr>
          <w:p w14:paraId="042F189D" w14:textId="77777777" w:rsidR="007F4EDE" w:rsidRPr="00F6485E" w:rsidRDefault="007F4EDE" w:rsidP="007F4EDE">
            <w:pPr>
              <w:ind w:left="0"/>
              <w:jc w:val="center"/>
              <w:rPr>
                <w:sz w:val="18"/>
                <w:szCs w:val="18"/>
              </w:rPr>
            </w:pPr>
            <w:r w:rsidRPr="00F6485E">
              <w:rPr>
                <w:sz w:val="18"/>
                <w:szCs w:val="18"/>
              </w:rPr>
              <w:t>-126</w:t>
            </w:r>
          </w:p>
        </w:tc>
      </w:tr>
      <w:tr w:rsidR="007F4EDE" w14:paraId="47EA02AA" w14:textId="77777777" w:rsidTr="007F7EA3">
        <w:trPr>
          <w:trHeight w:val="224"/>
        </w:trPr>
        <w:tc>
          <w:tcPr>
            <w:tcW w:w="2065" w:type="dxa"/>
            <w:vMerge/>
            <w:tcBorders>
              <w:left w:val="single" w:sz="4" w:space="0" w:color="auto"/>
            </w:tcBorders>
          </w:tcPr>
          <w:p w14:paraId="4C134EB8" w14:textId="77777777" w:rsidR="007F4EDE" w:rsidRPr="006E189F" w:rsidRDefault="007F4EDE" w:rsidP="007F4EDE">
            <w:pPr>
              <w:rPr>
                <w:sz w:val="18"/>
                <w:szCs w:val="18"/>
              </w:rPr>
            </w:pPr>
          </w:p>
        </w:tc>
        <w:tc>
          <w:tcPr>
            <w:tcW w:w="1440" w:type="dxa"/>
            <w:vMerge/>
          </w:tcPr>
          <w:p w14:paraId="1BBFD57E" w14:textId="77777777" w:rsidR="007F4EDE" w:rsidRPr="00E90B70" w:rsidRDefault="007F4EDE" w:rsidP="007F4EDE">
            <w:pPr>
              <w:rPr>
                <w:sz w:val="18"/>
                <w:szCs w:val="18"/>
              </w:rPr>
            </w:pPr>
          </w:p>
        </w:tc>
        <w:tc>
          <w:tcPr>
            <w:tcW w:w="2108" w:type="dxa"/>
            <w:vMerge/>
            <w:tcBorders>
              <w:right w:val="single" w:sz="4" w:space="0" w:color="auto"/>
            </w:tcBorders>
          </w:tcPr>
          <w:p w14:paraId="296E04C9" w14:textId="77777777" w:rsidR="007F4EDE" w:rsidRPr="00E90B70" w:rsidRDefault="007F4EDE" w:rsidP="007F4EDE">
            <w:pPr>
              <w:rPr>
                <w:sz w:val="18"/>
                <w:szCs w:val="18"/>
              </w:rPr>
            </w:pPr>
          </w:p>
        </w:tc>
        <w:tc>
          <w:tcPr>
            <w:tcW w:w="1701" w:type="dxa"/>
            <w:vMerge/>
            <w:tcBorders>
              <w:left w:val="single" w:sz="4" w:space="0" w:color="auto"/>
            </w:tcBorders>
          </w:tcPr>
          <w:p w14:paraId="7CBA6DD4" w14:textId="77777777" w:rsidR="007F4EDE" w:rsidRDefault="007F4EDE" w:rsidP="007F4EDE">
            <w:pPr>
              <w:rPr>
                <w:sz w:val="18"/>
                <w:szCs w:val="18"/>
              </w:rPr>
            </w:pPr>
          </w:p>
        </w:tc>
        <w:tc>
          <w:tcPr>
            <w:tcW w:w="1965" w:type="dxa"/>
            <w:shd w:val="clear" w:color="auto" w:fill="D9D9D9" w:themeFill="background1" w:themeFillShade="D9"/>
          </w:tcPr>
          <w:p w14:paraId="171463EA" w14:textId="77777777" w:rsidR="007F4EDE" w:rsidRPr="00F6485E" w:rsidRDefault="007F4EDE" w:rsidP="007F4EDE">
            <w:pPr>
              <w:ind w:left="0"/>
              <w:rPr>
                <w:sz w:val="18"/>
                <w:szCs w:val="18"/>
              </w:rPr>
            </w:pPr>
            <w:r w:rsidRPr="00F6485E">
              <w:rPr>
                <w:sz w:val="18"/>
                <w:szCs w:val="18"/>
              </w:rPr>
              <w:t xml:space="preserve">Sugar, g </w:t>
            </w:r>
          </w:p>
        </w:tc>
        <w:tc>
          <w:tcPr>
            <w:tcW w:w="1051" w:type="dxa"/>
            <w:shd w:val="clear" w:color="auto" w:fill="D9D9D9" w:themeFill="background1" w:themeFillShade="D9"/>
          </w:tcPr>
          <w:p w14:paraId="0449D244" w14:textId="77777777" w:rsidR="007F4EDE" w:rsidRPr="00F6485E" w:rsidRDefault="007F4EDE" w:rsidP="007F4EDE">
            <w:pPr>
              <w:ind w:left="0"/>
              <w:jc w:val="center"/>
              <w:rPr>
                <w:sz w:val="18"/>
                <w:szCs w:val="18"/>
              </w:rPr>
            </w:pPr>
            <w:r w:rsidRPr="00F6485E">
              <w:rPr>
                <w:sz w:val="18"/>
                <w:szCs w:val="18"/>
              </w:rPr>
              <w:t>38.2</w:t>
            </w:r>
          </w:p>
        </w:tc>
        <w:tc>
          <w:tcPr>
            <w:tcW w:w="1169" w:type="dxa"/>
            <w:shd w:val="clear" w:color="auto" w:fill="D9D9D9" w:themeFill="background1" w:themeFillShade="D9"/>
          </w:tcPr>
          <w:p w14:paraId="1F142E68" w14:textId="77777777" w:rsidR="007F4EDE" w:rsidRPr="00F6485E" w:rsidRDefault="007F4EDE" w:rsidP="007F4EDE">
            <w:pPr>
              <w:ind w:left="0"/>
              <w:jc w:val="center"/>
              <w:rPr>
                <w:sz w:val="18"/>
                <w:szCs w:val="18"/>
              </w:rPr>
            </w:pPr>
            <w:r w:rsidRPr="00F6485E">
              <w:rPr>
                <w:sz w:val="18"/>
                <w:szCs w:val="18"/>
              </w:rPr>
              <w:t>24.9</w:t>
            </w:r>
          </w:p>
        </w:tc>
        <w:tc>
          <w:tcPr>
            <w:tcW w:w="1564" w:type="dxa"/>
            <w:tcBorders>
              <w:right w:val="single" w:sz="4" w:space="0" w:color="auto"/>
            </w:tcBorders>
            <w:shd w:val="clear" w:color="auto" w:fill="D9D9D9" w:themeFill="background1" w:themeFillShade="D9"/>
          </w:tcPr>
          <w:p w14:paraId="64450BFE" w14:textId="77777777" w:rsidR="007F4EDE" w:rsidRPr="00F6485E" w:rsidRDefault="007F4EDE" w:rsidP="007F4EDE">
            <w:pPr>
              <w:ind w:left="0"/>
              <w:jc w:val="center"/>
              <w:rPr>
                <w:sz w:val="18"/>
                <w:szCs w:val="18"/>
              </w:rPr>
            </w:pPr>
            <w:r w:rsidRPr="00F6485E">
              <w:rPr>
                <w:sz w:val="18"/>
                <w:szCs w:val="18"/>
              </w:rPr>
              <w:t>-53</w:t>
            </w:r>
          </w:p>
        </w:tc>
      </w:tr>
      <w:tr w:rsidR="007F4EDE" w14:paraId="36B11E22" w14:textId="77777777" w:rsidTr="007F7EA3">
        <w:trPr>
          <w:trHeight w:val="224"/>
        </w:trPr>
        <w:tc>
          <w:tcPr>
            <w:tcW w:w="2065" w:type="dxa"/>
            <w:vMerge/>
            <w:tcBorders>
              <w:left w:val="single" w:sz="4" w:space="0" w:color="auto"/>
            </w:tcBorders>
          </w:tcPr>
          <w:p w14:paraId="7775031B" w14:textId="77777777" w:rsidR="007F4EDE" w:rsidRPr="006E189F" w:rsidRDefault="007F4EDE" w:rsidP="007F4EDE">
            <w:pPr>
              <w:rPr>
                <w:sz w:val="18"/>
                <w:szCs w:val="18"/>
              </w:rPr>
            </w:pPr>
          </w:p>
        </w:tc>
        <w:tc>
          <w:tcPr>
            <w:tcW w:w="1440" w:type="dxa"/>
            <w:vMerge/>
          </w:tcPr>
          <w:p w14:paraId="5F050A5C" w14:textId="77777777" w:rsidR="007F4EDE" w:rsidRPr="00E90B70" w:rsidRDefault="007F4EDE" w:rsidP="007F4EDE">
            <w:pPr>
              <w:rPr>
                <w:sz w:val="18"/>
                <w:szCs w:val="18"/>
              </w:rPr>
            </w:pPr>
          </w:p>
        </w:tc>
        <w:tc>
          <w:tcPr>
            <w:tcW w:w="2108" w:type="dxa"/>
            <w:vMerge/>
            <w:tcBorders>
              <w:right w:val="single" w:sz="4" w:space="0" w:color="auto"/>
            </w:tcBorders>
          </w:tcPr>
          <w:p w14:paraId="5F6B4675" w14:textId="77777777" w:rsidR="007F4EDE" w:rsidRPr="00E90B70" w:rsidRDefault="007F4EDE" w:rsidP="007F4EDE">
            <w:pPr>
              <w:rPr>
                <w:sz w:val="18"/>
                <w:szCs w:val="18"/>
              </w:rPr>
            </w:pPr>
          </w:p>
        </w:tc>
        <w:tc>
          <w:tcPr>
            <w:tcW w:w="1701" w:type="dxa"/>
            <w:vMerge/>
            <w:tcBorders>
              <w:left w:val="single" w:sz="4" w:space="0" w:color="auto"/>
            </w:tcBorders>
          </w:tcPr>
          <w:p w14:paraId="317AEAF2" w14:textId="77777777" w:rsidR="007F4EDE" w:rsidRDefault="007F4EDE" w:rsidP="007F4EDE">
            <w:pPr>
              <w:rPr>
                <w:sz w:val="18"/>
                <w:szCs w:val="18"/>
              </w:rPr>
            </w:pPr>
          </w:p>
        </w:tc>
        <w:tc>
          <w:tcPr>
            <w:tcW w:w="1965" w:type="dxa"/>
          </w:tcPr>
          <w:p w14:paraId="539403BB" w14:textId="77777777" w:rsidR="007F4EDE" w:rsidRPr="00F6485E" w:rsidRDefault="007F4EDE" w:rsidP="007F4EDE">
            <w:pPr>
              <w:ind w:left="0"/>
              <w:rPr>
                <w:sz w:val="18"/>
                <w:szCs w:val="18"/>
              </w:rPr>
            </w:pPr>
            <w:r w:rsidRPr="00F6485E">
              <w:rPr>
                <w:sz w:val="18"/>
                <w:szCs w:val="18"/>
              </w:rPr>
              <w:t>Maize flour, g</w:t>
            </w:r>
          </w:p>
        </w:tc>
        <w:tc>
          <w:tcPr>
            <w:tcW w:w="1051" w:type="dxa"/>
          </w:tcPr>
          <w:p w14:paraId="705FF126" w14:textId="77777777" w:rsidR="007F4EDE" w:rsidRPr="00F6485E" w:rsidRDefault="007F4EDE" w:rsidP="007F4EDE">
            <w:pPr>
              <w:ind w:left="0"/>
              <w:jc w:val="center"/>
              <w:rPr>
                <w:sz w:val="18"/>
                <w:szCs w:val="18"/>
              </w:rPr>
            </w:pPr>
            <w:r w:rsidRPr="00F6485E">
              <w:rPr>
                <w:sz w:val="18"/>
                <w:szCs w:val="18"/>
              </w:rPr>
              <w:t>49.1</w:t>
            </w:r>
          </w:p>
        </w:tc>
        <w:tc>
          <w:tcPr>
            <w:tcW w:w="1169" w:type="dxa"/>
          </w:tcPr>
          <w:p w14:paraId="2BB3454D" w14:textId="77777777" w:rsidR="007F4EDE" w:rsidRPr="00F6485E" w:rsidRDefault="007F4EDE" w:rsidP="007F4EDE">
            <w:pPr>
              <w:ind w:left="0"/>
              <w:jc w:val="center"/>
              <w:rPr>
                <w:sz w:val="18"/>
                <w:szCs w:val="18"/>
              </w:rPr>
            </w:pPr>
            <w:r w:rsidRPr="00F6485E">
              <w:rPr>
                <w:sz w:val="18"/>
                <w:szCs w:val="18"/>
              </w:rPr>
              <w:t>24.3</w:t>
            </w:r>
          </w:p>
        </w:tc>
        <w:tc>
          <w:tcPr>
            <w:tcW w:w="1564" w:type="dxa"/>
            <w:tcBorders>
              <w:right w:val="single" w:sz="4" w:space="0" w:color="auto"/>
            </w:tcBorders>
          </w:tcPr>
          <w:p w14:paraId="1776769D" w14:textId="77777777" w:rsidR="007F4EDE" w:rsidRPr="00F6485E" w:rsidRDefault="007F4EDE" w:rsidP="007F4EDE">
            <w:pPr>
              <w:ind w:left="0"/>
              <w:jc w:val="center"/>
              <w:rPr>
                <w:sz w:val="18"/>
                <w:szCs w:val="18"/>
              </w:rPr>
            </w:pPr>
            <w:r w:rsidRPr="00F6485E">
              <w:rPr>
                <w:sz w:val="18"/>
                <w:szCs w:val="18"/>
              </w:rPr>
              <w:t>-102</w:t>
            </w:r>
          </w:p>
        </w:tc>
      </w:tr>
      <w:tr w:rsidR="007F4EDE" w14:paraId="256AFC4C" w14:textId="77777777" w:rsidTr="007F7EA3">
        <w:trPr>
          <w:trHeight w:val="224"/>
        </w:trPr>
        <w:tc>
          <w:tcPr>
            <w:tcW w:w="2065" w:type="dxa"/>
            <w:vMerge/>
            <w:tcBorders>
              <w:left w:val="single" w:sz="4" w:space="0" w:color="auto"/>
              <w:bottom w:val="single" w:sz="4" w:space="0" w:color="auto"/>
            </w:tcBorders>
          </w:tcPr>
          <w:p w14:paraId="43DDC190" w14:textId="77777777" w:rsidR="007F4EDE" w:rsidRPr="006E189F" w:rsidRDefault="007F4EDE" w:rsidP="007F4EDE">
            <w:pPr>
              <w:rPr>
                <w:sz w:val="18"/>
                <w:szCs w:val="18"/>
              </w:rPr>
            </w:pPr>
          </w:p>
        </w:tc>
        <w:tc>
          <w:tcPr>
            <w:tcW w:w="1440" w:type="dxa"/>
            <w:vMerge/>
            <w:tcBorders>
              <w:bottom w:val="single" w:sz="4" w:space="0" w:color="auto"/>
            </w:tcBorders>
          </w:tcPr>
          <w:p w14:paraId="2D578888" w14:textId="77777777" w:rsidR="007F4EDE" w:rsidRPr="00E90B70" w:rsidRDefault="007F4EDE" w:rsidP="007F4EDE">
            <w:pPr>
              <w:rPr>
                <w:sz w:val="18"/>
                <w:szCs w:val="18"/>
              </w:rPr>
            </w:pPr>
          </w:p>
        </w:tc>
        <w:tc>
          <w:tcPr>
            <w:tcW w:w="2108" w:type="dxa"/>
            <w:vMerge/>
            <w:tcBorders>
              <w:bottom w:val="single" w:sz="4" w:space="0" w:color="auto"/>
              <w:right w:val="single" w:sz="4" w:space="0" w:color="auto"/>
            </w:tcBorders>
          </w:tcPr>
          <w:p w14:paraId="121D8D5F" w14:textId="77777777" w:rsidR="007F4EDE" w:rsidRPr="00E90B70" w:rsidRDefault="007F4EDE" w:rsidP="007F4EDE">
            <w:pPr>
              <w:rPr>
                <w:sz w:val="18"/>
                <w:szCs w:val="18"/>
              </w:rPr>
            </w:pPr>
          </w:p>
        </w:tc>
        <w:tc>
          <w:tcPr>
            <w:tcW w:w="1701" w:type="dxa"/>
            <w:vMerge/>
            <w:tcBorders>
              <w:left w:val="single" w:sz="4" w:space="0" w:color="auto"/>
              <w:bottom w:val="single" w:sz="4" w:space="0" w:color="auto"/>
            </w:tcBorders>
          </w:tcPr>
          <w:p w14:paraId="12C51F53" w14:textId="77777777" w:rsidR="007F4EDE" w:rsidRDefault="007F4EDE" w:rsidP="007F4EDE">
            <w:pPr>
              <w:rPr>
                <w:sz w:val="18"/>
                <w:szCs w:val="18"/>
              </w:rPr>
            </w:pPr>
          </w:p>
        </w:tc>
        <w:tc>
          <w:tcPr>
            <w:tcW w:w="1965" w:type="dxa"/>
            <w:tcBorders>
              <w:bottom w:val="single" w:sz="4" w:space="0" w:color="auto"/>
            </w:tcBorders>
            <w:shd w:val="clear" w:color="auto" w:fill="D9D9D9" w:themeFill="background1" w:themeFillShade="D9"/>
          </w:tcPr>
          <w:p w14:paraId="2F4F7444" w14:textId="77777777" w:rsidR="007F4EDE" w:rsidRPr="00F6485E" w:rsidRDefault="007F4EDE" w:rsidP="007F4EDE">
            <w:pPr>
              <w:ind w:left="0"/>
              <w:rPr>
                <w:sz w:val="18"/>
                <w:szCs w:val="18"/>
              </w:rPr>
            </w:pPr>
            <w:r w:rsidRPr="00F6485E">
              <w:rPr>
                <w:sz w:val="18"/>
                <w:szCs w:val="18"/>
              </w:rPr>
              <w:t>Rice, g</w:t>
            </w:r>
          </w:p>
        </w:tc>
        <w:tc>
          <w:tcPr>
            <w:tcW w:w="1051" w:type="dxa"/>
            <w:tcBorders>
              <w:bottom w:val="single" w:sz="4" w:space="0" w:color="auto"/>
            </w:tcBorders>
            <w:shd w:val="clear" w:color="auto" w:fill="D9D9D9" w:themeFill="background1" w:themeFillShade="D9"/>
          </w:tcPr>
          <w:p w14:paraId="162C28A0" w14:textId="77777777" w:rsidR="007F4EDE" w:rsidRPr="00F6485E" w:rsidRDefault="007F4EDE" w:rsidP="007F4EDE">
            <w:pPr>
              <w:ind w:left="0"/>
              <w:jc w:val="center"/>
              <w:rPr>
                <w:sz w:val="18"/>
                <w:szCs w:val="18"/>
              </w:rPr>
            </w:pPr>
            <w:r w:rsidRPr="00F6485E">
              <w:rPr>
                <w:sz w:val="18"/>
                <w:szCs w:val="18"/>
              </w:rPr>
              <w:t>43.8</w:t>
            </w:r>
          </w:p>
        </w:tc>
        <w:tc>
          <w:tcPr>
            <w:tcW w:w="1169" w:type="dxa"/>
            <w:tcBorders>
              <w:bottom w:val="single" w:sz="4" w:space="0" w:color="auto"/>
            </w:tcBorders>
            <w:shd w:val="clear" w:color="auto" w:fill="D9D9D9" w:themeFill="background1" w:themeFillShade="D9"/>
          </w:tcPr>
          <w:p w14:paraId="371F4663" w14:textId="77777777" w:rsidR="007F4EDE" w:rsidRPr="00F6485E" w:rsidRDefault="007F4EDE" w:rsidP="007F4EDE">
            <w:pPr>
              <w:ind w:left="0"/>
              <w:jc w:val="center"/>
              <w:rPr>
                <w:sz w:val="18"/>
                <w:szCs w:val="18"/>
              </w:rPr>
            </w:pPr>
            <w:r w:rsidRPr="00F6485E">
              <w:rPr>
                <w:sz w:val="18"/>
                <w:szCs w:val="18"/>
              </w:rPr>
              <w:t>20.5</w:t>
            </w:r>
          </w:p>
        </w:tc>
        <w:tc>
          <w:tcPr>
            <w:tcW w:w="1564" w:type="dxa"/>
            <w:tcBorders>
              <w:bottom w:val="single" w:sz="4" w:space="0" w:color="auto"/>
              <w:right w:val="single" w:sz="4" w:space="0" w:color="auto"/>
            </w:tcBorders>
            <w:shd w:val="clear" w:color="auto" w:fill="D9D9D9" w:themeFill="background1" w:themeFillShade="D9"/>
          </w:tcPr>
          <w:p w14:paraId="45DC09A6" w14:textId="77777777" w:rsidR="007F4EDE" w:rsidRPr="00F6485E" w:rsidRDefault="007F4EDE" w:rsidP="007F4EDE">
            <w:pPr>
              <w:ind w:left="0"/>
              <w:jc w:val="center"/>
              <w:rPr>
                <w:sz w:val="18"/>
                <w:szCs w:val="18"/>
              </w:rPr>
            </w:pPr>
            <w:r w:rsidRPr="00F6485E">
              <w:rPr>
                <w:sz w:val="18"/>
                <w:szCs w:val="18"/>
              </w:rPr>
              <w:t>-114</w:t>
            </w:r>
          </w:p>
        </w:tc>
      </w:tr>
      <w:tr w:rsidR="007F4EDE" w14:paraId="234242E4" w14:textId="77777777" w:rsidTr="007F7EA3">
        <w:trPr>
          <w:trHeight w:val="224"/>
        </w:trPr>
        <w:tc>
          <w:tcPr>
            <w:tcW w:w="2065" w:type="dxa"/>
            <w:vMerge w:val="restart"/>
            <w:tcBorders>
              <w:top w:val="single" w:sz="4" w:space="0" w:color="auto"/>
              <w:left w:val="single" w:sz="4" w:space="0" w:color="auto"/>
            </w:tcBorders>
            <w:shd w:val="clear" w:color="auto" w:fill="D9D9D9" w:themeFill="background1" w:themeFillShade="D9"/>
          </w:tcPr>
          <w:p w14:paraId="145DC508" w14:textId="32C1EF68" w:rsidR="007F4EDE" w:rsidRPr="001000F1" w:rsidRDefault="007F4EDE" w:rsidP="007F4EDE">
            <w:pPr>
              <w:ind w:left="0"/>
              <w:rPr>
                <w:sz w:val="18"/>
                <w:szCs w:val="18"/>
              </w:rPr>
            </w:pPr>
            <w:proofErr w:type="spellStart"/>
            <w:r w:rsidRPr="001000F1">
              <w:rPr>
                <w:sz w:val="18"/>
                <w:szCs w:val="18"/>
              </w:rPr>
              <w:t>Dary</w:t>
            </w:r>
            <w:proofErr w:type="spellEnd"/>
            <w:r w:rsidRPr="001000F1">
              <w:rPr>
                <w:sz w:val="18"/>
                <w:szCs w:val="18"/>
              </w:rPr>
              <w:t xml:space="preserve"> &amp; </w:t>
            </w:r>
            <w:proofErr w:type="spellStart"/>
            <w:r w:rsidRPr="001000F1">
              <w:rPr>
                <w:sz w:val="18"/>
                <w:szCs w:val="18"/>
              </w:rPr>
              <w:t>Jariseta</w:t>
            </w:r>
            <w:proofErr w:type="spellEnd"/>
            <w:r w:rsidRPr="001000F1">
              <w:rPr>
                <w:sz w:val="18"/>
                <w:szCs w:val="18"/>
              </w:rPr>
              <w:t xml:space="preserve"> (2012) </w:t>
            </w:r>
            <w:r w:rsidRPr="001000F1">
              <w:rPr>
                <w:sz w:val="18"/>
                <w:szCs w:val="18"/>
              </w:rPr>
              <w:fldChar w:fldCharType="begin" w:fldLock="1"/>
            </w:r>
            <w:r w:rsidR="005B0D26">
              <w:rPr>
                <w:sz w:val="18"/>
                <w:szCs w:val="18"/>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sidRPr="001000F1">
              <w:rPr>
                <w:sz w:val="18"/>
                <w:szCs w:val="18"/>
              </w:rPr>
              <w:fldChar w:fldCharType="separate"/>
            </w:r>
            <w:r w:rsidR="005B0D26" w:rsidRPr="005B0D26">
              <w:rPr>
                <w:noProof/>
                <w:sz w:val="18"/>
                <w:szCs w:val="18"/>
                <w:vertAlign w:val="superscript"/>
              </w:rPr>
              <w:t>(11)</w:t>
            </w:r>
            <w:r w:rsidRPr="001000F1">
              <w:rPr>
                <w:sz w:val="18"/>
                <w:szCs w:val="18"/>
              </w:rPr>
              <w:fldChar w:fldCharType="end"/>
            </w:r>
            <w:r w:rsidRPr="001000F1">
              <w:rPr>
                <w:sz w:val="18"/>
                <w:szCs w:val="18"/>
              </w:rPr>
              <w:t>;</w:t>
            </w:r>
          </w:p>
          <w:p w14:paraId="6C5C7A14" w14:textId="77777777" w:rsidR="007F4EDE" w:rsidRDefault="007F4EDE" w:rsidP="007F4EDE">
            <w:pPr>
              <w:ind w:left="0"/>
              <w:rPr>
                <w:sz w:val="18"/>
                <w:szCs w:val="18"/>
              </w:rPr>
            </w:pPr>
            <w:r w:rsidRPr="00E90B70">
              <w:rPr>
                <w:sz w:val="18"/>
                <w:szCs w:val="18"/>
              </w:rPr>
              <w:t xml:space="preserve">Southwestern Region, </w:t>
            </w:r>
            <w:proofErr w:type="gramStart"/>
            <w:r w:rsidRPr="00E90B70">
              <w:rPr>
                <w:sz w:val="18"/>
                <w:szCs w:val="18"/>
              </w:rPr>
              <w:t>Uganda</w:t>
            </w:r>
            <w:r>
              <w:rPr>
                <w:sz w:val="18"/>
                <w:szCs w:val="18"/>
              </w:rPr>
              <w:t>;</w:t>
            </w:r>
            <w:proofErr w:type="gramEnd"/>
          </w:p>
          <w:p w14:paraId="32C4379E" w14:textId="77777777" w:rsidR="007F4EDE" w:rsidRPr="006E189F" w:rsidRDefault="007F4EDE" w:rsidP="007F4EDE">
            <w:pPr>
              <w:ind w:left="0"/>
              <w:rPr>
                <w:sz w:val="18"/>
                <w:szCs w:val="18"/>
              </w:rPr>
            </w:pPr>
            <w:r>
              <w:rPr>
                <w:sz w:val="18"/>
                <w:szCs w:val="18"/>
              </w:rPr>
              <w:t>medians</w:t>
            </w:r>
          </w:p>
        </w:tc>
        <w:tc>
          <w:tcPr>
            <w:tcW w:w="1440" w:type="dxa"/>
            <w:vMerge w:val="restart"/>
            <w:tcBorders>
              <w:top w:val="single" w:sz="4" w:space="0" w:color="auto"/>
            </w:tcBorders>
            <w:shd w:val="clear" w:color="auto" w:fill="D9D9D9" w:themeFill="background1" w:themeFillShade="D9"/>
          </w:tcPr>
          <w:p w14:paraId="2C968709" w14:textId="77777777" w:rsidR="007F4EDE" w:rsidRPr="00E90B70" w:rsidRDefault="007F4EDE" w:rsidP="007F4EDE">
            <w:pPr>
              <w:ind w:left="0"/>
              <w:rPr>
                <w:sz w:val="18"/>
                <w:szCs w:val="18"/>
              </w:rPr>
            </w:pPr>
            <w:r w:rsidRPr="00E90B70">
              <w:rPr>
                <w:sz w:val="18"/>
                <w:szCs w:val="18"/>
              </w:rPr>
              <w:t>24H individual recall</w:t>
            </w:r>
          </w:p>
        </w:tc>
        <w:tc>
          <w:tcPr>
            <w:tcW w:w="2108" w:type="dxa"/>
            <w:vMerge w:val="restart"/>
            <w:tcBorders>
              <w:top w:val="single" w:sz="4" w:space="0" w:color="auto"/>
              <w:right w:val="single" w:sz="4" w:space="0" w:color="auto"/>
            </w:tcBorders>
            <w:shd w:val="clear" w:color="auto" w:fill="D9D9D9" w:themeFill="background1" w:themeFillShade="D9"/>
          </w:tcPr>
          <w:p w14:paraId="4265536D" w14:textId="77777777" w:rsidR="00E663ED" w:rsidRDefault="00E663ED" w:rsidP="00E663ED">
            <w:pPr>
              <w:ind w:left="0"/>
              <w:rPr>
                <w:sz w:val="18"/>
                <w:szCs w:val="18"/>
              </w:rPr>
            </w:pPr>
            <w:r>
              <w:rPr>
                <w:sz w:val="18"/>
                <w:szCs w:val="18"/>
              </w:rPr>
              <w:t>7-day recall of household meals</w:t>
            </w:r>
          </w:p>
          <w:p w14:paraId="644550C5" w14:textId="77777777" w:rsidR="007F4EDE" w:rsidRPr="00E90B70" w:rsidRDefault="007F4EDE" w:rsidP="007F4EDE">
            <w:pPr>
              <w:ind w:left="0"/>
              <w:rPr>
                <w:sz w:val="18"/>
                <w:szCs w:val="18"/>
              </w:rPr>
            </w:pPr>
            <w:r w:rsidRPr="00E90B70">
              <w:rPr>
                <w:sz w:val="18"/>
                <w:szCs w:val="18"/>
              </w:rPr>
              <w:t>(n=</w:t>
            </w:r>
            <w:r>
              <w:rPr>
                <w:sz w:val="18"/>
                <w:szCs w:val="18"/>
              </w:rPr>
              <w:t>322)</w:t>
            </w:r>
          </w:p>
        </w:tc>
        <w:tc>
          <w:tcPr>
            <w:tcW w:w="1701" w:type="dxa"/>
            <w:vMerge w:val="restart"/>
            <w:tcBorders>
              <w:top w:val="single" w:sz="4" w:space="0" w:color="auto"/>
              <w:left w:val="single" w:sz="4" w:space="0" w:color="auto"/>
            </w:tcBorders>
            <w:shd w:val="clear" w:color="auto" w:fill="D9D9D9" w:themeFill="background1" w:themeFillShade="D9"/>
          </w:tcPr>
          <w:p w14:paraId="52387BC5" w14:textId="77777777" w:rsidR="007F4EDE" w:rsidRDefault="007F4EDE" w:rsidP="007F4EDE">
            <w:pPr>
              <w:ind w:left="0"/>
              <w:rPr>
                <w:sz w:val="18"/>
                <w:szCs w:val="18"/>
              </w:rPr>
            </w:pPr>
            <w:r>
              <w:rPr>
                <w:sz w:val="18"/>
                <w:szCs w:val="18"/>
              </w:rPr>
              <w:t>Children (2-5 years)</w:t>
            </w:r>
          </w:p>
          <w:p w14:paraId="5BF1051D" w14:textId="77777777" w:rsidR="007F4EDE" w:rsidRDefault="007F4EDE" w:rsidP="007F4EDE">
            <w:pPr>
              <w:rPr>
                <w:sz w:val="18"/>
                <w:szCs w:val="18"/>
              </w:rPr>
            </w:pPr>
          </w:p>
        </w:tc>
        <w:tc>
          <w:tcPr>
            <w:tcW w:w="1965" w:type="dxa"/>
            <w:tcBorders>
              <w:top w:val="single" w:sz="4" w:space="0" w:color="auto"/>
            </w:tcBorders>
          </w:tcPr>
          <w:p w14:paraId="485E0D7D" w14:textId="77777777" w:rsidR="007F4EDE" w:rsidRPr="00F6485E" w:rsidRDefault="007F4EDE" w:rsidP="007F4EDE">
            <w:pPr>
              <w:ind w:left="0"/>
              <w:rPr>
                <w:sz w:val="18"/>
                <w:szCs w:val="18"/>
              </w:rPr>
            </w:pPr>
            <w:r w:rsidRPr="00F6485E">
              <w:rPr>
                <w:sz w:val="18"/>
                <w:szCs w:val="18"/>
              </w:rPr>
              <w:t xml:space="preserve">Vegetable oil, g </w:t>
            </w:r>
          </w:p>
        </w:tc>
        <w:tc>
          <w:tcPr>
            <w:tcW w:w="1051" w:type="dxa"/>
            <w:tcBorders>
              <w:top w:val="single" w:sz="4" w:space="0" w:color="auto"/>
            </w:tcBorders>
          </w:tcPr>
          <w:p w14:paraId="5B385A16" w14:textId="77777777" w:rsidR="007F4EDE" w:rsidRPr="00F6485E" w:rsidRDefault="007F4EDE" w:rsidP="007F4EDE">
            <w:pPr>
              <w:ind w:left="0"/>
              <w:jc w:val="center"/>
              <w:rPr>
                <w:sz w:val="18"/>
                <w:szCs w:val="18"/>
              </w:rPr>
            </w:pPr>
            <w:r w:rsidRPr="00F6485E">
              <w:rPr>
                <w:sz w:val="18"/>
                <w:szCs w:val="18"/>
              </w:rPr>
              <w:t>5.7</w:t>
            </w:r>
          </w:p>
        </w:tc>
        <w:tc>
          <w:tcPr>
            <w:tcW w:w="1169" w:type="dxa"/>
            <w:tcBorders>
              <w:top w:val="single" w:sz="4" w:space="0" w:color="auto"/>
            </w:tcBorders>
          </w:tcPr>
          <w:p w14:paraId="1BE4EA7E" w14:textId="77777777" w:rsidR="007F4EDE" w:rsidRPr="00F6485E" w:rsidRDefault="007F4EDE" w:rsidP="007F4EDE">
            <w:pPr>
              <w:ind w:left="0"/>
              <w:jc w:val="center"/>
              <w:rPr>
                <w:sz w:val="18"/>
                <w:szCs w:val="18"/>
              </w:rPr>
            </w:pPr>
            <w:r w:rsidRPr="00F6485E">
              <w:rPr>
                <w:sz w:val="18"/>
                <w:szCs w:val="18"/>
              </w:rPr>
              <w:t>5.0</w:t>
            </w:r>
          </w:p>
        </w:tc>
        <w:tc>
          <w:tcPr>
            <w:tcW w:w="1564" w:type="dxa"/>
            <w:tcBorders>
              <w:top w:val="single" w:sz="4" w:space="0" w:color="auto"/>
              <w:right w:val="single" w:sz="4" w:space="0" w:color="auto"/>
            </w:tcBorders>
          </w:tcPr>
          <w:p w14:paraId="380497D9" w14:textId="77777777" w:rsidR="007F4EDE" w:rsidRPr="00F6485E" w:rsidRDefault="007F4EDE" w:rsidP="007F4EDE">
            <w:pPr>
              <w:ind w:left="0"/>
              <w:jc w:val="center"/>
              <w:rPr>
                <w:sz w:val="18"/>
                <w:szCs w:val="18"/>
              </w:rPr>
            </w:pPr>
            <w:r w:rsidRPr="00F6485E">
              <w:rPr>
                <w:sz w:val="18"/>
                <w:szCs w:val="18"/>
              </w:rPr>
              <w:t>-14</w:t>
            </w:r>
          </w:p>
        </w:tc>
      </w:tr>
      <w:tr w:rsidR="007F4EDE" w14:paraId="06F38AE1" w14:textId="77777777" w:rsidTr="007F7EA3">
        <w:trPr>
          <w:trHeight w:val="224"/>
        </w:trPr>
        <w:tc>
          <w:tcPr>
            <w:tcW w:w="2065" w:type="dxa"/>
            <w:vMerge/>
            <w:tcBorders>
              <w:left w:val="single" w:sz="4" w:space="0" w:color="auto"/>
            </w:tcBorders>
            <w:shd w:val="clear" w:color="auto" w:fill="D9D9D9" w:themeFill="background1" w:themeFillShade="D9"/>
          </w:tcPr>
          <w:p w14:paraId="400CDD40" w14:textId="77777777" w:rsidR="007F4EDE" w:rsidRPr="006E189F" w:rsidRDefault="007F4EDE" w:rsidP="007F4EDE">
            <w:pPr>
              <w:rPr>
                <w:sz w:val="18"/>
                <w:szCs w:val="18"/>
              </w:rPr>
            </w:pPr>
          </w:p>
        </w:tc>
        <w:tc>
          <w:tcPr>
            <w:tcW w:w="1440" w:type="dxa"/>
            <w:vMerge/>
            <w:shd w:val="clear" w:color="auto" w:fill="D9D9D9" w:themeFill="background1" w:themeFillShade="D9"/>
          </w:tcPr>
          <w:p w14:paraId="4890B179" w14:textId="77777777" w:rsidR="007F4EDE" w:rsidRPr="00E90B70" w:rsidRDefault="007F4EDE" w:rsidP="007F4EDE">
            <w:pPr>
              <w:rPr>
                <w:sz w:val="18"/>
                <w:szCs w:val="18"/>
              </w:rPr>
            </w:pPr>
          </w:p>
        </w:tc>
        <w:tc>
          <w:tcPr>
            <w:tcW w:w="2108" w:type="dxa"/>
            <w:vMerge/>
            <w:tcBorders>
              <w:right w:val="single" w:sz="4" w:space="0" w:color="auto"/>
            </w:tcBorders>
            <w:shd w:val="clear" w:color="auto" w:fill="D9D9D9" w:themeFill="background1" w:themeFillShade="D9"/>
          </w:tcPr>
          <w:p w14:paraId="71F544E6" w14:textId="77777777" w:rsidR="007F4EDE" w:rsidRPr="00E90B70" w:rsidRDefault="007F4EDE" w:rsidP="007F4EDE">
            <w:pPr>
              <w:rPr>
                <w:sz w:val="18"/>
                <w:szCs w:val="18"/>
              </w:rPr>
            </w:pPr>
          </w:p>
        </w:tc>
        <w:tc>
          <w:tcPr>
            <w:tcW w:w="1701" w:type="dxa"/>
            <w:vMerge/>
            <w:tcBorders>
              <w:left w:val="single" w:sz="4" w:space="0" w:color="auto"/>
            </w:tcBorders>
            <w:shd w:val="clear" w:color="auto" w:fill="D9D9D9" w:themeFill="background1" w:themeFillShade="D9"/>
          </w:tcPr>
          <w:p w14:paraId="69611281" w14:textId="77777777" w:rsidR="007F4EDE" w:rsidRDefault="007F4EDE" w:rsidP="007F4EDE">
            <w:pPr>
              <w:rPr>
                <w:sz w:val="18"/>
                <w:szCs w:val="18"/>
              </w:rPr>
            </w:pPr>
          </w:p>
        </w:tc>
        <w:tc>
          <w:tcPr>
            <w:tcW w:w="1965" w:type="dxa"/>
            <w:shd w:val="clear" w:color="auto" w:fill="D9D9D9" w:themeFill="background1" w:themeFillShade="D9"/>
          </w:tcPr>
          <w:p w14:paraId="4C0FCEE1" w14:textId="77777777" w:rsidR="007F4EDE" w:rsidRPr="00F6485E" w:rsidRDefault="007F4EDE" w:rsidP="007F4EDE">
            <w:pPr>
              <w:ind w:left="0"/>
              <w:rPr>
                <w:sz w:val="18"/>
                <w:szCs w:val="18"/>
              </w:rPr>
            </w:pPr>
            <w:r w:rsidRPr="00F6485E">
              <w:rPr>
                <w:sz w:val="18"/>
                <w:szCs w:val="18"/>
              </w:rPr>
              <w:t xml:space="preserve">Wheat flour, g </w:t>
            </w:r>
          </w:p>
        </w:tc>
        <w:tc>
          <w:tcPr>
            <w:tcW w:w="1051" w:type="dxa"/>
            <w:shd w:val="clear" w:color="auto" w:fill="D9D9D9" w:themeFill="background1" w:themeFillShade="D9"/>
          </w:tcPr>
          <w:p w14:paraId="15807CC9" w14:textId="77777777" w:rsidR="007F4EDE" w:rsidRPr="00F6485E" w:rsidRDefault="007F4EDE" w:rsidP="007F4EDE">
            <w:pPr>
              <w:ind w:left="0"/>
              <w:jc w:val="center"/>
              <w:rPr>
                <w:sz w:val="18"/>
                <w:szCs w:val="18"/>
              </w:rPr>
            </w:pPr>
            <w:r w:rsidRPr="00F6485E">
              <w:rPr>
                <w:sz w:val="18"/>
                <w:szCs w:val="18"/>
              </w:rPr>
              <w:t>32.4</w:t>
            </w:r>
          </w:p>
        </w:tc>
        <w:tc>
          <w:tcPr>
            <w:tcW w:w="1169" w:type="dxa"/>
            <w:shd w:val="clear" w:color="auto" w:fill="D9D9D9" w:themeFill="background1" w:themeFillShade="D9"/>
          </w:tcPr>
          <w:p w14:paraId="7D3FE5D6" w14:textId="77777777" w:rsidR="007F4EDE" w:rsidRPr="00F6485E" w:rsidRDefault="007F4EDE" w:rsidP="007F4EDE">
            <w:pPr>
              <w:ind w:left="0"/>
              <w:jc w:val="center"/>
              <w:rPr>
                <w:sz w:val="18"/>
                <w:szCs w:val="18"/>
              </w:rPr>
            </w:pPr>
            <w:r w:rsidRPr="00F6485E">
              <w:rPr>
                <w:sz w:val="18"/>
                <w:szCs w:val="18"/>
              </w:rPr>
              <w:t>7.5</w:t>
            </w:r>
          </w:p>
        </w:tc>
        <w:tc>
          <w:tcPr>
            <w:tcW w:w="1564" w:type="dxa"/>
            <w:tcBorders>
              <w:right w:val="single" w:sz="4" w:space="0" w:color="auto"/>
            </w:tcBorders>
            <w:shd w:val="clear" w:color="auto" w:fill="D9D9D9" w:themeFill="background1" w:themeFillShade="D9"/>
          </w:tcPr>
          <w:p w14:paraId="17613323" w14:textId="77777777" w:rsidR="007F4EDE" w:rsidRPr="00F6485E" w:rsidRDefault="007F4EDE" w:rsidP="007F4EDE">
            <w:pPr>
              <w:ind w:left="0"/>
              <w:jc w:val="center"/>
              <w:rPr>
                <w:sz w:val="18"/>
                <w:szCs w:val="18"/>
              </w:rPr>
            </w:pPr>
            <w:r w:rsidRPr="00F6485E">
              <w:rPr>
                <w:sz w:val="18"/>
                <w:szCs w:val="18"/>
              </w:rPr>
              <w:t>-332</w:t>
            </w:r>
          </w:p>
        </w:tc>
      </w:tr>
      <w:tr w:rsidR="007F4EDE" w14:paraId="347119CD" w14:textId="77777777" w:rsidTr="007F7EA3">
        <w:trPr>
          <w:trHeight w:val="224"/>
        </w:trPr>
        <w:tc>
          <w:tcPr>
            <w:tcW w:w="2065" w:type="dxa"/>
            <w:vMerge/>
            <w:tcBorders>
              <w:left w:val="single" w:sz="4" w:space="0" w:color="auto"/>
            </w:tcBorders>
            <w:shd w:val="clear" w:color="auto" w:fill="D9D9D9" w:themeFill="background1" w:themeFillShade="D9"/>
          </w:tcPr>
          <w:p w14:paraId="48237FF4" w14:textId="77777777" w:rsidR="007F4EDE" w:rsidRPr="006E189F" w:rsidRDefault="007F4EDE" w:rsidP="007F4EDE">
            <w:pPr>
              <w:rPr>
                <w:sz w:val="18"/>
                <w:szCs w:val="18"/>
              </w:rPr>
            </w:pPr>
          </w:p>
        </w:tc>
        <w:tc>
          <w:tcPr>
            <w:tcW w:w="1440" w:type="dxa"/>
            <w:vMerge/>
            <w:shd w:val="clear" w:color="auto" w:fill="D9D9D9" w:themeFill="background1" w:themeFillShade="D9"/>
          </w:tcPr>
          <w:p w14:paraId="14F07F8C" w14:textId="77777777" w:rsidR="007F4EDE" w:rsidRPr="00E90B70" w:rsidRDefault="007F4EDE" w:rsidP="007F4EDE">
            <w:pPr>
              <w:rPr>
                <w:sz w:val="18"/>
                <w:szCs w:val="18"/>
              </w:rPr>
            </w:pPr>
          </w:p>
        </w:tc>
        <w:tc>
          <w:tcPr>
            <w:tcW w:w="2108" w:type="dxa"/>
            <w:vMerge/>
            <w:tcBorders>
              <w:right w:val="single" w:sz="4" w:space="0" w:color="auto"/>
            </w:tcBorders>
            <w:shd w:val="clear" w:color="auto" w:fill="D9D9D9" w:themeFill="background1" w:themeFillShade="D9"/>
          </w:tcPr>
          <w:p w14:paraId="6959D168" w14:textId="77777777" w:rsidR="007F4EDE" w:rsidRPr="00E90B70" w:rsidRDefault="007F4EDE" w:rsidP="007F4EDE">
            <w:pPr>
              <w:rPr>
                <w:sz w:val="18"/>
                <w:szCs w:val="18"/>
              </w:rPr>
            </w:pPr>
          </w:p>
        </w:tc>
        <w:tc>
          <w:tcPr>
            <w:tcW w:w="1701" w:type="dxa"/>
            <w:vMerge/>
            <w:tcBorders>
              <w:left w:val="single" w:sz="4" w:space="0" w:color="auto"/>
            </w:tcBorders>
            <w:shd w:val="clear" w:color="auto" w:fill="D9D9D9" w:themeFill="background1" w:themeFillShade="D9"/>
          </w:tcPr>
          <w:p w14:paraId="35C381C9" w14:textId="77777777" w:rsidR="007F4EDE" w:rsidRDefault="007F4EDE" w:rsidP="007F4EDE">
            <w:pPr>
              <w:rPr>
                <w:sz w:val="18"/>
                <w:szCs w:val="18"/>
              </w:rPr>
            </w:pPr>
          </w:p>
        </w:tc>
        <w:tc>
          <w:tcPr>
            <w:tcW w:w="1965" w:type="dxa"/>
          </w:tcPr>
          <w:p w14:paraId="2856D14A" w14:textId="77777777" w:rsidR="007F4EDE" w:rsidRPr="00F6485E" w:rsidRDefault="007F4EDE" w:rsidP="007F4EDE">
            <w:pPr>
              <w:ind w:left="0"/>
              <w:rPr>
                <w:sz w:val="18"/>
                <w:szCs w:val="18"/>
              </w:rPr>
            </w:pPr>
            <w:r w:rsidRPr="00F6485E">
              <w:rPr>
                <w:sz w:val="18"/>
                <w:szCs w:val="18"/>
              </w:rPr>
              <w:t xml:space="preserve">Sugar, g </w:t>
            </w:r>
          </w:p>
        </w:tc>
        <w:tc>
          <w:tcPr>
            <w:tcW w:w="1051" w:type="dxa"/>
          </w:tcPr>
          <w:p w14:paraId="25A7D27C" w14:textId="77777777" w:rsidR="007F4EDE" w:rsidRPr="00F6485E" w:rsidRDefault="007F4EDE" w:rsidP="007F4EDE">
            <w:pPr>
              <w:ind w:left="0"/>
              <w:jc w:val="center"/>
              <w:rPr>
                <w:sz w:val="18"/>
                <w:szCs w:val="18"/>
              </w:rPr>
            </w:pPr>
            <w:r w:rsidRPr="00F6485E">
              <w:rPr>
                <w:sz w:val="18"/>
                <w:szCs w:val="18"/>
              </w:rPr>
              <w:t>23.5</w:t>
            </w:r>
          </w:p>
        </w:tc>
        <w:tc>
          <w:tcPr>
            <w:tcW w:w="1169" w:type="dxa"/>
          </w:tcPr>
          <w:p w14:paraId="3242A747" w14:textId="77777777" w:rsidR="007F4EDE" w:rsidRPr="00F6485E" w:rsidRDefault="007F4EDE" w:rsidP="007F4EDE">
            <w:pPr>
              <w:ind w:left="0"/>
              <w:jc w:val="center"/>
              <w:rPr>
                <w:sz w:val="18"/>
                <w:szCs w:val="18"/>
              </w:rPr>
            </w:pPr>
            <w:r w:rsidRPr="00F6485E">
              <w:rPr>
                <w:sz w:val="18"/>
                <w:szCs w:val="18"/>
              </w:rPr>
              <w:t>11.6</w:t>
            </w:r>
          </w:p>
        </w:tc>
        <w:tc>
          <w:tcPr>
            <w:tcW w:w="1564" w:type="dxa"/>
            <w:tcBorders>
              <w:right w:val="single" w:sz="4" w:space="0" w:color="auto"/>
            </w:tcBorders>
          </w:tcPr>
          <w:p w14:paraId="42182C87" w14:textId="77777777" w:rsidR="007F4EDE" w:rsidRPr="00F6485E" w:rsidRDefault="007F4EDE" w:rsidP="007F4EDE">
            <w:pPr>
              <w:ind w:left="0"/>
              <w:jc w:val="center"/>
              <w:rPr>
                <w:sz w:val="18"/>
                <w:szCs w:val="18"/>
              </w:rPr>
            </w:pPr>
            <w:r w:rsidRPr="00F6485E">
              <w:rPr>
                <w:sz w:val="18"/>
                <w:szCs w:val="18"/>
              </w:rPr>
              <w:t>-103</w:t>
            </w:r>
          </w:p>
        </w:tc>
      </w:tr>
      <w:tr w:rsidR="007F4EDE" w14:paraId="4BBBCF9A" w14:textId="77777777" w:rsidTr="007F7EA3">
        <w:trPr>
          <w:trHeight w:val="224"/>
        </w:trPr>
        <w:tc>
          <w:tcPr>
            <w:tcW w:w="2065" w:type="dxa"/>
            <w:vMerge/>
            <w:tcBorders>
              <w:left w:val="single" w:sz="4" w:space="0" w:color="auto"/>
            </w:tcBorders>
            <w:shd w:val="clear" w:color="auto" w:fill="D9D9D9" w:themeFill="background1" w:themeFillShade="D9"/>
          </w:tcPr>
          <w:p w14:paraId="71F79062" w14:textId="77777777" w:rsidR="007F4EDE" w:rsidRPr="006E189F" w:rsidRDefault="007F4EDE" w:rsidP="007F4EDE">
            <w:pPr>
              <w:rPr>
                <w:sz w:val="18"/>
                <w:szCs w:val="18"/>
              </w:rPr>
            </w:pPr>
          </w:p>
        </w:tc>
        <w:tc>
          <w:tcPr>
            <w:tcW w:w="1440" w:type="dxa"/>
            <w:vMerge/>
            <w:shd w:val="clear" w:color="auto" w:fill="D9D9D9" w:themeFill="background1" w:themeFillShade="D9"/>
          </w:tcPr>
          <w:p w14:paraId="416AE14F" w14:textId="77777777" w:rsidR="007F4EDE" w:rsidRPr="00E90B70" w:rsidRDefault="007F4EDE" w:rsidP="007F4EDE">
            <w:pPr>
              <w:rPr>
                <w:sz w:val="18"/>
                <w:szCs w:val="18"/>
              </w:rPr>
            </w:pPr>
          </w:p>
        </w:tc>
        <w:tc>
          <w:tcPr>
            <w:tcW w:w="2108" w:type="dxa"/>
            <w:vMerge/>
            <w:tcBorders>
              <w:right w:val="single" w:sz="4" w:space="0" w:color="auto"/>
            </w:tcBorders>
            <w:shd w:val="clear" w:color="auto" w:fill="D9D9D9" w:themeFill="background1" w:themeFillShade="D9"/>
          </w:tcPr>
          <w:p w14:paraId="3C526825" w14:textId="77777777" w:rsidR="007F4EDE" w:rsidRPr="00E90B70" w:rsidRDefault="007F4EDE" w:rsidP="007F4EDE">
            <w:pPr>
              <w:rPr>
                <w:sz w:val="18"/>
                <w:szCs w:val="18"/>
              </w:rPr>
            </w:pPr>
          </w:p>
        </w:tc>
        <w:tc>
          <w:tcPr>
            <w:tcW w:w="1701" w:type="dxa"/>
            <w:vMerge/>
            <w:tcBorders>
              <w:left w:val="single" w:sz="4" w:space="0" w:color="auto"/>
            </w:tcBorders>
            <w:shd w:val="clear" w:color="auto" w:fill="D9D9D9" w:themeFill="background1" w:themeFillShade="D9"/>
          </w:tcPr>
          <w:p w14:paraId="4072221E" w14:textId="77777777" w:rsidR="007F4EDE" w:rsidRDefault="007F4EDE" w:rsidP="007F4EDE">
            <w:pPr>
              <w:rPr>
                <w:sz w:val="18"/>
                <w:szCs w:val="18"/>
              </w:rPr>
            </w:pPr>
          </w:p>
        </w:tc>
        <w:tc>
          <w:tcPr>
            <w:tcW w:w="1965" w:type="dxa"/>
            <w:shd w:val="clear" w:color="auto" w:fill="D9D9D9" w:themeFill="background1" w:themeFillShade="D9"/>
          </w:tcPr>
          <w:p w14:paraId="7593A818" w14:textId="77777777" w:rsidR="007F4EDE" w:rsidRPr="00F6485E" w:rsidRDefault="007F4EDE" w:rsidP="007F4EDE">
            <w:pPr>
              <w:ind w:left="0"/>
              <w:rPr>
                <w:sz w:val="18"/>
                <w:szCs w:val="18"/>
              </w:rPr>
            </w:pPr>
            <w:r w:rsidRPr="00F6485E">
              <w:rPr>
                <w:sz w:val="18"/>
                <w:szCs w:val="18"/>
              </w:rPr>
              <w:t>Maize flour, g</w:t>
            </w:r>
          </w:p>
        </w:tc>
        <w:tc>
          <w:tcPr>
            <w:tcW w:w="1051" w:type="dxa"/>
            <w:shd w:val="clear" w:color="auto" w:fill="D9D9D9" w:themeFill="background1" w:themeFillShade="D9"/>
          </w:tcPr>
          <w:p w14:paraId="3CA4A0B2" w14:textId="77777777" w:rsidR="007F4EDE" w:rsidRPr="00F6485E" w:rsidRDefault="007F4EDE" w:rsidP="007F4EDE">
            <w:pPr>
              <w:ind w:left="0"/>
              <w:jc w:val="center"/>
              <w:rPr>
                <w:sz w:val="18"/>
                <w:szCs w:val="18"/>
              </w:rPr>
            </w:pPr>
            <w:r w:rsidRPr="00F6485E">
              <w:rPr>
                <w:sz w:val="18"/>
                <w:szCs w:val="18"/>
              </w:rPr>
              <w:t>41.8</w:t>
            </w:r>
          </w:p>
        </w:tc>
        <w:tc>
          <w:tcPr>
            <w:tcW w:w="1169" w:type="dxa"/>
            <w:shd w:val="clear" w:color="auto" w:fill="D9D9D9" w:themeFill="background1" w:themeFillShade="D9"/>
          </w:tcPr>
          <w:p w14:paraId="12B5AFCC" w14:textId="77777777" w:rsidR="007F4EDE" w:rsidRPr="00F6485E" w:rsidRDefault="007F4EDE" w:rsidP="007F4EDE">
            <w:pPr>
              <w:ind w:left="0"/>
              <w:jc w:val="center"/>
              <w:rPr>
                <w:sz w:val="18"/>
                <w:szCs w:val="18"/>
              </w:rPr>
            </w:pPr>
            <w:r w:rsidRPr="00F6485E">
              <w:rPr>
                <w:sz w:val="18"/>
                <w:szCs w:val="18"/>
              </w:rPr>
              <w:t>27.0</w:t>
            </w:r>
          </w:p>
        </w:tc>
        <w:tc>
          <w:tcPr>
            <w:tcW w:w="1564" w:type="dxa"/>
            <w:tcBorders>
              <w:right w:val="single" w:sz="4" w:space="0" w:color="auto"/>
            </w:tcBorders>
            <w:shd w:val="clear" w:color="auto" w:fill="D9D9D9" w:themeFill="background1" w:themeFillShade="D9"/>
          </w:tcPr>
          <w:p w14:paraId="5F25E47F" w14:textId="77777777" w:rsidR="007F4EDE" w:rsidRPr="00F6485E" w:rsidRDefault="007F4EDE" w:rsidP="007F4EDE">
            <w:pPr>
              <w:ind w:left="0"/>
              <w:jc w:val="center"/>
              <w:rPr>
                <w:sz w:val="18"/>
                <w:szCs w:val="18"/>
              </w:rPr>
            </w:pPr>
            <w:r w:rsidRPr="00F6485E">
              <w:rPr>
                <w:sz w:val="18"/>
                <w:szCs w:val="18"/>
              </w:rPr>
              <w:t>-55</w:t>
            </w:r>
          </w:p>
        </w:tc>
      </w:tr>
      <w:tr w:rsidR="007F4EDE" w14:paraId="353986ED" w14:textId="77777777" w:rsidTr="007F7EA3">
        <w:trPr>
          <w:trHeight w:val="79"/>
        </w:trPr>
        <w:tc>
          <w:tcPr>
            <w:tcW w:w="2065" w:type="dxa"/>
            <w:vMerge/>
            <w:tcBorders>
              <w:left w:val="single" w:sz="4" w:space="0" w:color="auto"/>
              <w:bottom w:val="single" w:sz="4" w:space="0" w:color="auto"/>
            </w:tcBorders>
            <w:shd w:val="clear" w:color="auto" w:fill="D9D9D9" w:themeFill="background1" w:themeFillShade="D9"/>
          </w:tcPr>
          <w:p w14:paraId="7F181D42" w14:textId="77777777" w:rsidR="007F4EDE" w:rsidRPr="006E189F" w:rsidRDefault="007F4EDE" w:rsidP="007F4EDE">
            <w:pPr>
              <w:rPr>
                <w:sz w:val="18"/>
                <w:szCs w:val="18"/>
              </w:rPr>
            </w:pPr>
          </w:p>
        </w:tc>
        <w:tc>
          <w:tcPr>
            <w:tcW w:w="1440" w:type="dxa"/>
            <w:vMerge/>
            <w:tcBorders>
              <w:bottom w:val="single" w:sz="4" w:space="0" w:color="auto"/>
            </w:tcBorders>
            <w:shd w:val="clear" w:color="auto" w:fill="D9D9D9" w:themeFill="background1" w:themeFillShade="D9"/>
          </w:tcPr>
          <w:p w14:paraId="5B2776C5" w14:textId="77777777" w:rsidR="007F4EDE" w:rsidRPr="00E90B70" w:rsidRDefault="007F4EDE" w:rsidP="007F4EDE">
            <w:pPr>
              <w:rPr>
                <w:sz w:val="18"/>
                <w:szCs w:val="18"/>
              </w:rPr>
            </w:pPr>
          </w:p>
        </w:tc>
        <w:tc>
          <w:tcPr>
            <w:tcW w:w="2108" w:type="dxa"/>
            <w:vMerge/>
            <w:tcBorders>
              <w:bottom w:val="single" w:sz="4" w:space="0" w:color="auto"/>
              <w:right w:val="single" w:sz="4" w:space="0" w:color="auto"/>
            </w:tcBorders>
            <w:shd w:val="clear" w:color="auto" w:fill="D9D9D9" w:themeFill="background1" w:themeFillShade="D9"/>
          </w:tcPr>
          <w:p w14:paraId="14043EE8" w14:textId="77777777" w:rsidR="007F4EDE" w:rsidRPr="00E90B70" w:rsidRDefault="007F4EDE" w:rsidP="007F4EDE">
            <w:pPr>
              <w:rPr>
                <w:sz w:val="18"/>
                <w:szCs w:val="18"/>
              </w:rPr>
            </w:pPr>
          </w:p>
        </w:tc>
        <w:tc>
          <w:tcPr>
            <w:tcW w:w="1701" w:type="dxa"/>
            <w:vMerge/>
            <w:tcBorders>
              <w:left w:val="single" w:sz="4" w:space="0" w:color="auto"/>
              <w:bottom w:val="single" w:sz="4" w:space="0" w:color="auto"/>
            </w:tcBorders>
            <w:shd w:val="clear" w:color="auto" w:fill="D9D9D9" w:themeFill="background1" w:themeFillShade="D9"/>
          </w:tcPr>
          <w:p w14:paraId="01EE0DDF" w14:textId="77777777" w:rsidR="007F4EDE" w:rsidRDefault="007F4EDE" w:rsidP="007F4EDE">
            <w:pPr>
              <w:rPr>
                <w:sz w:val="18"/>
                <w:szCs w:val="18"/>
              </w:rPr>
            </w:pPr>
          </w:p>
        </w:tc>
        <w:tc>
          <w:tcPr>
            <w:tcW w:w="1965" w:type="dxa"/>
            <w:tcBorders>
              <w:bottom w:val="single" w:sz="4" w:space="0" w:color="auto"/>
            </w:tcBorders>
          </w:tcPr>
          <w:p w14:paraId="2496D158" w14:textId="77777777" w:rsidR="007F4EDE" w:rsidRPr="00F6485E" w:rsidRDefault="007F4EDE" w:rsidP="007F4EDE">
            <w:pPr>
              <w:ind w:left="0"/>
              <w:rPr>
                <w:sz w:val="18"/>
                <w:szCs w:val="18"/>
              </w:rPr>
            </w:pPr>
            <w:r w:rsidRPr="00F6485E">
              <w:rPr>
                <w:sz w:val="18"/>
                <w:szCs w:val="18"/>
              </w:rPr>
              <w:t>Rice, g</w:t>
            </w:r>
          </w:p>
        </w:tc>
        <w:tc>
          <w:tcPr>
            <w:tcW w:w="1051" w:type="dxa"/>
            <w:tcBorders>
              <w:bottom w:val="single" w:sz="4" w:space="0" w:color="auto"/>
            </w:tcBorders>
          </w:tcPr>
          <w:p w14:paraId="48E9F2B0" w14:textId="77777777" w:rsidR="007F4EDE" w:rsidRPr="00F6485E" w:rsidRDefault="007F4EDE" w:rsidP="007F4EDE">
            <w:pPr>
              <w:ind w:left="0"/>
              <w:jc w:val="center"/>
              <w:rPr>
                <w:sz w:val="18"/>
                <w:szCs w:val="18"/>
              </w:rPr>
            </w:pPr>
            <w:r w:rsidRPr="00F6485E">
              <w:rPr>
                <w:sz w:val="18"/>
                <w:szCs w:val="18"/>
              </w:rPr>
              <w:t>33.1</w:t>
            </w:r>
          </w:p>
        </w:tc>
        <w:tc>
          <w:tcPr>
            <w:tcW w:w="1169" w:type="dxa"/>
            <w:tcBorders>
              <w:bottom w:val="single" w:sz="4" w:space="0" w:color="auto"/>
            </w:tcBorders>
          </w:tcPr>
          <w:p w14:paraId="521032FC" w14:textId="77777777" w:rsidR="007F4EDE" w:rsidRPr="00F6485E" w:rsidRDefault="007F4EDE" w:rsidP="007F4EDE">
            <w:pPr>
              <w:ind w:left="0"/>
              <w:jc w:val="center"/>
              <w:rPr>
                <w:sz w:val="18"/>
                <w:szCs w:val="18"/>
              </w:rPr>
            </w:pPr>
            <w:r w:rsidRPr="00F6485E">
              <w:rPr>
                <w:sz w:val="18"/>
                <w:szCs w:val="18"/>
              </w:rPr>
              <w:t>18.1</w:t>
            </w:r>
          </w:p>
        </w:tc>
        <w:tc>
          <w:tcPr>
            <w:tcW w:w="1564" w:type="dxa"/>
            <w:tcBorders>
              <w:bottom w:val="single" w:sz="4" w:space="0" w:color="auto"/>
              <w:right w:val="single" w:sz="4" w:space="0" w:color="auto"/>
            </w:tcBorders>
          </w:tcPr>
          <w:p w14:paraId="5280E0B6" w14:textId="77777777" w:rsidR="007F4EDE" w:rsidRPr="00F6485E" w:rsidRDefault="007F4EDE" w:rsidP="007F4EDE">
            <w:pPr>
              <w:ind w:left="0"/>
              <w:jc w:val="center"/>
              <w:rPr>
                <w:sz w:val="18"/>
                <w:szCs w:val="18"/>
              </w:rPr>
            </w:pPr>
            <w:r w:rsidRPr="00F6485E">
              <w:rPr>
                <w:sz w:val="18"/>
                <w:szCs w:val="18"/>
              </w:rPr>
              <w:t>-83</w:t>
            </w:r>
          </w:p>
        </w:tc>
      </w:tr>
      <w:tr w:rsidR="007F4EDE" w14:paraId="04D1A4FE" w14:textId="77777777" w:rsidTr="007F7EA3">
        <w:trPr>
          <w:trHeight w:val="224"/>
        </w:trPr>
        <w:tc>
          <w:tcPr>
            <w:tcW w:w="2065" w:type="dxa"/>
            <w:vMerge w:val="restart"/>
            <w:tcBorders>
              <w:top w:val="single" w:sz="4" w:space="0" w:color="auto"/>
              <w:left w:val="single" w:sz="4" w:space="0" w:color="auto"/>
            </w:tcBorders>
          </w:tcPr>
          <w:p w14:paraId="7AF9FFA5" w14:textId="036EBBF2" w:rsidR="007F4EDE" w:rsidRPr="001000F1" w:rsidRDefault="007F4EDE" w:rsidP="007F4EDE">
            <w:pPr>
              <w:ind w:left="0"/>
              <w:rPr>
                <w:sz w:val="18"/>
                <w:szCs w:val="18"/>
              </w:rPr>
            </w:pPr>
            <w:proofErr w:type="spellStart"/>
            <w:r w:rsidRPr="001000F1">
              <w:rPr>
                <w:sz w:val="18"/>
                <w:szCs w:val="18"/>
              </w:rPr>
              <w:t>Dary</w:t>
            </w:r>
            <w:proofErr w:type="spellEnd"/>
            <w:r w:rsidRPr="001000F1">
              <w:rPr>
                <w:sz w:val="18"/>
                <w:szCs w:val="18"/>
              </w:rPr>
              <w:t xml:space="preserve"> &amp; </w:t>
            </w:r>
            <w:proofErr w:type="spellStart"/>
            <w:r w:rsidRPr="001000F1">
              <w:rPr>
                <w:sz w:val="18"/>
                <w:szCs w:val="18"/>
              </w:rPr>
              <w:t>Jariseta</w:t>
            </w:r>
            <w:proofErr w:type="spellEnd"/>
            <w:r w:rsidRPr="001000F1">
              <w:rPr>
                <w:sz w:val="18"/>
                <w:szCs w:val="18"/>
              </w:rPr>
              <w:t xml:space="preserve"> (2012) </w:t>
            </w:r>
            <w:r w:rsidRPr="001000F1">
              <w:rPr>
                <w:sz w:val="18"/>
                <w:szCs w:val="18"/>
              </w:rPr>
              <w:fldChar w:fldCharType="begin" w:fldLock="1"/>
            </w:r>
            <w:r w:rsidR="005B0D26">
              <w:rPr>
                <w:sz w:val="18"/>
                <w:szCs w:val="18"/>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sidRPr="001000F1">
              <w:rPr>
                <w:sz w:val="18"/>
                <w:szCs w:val="18"/>
              </w:rPr>
              <w:fldChar w:fldCharType="separate"/>
            </w:r>
            <w:r w:rsidR="005B0D26" w:rsidRPr="005B0D26">
              <w:rPr>
                <w:noProof/>
                <w:sz w:val="18"/>
                <w:szCs w:val="18"/>
                <w:vertAlign w:val="superscript"/>
              </w:rPr>
              <w:t>(11)</w:t>
            </w:r>
            <w:r w:rsidRPr="001000F1">
              <w:rPr>
                <w:sz w:val="18"/>
                <w:szCs w:val="18"/>
              </w:rPr>
              <w:fldChar w:fldCharType="end"/>
            </w:r>
            <w:r w:rsidRPr="001000F1">
              <w:rPr>
                <w:sz w:val="18"/>
                <w:szCs w:val="18"/>
              </w:rPr>
              <w:t>;</w:t>
            </w:r>
          </w:p>
          <w:p w14:paraId="63D15D11" w14:textId="77777777" w:rsidR="007F4EDE" w:rsidRDefault="007F4EDE" w:rsidP="007F4EDE">
            <w:pPr>
              <w:ind w:left="0"/>
              <w:rPr>
                <w:sz w:val="18"/>
                <w:szCs w:val="18"/>
              </w:rPr>
            </w:pPr>
            <w:r w:rsidRPr="00E90B70">
              <w:rPr>
                <w:sz w:val="18"/>
                <w:szCs w:val="18"/>
              </w:rPr>
              <w:t xml:space="preserve">Northern Region, </w:t>
            </w:r>
            <w:proofErr w:type="gramStart"/>
            <w:r w:rsidRPr="00E90B70">
              <w:rPr>
                <w:sz w:val="18"/>
                <w:szCs w:val="18"/>
              </w:rPr>
              <w:t>Uganda</w:t>
            </w:r>
            <w:r>
              <w:rPr>
                <w:sz w:val="18"/>
                <w:szCs w:val="18"/>
              </w:rPr>
              <w:t>;</w:t>
            </w:r>
            <w:proofErr w:type="gramEnd"/>
          </w:p>
          <w:p w14:paraId="71EC4664" w14:textId="77777777" w:rsidR="007F4EDE" w:rsidRPr="006E189F" w:rsidRDefault="007F4EDE" w:rsidP="007F4EDE">
            <w:pPr>
              <w:ind w:left="0"/>
              <w:rPr>
                <w:sz w:val="18"/>
                <w:szCs w:val="18"/>
              </w:rPr>
            </w:pPr>
            <w:r>
              <w:rPr>
                <w:sz w:val="18"/>
                <w:szCs w:val="18"/>
              </w:rPr>
              <w:t>medians</w:t>
            </w:r>
          </w:p>
        </w:tc>
        <w:tc>
          <w:tcPr>
            <w:tcW w:w="1440" w:type="dxa"/>
            <w:vMerge w:val="restart"/>
            <w:tcBorders>
              <w:top w:val="single" w:sz="4" w:space="0" w:color="auto"/>
            </w:tcBorders>
          </w:tcPr>
          <w:p w14:paraId="105555C7" w14:textId="77777777" w:rsidR="007F4EDE" w:rsidRPr="00E90B70" w:rsidRDefault="007F4EDE" w:rsidP="007F4EDE">
            <w:pPr>
              <w:ind w:left="0"/>
              <w:rPr>
                <w:sz w:val="18"/>
                <w:szCs w:val="18"/>
              </w:rPr>
            </w:pPr>
            <w:r w:rsidRPr="00E90B70">
              <w:rPr>
                <w:sz w:val="18"/>
                <w:szCs w:val="18"/>
              </w:rPr>
              <w:t>24H individual recall</w:t>
            </w:r>
          </w:p>
        </w:tc>
        <w:tc>
          <w:tcPr>
            <w:tcW w:w="2108" w:type="dxa"/>
            <w:vMerge w:val="restart"/>
            <w:tcBorders>
              <w:top w:val="single" w:sz="4" w:space="0" w:color="auto"/>
              <w:right w:val="single" w:sz="4" w:space="0" w:color="auto"/>
            </w:tcBorders>
          </w:tcPr>
          <w:p w14:paraId="443E4760" w14:textId="77777777" w:rsidR="00E663ED" w:rsidRDefault="00E663ED" w:rsidP="00E663ED">
            <w:pPr>
              <w:ind w:left="0"/>
              <w:rPr>
                <w:sz w:val="18"/>
                <w:szCs w:val="18"/>
              </w:rPr>
            </w:pPr>
            <w:r>
              <w:rPr>
                <w:sz w:val="18"/>
                <w:szCs w:val="18"/>
              </w:rPr>
              <w:t>7-day recall of household meals</w:t>
            </w:r>
          </w:p>
          <w:p w14:paraId="09D8C5B0" w14:textId="77777777" w:rsidR="007F4EDE" w:rsidRPr="00E90B70" w:rsidRDefault="007F4EDE" w:rsidP="007F4EDE">
            <w:pPr>
              <w:ind w:left="0"/>
              <w:rPr>
                <w:sz w:val="18"/>
                <w:szCs w:val="18"/>
              </w:rPr>
            </w:pPr>
            <w:r w:rsidRPr="00E90B70">
              <w:rPr>
                <w:sz w:val="18"/>
                <w:szCs w:val="18"/>
              </w:rPr>
              <w:t>(n=</w:t>
            </w:r>
            <w:r>
              <w:rPr>
                <w:sz w:val="18"/>
                <w:szCs w:val="18"/>
              </w:rPr>
              <w:t>321)</w:t>
            </w:r>
          </w:p>
        </w:tc>
        <w:tc>
          <w:tcPr>
            <w:tcW w:w="1701" w:type="dxa"/>
            <w:vMerge w:val="restart"/>
            <w:tcBorders>
              <w:top w:val="single" w:sz="4" w:space="0" w:color="auto"/>
              <w:left w:val="single" w:sz="4" w:space="0" w:color="auto"/>
            </w:tcBorders>
          </w:tcPr>
          <w:p w14:paraId="5C249BDF" w14:textId="77777777" w:rsidR="007F4EDE" w:rsidRDefault="007F4EDE" w:rsidP="007F4EDE">
            <w:pPr>
              <w:ind w:left="0"/>
              <w:rPr>
                <w:sz w:val="18"/>
                <w:szCs w:val="18"/>
              </w:rPr>
            </w:pPr>
            <w:r>
              <w:rPr>
                <w:sz w:val="18"/>
                <w:szCs w:val="18"/>
              </w:rPr>
              <w:t>Children (2-5 years)</w:t>
            </w:r>
          </w:p>
          <w:p w14:paraId="037C96ED" w14:textId="77777777" w:rsidR="007F4EDE" w:rsidRDefault="007F4EDE" w:rsidP="007F4EDE">
            <w:pPr>
              <w:rPr>
                <w:sz w:val="18"/>
                <w:szCs w:val="18"/>
              </w:rPr>
            </w:pPr>
          </w:p>
        </w:tc>
        <w:tc>
          <w:tcPr>
            <w:tcW w:w="1965" w:type="dxa"/>
            <w:tcBorders>
              <w:top w:val="single" w:sz="4" w:space="0" w:color="auto"/>
            </w:tcBorders>
            <w:shd w:val="clear" w:color="auto" w:fill="D9D9D9" w:themeFill="background1" w:themeFillShade="D9"/>
          </w:tcPr>
          <w:p w14:paraId="5DB6BE90" w14:textId="77777777" w:rsidR="007F4EDE" w:rsidRPr="00F6485E" w:rsidRDefault="007F4EDE" w:rsidP="007F4EDE">
            <w:pPr>
              <w:ind w:left="0"/>
              <w:rPr>
                <w:sz w:val="18"/>
                <w:szCs w:val="18"/>
              </w:rPr>
            </w:pPr>
            <w:r w:rsidRPr="00F6485E">
              <w:rPr>
                <w:sz w:val="18"/>
                <w:szCs w:val="18"/>
              </w:rPr>
              <w:t xml:space="preserve">Vegetable oil, g </w:t>
            </w:r>
          </w:p>
        </w:tc>
        <w:tc>
          <w:tcPr>
            <w:tcW w:w="1051" w:type="dxa"/>
            <w:tcBorders>
              <w:top w:val="single" w:sz="4" w:space="0" w:color="auto"/>
            </w:tcBorders>
            <w:shd w:val="clear" w:color="auto" w:fill="D9D9D9" w:themeFill="background1" w:themeFillShade="D9"/>
          </w:tcPr>
          <w:p w14:paraId="46B98A8E" w14:textId="77777777" w:rsidR="007F4EDE" w:rsidRPr="00F6485E" w:rsidRDefault="007F4EDE" w:rsidP="007F4EDE">
            <w:pPr>
              <w:ind w:left="0"/>
              <w:jc w:val="center"/>
              <w:rPr>
                <w:sz w:val="18"/>
                <w:szCs w:val="18"/>
              </w:rPr>
            </w:pPr>
            <w:r w:rsidRPr="00F6485E">
              <w:rPr>
                <w:sz w:val="18"/>
                <w:szCs w:val="18"/>
              </w:rPr>
              <w:t>9.4</w:t>
            </w:r>
          </w:p>
        </w:tc>
        <w:tc>
          <w:tcPr>
            <w:tcW w:w="1169" w:type="dxa"/>
            <w:tcBorders>
              <w:top w:val="single" w:sz="4" w:space="0" w:color="auto"/>
            </w:tcBorders>
            <w:shd w:val="clear" w:color="auto" w:fill="D9D9D9" w:themeFill="background1" w:themeFillShade="D9"/>
          </w:tcPr>
          <w:p w14:paraId="5705472C" w14:textId="77777777" w:rsidR="007F4EDE" w:rsidRPr="00F6485E" w:rsidRDefault="007F4EDE" w:rsidP="007F4EDE">
            <w:pPr>
              <w:ind w:left="0"/>
              <w:jc w:val="center"/>
              <w:rPr>
                <w:sz w:val="18"/>
                <w:szCs w:val="18"/>
              </w:rPr>
            </w:pPr>
            <w:r w:rsidRPr="00F6485E">
              <w:rPr>
                <w:sz w:val="18"/>
                <w:szCs w:val="18"/>
              </w:rPr>
              <w:t>3.8</w:t>
            </w:r>
          </w:p>
        </w:tc>
        <w:tc>
          <w:tcPr>
            <w:tcW w:w="1564" w:type="dxa"/>
            <w:tcBorders>
              <w:top w:val="single" w:sz="4" w:space="0" w:color="auto"/>
              <w:right w:val="single" w:sz="4" w:space="0" w:color="auto"/>
            </w:tcBorders>
            <w:shd w:val="clear" w:color="auto" w:fill="D9D9D9" w:themeFill="background1" w:themeFillShade="D9"/>
          </w:tcPr>
          <w:p w14:paraId="008837CF" w14:textId="77777777" w:rsidR="007F4EDE" w:rsidRPr="00F6485E" w:rsidRDefault="007F4EDE" w:rsidP="007F4EDE">
            <w:pPr>
              <w:ind w:left="0"/>
              <w:jc w:val="center"/>
              <w:rPr>
                <w:sz w:val="18"/>
                <w:szCs w:val="18"/>
              </w:rPr>
            </w:pPr>
            <w:r w:rsidRPr="00F6485E">
              <w:rPr>
                <w:sz w:val="18"/>
                <w:szCs w:val="18"/>
              </w:rPr>
              <w:t>-147</w:t>
            </w:r>
          </w:p>
        </w:tc>
      </w:tr>
      <w:tr w:rsidR="007F4EDE" w14:paraId="2F2C168A" w14:textId="77777777" w:rsidTr="007F7EA3">
        <w:trPr>
          <w:trHeight w:val="224"/>
        </w:trPr>
        <w:tc>
          <w:tcPr>
            <w:tcW w:w="2065" w:type="dxa"/>
            <w:vMerge/>
            <w:tcBorders>
              <w:left w:val="single" w:sz="4" w:space="0" w:color="auto"/>
            </w:tcBorders>
          </w:tcPr>
          <w:p w14:paraId="79B35EDE" w14:textId="77777777" w:rsidR="007F4EDE" w:rsidRPr="006E189F" w:rsidRDefault="007F4EDE" w:rsidP="007F4EDE">
            <w:pPr>
              <w:rPr>
                <w:sz w:val="18"/>
                <w:szCs w:val="18"/>
              </w:rPr>
            </w:pPr>
          </w:p>
        </w:tc>
        <w:tc>
          <w:tcPr>
            <w:tcW w:w="1440" w:type="dxa"/>
            <w:vMerge/>
          </w:tcPr>
          <w:p w14:paraId="714B51A1" w14:textId="77777777" w:rsidR="007F4EDE" w:rsidRPr="00E90B70" w:rsidRDefault="007F4EDE" w:rsidP="007F4EDE">
            <w:pPr>
              <w:rPr>
                <w:sz w:val="18"/>
                <w:szCs w:val="18"/>
              </w:rPr>
            </w:pPr>
          </w:p>
        </w:tc>
        <w:tc>
          <w:tcPr>
            <w:tcW w:w="2108" w:type="dxa"/>
            <w:vMerge/>
            <w:tcBorders>
              <w:right w:val="single" w:sz="4" w:space="0" w:color="auto"/>
            </w:tcBorders>
          </w:tcPr>
          <w:p w14:paraId="71878C7D" w14:textId="77777777" w:rsidR="007F4EDE" w:rsidRPr="00E90B70" w:rsidRDefault="007F4EDE" w:rsidP="007F4EDE">
            <w:pPr>
              <w:rPr>
                <w:sz w:val="18"/>
                <w:szCs w:val="18"/>
              </w:rPr>
            </w:pPr>
          </w:p>
        </w:tc>
        <w:tc>
          <w:tcPr>
            <w:tcW w:w="1701" w:type="dxa"/>
            <w:vMerge/>
            <w:tcBorders>
              <w:left w:val="single" w:sz="4" w:space="0" w:color="auto"/>
            </w:tcBorders>
          </w:tcPr>
          <w:p w14:paraId="7825931D" w14:textId="77777777" w:rsidR="007F4EDE" w:rsidRDefault="007F4EDE" w:rsidP="007F4EDE">
            <w:pPr>
              <w:rPr>
                <w:sz w:val="18"/>
                <w:szCs w:val="18"/>
              </w:rPr>
            </w:pPr>
          </w:p>
        </w:tc>
        <w:tc>
          <w:tcPr>
            <w:tcW w:w="1965" w:type="dxa"/>
          </w:tcPr>
          <w:p w14:paraId="5489BB8A" w14:textId="77777777" w:rsidR="007F4EDE" w:rsidRPr="00F6485E" w:rsidRDefault="007F4EDE" w:rsidP="007F4EDE">
            <w:pPr>
              <w:ind w:left="0"/>
              <w:rPr>
                <w:sz w:val="18"/>
                <w:szCs w:val="18"/>
              </w:rPr>
            </w:pPr>
            <w:r w:rsidRPr="00F6485E">
              <w:rPr>
                <w:sz w:val="18"/>
                <w:szCs w:val="18"/>
              </w:rPr>
              <w:t xml:space="preserve">Wheat flour, g </w:t>
            </w:r>
          </w:p>
        </w:tc>
        <w:tc>
          <w:tcPr>
            <w:tcW w:w="1051" w:type="dxa"/>
          </w:tcPr>
          <w:p w14:paraId="42EC8EA6" w14:textId="77777777" w:rsidR="007F4EDE" w:rsidRPr="00F6485E" w:rsidRDefault="007F4EDE" w:rsidP="007F4EDE">
            <w:pPr>
              <w:ind w:left="0"/>
              <w:jc w:val="center"/>
              <w:rPr>
                <w:sz w:val="18"/>
                <w:szCs w:val="18"/>
              </w:rPr>
            </w:pPr>
            <w:r w:rsidRPr="00F6485E">
              <w:rPr>
                <w:sz w:val="18"/>
                <w:szCs w:val="18"/>
              </w:rPr>
              <w:t>26.2</w:t>
            </w:r>
          </w:p>
        </w:tc>
        <w:tc>
          <w:tcPr>
            <w:tcW w:w="1169" w:type="dxa"/>
          </w:tcPr>
          <w:p w14:paraId="08295744" w14:textId="77777777" w:rsidR="007F4EDE" w:rsidRPr="00F6485E" w:rsidRDefault="007F4EDE" w:rsidP="007F4EDE">
            <w:pPr>
              <w:ind w:left="0"/>
              <w:jc w:val="center"/>
              <w:rPr>
                <w:sz w:val="18"/>
                <w:szCs w:val="18"/>
              </w:rPr>
            </w:pPr>
            <w:r w:rsidRPr="00F6485E">
              <w:rPr>
                <w:sz w:val="18"/>
                <w:szCs w:val="18"/>
              </w:rPr>
              <w:t>3.3</w:t>
            </w:r>
          </w:p>
        </w:tc>
        <w:tc>
          <w:tcPr>
            <w:tcW w:w="1564" w:type="dxa"/>
            <w:tcBorders>
              <w:right w:val="single" w:sz="4" w:space="0" w:color="auto"/>
            </w:tcBorders>
          </w:tcPr>
          <w:p w14:paraId="350580D4" w14:textId="77777777" w:rsidR="007F4EDE" w:rsidRPr="00F6485E" w:rsidRDefault="007F4EDE" w:rsidP="007F4EDE">
            <w:pPr>
              <w:ind w:left="0"/>
              <w:jc w:val="center"/>
              <w:rPr>
                <w:sz w:val="18"/>
                <w:szCs w:val="18"/>
              </w:rPr>
            </w:pPr>
            <w:r w:rsidRPr="00F6485E">
              <w:rPr>
                <w:sz w:val="18"/>
                <w:szCs w:val="18"/>
              </w:rPr>
              <w:t>-694</w:t>
            </w:r>
          </w:p>
        </w:tc>
      </w:tr>
      <w:tr w:rsidR="007F4EDE" w14:paraId="665DDF1D" w14:textId="77777777" w:rsidTr="007F7EA3">
        <w:trPr>
          <w:trHeight w:val="224"/>
        </w:trPr>
        <w:tc>
          <w:tcPr>
            <w:tcW w:w="2065" w:type="dxa"/>
            <w:vMerge/>
            <w:tcBorders>
              <w:left w:val="single" w:sz="4" w:space="0" w:color="auto"/>
            </w:tcBorders>
          </w:tcPr>
          <w:p w14:paraId="49697796" w14:textId="77777777" w:rsidR="007F4EDE" w:rsidRPr="006E189F" w:rsidRDefault="007F4EDE" w:rsidP="007F4EDE">
            <w:pPr>
              <w:rPr>
                <w:sz w:val="18"/>
                <w:szCs w:val="18"/>
              </w:rPr>
            </w:pPr>
          </w:p>
        </w:tc>
        <w:tc>
          <w:tcPr>
            <w:tcW w:w="1440" w:type="dxa"/>
            <w:vMerge/>
          </w:tcPr>
          <w:p w14:paraId="6E1D8BF5" w14:textId="77777777" w:rsidR="007F4EDE" w:rsidRPr="00E90B70" w:rsidRDefault="007F4EDE" w:rsidP="007F4EDE">
            <w:pPr>
              <w:rPr>
                <w:sz w:val="18"/>
                <w:szCs w:val="18"/>
              </w:rPr>
            </w:pPr>
          </w:p>
        </w:tc>
        <w:tc>
          <w:tcPr>
            <w:tcW w:w="2108" w:type="dxa"/>
            <w:vMerge/>
            <w:tcBorders>
              <w:right w:val="single" w:sz="4" w:space="0" w:color="auto"/>
            </w:tcBorders>
          </w:tcPr>
          <w:p w14:paraId="7E8F275E" w14:textId="77777777" w:rsidR="007F4EDE" w:rsidRPr="00E90B70" w:rsidRDefault="007F4EDE" w:rsidP="007F4EDE">
            <w:pPr>
              <w:rPr>
                <w:sz w:val="18"/>
                <w:szCs w:val="18"/>
              </w:rPr>
            </w:pPr>
          </w:p>
        </w:tc>
        <w:tc>
          <w:tcPr>
            <w:tcW w:w="1701" w:type="dxa"/>
            <w:vMerge/>
            <w:tcBorders>
              <w:left w:val="single" w:sz="4" w:space="0" w:color="auto"/>
            </w:tcBorders>
          </w:tcPr>
          <w:p w14:paraId="54E63A9B" w14:textId="77777777" w:rsidR="007F4EDE" w:rsidRDefault="007F4EDE" w:rsidP="007F4EDE">
            <w:pPr>
              <w:rPr>
                <w:sz w:val="18"/>
                <w:szCs w:val="18"/>
              </w:rPr>
            </w:pPr>
          </w:p>
        </w:tc>
        <w:tc>
          <w:tcPr>
            <w:tcW w:w="1965" w:type="dxa"/>
            <w:shd w:val="clear" w:color="auto" w:fill="D9D9D9" w:themeFill="background1" w:themeFillShade="D9"/>
          </w:tcPr>
          <w:p w14:paraId="1F633715" w14:textId="77777777" w:rsidR="007F4EDE" w:rsidRPr="00F6485E" w:rsidRDefault="007F4EDE" w:rsidP="007F4EDE">
            <w:pPr>
              <w:ind w:left="0"/>
              <w:rPr>
                <w:sz w:val="18"/>
                <w:szCs w:val="18"/>
              </w:rPr>
            </w:pPr>
            <w:r w:rsidRPr="00F6485E">
              <w:rPr>
                <w:sz w:val="18"/>
                <w:szCs w:val="18"/>
              </w:rPr>
              <w:t xml:space="preserve">Sugar, g </w:t>
            </w:r>
          </w:p>
        </w:tc>
        <w:tc>
          <w:tcPr>
            <w:tcW w:w="1051" w:type="dxa"/>
            <w:shd w:val="clear" w:color="auto" w:fill="D9D9D9" w:themeFill="background1" w:themeFillShade="D9"/>
          </w:tcPr>
          <w:p w14:paraId="3C44F440" w14:textId="77777777" w:rsidR="007F4EDE" w:rsidRPr="00F6485E" w:rsidRDefault="007F4EDE" w:rsidP="007F4EDE">
            <w:pPr>
              <w:ind w:left="0"/>
              <w:jc w:val="center"/>
              <w:rPr>
                <w:sz w:val="18"/>
                <w:szCs w:val="18"/>
              </w:rPr>
            </w:pPr>
            <w:r w:rsidRPr="00F6485E">
              <w:rPr>
                <w:sz w:val="18"/>
                <w:szCs w:val="18"/>
              </w:rPr>
              <w:t>25.0</w:t>
            </w:r>
          </w:p>
        </w:tc>
        <w:tc>
          <w:tcPr>
            <w:tcW w:w="1169" w:type="dxa"/>
            <w:shd w:val="clear" w:color="auto" w:fill="D9D9D9" w:themeFill="background1" w:themeFillShade="D9"/>
          </w:tcPr>
          <w:p w14:paraId="3C5B0A00" w14:textId="77777777" w:rsidR="007F4EDE" w:rsidRPr="00F6485E" w:rsidRDefault="007F4EDE" w:rsidP="007F4EDE">
            <w:pPr>
              <w:ind w:left="0"/>
              <w:jc w:val="center"/>
              <w:rPr>
                <w:sz w:val="18"/>
                <w:szCs w:val="18"/>
              </w:rPr>
            </w:pPr>
            <w:r w:rsidRPr="00F6485E">
              <w:rPr>
                <w:sz w:val="18"/>
                <w:szCs w:val="18"/>
              </w:rPr>
              <w:t>6.7</w:t>
            </w:r>
          </w:p>
        </w:tc>
        <w:tc>
          <w:tcPr>
            <w:tcW w:w="1564" w:type="dxa"/>
            <w:tcBorders>
              <w:right w:val="single" w:sz="4" w:space="0" w:color="auto"/>
            </w:tcBorders>
            <w:shd w:val="clear" w:color="auto" w:fill="D9D9D9" w:themeFill="background1" w:themeFillShade="D9"/>
          </w:tcPr>
          <w:p w14:paraId="0B9B782C" w14:textId="77777777" w:rsidR="007F4EDE" w:rsidRPr="00F6485E" w:rsidRDefault="007F4EDE" w:rsidP="007F4EDE">
            <w:pPr>
              <w:ind w:left="0"/>
              <w:jc w:val="center"/>
              <w:rPr>
                <w:sz w:val="18"/>
                <w:szCs w:val="18"/>
              </w:rPr>
            </w:pPr>
            <w:r w:rsidRPr="00F6485E">
              <w:rPr>
                <w:sz w:val="18"/>
                <w:szCs w:val="18"/>
              </w:rPr>
              <w:t>-273</w:t>
            </w:r>
          </w:p>
        </w:tc>
      </w:tr>
      <w:tr w:rsidR="007F4EDE" w14:paraId="746AF916" w14:textId="77777777" w:rsidTr="007F7EA3">
        <w:trPr>
          <w:trHeight w:val="224"/>
        </w:trPr>
        <w:tc>
          <w:tcPr>
            <w:tcW w:w="2065" w:type="dxa"/>
            <w:vMerge/>
            <w:tcBorders>
              <w:left w:val="single" w:sz="4" w:space="0" w:color="auto"/>
            </w:tcBorders>
          </w:tcPr>
          <w:p w14:paraId="3A453F0A" w14:textId="77777777" w:rsidR="007F4EDE" w:rsidRPr="006E189F" w:rsidRDefault="007F4EDE" w:rsidP="007F4EDE">
            <w:pPr>
              <w:rPr>
                <w:sz w:val="18"/>
                <w:szCs w:val="18"/>
              </w:rPr>
            </w:pPr>
          </w:p>
        </w:tc>
        <w:tc>
          <w:tcPr>
            <w:tcW w:w="1440" w:type="dxa"/>
            <w:vMerge/>
          </w:tcPr>
          <w:p w14:paraId="0D9044DE" w14:textId="77777777" w:rsidR="007F4EDE" w:rsidRPr="00E90B70" w:rsidRDefault="007F4EDE" w:rsidP="007F4EDE">
            <w:pPr>
              <w:rPr>
                <w:sz w:val="18"/>
                <w:szCs w:val="18"/>
              </w:rPr>
            </w:pPr>
          </w:p>
        </w:tc>
        <w:tc>
          <w:tcPr>
            <w:tcW w:w="2108" w:type="dxa"/>
            <w:vMerge/>
            <w:tcBorders>
              <w:right w:val="single" w:sz="4" w:space="0" w:color="auto"/>
            </w:tcBorders>
          </w:tcPr>
          <w:p w14:paraId="72AEB124" w14:textId="77777777" w:rsidR="007F4EDE" w:rsidRPr="00E90B70" w:rsidRDefault="007F4EDE" w:rsidP="007F4EDE">
            <w:pPr>
              <w:rPr>
                <w:sz w:val="18"/>
                <w:szCs w:val="18"/>
              </w:rPr>
            </w:pPr>
          </w:p>
        </w:tc>
        <w:tc>
          <w:tcPr>
            <w:tcW w:w="1701" w:type="dxa"/>
            <w:vMerge/>
            <w:tcBorders>
              <w:left w:val="single" w:sz="4" w:space="0" w:color="auto"/>
            </w:tcBorders>
          </w:tcPr>
          <w:p w14:paraId="32CEB0A2" w14:textId="77777777" w:rsidR="007F4EDE" w:rsidRDefault="007F4EDE" w:rsidP="007F4EDE">
            <w:pPr>
              <w:rPr>
                <w:sz w:val="18"/>
                <w:szCs w:val="18"/>
              </w:rPr>
            </w:pPr>
          </w:p>
        </w:tc>
        <w:tc>
          <w:tcPr>
            <w:tcW w:w="1965" w:type="dxa"/>
          </w:tcPr>
          <w:p w14:paraId="3E5B08C0" w14:textId="77777777" w:rsidR="007F4EDE" w:rsidRPr="00F6485E" w:rsidRDefault="007F4EDE" w:rsidP="007F4EDE">
            <w:pPr>
              <w:ind w:left="0"/>
              <w:rPr>
                <w:sz w:val="18"/>
                <w:szCs w:val="18"/>
              </w:rPr>
            </w:pPr>
            <w:r w:rsidRPr="00F6485E">
              <w:rPr>
                <w:sz w:val="18"/>
                <w:szCs w:val="18"/>
              </w:rPr>
              <w:t>Maize flour, g</w:t>
            </w:r>
          </w:p>
        </w:tc>
        <w:tc>
          <w:tcPr>
            <w:tcW w:w="1051" w:type="dxa"/>
          </w:tcPr>
          <w:p w14:paraId="456B75AE" w14:textId="77777777" w:rsidR="007F4EDE" w:rsidRPr="00F6485E" w:rsidRDefault="007F4EDE" w:rsidP="007F4EDE">
            <w:pPr>
              <w:ind w:left="0"/>
              <w:jc w:val="center"/>
              <w:rPr>
                <w:sz w:val="18"/>
                <w:szCs w:val="18"/>
              </w:rPr>
            </w:pPr>
            <w:r w:rsidRPr="00F6485E">
              <w:rPr>
                <w:sz w:val="18"/>
                <w:szCs w:val="18"/>
              </w:rPr>
              <w:t>69.4</w:t>
            </w:r>
          </w:p>
        </w:tc>
        <w:tc>
          <w:tcPr>
            <w:tcW w:w="1169" w:type="dxa"/>
          </w:tcPr>
          <w:p w14:paraId="468E7C70" w14:textId="77777777" w:rsidR="007F4EDE" w:rsidRPr="00F6485E" w:rsidRDefault="007F4EDE" w:rsidP="007F4EDE">
            <w:pPr>
              <w:ind w:left="0"/>
              <w:jc w:val="center"/>
              <w:rPr>
                <w:sz w:val="18"/>
                <w:szCs w:val="18"/>
              </w:rPr>
            </w:pPr>
            <w:r w:rsidRPr="00F6485E">
              <w:rPr>
                <w:sz w:val="18"/>
                <w:szCs w:val="18"/>
              </w:rPr>
              <w:t>10.7</w:t>
            </w:r>
          </w:p>
        </w:tc>
        <w:tc>
          <w:tcPr>
            <w:tcW w:w="1564" w:type="dxa"/>
            <w:tcBorders>
              <w:right w:val="single" w:sz="4" w:space="0" w:color="auto"/>
            </w:tcBorders>
          </w:tcPr>
          <w:p w14:paraId="6348A190" w14:textId="77777777" w:rsidR="007F4EDE" w:rsidRPr="00F6485E" w:rsidRDefault="007F4EDE" w:rsidP="007F4EDE">
            <w:pPr>
              <w:ind w:left="0"/>
              <w:jc w:val="center"/>
              <w:rPr>
                <w:sz w:val="18"/>
                <w:szCs w:val="18"/>
              </w:rPr>
            </w:pPr>
            <w:r w:rsidRPr="00F6485E">
              <w:rPr>
                <w:sz w:val="18"/>
                <w:szCs w:val="18"/>
              </w:rPr>
              <w:t>-549</w:t>
            </w:r>
          </w:p>
        </w:tc>
      </w:tr>
      <w:tr w:rsidR="007F4EDE" w14:paraId="556CA11F" w14:textId="77777777" w:rsidTr="007F7EA3">
        <w:trPr>
          <w:trHeight w:val="224"/>
        </w:trPr>
        <w:tc>
          <w:tcPr>
            <w:tcW w:w="2065" w:type="dxa"/>
            <w:vMerge/>
            <w:tcBorders>
              <w:left w:val="single" w:sz="4" w:space="0" w:color="auto"/>
              <w:bottom w:val="single" w:sz="4" w:space="0" w:color="auto"/>
            </w:tcBorders>
          </w:tcPr>
          <w:p w14:paraId="46E2B0C9" w14:textId="77777777" w:rsidR="007F4EDE" w:rsidRPr="006E189F" w:rsidRDefault="007F4EDE" w:rsidP="007F4EDE">
            <w:pPr>
              <w:rPr>
                <w:sz w:val="18"/>
                <w:szCs w:val="18"/>
              </w:rPr>
            </w:pPr>
          </w:p>
        </w:tc>
        <w:tc>
          <w:tcPr>
            <w:tcW w:w="1440" w:type="dxa"/>
            <w:vMerge/>
            <w:tcBorders>
              <w:bottom w:val="single" w:sz="4" w:space="0" w:color="auto"/>
            </w:tcBorders>
          </w:tcPr>
          <w:p w14:paraId="01A4E92A" w14:textId="77777777" w:rsidR="007F4EDE" w:rsidRPr="00E90B70" w:rsidRDefault="007F4EDE" w:rsidP="007F4EDE">
            <w:pPr>
              <w:rPr>
                <w:sz w:val="18"/>
                <w:szCs w:val="18"/>
              </w:rPr>
            </w:pPr>
          </w:p>
        </w:tc>
        <w:tc>
          <w:tcPr>
            <w:tcW w:w="2108" w:type="dxa"/>
            <w:vMerge/>
            <w:tcBorders>
              <w:bottom w:val="single" w:sz="4" w:space="0" w:color="auto"/>
              <w:right w:val="single" w:sz="4" w:space="0" w:color="auto"/>
            </w:tcBorders>
          </w:tcPr>
          <w:p w14:paraId="2E919114" w14:textId="77777777" w:rsidR="007F4EDE" w:rsidRPr="00E90B70" w:rsidRDefault="007F4EDE" w:rsidP="007F4EDE">
            <w:pPr>
              <w:rPr>
                <w:sz w:val="18"/>
                <w:szCs w:val="18"/>
              </w:rPr>
            </w:pPr>
          </w:p>
        </w:tc>
        <w:tc>
          <w:tcPr>
            <w:tcW w:w="1701" w:type="dxa"/>
            <w:vMerge/>
            <w:tcBorders>
              <w:left w:val="single" w:sz="4" w:space="0" w:color="auto"/>
              <w:bottom w:val="single" w:sz="4" w:space="0" w:color="auto"/>
            </w:tcBorders>
          </w:tcPr>
          <w:p w14:paraId="2177752D" w14:textId="77777777" w:rsidR="007F4EDE" w:rsidRDefault="007F4EDE" w:rsidP="007F4EDE">
            <w:pPr>
              <w:rPr>
                <w:sz w:val="18"/>
                <w:szCs w:val="18"/>
              </w:rPr>
            </w:pPr>
          </w:p>
        </w:tc>
        <w:tc>
          <w:tcPr>
            <w:tcW w:w="1965" w:type="dxa"/>
            <w:tcBorders>
              <w:bottom w:val="single" w:sz="4" w:space="0" w:color="auto"/>
            </w:tcBorders>
            <w:shd w:val="clear" w:color="auto" w:fill="D9D9D9" w:themeFill="background1" w:themeFillShade="D9"/>
          </w:tcPr>
          <w:p w14:paraId="7ED6F435" w14:textId="77777777" w:rsidR="007F4EDE" w:rsidRPr="00F6485E" w:rsidRDefault="007F4EDE" w:rsidP="007F4EDE">
            <w:pPr>
              <w:ind w:left="0"/>
              <w:rPr>
                <w:sz w:val="18"/>
                <w:szCs w:val="18"/>
              </w:rPr>
            </w:pPr>
            <w:r w:rsidRPr="00F6485E">
              <w:rPr>
                <w:sz w:val="18"/>
                <w:szCs w:val="18"/>
              </w:rPr>
              <w:t>Rice, g</w:t>
            </w:r>
          </w:p>
        </w:tc>
        <w:tc>
          <w:tcPr>
            <w:tcW w:w="1051" w:type="dxa"/>
            <w:tcBorders>
              <w:bottom w:val="single" w:sz="4" w:space="0" w:color="auto"/>
            </w:tcBorders>
            <w:shd w:val="clear" w:color="auto" w:fill="D9D9D9" w:themeFill="background1" w:themeFillShade="D9"/>
          </w:tcPr>
          <w:p w14:paraId="176387EF" w14:textId="77777777" w:rsidR="007F4EDE" w:rsidRPr="00F6485E" w:rsidRDefault="007F4EDE" w:rsidP="007F4EDE">
            <w:pPr>
              <w:ind w:left="0"/>
              <w:jc w:val="center"/>
              <w:rPr>
                <w:sz w:val="18"/>
                <w:szCs w:val="18"/>
              </w:rPr>
            </w:pPr>
            <w:r w:rsidRPr="00F6485E">
              <w:rPr>
                <w:sz w:val="18"/>
                <w:szCs w:val="18"/>
              </w:rPr>
              <w:t>27.7</w:t>
            </w:r>
          </w:p>
        </w:tc>
        <w:tc>
          <w:tcPr>
            <w:tcW w:w="1169" w:type="dxa"/>
            <w:tcBorders>
              <w:bottom w:val="single" w:sz="4" w:space="0" w:color="auto"/>
            </w:tcBorders>
            <w:shd w:val="clear" w:color="auto" w:fill="D9D9D9" w:themeFill="background1" w:themeFillShade="D9"/>
          </w:tcPr>
          <w:p w14:paraId="6062A2A1" w14:textId="77777777" w:rsidR="007F4EDE" w:rsidRPr="00F6485E" w:rsidRDefault="007F4EDE" w:rsidP="007F4EDE">
            <w:pPr>
              <w:ind w:left="0"/>
              <w:jc w:val="center"/>
              <w:rPr>
                <w:sz w:val="18"/>
                <w:szCs w:val="18"/>
              </w:rPr>
            </w:pPr>
            <w:r w:rsidRPr="00F6485E">
              <w:rPr>
                <w:sz w:val="18"/>
                <w:szCs w:val="18"/>
              </w:rPr>
              <w:t>9.7</w:t>
            </w:r>
          </w:p>
        </w:tc>
        <w:tc>
          <w:tcPr>
            <w:tcW w:w="1564" w:type="dxa"/>
            <w:tcBorders>
              <w:bottom w:val="single" w:sz="4" w:space="0" w:color="auto"/>
              <w:right w:val="single" w:sz="4" w:space="0" w:color="auto"/>
            </w:tcBorders>
            <w:shd w:val="clear" w:color="auto" w:fill="D9D9D9" w:themeFill="background1" w:themeFillShade="D9"/>
          </w:tcPr>
          <w:p w14:paraId="4305ED47" w14:textId="77777777" w:rsidR="007F4EDE" w:rsidRPr="00F6485E" w:rsidRDefault="007F4EDE" w:rsidP="007F4EDE">
            <w:pPr>
              <w:ind w:left="0"/>
              <w:jc w:val="center"/>
              <w:rPr>
                <w:sz w:val="18"/>
                <w:szCs w:val="18"/>
              </w:rPr>
            </w:pPr>
            <w:r w:rsidRPr="00F6485E">
              <w:rPr>
                <w:sz w:val="18"/>
                <w:szCs w:val="18"/>
              </w:rPr>
              <w:t>-186</w:t>
            </w:r>
          </w:p>
        </w:tc>
      </w:tr>
    </w:tbl>
    <w:p w14:paraId="436E046B" w14:textId="77777777" w:rsidR="00681CDB" w:rsidRDefault="00681CDB" w:rsidP="00681CDB">
      <w:r>
        <w:br w:type="page"/>
      </w:r>
    </w:p>
    <w:p w14:paraId="6EAC54C2" w14:textId="77777777" w:rsidR="00681CDB" w:rsidRPr="00F3550D" w:rsidRDefault="00681CDB" w:rsidP="00FF3F99">
      <w:pPr>
        <w:pStyle w:val="Heading1"/>
      </w:pPr>
      <w:bookmarkStart w:id="6" w:name="_Toc76569019"/>
      <w:r w:rsidRPr="00F3550D">
        <w:rPr>
          <w:b/>
          <w:bCs/>
        </w:rPr>
        <w:lastRenderedPageBreak/>
        <w:t>Table S</w:t>
      </w:r>
      <w:r>
        <w:rPr>
          <w:b/>
          <w:bCs/>
        </w:rPr>
        <w:t>5</w:t>
      </w:r>
      <w:r w:rsidRPr="00F3550D">
        <w:rPr>
          <w:b/>
          <w:bCs/>
        </w:rPr>
        <w:t>.</w:t>
      </w:r>
      <w:r w:rsidRPr="00F3550D">
        <w:t xml:space="preserve"> </w:t>
      </w:r>
      <w:r>
        <w:t>Publications</w:t>
      </w:r>
      <w:r w:rsidRPr="00F3550D">
        <w:t xml:space="preserve"> comparing</w:t>
      </w:r>
      <w:r>
        <w:t xml:space="preserve"> apparent</w:t>
      </w:r>
      <w:r w:rsidRPr="00F3550D">
        <w:t xml:space="preserve"> nutrient, energy or fortifiable food item intake estimates using HCES adult male equivalent methods to </w:t>
      </w:r>
      <w:r>
        <w:t xml:space="preserve">intake </w:t>
      </w:r>
      <w:r w:rsidRPr="00F3550D">
        <w:t>estimates calculated using individual-level dietary intake data for women of reproductive age (WRA)</w:t>
      </w:r>
      <w:bookmarkEnd w:id="6"/>
    </w:p>
    <w:tbl>
      <w:tblPr>
        <w:tblStyle w:val="TableGrid"/>
        <w:tblW w:w="13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556"/>
        <w:gridCol w:w="2251"/>
        <w:gridCol w:w="1701"/>
        <w:gridCol w:w="1965"/>
        <w:gridCol w:w="1051"/>
        <w:gridCol w:w="1169"/>
        <w:gridCol w:w="1564"/>
      </w:tblGrid>
      <w:tr w:rsidR="00681CDB" w:rsidRPr="00827915" w14:paraId="46D8B03F" w14:textId="77777777" w:rsidTr="007F7EA3">
        <w:trPr>
          <w:trHeight w:val="612"/>
        </w:trPr>
        <w:tc>
          <w:tcPr>
            <w:tcW w:w="1806" w:type="dxa"/>
            <w:tcBorders>
              <w:top w:val="single" w:sz="4" w:space="0" w:color="auto"/>
              <w:left w:val="single" w:sz="4" w:space="0" w:color="auto"/>
              <w:bottom w:val="single" w:sz="4" w:space="0" w:color="auto"/>
            </w:tcBorders>
          </w:tcPr>
          <w:p w14:paraId="643C9926" w14:textId="77777777" w:rsidR="00681CDB" w:rsidRPr="00EC3718" w:rsidRDefault="00681CDB" w:rsidP="007F7EA3">
            <w:pPr>
              <w:ind w:left="0"/>
              <w:rPr>
                <w:b/>
                <w:bCs/>
                <w:color w:val="000000" w:themeColor="text1"/>
                <w:sz w:val="18"/>
                <w:szCs w:val="18"/>
              </w:rPr>
            </w:pPr>
            <w:proofErr w:type="gramStart"/>
            <w:r w:rsidRPr="00EC3718">
              <w:rPr>
                <w:b/>
                <w:bCs/>
                <w:color w:val="000000" w:themeColor="text1"/>
                <w:sz w:val="18"/>
                <w:szCs w:val="18"/>
              </w:rPr>
              <w:t>Reference;</w:t>
            </w:r>
            <w:proofErr w:type="gramEnd"/>
            <w:r w:rsidRPr="00EC3718">
              <w:rPr>
                <w:b/>
                <w:bCs/>
                <w:color w:val="000000" w:themeColor="text1"/>
                <w:sz w:val="18"/>
                <w:szCs w:val="18"/>
              </w:rPr>
              <w:t xml:space="preserve"> </w:t>
            </w:r>
          </w:p>
          <w:p w14:paraId="03CC3E9E" w14:textId="77777777" w:rsidR="00681CDB" w:rsidRPr="00EC3718" w:rsidRDefault="00681CDB" w:rsidP="007F7EA3">
            <w:pPr>
              <w:ind w:left="0"/>
              <w:rPr>
                <w:b/>
                <w:bCs/>
                <w:color w:val="000000" w:themeColor="text1"/>
                <w:sz w:val="18"/>
                <w:szCs w:val="18"/>
              </w:rPr>
            </w:pPr>
            <w:proofErr w:type="gramStart"/>
            <w:r w:rsidRPr="00EC3718">
              <w:rPr>
                <w:b/>
                <w:bCs/>
                <w:color w:val="000000" w:themeColor="text1"/>
                <w:sz w:val="18"/>
                <w:szCs w:val="18"/>
              </w:rPr>
              <w:t>country;</w:t>
            </w:r>
            <w:proofErr w:type="gramEnd"/>
            <w:r w:rsidRPr="00EC3718">
              <w:rPr>
                <w:b/>
                <w:bCs/>
                <w:color w:val="000000" w:themeColor="text1"/>
                <w:sz w:val="18"/>
                <w:szCs w:val="18"/>
              </w:rPr>
              <w:t xml:space="preserve"> </w:t>
            </w:r>
          </w:p>
          <w:p w14:paraId="4D8AF7E2"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summary metric</w:t>
            </w:r>
          </w:p>
        </w:tc>
        <w:tc>
          <w:tcPr>
            <w:tcW w:w="1556" w:type="dxa"/>
            <w:tcBorders>
              <w:top w:val="single" w:sz="4" w:space="0" w:color="auto"/>
              <w:bottom w:val="single" w:sz="4" w:space="0" w:color="auto"/>
            </w:tcBorders>
          </w:tcPr>
          <w:p w14:paraId="675473B0"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Individual dietary assessment data (N)</w:t>
            </w:r>
          </w:p>
        </w:tc>
        <w:tc>
          <w:tcPr>
            <w:tcW w:w="2251" w:type="dxa"/>
            <w:tcBorders>
              <w:top w:val="single" w:sz="4" w:space="0" w:color="auto"/>
              <w:bottom w:val="single" w:sz="4" w:space="0" w:color="auto"/>
            </w:tcBorders>
          </w:tcPr>
          <w:p w14:paraId="2DE717EE"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 xml:space="preserve">HCES dietary data, </w:t>
            </w:r>
          </w:p>
          <w:p w14:paraId="158DDC02"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(n households)</w:t>
            </w:r>
          </w:p>
        </w:tc>
        <w:tc>
          <w:tcPr>
            <w:tcW w:w="1701" w:type="dxa"/>
            <w:tcBorders>
              <w:top w:val="single" w:sz="4" w:space="0" w:color="auto"/>
              <w:bottom w:val="single" w:sz="4" w:space="0" w:color="auto"/>
            </w:tcBorders>
          </w:tcPr>
          <w:p w14:paraId="7E3DE455"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Study sample population (n)</w:t>
            </w:r>
          </w:p>
        </w:tc>
        <w:tc>
          <w:tcPr>
            <w:tcW w:w="1965" w:type="dxa"/>
            <w:tcBorders>
              <w:top w:val="single" w:sz="4" w:space="0" w:color="auto"/>
              <w:bottom w:val="single" w:sz="4" w:space="0" w:color="auto"/>
            </w:tcBorders>
          </w:tcPr>
          <w:p w14:paraId="276D8625" w14:textId="77777777" w:rsidR="00681CDB" w:rsidRPr="00EC3718" w:rsidRDefault="00681CDB" w:rsidP="007F7EA3">
            <w:pPr>
              <w:ind w:left="0"/>
              <w:rPr>
                <w:b/>
                <w:bCs/>
                <w:color w:val="000000" w:themeColor="text1"/>
                <w:sz w:val="18"/>
                <w:szCs w:val="18"/>
              </w:rPr>
            </w:pPr>
            <w:r w:rsidRPr="00EC3718">
              <w:rPr>
                <w:b/>
                <w:bCs/>
                <w:color w:val="000000" w:themeColor="text1"/>
                <w:sz w:val="18"/>
                <w:szCs w:val="18"/>
              </w:rPr>
              <w:t>Nutrient/ food item</w:t>
            </w:r>
          </w:p>
        </w:tc>
        <w:tc>
          <w:tcPr>
            <w:tcW w:w="1051" w:type="dxa"/>
            <w:tcBorders>
              <w:top w:val="single" w:sz="4" w:space="0" w:color="auto"/>
              <w:bottom w:val="single" w:sz="4" w:space="0" w:color="auto"/>
            </w:tcBorders>
          </w:tcPr>
          <w:p w14:paraId="2FBFF742" w14:textId="77777777" w:rsidR="00681CDB" w:rsidRPr="00827915" w:rsidRDefault="00681CDB" w:rsidP="007F7EA3">
            <w:pPr>
              <w:ind w:left="0"/>
              <w:rPr>
                <w:b/>
                <w:bCs/>
                <w:sz w:val="18"/>
                <w:szCs w:val="18"/>
              </w:rPr>
            </w:pPr>
            <w:r>
              <w:rPr>
                <w:b/>
                <w:bCs/>
                <w:sz w:val="18"/>
                <w:szCs w:val="18"/>
              </w:rPr>
              <w:t>Individual intakes</w:t>
            </w:r>
          </w:p>
        </w:tc>
        <w:tc>
          <w:tcPr>
            <w:tcW w:w="1169" w:type="dxa"/>
            <w:tcBorders>
              <w:top w:val="single" w:sz="4" w:space="0" w:color="auto"/>
              <w:bottom w:val="single" w:sz="4" w:space="0" w:color="auto"/>
            </w:tcBorders>
          </w:tcPr>
          <w:p w14:paraId="727D7331" w14:textId="77777777" w:rsidR="00681CDB" w:rsidRPr="00827915" w:rsidRDefault="00681CDB" w:rsidP="007F7EA3">
            <w:pPr>
              <w:ind w:left="0"/>
              <w:rPr>
                <w:b/>
                <w:bCs/>
                <w:sz w:val="18"/>
                <w:szCs w:val="18"/>
              </w:rPr>
            </w:pPr>
            <w:r w:rsidRPr="00827915">
              <w:rPr>
                <w:b/>
                <w:bCs/>
                <w:sz w:val="18"/>
                <w:szCs w:val="18"/>
              </w:rPr>
              <w:t>HCES AME</w:t>
            </w:r>
            <w:r>
              <w:rPr>
                <w:b/>
                <w:bCs/>
                <w:sz w:val="18"/>
                <w:szCs w:val="18"/>
              </w:rPr>
              <w:t xml:space="preserve"> apparent intakes</w:t>
            </w:r>
          </w:p>
        </w:tc>
        <w:tc>
          <w:tcPr>
            <w:tcW w:w="1564" w:type="dxa"/>
            <w:tcBorders>
              <w:top w:val="single" w:sz="4" w:space="0" w:color="auto"/>
              <w:bottom w:val="single" w:sz="4" w:space="0" w:color="auto"/>
              <w:right w:val="single" w:sz="4" w:space="0" w:color="auto"/>
            </w:tcBorders>
          </w:tcPr>
          <w:p w14:paraId="51B9254C" w14:textId="77777777" w:rsidR="00681CDB" w:rsidRPr="00827915" w:rsidRDefault="00681CDB" w:rsidP="007F7EA3">
            <w:pPr>
              <w:ind w:left="0"/>
              <w:rPr>
                <w:b/>
                <w:bCs/>
                <w:sz w:val="18"/>
                <w:szCs w:val="18"/>
              </w:rPr>
            </w:pPr>
            <w:r>
              <w:rPr>
                <w:b/>
                <w:bCs/>
                <w:sz w:val="18"/>
                <w:szCs w:val="18"/>
              </w:rPr>
              <w:t>Percentage point difference</w:t>
            </w:r>
          </w:p>
        </w:tc>
      </w:tr>
      <w:tr w:rsidR="007F4EDE" w14:paraId="5A22D30B" w14:textId="77777777" w:rsidTr="007F4EDE">
        <w:trPr>
          <w:trHeight w:val="224"/>
        </w:trPr>
        <w:tc>
          <w:tcPr>
            <w:tcW w:w="13063" w:type="dxa"/>
            <w:gridSpan w:val="8"/>
            <w:tcBorders>
              <w:top w:val="single" w:sz="4" w:space="0" w:color="auto"/>
              <w:left w:val="single" w:sz="4" w:space="0" w:color="auto"/>
              <w:right w:val="single" w:sz="4" w:space="0" w:color="auto"/>
            </w:tcBorders>
            <w:shd w:val="clear" w:color="auto" w:fill="FFFFFF" w:themeFill="background1"/>
          </w:tcPr>
          <w:p w14:paraId="64884097" w14:textId="589D520A" w:rsidR="007F4EDE" w:rsidRPr="00EC3718" w:rsidRDefault="007F4EDE" w:rsidP="007F4EDE">
            <w:pPr>
              <w:ind w:left="0"/>
              <w:rPr>
                <w:color w:val="000000" w:themeColor="text1"/>
                <w:sz w:val="18"/>
                <w:szCs w:val="18"/>
              </w:rPr>
            </w:pPr>
            <w:r w:rsidRPr="00EC3718">
              <w:rPr>
                <w:b/>
                <w:bCs/>
                <w:i/>
                <w:iCs/>
                <w:color w:val="000000" w:themeColor="text1"/>
                <w:sz w:val="18"/>
                <w:szCs w:val="18"/>
              </w:rPr>
              <w:t>I. Study compared intake estimates derived from individual-level versus HCES dietary data</w:t>
            </w:r>
          </w:p>
        </w:tc>
      </w:tr>
      <w:tr w:rsidR="00800A64" w14:paraId="1A9383DB" w14:textId="77777777" w:rsidTr="007F7EA3">
        <w:trPr>
          <w:trHeight w:val="224"/>
        </w:trPr>
        <w:tc>
          <w:tcPr>
            <w:tcW w:w="1806" w:type="dxa"/>
            <w:vMerge w:val="restart"/>
            <w:tcBorders>
              <w:top w:val="single" w:sz="4" w:space="0" w:color="auto"/>
              <w:left w:val="single" w:sz="4" w:space="0" w:color="auto"/>
            </w:tcBorders>
            <w:shd w:val="clear" w:color="auto" w:fill="D9D9D9" w:themeFill="background1" w:themeFillShade="D9"/>
          </w:tcPr>
          <w:p w14:paraId="0C115B8B" w14:textId="1FC61410" w:rsidR="00800A64" w:rsidRPr="00800A64" w:rsidRDefault="00800A64" w:rsidP="00800A64">
            <w:pPr>
              <w:ind w:left="0"/>
              <w:rPr>
                <w:color w:val="000000" w:themeColor="text1"/>
                <w:sz w:val="18"/>
                <w:szCs w:val="18"/>
                <w:lang w:val="fr-FR"/>
              </w:rPr>
            </w:pPr>
            <w:proofErr w:type="spellStart"/>
            <w:r w:rsidRPr="00800A64">
              <w:rPr>
                <w:color w:val="000000" w:themeColor="text1"/>
                <w:sz w:val="18"/>
                <w:szCs w:val="18"/>
                <w:lang w:val="fr-FR"/>
              </w:rPr>
              <w:t>Karageorgou</w:t>
            </w:r>
            <w:proofErr w:type="spellEnd"/>
            <w:r w:rsidRPr="00800A64">
              <w:rPr>
                <w:color w:val="000000" w:themeColor="text1"/>
                <w:sz w:val="18"/>
                <w:szCs w:val="18"/>
                <w:lang w:val="fr-FR"/>
              </w:rPr>
              <w:t xml:space="preserve"> </w:t>
            </w:r>
            <w:r w:rsidRPr="00800A64">
              <w:rPr>
                <w:i/>
                <w:iCs/>
                <w:color w:val="000000" w:themeColor="text1"/>
                <w:sz w:val="18"/>
                <w:szCs w:val="18"/>
                <w:lang w:val="fr-FR"/>
              </w:rPr>
              <w:t>et al.</w:t>
            </w:r>
            <w:r w:rsidRPr="00800A64">
              <w:rPr>
                <w:color w:val="000000" w:themeColor="text1"/>
                <w:sz w:val="18"/>
                <w:szCs w:val="18"/>
                <w:lang w:val="fr-FR"/>
              </w:rPr>
              <w:t xml:space="preserve"> (2018) </w:t>
            </w:r>
            <w:r w:rsidRPr="00EC3718">
              <w:rPr>
                <w:color w:val="000000" w:themeColor="text1"/>
                <w:sz w:val="18"/>
                <w:szCs w:val="18"/>
              </w:rPr>
              <w:fldChar w:fldCharType="begin" w:fldLock="1"/>
            </w:r>
            <w:r w:rsidR="005B0D26">
              <w:rPr>
                <w:color w:val="000000" w:themeColor="text1"/>
                <w:sz w:val="18"/>
                <w:szCs w:val="18"/>
                <w:lang w:val="fr-FR"/>
              </w:rPr>
              <w:instrText>ADDIN CSL_CITATION {"citationItems":[{"id":"ITEM-1","itemData":{"DOI":"10.1371/journal.pone.0202831","ISSN":"19326203","PMID":"30148863","abstract":"Background Accurate national information on dietary intakes, including heterogeneity among individuals, is critical to inform health implications and policy priorities. In low- and middle-income countries, household expenditure surveys constitute the major source of food data, but with uncertain validity for individual-level intakes. Objective To investigate how individualized dietary consumption estimated from household survey data compared with individual-level 24-hr dietary recalls (24hR); and to assess potential heterogeneity by method for individualizing household intakes, dietary indicator, and individual characteristics (age, sex, education, religion, household income). Methods We evaluated data from the 2011–2012 Bangladesh Household Integrated Survey (BIHS), which included household-level consumption data (5,503 households) and individual-level dietary data based on 24hR from these households (22,173 participants). Household and 24hR estimates were standardized and harmonized for 33 dietary indicators, including 9 food groups, total energy, 8 macronutrients, and 15 micronutrients. Individual consumption was estimated from household data using two approaches, the Adult Male Equivalent (AME) and per capita (PC) approach. For each dietary indicator, differences in household vs. individual mean estimates were evaluated overall and by strata of individual characteristics, using Spearman’s correlations and univariate and multivariate linear regression models. Results Individualized household estimates overestimated individual intakes from 24hR for all dietary factors using either estimation method (P&lt;0.001 for each), except for starchy vegetables (AME: P = 0.15; PC: P = 0.85). For foods, overestimation ranged from 4% for seafood to about 240% for fruits, and for nutrients from 11% for carbohydrates and polyunsaturated fats to 55% for vitamin C, with similar overestimation for the AME and the PC method. By strata, overestimation was modestly higher in men vs. women, in children (0-10y) vs. adolescents (11-19y) and adults (20-44y, 45y), among adults of higher (6y) vs. lower (&lt;6y) education, in Muslims vs. other religions (Christians, Hindus), and for the lowest vs. all other income groups. This overestimation was notably higher in young children (0-5y) vs. all other age groups and in the lowest vs. all other income groups. Underestimation was rarely observed, for example for milk intake (-56%) in young children (0-5y). The PC approach did not capture h…","author":[{"dropping-particle":"","family":"Karageorgou","given":"Dimitra","non-dropping-particle":"","parse-names":false,"suffix":""},{"dropping-particle":"","family":"Imamura","given":"Fumiaki","non-dropping-particle":"","parse-names":false,"suffix":""},{"dropping-particle":"","family":"Zhang","given":"Jianyi","non-dropping-particle":"","parse-names":false,"suffix":""},{"dropping-particle":"","family":"Shi","given":"Peilin","non-dropping-particle":"","parse-names":false,"suffix":""},{"dropping-particle":"","family":"Mozaffarian","given":"Dariush","non-dropping-particle":"","parse-names":false,"suffix":""},{"dropping-particle":"","family":"Micha","given":"Renata","non-dropping-particle":"","parse-names":false,"suffix":""}],"container-title":"PLoS ONE","id":"ITEM-1","issue":"8","issued":{"date-parts":[["2018"]]},"page":"e0202831","title":"Assessing dietary intakes from household budget surveys: A national analysis in Bangladesh","type":"article-journal","volume":"13"},"uris":["http://www.mendeley.com/documents/?uuid=96cd3f0b-0820-470e-b1cc-7eee30fa5259"]}],"mendeley":{"formattedCitation":"&lt;sup&gt;(38)&lt;/sup&gt;","plainTextFormattedCitation":"(38)","previouslyFormattedCitation":"[38]"},"properties":{"noteIndex":0},"schema":"https://github.com/citation-style-language/schema/raw/master/csl-citation.json"}</w:instrText>
            </w:r>
            <w:r w:rsidRPr="00EC3718">
              <w:rPr>
                <w:color w:val="000000" w:themeColor="text1"/>
                <w:sz w:val="18"/>
                <w:szCs w:val="18"/>
              </w:rPr>
              <w:fldChar w:fldCharType="separate"/>
            </w:r>
            <w:r w:rsidR="005B0D26" w:rsidRPr="005B0D26">
              <w:rPr>
                <w:noProof/>
                <w:color w:val="000000" w:themeColor="text1"/>
                <w:sz w:val="18"/>
                <w:szCs w:val="18"/>
                <w:vertAlign w:val="superscript"/>
                <w:lang w:val="fr-FR"/>
              </w:rPr>
              <w:t>(38)</w:t>
            </w:r>
            <w:r w:rsidRPr="00EC3718">
              <w:rPr>
                <w:color w:val="000000" w:themeColor="text1"/>
                <w:sz w:val="18"/>
                <w:szCs w:val="18"/>
              </w:rPr>
              <w:fldChar w:fldCharType="end"/>
            </w:r>
            <w:r w:rsidRPr="00800A64">
              <w:rPr>
                <w:color w:val="000000" w:themeColor="text1"/>
                <w:sz w:val="18"/>
                <w:szCs w:val="18"/>
                <w:lang w:val="fr-FR"/>
              </w:rPr>
              <w:t>;</w:t>
            </w:r>
          </w:p>
          <w:p w14:paraId="10F19793" w14:textId="77777777" w:rsidR="00800A64" w:rsidRPr="00800A64" w:rsidRDefault="00800A64" w:rsidP="00800A64">
            <w:pPr>
              <w:ind w:left="0"/>
              <w:rPr>
                <w:color w:val="000000" w:themeColor="text1"/>
                <w:sz w:val="18"/>
                <w:szCs w:val="18"/>
                <w:lang w:val="fr-FR"/>
              </w:rPr>
            </w:pPr>
            <w:proofErr w:type="gramStart"/>
            <w:r w:rsidRPr="00800A64">
              <w:rPr>
                <w:color w:val="000000" w:themeColor="text1"/>
                <w:sz w:val="18"/>
                <w:szCs w:val="18"/>
                <w:lang w:val="fr-FR"/>
              </w:rPr>
              <w:t>Bangladesh;</w:t>
            </w:r>
            <w:proofErr w:type="gramEnd"/>
          </w:p>
          <w:p w14:paraId="1F509F19" w14:textId="77777777" w:rsidR="00800A64" w:rsidRPr="00800A64" w:rsidRDefault="00800A64" w:rsidP="00800A64">
            <w:pPr>
              <w:ind w:left="0"/>
              <w:rPr>
                <w:color w:val="000000" w:themeColor="text1"/>
                <w:sz w:val="18"/>
                <w:szCs w:val="18"/>
                <w:lang w:val="fr-FR"/>
              </w:rPr>
            </w:pPr>
            <w:proofErr w:type="spellStart"/>
            <w:proofErr w:type="gramStart"/>
            <w:r w:rsidRPr="00800A64">
              <w:rPr>
                <w:color w:val="000000" w:themeColor="text1"/>
                <w:sz w:val="18"/>
                <w:szCs w:val="18"/>
                <w:lang w:val="fr-FR"/>
              </w:rPr>
              <w:t>means</w:t>
            </w:r>
            <w:proofErr w:type="spellEnd"/>
            <w:proofErr w:type="gramEnd"/>
          </w:p>
        </w:tc>
        <w:tc>
          <w:tcPr>
            <w:tcW w:w="1556" w:type="dxa"/>
            <w:vMerge w:val="restart"/>
            <w:tcBorders>
              <w:top w:val="single" w:sz="4" w:space="0" w:color="auto"/>
            </w:tcBorders>
            <w:shd w:val="clear" w:color="auto" w:fill="D9D9D9" w:themeFill="background1" w:themeFillShade="D9"/>
          </w:tcPr>
          <w:p w14:paraId="0F121022" w14:textId="77777777" w:rsidR="00800A64" w:rsidRDefault="00800A64" w:rsidP="00800A64">
            <w:pPr>
              <w:ind w:left="0"/>
              <w:rPr>
                <w:sz w:val="18"/>
                <w:szCs w:val="18"/>
              </w:rPr>
            </w:pPr>
            <w:r w:rsidRPr="00E90B70">
              <w:rPr>
                <w:sz w:val="18"/>
                <w:szCs w:val="18"/>
              </w:rPr>
              <w:t>24H</w:t>
            </w:r>
            <w:r>
              <w:rPr>
                <w:sz w:val="18"/>
                <w:szCs w:val="18"/>
              </w:rPr>
              <w:t xml:space="preserve"> </w:t>
            </w:r>
            <w:r w:rsidRPr="00E90B70">
              <w:rPr>
                <w:sz w:val="18"/>
                <w:szCs w:val="18"/>
              </w:rPr>
              <w:t>recall</w:t>
            </w:r>
            <w:r>
              <w:rPr>
                <w:sz w:val="18"/>
                <w:szCs w:val="18"/>
              </w:rPr>
              <w:t xml:space="preserve"> of household meals and proportions consumed by individuals</w:t>
            </w:r>
          </w:p>
          <w:p w14:paraId="11F579F0" w14:textId="4301A9FD" w:rsidR="00800A64" w:rsidRPr="00EC3718" w:rsidRDefault="00800A64" w:rsidP="00800A64">
            <w:pPr>
              <w:ind w:left="0"/>
              <w:rPr>
                <w:color w:val="000000" w:themeColor="text1"/>
                <w:sz w:val="18"/>
                <w:szCs w:val="18"/>
              </w:rPr>
            </w:pPr>
            <w:r>
              <w:rPr>
                <w:sz w:val="18"/>
                <w:szCs w:val="18"/>
              </w:rPr>
              <w:t>(N=22,173)</w:t>
            </w:r>
          </w:p>
        </w:tc>
        <w:tc>
          <w:tcPr>
            <w:tcW w:w="2251" w:type="dxa"/>
            <w:vMerge w:val="restart"/>
            <w:tcBorders>
              <w:top w:val="single" w:sz="4" w:space="0" w:color="auto"/>
            </w:tcBorders>
            <w:shd w:val="clear" w:color="auto" w:fill="D9D9D9" w:themeFill="background1" w:themeFillShade="D9"/>
          </w:tcPr>
          <w:p w14:paraId="734B97A9" w14:textId="77777777" w:rsidR="00800A64" w:rsidRDefault="00800A64" w:rsidP="00800A64">
            <w:pPr>
              <w:ind w:left="0"/>
              <w:rPr>
                <w:sz w:val="18"/>
                <w:szCs w:val="18"/>
              </w:rPr>
            </w:pPr>
            <w:proofErr w:type="gramStart"/>
            <w:r>
              <w:rPr>
                <w:sz w:val="18"/>
                <w:szCs w:val="18"/>
              </w:rPr>
              <w:t>7 day</w:t>
            </w:r>
            <w:proofErr w:type="gramEnd"/>
            <w:r>
              <w:rPr>
                <w:sz w:val="18"/>
                <w:szCs w:val="18"/>
              </w:rPr>
              <w:t xml:space="preserve"> recall of household meals</w:t>
            </w:r>
          </w:p>
          <w:p w14:paraId="521817CC" w14:textId="36061D11" w:rsidR="00800A64" w:rsidRPr="00EC3718" w:rsidRDefault="00800A64" w:rsidP="00800A64">
            <w:pPr>
              <w:ind w:left="0"/>
              <w:rPr>
                <w:color w:val="000000" w:themeColor="text1"/>
                <w:sz w:val="18"/>
                <w:szCs w:val="18"/>
              </w:rPr>
            </w:pPr>
            <w:r>
              <w:rPr>
                <w:sz w:val="18"/>
                <w:szCs w:val="18"/>
              </w:rPr>
              <w:t>(n=5503)</w:t>
            </w:r>
          </w:p>
        </w:tc>
        <w:tc>
          <w:tcPr>
            <w:tcW w:w="1701" w:type="dxa"/>
            <w:vMerge w:val="restart"/>
            <w:tcBorders>
              <w:top w:val="single" w:sz="4" w:space="0" w:color="auto"/>
            </w:tcBorders>
            <w:shd w:val="clear" w:color="auto" w:fill="D9D9D9" w:themeFill="background1" w:themeFillShade="D9"/>
          </w:tcPr>
          <w:p w14:paraId="0155CE38" w14:textId="77777777" w:rsidR="00800A64" w:rsidRPr="00EC3718" w:rsidRDefault="00800A64" w:rsidP="00800A64">
            <w:pPr>
              <w:ind w:left="0"/>
              <w:rPr>
                <w:color w:val="000000" w:themeColor="text1"/>
                <w:sz w:val="18"/>
                <w:szCs w:val="18"/>
              </w:rPr>
            </w:pPr>
            <w:r w:rsidRPr="00EC3718">
              <w:rPr>
                <w:color w:val="000000" w:themeColor="text1"/>
                <w:sz w:val="18"/>
                <w:szCs w:val="18"/>
              </w:rPr>
              <w:t xml:space="preserve">Women </w:t>
            </w:r>
          </w:p>
          <w:p w14:paraId="53D4FD67" w14:textId="77777777" w:rsidR="00800A64" w:rsidRPr="00EC3718" w:rsidRDefault="00800A64" w:rsidP="00800A64">
            <w:pPr>
              <w:ind w:left="0"/>
              <w:rPr>
                <w:color w:val="000000" w:themeColor="text1"/>
                <w:sz w:val="18"/>
                <w:szCs w:val="18"/>
              </w:rPr>
            </w:pPr>
            <w:r w:rsidRPr="00EC3718">
              <w:rPr>
                <w:color w:val="000000" w:themeColor="text1"/>
                <w:sz w:val="18"/>
                <w:szCs w:val="18"/>
              </w:rPr>
              <w:t>(n=11,671)</w:t>
            </w:r>
          </w:p>
        </w:tc>
        <w:tc>
          <w:tcPr>
            <w:tcW w:w="1965" w:type="dxa"/>
            <w:tcBorders>
              <w:top w:val="single" w:sz="4" w:space="0" w:color="auto"/>
            </w:tcBorders>
            <w:shd w:val="clear" w:color="auto" w:fill="D9D9D9" w:themeFill="background1" w:themeFillShade="D9"/>
          </w:tcPr>
          <w:p w14:paraId="2D0A4810" w14:textId="77777777" w:rsidR="00800A64" w:rsidRPr="00EC3718" w:rsidRDefault="00800A64" w:rsidP="00800A64">
            <w:pPr>
              <w:ind w:left="0"/>
              <w:rPr>
                <w:color w:val="000000" w:themeColor="text1"/>
                <w:sz w:val="18"/>
                <w:szCs w:val="18"/>
              </w:rPr>
            </w:pPr>
            <w:r w:rsidRPr="00EC3718">
              <w:rPr>
                <w:color w:val="000000" w:themeColor="text1"/>
                <w:sz w:val="18"/>
                <w:szCs w:val="18"/>
              </w:rPr>
              <w:t>Energy, kcal</w:t>
            </w:r>
          </w:p>
        </w:tc>
        <w:tc>
          <w:tcPr>
            <w:tcW w:w="1051" w:type="dxa"/>
            <w:tcBorders>
              <w:top w:val="single" w:sz="4" w:space="0" w:color="auto"/>
            </w:tcBorders>
            <w:shd w:val="clear" w:color="auto" w:fill="D9D9D9" w:themeFill="background1" w:themeFillShade="D9"/>
          </w:tcPr>
          <w:p w14:paraId="7E7B657A" w14:textId="77777777" w:rsidR="00800A64" w:rsidRPr="00105737" w:rsidRDefault="00800A64" w:rsidP="00800A64">
            <w:pPr>
              <w:ind w:left="0"/>
              <w:jc w:val="center"/>
              <w:rPr>
                <w:sz w:val="18"/>
                <w:szCs w:val="18"/>
              </w:rPr>
            </w:pPr>
            <w:r w:rsidRPr="00105737">
              <w:rPr>
                <w:sz w:val="18"/>
                <w:szCs w:val="18"/>
              </w:rPr>
              <w:t>1965</w:t>
            </w:r>
          </w:p>
        </w:tc>
        <w:tc>
          <w:tcPr>
            <w:tcW w:w="1169" w:type="dxa"/>
            <w:tcBorders>
              <w:top w:val="single" w:sz="4" w:space="0" w:color="auto"/>
            </w:tcBorders>
            <w:shd w:val="clear" w:color="auto" w:fill="D9D9D9" w:themeFill="background1" w:themeFillShade="D9"/>
          </w:tcPr>
          <w:p w14:paraId="5EF0E717" w14:textId="77777777" w:rsidR="00800A64" w:rsidRPr="00105737" w:rsidRDefault="00800A64" w:rsidP="00800A64">
            <w:pPr>
              <w:ind w:left="0"/>
              <w:jc w:val="center"/>
              <w:rPr>
                <w:sz w:val="18"/>
                <w:szCs w:val="18"/>
              </w:rPr>
            </w:pPr>
            <w:r w:rsidRPr="00105737">
              <w:rPr>
                <w:sz w:val="18"/>
                <w:szCs w:val="18"/>
              </w:rPr>
              <w:t>2180</w:t>
            </w:r>
          </w:p>
        </w:tc>
        <w:tc>
          <w:tcPr>
            <w:tcW w:w="1564" w:type="dxa"/>
            <w:tcBorders>
              <w:top w:val="single" w:sz="4" w:space="0" w:color="auto"/>
              <w:right w:val="single" w:sz="4" w:space="0" w:color="auto"/>
            </w:tcBorders>
            <w:shd w:val="clear" w:color="auto" w:fill="D9D9D9" w:themeFill="background1" w:themeFillShade="D9"/>
          </w:tcPr>
          <w:p w14:paraId="5ADE3B3D" w14:textId="77777777" w:rsidR="00800A64" w:rsidRPr="00105737" w:rsidRDefault="00800A64" w:rsidP="00800A64">
            <w:pPr>
              <w:ind w:left="0"/>
              <w:jc w:val="center"/>
              <w:rPr>
                <w:sz w:val="18"/>
                <w:szCs w:val="18"/>
              </w:rPr>
            </w:pPr>
            <w:r w:rsidRPr="00105737">
              <w:rPr>
                <w:sz w:val="18"/>
                <w:szCs w:val="18"/>
              </w:rPr>
              <w:t>11</w:t>
            </w:r>
          </w:p>
        </w:tc>
      </w:tr>
      <w:tr w:rsidR="007F4EDE" w14:paraId="58B12AAD" w14:textId="77777777" w:rsidTr="007F7EA3">
        <w:trPr>
          <w:trHeight w:val="224"/>
        </w:trPr>
        <w:tc>
          <w:tcPr>
            <w:tcW w:w="1806" w:type="dxa"/>
            <w:vMerge/>
            <w:tcBorders>
              <w:left w:val="single" w:sz="4" w:space="0" w:color="auto"/>
            </w:tcBorders>
            <w:shd w:val="clear" w:color="auto" w:fill="D9D9D9" w:themeFill="background1" w:themeFillShade="D9"/>
          </w:tcPr>
          <w:p w14:paraId="2836233B" w14:textId="77777777" w:rsidR="007F4EDE" w:rsidRPr="00EC3718" w:rsidRDefault="007F4EDE" w:rsidP="007F4EDE">
            <w:pPr>
              <w:rPr>
                <w:color w:val="000000" w:themeColor="text1"/>
                <w:sz w:val="18"/>
                <w:szCs w:val="18"/>
              </w:rPr>
            </w:pPr>
          </w:p>
        </w:tc>
        <w:tc>
          <w:tcPr>
            <w:tcW w:w="1556" w:type="dxa"/>
            <w:vMerge/>
            <w:shd w:val="clear" w:color="auto" w:fill="D9D9D9" w:themeFill="background1" w:themeFillShade="D9"/>
          </w:tcPr>
          <w:p w14:paraId="3FF24A87" w14:textId="77777777" w:rsidR="007F4EDE" w:rsidRPr="00EC3718" w:rsidRDefault="007F4EDE" w:rsidP="007F4EDE">
            <w:pPr>
              <w:rPr>
                <w:color w:val="000000" w:themeColor="text1"/>
                <w:sz w:val="18"/>
                <w:szCs w:val="18"/>
              </w:rPr>
            </w:pPr>
          </w:p>
        </w:tc>
        <w:tc>
          <w:tcPr>
            <w:tcW w:w="2251" w:type="dxa"/>
            <w:vMerge/>
            <w:shd w:val="clear" w:color="auto" w:fill="D9D9D9" w:themeFill="background1" w:themeFillShade="D9"/>
          </w:tcPr>
          <w:p w14:paraId="4D21EA72" w14:textId="77777777" w:rsidR="007F4EDE" w:rsidRPr="00EC3718" w:rsidRDefault="007F4EDE" w:rsidP="007F4EDE">
            <w:pPr>
              <w:rPr>
                <w:color w:val="000000" w:themeColor="text1"/>
                <w:sz w:val="18"/>
                <w:szCs w:val="18"/>
              </w:rPr>
            </w:pPr>
          </w:p>
        </w:tc>
        <w:tc>
          <w:tcPr>
            <w:tcW w:w="1701" w:type="dxa"/>
            <w:vMerge/>
            <w:shd w:val="clear" w:color="auto" w:fill="D9D9D9" w:themeFill="background1" w:themeFillShade="D9"/>
          </w:tcPr>
          <w:p w14:paraId="292BE33E" w14:textId="77777777" w:rsidR="007F4EDE" w:rsidRPr="00EC3718" w:rsidRDefault="007F4EDE" w:rsidP="007F4EDE">
            <w:pPr>
              <w:rPr>
                <w:color w:val="000000" w:themeColor="text1"/>
                <w:sz w:val="18"/>
                <w:szCs w:val="18"/>
              </w:rPr>
            </w:pPr>
          </w:p>
        </w:tc>
        <w:tc>
          <w:tcPr>
            <w:tcW w:w="1965" w:type="dxa"/>
          </w:tcPr>
          <w:p w14:paraId="13B99479" w14:textId="77777777" w:rsidR="007F4EDE" w:rsidRPr="00EC3718" w:rsidRDefault="007F4EDE" w:rsidP="007F4EDE">
            <w:pPr>
              <w:ind w:left="0"/>
              <w:rPr>
                <w:color w:val="000000" w:themeColor="text1"/>
                <w:sz w:val="18"/>
                <w:szCs w:val="18"/>
              </w:rPr>
            </w:pPr>
            <w:r w:rsidRPr="00EC3718">
              <w:rPr>
                <w:color w:val="000000" w:themeColor="text1"/>
                <w:sz w:val="18"/>
                <w:szCs w:val="18"/>
              </w:rPr>
              <w:t>Protein, g</w:t>
            </w:r>
          </w:p>
        </w:tc>
        <w:tc>
          <w:tcPr>
            <w:tcW w:w="1051" w:type="dxa"/>
          </w:tcPr>
          <w:p w14:paraId="51819C5B" w14:textId="77777777" w:rsidR="007F4EDE" w:rsidRPr="00105737" w:rsidRDefault="007F4EDE" w:rsidP="007F4EDE">
            <w:pPr>
              <w:ind w:left="0"/>
              <w:jc w:val="center"/>
              <w:rPr>
                <w:sz w:val="18"/>
                <w:szCs w:val="18"/>
              </w:rPr>
            </w:pPr>
            <w:r w:rsidRPr="00105737">
              <w:rPr>
                <w:sz w:val="18"/>
                <w:szCs w:val="18"/>
              </w:rPr>
              <w:t>48</w:t>
            </w:r>
          </w:p>
        </w:tc>
        <w:tc>
          <w:tcPr>
            <w:tcW w:w="1169" w:type="dxa"/>
          </w:tcPr>
          <w:p w14:paraId="745823F3" w14:textId="77777777" w:rsidR="007F4EDE" w:rsidRPr="00105737" w:rsidRDefault="007F4EDE" w:rsidP="007F4EDE">
            <w:pPr>
              <w:ind w:left="0"/>
              <w:jc w:val="center"/>
              <w:rPr>
                <w:sz w:val="18"/>
                <w:szCs w:val="18"/>
              </w:rPr>
            </w:pPr>
            <w:r w:rsidRPr="00105737">
              <w:rPr>
                <w:sz w:val="18"/>
                <w:szCs w:val="18"/>
              </w:rPr>
              <w:t>53</w:t>
            </w:r>
          </w:p>
        </w:tc>
        <w:tc>
          <w:tcPr>
            <w:tcW w:w="1564" w:type="dxa"/>
            <w:tcBorders>
              <w:right w:val="single" w:sz="4" w:space="0" w:color="auto"/>
            </w:tcBorders>
          </w:tcPr>
          <w:p w14:paraId="746819C2" w14:textId="77777777" w:rsidR="007F4EDE" w:rsidRPr="00105737" w:rsidRDefault="007F4EDE" w:rsidP="007F4EDE">
            <w:pPr>
              <w:ind w:left="0"/>
              <w:jc w:val="center"/>
              <w:rPr>
                <w:sz w:val="18"/>
                <w:szCs w:val="18"/>
              </w:rPr>
            </w:pPr>
            <w:r w:rsidRPr="00105737">
              <w:rPr>
                <w:sz w:val="18"/>
                <w:szCs w:val="18"/>
              </w:rPr>
              <w:t>12</w:t>
            </w:r>
          </w:p>
        </w:tc>
      </w:tr>
      <w:tr w:rsidR="007F4EDE" w14:paraId="5C48E019" w14:textId="77777777" w:rsidTr="007F7EA3">
        <w:trPr>
          <w:trHeight w:val="224"/>
        </w:trPr>
        <w:tc>
          <w:tcPr>
            <w:tcW w:w="1806" w:type="dxa"/>
            <w:vMerge/>
            <w:tcBorders>
              <w:left w:val="single" w:sz="4" w:space="0" w:color="auto"/>
            </w:tcBorders>
            <w:shd w:val="clear" w:color="auto" w:fill="D9D9D9" w:themeFill="background1" w:themeFillShade="D9"/>
          </w:tcPr>
          <w:p w14:paraId="1FBF0AC9" w14:textId="77777777" w:rsidR="007F4EDE" w:rsidRPr="006E189F" w:rsidRDefault="007F4EDE" w:rsidP="007F4EDE">
            <w:pPr>
              <w:rPr>
                <w:sz w:val="18"/>
                <w:szCs w:val="18"/>
              </w:rPr>
            </w:pPr>
          </w:p>
        </w:tc>
        <w:tc>
          <w:tcPr>
            <w:tcW w:w="1556" w:type="dxa"/>
            <w:vMerge/>
            <w:shd w:val="clear" w:color="auto" w:fill="D9D9D9" w:themeFill="background1" w:themeFillShade="D9"/>
          </w:tcPr>
          <w:p w14:paraId="7F0D95FC" w14:textId="77777777" w:rsidR="007F4EDE" w:rsidRPr="00E90B70" w:rsidRDefault="007F4EDE" w:rsidP="007F4EDE">
            <w:pPr>
              <w:rPr>
                <w:sz w:val="18"/>
                <w:szCs w:val="18"/>
              </w:rPr>
            </w:pPr>
          </w:p>
        </w:tc>
        <w:tc>
          <w:tcPr>
            <w:tcW w:w="2251" w:type="dxa"/>
            <w:vMerge/>
            <w:shd w:val="clear" w:color="auto" w:fill="D9D9D9" w:themeFill="background1" w:themeFillShade="D9"/>
          </w:tcPr>
          <w:p w14:paraId="473FE400" w14:textId="77777777" w:rsidR="007F4EDE" w:rsidRPr="00E90B70" w:rsidRDefault="007F4EDE" w:rsidP="007F4EDE">
            <w:pPr>
              <w:rPr>
                <w:sz w:val="18"/>
                <w:szCs w:val="18"/>
              </w:rPr>
            </w:pPr>
          </w:p>
        </w:tc>
        <w:tc>
          <w:tcPr>
            <w:tcW w:w="1701" w:type="dxa"/>
            <w:vMerge/>
            <w:shd w:val="clear" w:color="auto" w:fill="D9D9D9" w:themeFill="background1" w:themeFillShade="D9"/>
          </w:tcPr>
          <w:p w14:paraId="791AACC9" w14:textId="77777777" w:rsidR="007F4EDE" w:rsidRDefault="007F4EDE" w:rsidP="007F4EDE">
            <w:pPr>
              <w:rPr>
                <w:sz w:val="18"/>
                <w:szCs w:val="18"/>
              </w:rPr>
            </w:pPr>
          </w:p>
        </w:tc>
        <w:tc>
          <w:tcPr>
            <w:tcW w:w="1965" w:type="dxa"/>
            <w:shd w:val="clear" w:color="auto" w:fill="D9D9D9" w:themeFill="background1" w:themeFillShade="D9"/>
          </w:tcPr>
          <w:p w14:paraId="0F63A497" w14:textId="77777777" w:rsidR="007F4EDE" w:rsidRPr="00105737" w:rsidRDefault="007F4EDE" w:rsidP="007F4EDE">
            <w:pPr>
              <w:ind w:left="0"/>
              <w:rPr>
                <w:sz w:val="18"/>
                <w:szCs w:val="18"/>
              </w:rPr>
            </w:pPr>
            <w:r w:rsidRPr="00105737">
              <w:rPr>
                <w:sz w:val="18"/>
                <w:szCs w:val="18"/>
              </w:rPr>
              <w:t>Carbohydrates, g</w:t>
            </w:r>
          </w:p>
        </w:tc>
        <w:tc>
          <w:tcPr>
            <w:tcW w:w="1051" w:type="dxa"/>
            <w:shd w:val="clear" w:color="auto" w:fill="D9D9D9" w:themeFill="background1" w:themeFillShade="D9"/>
          </w:tcPr>
          <w:p w14:paraId="7CADFB36" w14:textId="77777777" w:rsidR="007F4EDE" w:rsidRPr="00105737" w:rsidRDefault="007F4EDE" w:rsidP="007F4EDE">
            <w:pPr>
              <w:ind w:left="0"/>
              <w:jc w:val="center"/>
              <w:rPr>
                <w:sz w:val="18"/>
                <w:szCs w:val="18"/>
              </w:rPr>
            </w:pPr>
            <w:r w:rsidRPr="00105737">
              <w:rPr>
                <w:sz w:val="18"/>
                <w:szCs w:val="18"/>
              </w:rPr>
              <w:t>379</w:t>
            </w:r>
          </w:p>
        </w:tc>
        <w:tc>
          <w:tcPr>
            <w:tcW w:w="1169" w:type="dxa"/>
            <w:shd w:val="clear" w:color="auto" w:fill="D9D9D9" w:themeFill="background1" w:themeFillShade="D9"/>
          </w:tcPr>
          <w:p w14:paraId="398B35F6" w14:textId="77777777" w:rsidR="007F4EDE" w:rsidRPr="00105737" w:rsidRDefault="007F4EDE" w:rsidP="007F4EDE">
            <w:pPr>
              <w:ind w:left="0"/>
              <w:jc w:val="center"/>
              <w:rPr>
                <w:sz w:val="18"/>
                <w:szCs w:val="18"/>
              </w:rPr>
            </w:pPr>
            <w:r w:rsidRPr="00105737">
              <w:rPr>
                <w:sz w:val="18"/>
                <w:szCs w:val="18"/>
              </w:rPr>
              <w:t>416</w:t>
            </w:r>
          </w:p>
        </w:tc>
        <w:tc>
          <w:tcPr>
            <w:tcW w:w="1564" w:type="dxa"/>
            <w:tcBorders>
              <w:right w:val="single" w:sz="4" w:space="0" w:color="auto"/>
            </w:tcBorders>
            <w:shd w:val="clear" w:color="auto" w:fill="D9D9D9" w:themeFill="background1" w:themeFillShade="D9"/>
          </w:tcPr>
          <w:p w14:paraId="2CA1F536" w14:textId="77777777" w:rsidR="007F4EDE" w:rsidRPr="00105737" w:rsidRDefault="007F4EDE" w:rsidP="007F4EDE">
            <w:pPr>
              <w:ind w:left="0"/>
              <w:jc w:val="center"/>
              <w:rPr>
                <w:sz w:val="18"/>
                <w:szCs w:val="18"/>
              </w:rPr>
            </w:pPr>
            <w:r w:rsidRPr="00105737">
              <w:rPr>
                <w:sz w:val="18"/>
                <w:szCs w:val="18"/>
              </w:rPr>
              <w:t>10</w:t>
            </w:r>
          </w:p>
        </w:tc>
      </w:tr>
      <w:tr w:rsidR="007F4EDE" w14:paraId="0F6ACF89" w14:textId="77777777" w:rsidTr="007F7EA3">
        <w:trPr>
          <w:trHeight w:val="224"/>
        </w:trPr>
        <w:tc>
          <w:tcPr>
            <w:tcW w:w="1806" w:type="dxa"/>
            <w:vMerge/>
            <w:tcBorders>
              <w:left w:val="single" w:sz="4" w:space="0" w:color="auto"/>
            </w:tcBorders>
            <w:shd w:val="clear" w:color="auto" w:fill="D9D9D9" w:themeFill="background1" w:themeFillShade="D9"/>
          </w:tcPr>
          <w:p w14:paraId="72CA03DC" w14:textId="77777777" w:rsidR="007F4EDE" w:rsidRPr="006E189F" w:rsidRDefault="007F4EDE" w:rsidP="007F4EDE">
            <w:pPr>
              <w:rPr>
                <w:sz w:val="18"/>
                <w:szCs w:val="18"/>
              </w:rPr>
            </w:pPr>
          </w:p>
        </w:tc>
        <w:tc>
          <w:tcPr>
            <w:tcW w:w="1556" w:type="dxa"/>
            <w:vMerge/>
            <w:shd w:val="clear" w:color="auto" w:fill="D9D9D9" w:themeFill="background1" w:themeFillShade="D9"/>
          </w:tcPr>
          <w:p w14:paraId="4B02F486" w14:textId="77777777" w:rsidR="007F4EDE" w:rsidRPr="00E90B70" w:rsidRDefault="007F4EDE" w:rsidP="007F4EDE">
            <w:pPr>
              <w:rPr>
                <w:sz w:val="18"/>
                <w:szCs w:val="18"/>
              </w:rPr>
            </w:pPr>
          </w:p>
        </w:tc>
        <w:tc>
          <w:tcPr>
            <w:tcW w:w="2251" w:type="dxa"/>
            <w:vMerge/>
            <w:shd w:val="clear" w:color="auto" w:fill="D9D9D9" w:themeFill="background1" w:themeFillShade="D9"/>
          </w:tcPr>
          <w:p w14:paraId="4B6B9E35" w14:textId="77777777" w:rsidR="007F4EDE" w:rsidRPr="00E90B70" w:rsidRDefault="007F4EDE" w:rsidP="007F4EDE">
            <w:pPr>
              <w:rPr>
                <w:sz w:val="18"/>
                <w:szCs w:val="18"/>
              </w:rPr>
            </w:pPr>
          </w:p>
        </w:tc>
        <w:tc>
          <w:tcPr>
            <w:tcW w:w="1701" w:type="dxa"/>
            <w:vMerge/>
            <w:shd w:val="clear" w:color="auto" w:fill="D9D9D9" w:themeFill="background1" w:themeFillShade="D9"/>
          </w:tcPr>
          <w:p w14:paraId="7AA135CF" w14:textId="77777777" w:rsidR="007F4EDE" w:rsidRDefault="007F4EDE" w:rsidP="007F4EDE">
            <w:pPr>
              <w:rPr>
                <w:sz w:val="18"/>
                <w:szCs w:val="18"/>
              </w:rPr>
            </w:pPr>
          </w:p>
        </w:tc>
        <w:tc>
          <w:tcPr>
            <w:tcW w:w="1965" w:type="dxa"/>
          </w:tcPr>
          <w:p w14:paraId="159A4F3F" w14:textId="77777777" w:rsidR="007F4EDE" w:rsidRPr="00105737" w:rsidRDefault="007F4EDE" w:rsidP="007F4EDE">
            <w:pPr>
              <w:ind w:left="0"/>
              <w:rPr>
                <w:sz w:val="18"/>
                <w:szCs w:val="18"/>
              </w:rPr>
            </w:pPr>
            <w:r w:rsidRPr="00105737">
              <w:rPr>
                <w:sz w:val="18"/>
                <w:szCs w:val="18"/>
              </w:rPr>
              <w:t>Total fat, g</w:t>
            </w:r>
          </w:p>
        </w:tc>
        <w:tc>
          <w:tcPr>
            <w:tcW w:w="1051" w:type="dxa"/>
          </w:tcPr>
          <w:p w14:paraId="5BDEDFE7" w14:textId="77777777" w:rsidR="007F4EDE" w:rsidRPr="00105737" w:rsidRDefault="007F4EDE" w:rsidP="007F4EDE">
            <w:pPr>
              <w:ind w:left="0"/>
              <w:jc w:val="center"/>
              <w:rPr>
                <w:sz w:val="18"/>
                <w:szCs w:val="18"/>
              </w:rPr>
            </w:pPr>
            <w:r w:rsidRPr="00105737">
              <w:rPr>
                <w:sz w:val="18"/>
                <w:szCs w:val="18"/>
              </w:rPr>
              <w:t>24</w:t>
            </w:r>
          </w:p>
        </w:tc>
        <w:tc>
          <w:tcPr>
            <w:tcW w:w="1169" w:type="dxa"/>
          </w:tcPr>
          <w:p w14:paraId="10408DB8" w14:textId="77777777" w:rsidR="007F4EDE" w:rsidRPr="00105737" w:rsidRDefault="007F4EDE" w:rsidP="007F4EDE">
            <w:pPr>
              <w:ind w:left="0"/>
              <w:jc w:val="center"/>
              <w:rPr>
                <w:sz w:val="18"/>
                <w:szCs w:val="18"/>
              </w:rPr>
            </w:pPr>
            <w:r w:rsidRPr="00105737">
              <w:rPr>
                <w:sz w:val="18"/>
                <w:szCs w:val="18"/>
              </w:rPr>
              <w:t>29</w:t>
            </w:r>
          </w:p>
        </w:tc>
        <w:tc>
          <w:tcPr>
            <w:tcW w:w="1564" w:type="dxa"/>
            <w:tcBorders>
              <w:right w:val="single" w:sz="4" w:space="0" w:color="auto"/>
            </w:tcBorders>
          </w:tcPr>
          <w:p w14:paraId="1789756F" w14:textId="77777777" w:rsidR="007F4EDE" w:rsidRPr="00105737" w:rsidRDefault="007F4EDE" w:rsidP="007F4EDE">
            <w:pPr>
              <w:ind w:left="0"/>
              <w:jc w:val="center"/>
              <w:rPr>
                <w:sz w:val="18"/>
                <w:szCs w:val="18"/>
              </w:rPr>
            </w:pPr>
            <w:r w:rsidRPr="00105737">
              <w:rPr>
                <w:sz w:val="18"/>
                <w:szCs w:val="18"/>
              </w:rPr>
              <w:t>17</w:t>
            </w:r>
          </w:p>
        </w:tc>
      </w:tr>
      <w:tr w:rsidR="007F4EDE" w14:paraId="7C9DA2E8" w14:textId="77777777" w:rsidTr="007F7EA3">
        <w:trPr>
          <w:trHeight w:val="224"/>
        </w:trPr>
        <w:tc>
          <w:tcPr>
            <w:tcW w:w="1806" w:type="dxa"/>
            <w:vMerge/>
            <w:tcBorders>
              <w:left w:val="single" w:sz="4" w:space="0" w:color="auto"/>
            </w:tcBorders>
            <w:shd w:val="clear" w:color="auto" w:fill="D9D9D9" w:themeFill="background1" w:themeFillShade="D9"/>
          </w:tcPr>
          <w:p w14:paraId="0FA874B1" w14:textId="77777777" w:rsidR="007F4EDE" w:rsidRPr="006E189F" w:rsidRDefault="007F4EDE" w:rsidP="007F4EDE">
            <w:pPr>
              <w:rPr>
                <w:sz w:val="18"/>
                <w:szCs w:val="18"/>
              </w:rPr>
            </w:pPr>
          </w:p>
        </w:tc>
        <w:tc>
          <w:tcPr>
            <w:tcW w:w="1556" w:type="dxa"/>
            <w:vMerge/>
            <w:shd w:val="clear" w:color="auto" w:fill="D9D9D9" w:themeFill="background1" w:themeFillShade="D9"/>
          </w:tcPr>
          <w:p w14:paraId="4C916D70" w14:textId="77777777" w:rsidR="007F4EDE" w:rsidRPr="00E90B70" w:rsidRDefault="007F4EDE" w:rsidP="007F4EDE">
            <w:pPr>
              <w:rPr>
                <w:sz w:val="18"/>
                <w:szCs w:val="18"/>
              </w:rPr>
            </w:pPr>
          </w:p>
        </w:tc>
        <w:tc>
          <w:tcPr>
            <w:tcW w:w="2251" w:type="dxa"/>
            <w:vMerge/>
            <w:shd w:val="clear" w:color="auto" w:fill="D9D9D9" w:themeFill="background1" w:themeFillShade="D9"/>
          </w:tcPr>
          <w:p w14:paraId="022031F1" w14:textId="77777777" w:rsidR="007F4EDE" w:rsidRPr="00E90B70" w:rsidRDefault="007F4EDE" w:rsidP="007F4EDE">
            <w:pPr>
              <w:rPr>
                <w:sz w:val="18"/>
                <w:szCs w:val="18"/>
              </w:rPr>
            </w:pPr>
          </w:p>
        </w:tc>
        <w:tc>
          <w:tcPr>
            <w:tcW w:w="1701" w:type="dxa"/>
            <w:vMerge/>
            <w:shd w:val="clear" w:color="auto" w:fill="D9D9D9" w:themeFill="background1" w:themeFillShade="D9"/>
          </w:tcPr>
          <w:p w14:paraId="28288C45" w14:textId="77777777" w:rsidR="007F4EDE" w:rsidRDefault="007F4EDE" w:rsidP="007F4EDE">
            <w:pPr>
              <w:rPr>
                <w:sz w:val="18"/>
                <w:szCs w:val="18"/>
              </w:rPr>
            </w:pPr>
          </w:p>
        </w:tc>
        <w:tc>
          <w:tcPr>
            <w:tcW w:w="1965" w:type="dxa"/>
            <w:shd w:val="clear" w:color="auto" w:fill="D9D9D9" w:themeFill="background1" w:themeFillShade="D9"/>
          </w:tcPr>
          <w:p w14:paraId="369A02DE" w14:textId="77777777" w:rsidR="007F4EDE" w:rsidRPr="00105737" w:rsidRDefault="007F4EDE" w:rsidP="007F4EDE">
            <w:pPr>
              <w:ind w:left="0"/>
              <w:rPr>
                <w:sz w:val="18"/>
                <w:szCs w:val="18"/>
              </w:rPr>
            </w:pPr>
            <w:r w:rsidRPr="00105737">
              <w:rPr>
                <w:sz w:val="18"/>
                <w:szCs w:val="18"/>
              </w:rPr>
              <w:t xml:space="preserve">Vitamin A RAE, </w:t>
            </w:r>
            <w:r w:rsidRPr="00105737">
              <w:rPr>
                <w:sz w:val="18"/>
                <w:szCs w:val="18"/>
              </w:rPr>
              <w:sym w:font="Symbol" w:char="F06D"/>
            </w:r>
            <w:r w:rsidRPr="00105737">
              <w:rPr>
                <w:sz w:val="18"/>
                <w:szCs w:val="18"/>
              </w:rPr>
              <w:t>g</w:t>
            </w:r>
          </w:p>
        </w:tc>
        <w:tc>
          <w:tcPr>
            <w:tcW w:w="1051" w:type="dxa"/>
            <w:shd w:val="clear" w:color="auto" w:fill="D9D9D9" w:themeFill="background1" w:themeFillShade="D9"/>
          </w:tcPr>
          <w:p w14:paraId="4D6CDA49" w14:textId="77777777" w:rsidR="007F4EDE" w:rsidRPr="00105737" w:rsidRDefault="007F4EDE" w:rsidP="007F4EDE">
            <w:pPr>
              <w:ind w:left="0"/>
              <w:jc w:val="center"/>
              <w:rPr>
                <w:sz w:val="18"/>
                <w:szCs w:val="18"/>
              </w:rPr>
            </w:pPr>
            <w:r w:rsidRPr="00105737">
              <w:rPr>
                <w:sz w:val="18"/>
                <w:szCs w:val="18"/>
              </w:rPr>
              <w:t>210</w:t>
            </w:r>
          </w:p>
        </w:tc>
        <w:tc>
          <w:tcPr>
            <w:tcW w:w="1169" w:type="dxa"/>
            <w:shd w:val="clear" w:color="auto" w:fill="D9D9D9" w:themeFill="background1" w:themeFillShade="D9"/>
          </w:tcPr>
          <w:p w14:paraId="63FF01FA" w14:textId="77777777" w:rsidR="007F4EDE" w:rsidRPr="00105737" w:rsidRDefault="007F4EDE" w:rsidP="007F4EDE">
            <w:pPr>
              <w:ind w:left="0"/>
              <w:jc w:val="center"/>
              <w:rPr>
                <w:sz w:val="18"/>
                <w:szCs w:val="18"/>
              </w:rPr>
            </w:pPr>
            <w:r w:rsidRPr="00105737">
              <w:rPr>
                <w:sz w:val="18"/>
                <w:szCs w:val="18"/>
              </w:rPr>
              <w:t>307</w:t>
            </w:r>
          </w:p>
        </w:tc>
        <w:tc>
          <w:tcPr>
            <w:tcW w:w="1564" w:type="dxa"/>
            <w:tcBorders>
              <w:right w:val="single" w:sz="4" w:space="0" w:color="auto"/>
            </w:tcBorders>
            <w:shd w:val="clear" w:color="auto" w:fill="D9D9D9" w:themeFill="background1" w:themeFillShade="D9"/>
          </w:tcPr>
          <w:p w14:paraId="48FBBD65" w14:textId="77777777" w:rsidR="007F4EDE" w:rsidRPr="00105737" w:rsidRDefault="007F4EDE" w:rsidP="007F4EDE">
            <w:pPr>
              <w:ind w:left="0"/>
              <w:jc w:val="center"/>
              <w:rPr>
                <w:sz w:val="18"/>
                <w:szCs w:val="18"/>
              </w:rPr>
            </w:pPr>
            <w:r w:rsidRPr="00105737">
              <w:rPr>
                <w:sz w:val="18"/>
                <w:szCs w:val="18"/>
              </w:rPr>
              <w:t>46</w:t>
            </w:r>
          </w:p>
        </w:tc>
      </w:tr>
      <w:tr w:rsidR="007F4EDE" w14:paraId="103BAEC1" w14:textId="77777777" w:rsidTr="007F7EA3">
        <w:trPr>
          <w:trHeight w:val="224"/>
        </w:trPr>
        <w:tc>
          <w:tcPr>
            <w:tcW w:w="1806" w:type="dxa"/>
            <w:vMerge/>
            <w:tcBorders>
              <w:left w:val="single" w:sz="4" w:space="0" w:color="auto"/>
            </w:tcBorders>
            <w:shd w:val="clear" w:color="auto" w:fill="D9D9D9" w:themeFill="background1" w:themeFillShade="D9"/>
          </w:tcPr>
          <w:p w14:paraId="467F889B" w14:textId="77777777" w:rsidR="007F4EDE" w:rsidRPr="006E189F" w:rsidRDefault="007F4EDE" w:rsidP="007F4EDE">
            <w:pPr>
              <w:rPr>
                <w:sz w:val="18"/>
                <w:szCs w:val="18"/>
              </w:rPr>
            </w:pPr>
          </w:p>
        </w:tc>
        <w:tc>
          <w:tcPr>
            <w:tcW w:w="1556" w:type="dxa"/>
            <w:vMerge/>
            <w:shd w:val="clear" w:color="auto" w:fill="D9D9D9" w:themeFill="background1" w:themeFillShade="D9"/>
          </w:tcPr>
          <w:p w14:paraId="25A8728F" w14:textId="77777777" w:rsidR="007F4EDE" w:rsidRPr="00E90B70" w:rsidRDefault="007F4EDE" w:rsidP="007F4EDE">
            <w:pPr>
              <w:rPr>
                <w:sz w:val="18"/>
                <w:szCs w:val="18"/>
              </w:rPr>
            </w:pPr>
          </w:p>
        </w:tc>
        <w:tc>
          <w:tcPr>
            <w:tcW w:w="2251" w:type="dxa"/>
            <w:vMerge/>
            <w:shd w:val="clear" w:color="auto" w:fill="D9D9D9" w:themeFill="background1" w:themeFillShade="D9"/>
          </w:tcPr>
          <w:p w14:paraId="4A3FA008" w14:textId="77777777" w:rsidR="007F4EDE" w:rsidRPr="00E90B70" w:rsidRDefault="007F4EDE" w:rsidP="007F4EDE">
            <w:pPr>
              <w:rPr>
                <w:sz w:val="18"/>
                <w:szCs w:val="18"/>
              </w:rPr>
            </w:pPr>
          </w:p>
        </w:tc>
        <w:tc>
          <w:tcPr>
            <w:tcW w:w="1701" w:type="dxa"/>
            <w:vMerge/>
            <w:shd w:val="clear" w:color="auto" w:fill="D9D9D9" w:themeFill="background1" w:themeFillShade="D9"/>
          </w:tcPr>
          <w:p w14:paraId="05EB22B5" w14:textId="77777777" w:rsidR="007F4EDE" w:rsidRDefault="007F4EDE" w:rsidP="007F4EDE">
            <w:pPr>
              <w:rPr>
                <w:sz w:val="18"/>
                <w:szCs w:val="18"/>
              </w:rPr>
            </w:pPr>
          </w:p>
        </w:tc>
        <w:tc>
          <w:tcPr>
            <w:tcW w:w="1965" w:type="dxa"/>
          </w:tcPr>
          <w:p w14:paraId="289F3E64" w14:textId="77777777" w:rsidR="007F4EDE" w:rsidRPr="00105737" w:rsidRDefault="007F4EDE" w:rsidP="007F4EDE">
            <w:pPr>
              <w:ind w:left="0"/>
              <w:rPr>
                <w:sz w:val="18"/>
                <w:szCs w:val="18"/>
              </w:rPr>
            </w:pPr>
            <w:r w:rsidRPr="00105737">
              <w:rPr>
                <w:sz w:val="18"/>
                <w:szCs w:val="18"/>
              </w:rPr>
              <w:t xml:space="preserve">Vitamin D, </w:t>
            </w:r>
            <w:r w:rsidRPr="00105737">
              <w:rPr>
                <w:sz w:val="18"/>
                <w:szCs w:val="18"/>
              </w:rPr>
              <w:sym w:font="Symbol" w:char="F06D"/>
            </w:r>
            <w:r w:rsidRPr="00105737">
              <w:rPr>
                <w:sz w:val="18"/>
                <w:szCs w:val="18"/>
              </w:rPr>
              <w:t>g</w:t>
            </w:r>
          </w:p>
        </w:tc>
        <w:tc>
          <w:tcPr>
            <w:tcW w:w="1051" w:type="dxa"/>
          </w:tcPr>
          <w:p w14:paraId="0029447E" w14:textId="77777777" w:rsidR="007F4EDE" w:rsidRPr="00105737" w:rsidRDefault="007F4EDE" w:rsidP="007F4EDE">
            <w:pPr>
              <w:ind w:left="0"/>
              <w:jc w:val="center"/>
              <w:rPr>
                <w:sz w:val="18"/>
                <w:szCs w:val="18"/>
              </w:rPr>
            </w:pPr>
            <w:r w:rsidRPr="00105737">
              <w:rPr>
                <w:sz w:val="18"/>
                <w:szCs w:val="18"/>
              </w:rPr>
              <w:t>1.1</w:t>
            </w:r>
          </w:p>
        </w:tc>
        <w:tc>
          <w:tcPr>
            <w:tcW w:w="1169" w:type="dxa"/>
          </w:tcPr>
          <w:p w14:paraId="4A355829" w14:textId="77777777" w:rsidR="007F4EDE" w:rsidRPr="00105737" w:rsidRDefault="007F4EDE" w:rsidP="007F4EDE">
            <w:pPr>
              <w:ind w:left="0"/>
              <w:jc w:val="center"/>
              <w:rPr>
                <w:sz w:val="18"/>
                <w:szCs w:val="18"/>
              </w:rPr>
            </w:pPr>
            <w:r w:rsidRPr="00105737">
              <w:rPr>
                <w:sz w:val="18"/>
                <w:szCs w:val="18"/>
              </w:rPr>
              <w:t>1.2</w:t>
            </w:r>
          </w:p>
        </w:tc>
        <w:tc>
          <w:tcPr>
            <w:tcW w:w="1564" w:type="dxa"/>
            <w:tcBorders>
              <w:right w:val="single" w:sz="4" w:space="0" w:color="auto"/>
            </w:tcBorders>
          </w:tcPr>
          <w:p w14:paraId="7B83F42F" w14:textId="77777777" w:rsidR="007F4EDE" w:rsidRPr="00105737" w:rsidRDefault="007F4EDE" w:rsidP="007F4EDE">
            <w:pPr>
              <w:ind w:left="0"/>
              <w:jc w:val="center"/>
              <w:rPr>
                <w:sz w:val="18"/>
                <w:szCs w:val="18"/>
              </w:rPr>
            </w:pPr>
            <w:r w:rsidRPr="00105737">
              <w:rPr>
                <w:sz w:val="18"/>
                <w:szCs w:val="18"/>
              </w:rPr>
              <w:t>18</w:t>
            </w:r>
          </w:p>
        </w:tc>
      </w:tr>
      <w:tr w:rsidR="007F4EDE" w14:paraId="5C9F7B04" w14:textId="77777777" w:rsidTr="007F7EA3">
        <w:trPr>
          <w:trHeight w:val="224"/>
        </w:trPr>
        <w:tc>
          <w:tcPr>
            <w:tcW w:w="1806" w:type="dxa"/>
            <w:vMerge/>
            <w:tcBorders>
              <w:left w:val="single" w:sz="4" w:space="0" w:color="auto"/>
            </w:tcBorders>
            <w:shd w:val="clear" w:color="auto" w:fill="D9D9D9" w:themeFill="background1" w:themeFillShade="D9"/>
          </w:tcPr>
          <w:p w14:paraId="5CABE95E" w14:textId="77777777" w:rsidR="007F4EDE" w:rsidRPr="006E189F" w:rsidRDefault="007F4EDE" w:rsidP="007F4EDE">
            <w:pPr>
              <w:rPr>
                <w:sz w:val="18"/>
                <w:szCs w:val="18"/>
              </w:rPr>
            </w:pPr>
          </w:p>
        </w:tc>
        <w:tc>
          <w:tcPr>
            <w:tcW w:w="1556" w:type="dxa"/>
            <w:vMerge/>
            <w:shd w:val="clear" w:color="auto" w:fill="D9D9D9" w:themeFill="background1" w:themeFillShade="D9"/>
          </w:tcPr>
          <w:p w14:paraId="4A24B163" w14:textId="77777777" w:rsidR="007F4EDE" w:rsidRPr="00E90B70" w:rsidRDefault="007F4EDE" w:rsidP="007F4EDE">
            <w:pPr>
              <w:rPr>
                <w:sz w:val="18"/>
                <w:szCs w:val="18"/>
              </w:rPr>
            </w:pPr>
          </w:p>
        </w:tc>
        <w:tc>
          <w:tcPr>
            <w:tcW w:w="2251" w:type="dxa"/>
            <w:vMerge/>
            <w:shd w:val="clear" w:color="auto" w:fill="D9D9D9" w:themeFill="background1" w:themeFillShade="D9"/>
          </w:tcPr>
          <w:p w14:paraId="7CB5EE90" w14:textId="77777777" w:rsidR="007F4EDE" w:rsidRPr="00E90B70" w:rsidRDefault="007F4EDE" w:rsidP="007F4EDE">
            <w:pPr>
              <w:rPr>
                <w:sz w:val="18"/>
                <w:szCs w:val="18"/>
              </w:rPr>
            </w:pPr>
          </w:p>
        </w:tc>
        <w:tc>
          <w:tcPr>
            <w:tcW w:w="1701" w:type="dxa"/>
            <w:vMerge/>
            <w:shd w:val="clear" w:color="auto" w:fill="D9D9D9" w:themeFill="background1" w:themeFillShade="D9"/>
          </w:tcPr>
          <w:p w14:paraId="6A8E1514" w14:textId="77777777" w:rsidR="007F4EDE" w:rsidRDefault="007F4EDE" w:rsidP="007F4EDE">
            <w:pPr>
              <w:rPr>
                <w:sz w:val="18"/>
                <w:szCs w:val="18"/>
              </w:rPr>
            </w:pPr>
          </w:p>
        </w:tc>
        <w:tc>
          <w:tcPr>
            <w:tcW w:w="1965" w:type="dxa"/>
            <w:shd w:val="clear" w:color="auto" w:fill="D9D9D9" w:themeFill="background1" w:themeFillShade="D9"/>
          </w:tcPr>
          <w:p w14:paraId="67CB8963" w14:textId="77777777" w:rsidR="007F4EDE" w:rsidRPr="00105737" w:rsidRDefault="007F4EDE" w:rsidP="007F4EDE">
            <w:pPr>
              <w:ind w:left="0"/>
              <w:rPr>
                <w:sz w:val="18"/>
                <w:szCs w:val="18"/>
              </w:rPr>
            </w:pPr>
            <w:r w:rsidRPr="00105737">
              <w:rPr>
                <w:sz w:val="18"/>
                <w:szCs w:val="18"/>
              </w:rPr>
              <w:t>Vitamin E, mg</w:t>
            </w:r>
          </w:p>
        </w:tc>
        <w:tc>
          <w:tcPr>
            <w:tcW w:w="1051" w:type="dxa"/>
            <w:shd w:val="clear" w:color="auto" w:fill="D9D9D9" w:themeFill="background1" w:themeFillShade="D9"/>
          </w:tcPr>
          <w:p w14:paraId="0662951A" w14:textId="77777777" w:rsidR="007F4EDE" w:rsidRPr="00105737" w:rsidRDefault="007F4EDE" w:rsidP="007F4EDE">
            <w:pPr>
              <w:ind w:left="0"/>
              <w:jc w:val="center"/>
              <w:rPr>
                <w:sz w:val="18"/>
                <w:szCs w:val="18"/>
              </w:rPr>
            </w:pPr>
            <w:r w:rsidRPr="00105737">
              <w:rPr>
                <w:sz w:val="18"/>
                <w:szCs w:val="18"/>
              </w:rPr>
              <w:t>4.3</w:t>
            </w:r>
          </w:p>
        </w:tc>
        <w:tc>
          <w:tcPr>
            <w:tcW w:w="1169" w:type="dxa"/>
            <w:shd w:val="clear" w:color="auto" w:fill="D9D9D9" w:themeFill="background1" w:themeFillShade="D9"/>
          </w:tcPr>
          <w:p w14:paraId="0EFEBCC6" w14:textId="77777777" w:rsidR="007F4EDE" w:rsidRPr="00105737" w:rsidRDefault="007F4EDE" w:rsidP="007F4EDE">
            <w:pPr>
              <w:ind w:left="0"/>
              <w:jc w:val="center"/>
              <w:rPr>
                <w:sz w:val="18"/>
                <w:szCs w:val="18"/>
              </w:rPr>
            </w:pPr>
            <w:r w:rsidRPr="00105737">
              <w:rPr>
                <w:sz w:val="18"/>
                <w:szCs w:val="18"/>
              </w:rPr>
              <w:t>5.1</w:t>
            </w:r>
          </w:p>
        </w:tc>
        <w:tc>
          <w:tcPr>
            <w:tcW w:w="1564" w:type="dxa"/>
            <w:tcBorders>
              <w:right w:val="single" w:sz="4" w:space="0" w:color="auto"/>
            </w:tcBorders>
            <w:shd w:val="clear" w:color="auto" w:fill="D9D9D9" w:themeFill="background1" w:themeFillShade="D9"/>
          </w:tcPr>
          <w:p w14:paraId="5D9C9F7E" w14:textId="77777777" w:rsidR="007F4EDE" w:rsidRPr="00105737" w:rsidRDefault="007F4EDE" w:rsidP="007F4EDE">
            <w:pPr>
              <w:ind w:left="0"/>
              <w:jc w:val="center"/>
              <w:rPr>
                <w:sz w:val="18"/>
                <w:szCs w:val="18"/>
              </w:rPr>
            </w:pPr>
            <w:r w:rsidRPr="00105737">
              <w:rPr>
                <w:sz w:val="18"/>
                <w:szCs w:val="18"/>
              </w:rPr>
              <w:t>19</w:t>
            </w:r>
          </w:p>
        </w:tc>
      </w:tr>
      <w:tr w:rsidR="007F4EDE" w14:paraId="3889C8AC" w14:textId="77777777" w:rsidTr="007F7EA3">
        <w:trPr>
          <w:trHeight w:val="224"/>
        </w:trPr>
        <w:tc>
          <w:tcPr>
            <w:tcW w:w="1806" w:type="dxa"/>
            <w:vMerge/>
            <w:tcBorders>
              <w:left w:val="single" w:sz="4" w:space="0" w:color="auto"/>
            </w:tcBorders>
            <w:shd w:val="clear" w:color="auto" w:fill="D9D9D9" w:themeFill="background1" w:themeFillShade="D9"/>
          </w:tcPr>
          <w:p w14:paraId="6D3F24EA" w14:textId="77777777" w:rsidR="007F4EDE" w:rsidRPr="006E189F" w:rsidRDefault="007F4EDE" w:rsidP="007F4EDE">
            <w:pPr>
              <w:rPr>
                <w:sz w:val="18"/>
                <w:szCs w:val="18"/>
              </w:rPr>
            </w:pPr>
          </w:p>
        </w:tc>
        <w:tc>
          <w:tcPr>
            <w:tcW w:w="1556" w:type="dxa"/>
            <w:vMerge/>
            <w:shd w:val="clear" w:color="auto" w:fill="D9D9D9" w:themeFill="background1" w:themeFillShade="D9"/>
          </w:tcPr>
          <w:p w14:paraId="2A780465" w14:textId="77777777" w:rsidR="007F4EDE" w:rsidRPr="00E90B70" w:rsidRDefault="007F4EDE" w:rsidP="007F4EDE">
            <w:pPr>
              <w:rPr>
                <w:sz w:val="18"/>
                <w:szCs w:val="18"/>
              </w:rPr>
            </w:pPr>
          </w:p>
        </w:tc>
        <w:tc>
          <w:tcPr>
            <w:tcW w:w="2251" w:type="dxa"/>
            <w:vMerge/>
            <w:shd w:val="clear" w:color="auto" w:fill="D9D9D9" w:themeFill="background1" w:themeFillShade="D9"/>
          </w:tcPr>
          <w:p w14:paraId="594D5302" w14:textId="77777777" w:rsidR="007F4EDE" w:rsidRPr="00E90B70" w:rsidRDefault="007F4EDE" w:rsidP="007F4EDE">
            <w:pPr>
              <w:rPr>
                <w:sz w:val="18"/>
                <w:szCs w:val="18"/>
              </w:rPr>
            </w:pPr>
          </w:p>
        </w:tc>
        <w:tc>
          <w:tcPr>
            <w:tcW w:w="1701" w:type="dxa"/>
            <w:vMerge/>
            <w:shd w:val="clear" w:color="auto" w:fill="D9D9D9" w:themeFill="background1" w:themeFillShade="D9"/>
          </w:tcPr>
          <w:p w14:paraId="06765609" w14:textId="77777777" w:rsidR="007F4EDE" w:rsidRDefault="007F4EDE" w:rsidP="007F4EDE">
            <w:pPr>
              <w:rPr>
                <w:sz w:val="18"/>
                <w:szCs w:val="18"/>
              </w:rPr>
            </w:pPr>
          </w:p>
        </w:tc>
        <w:tc>
          <w:tcPr>
            <w:tcW w:w="1965" w:type="dxa"/>
          </w:tcPr>
          <w:p w14:paraId="04CF56BD" w14:textId="77777777" w:rsidR="007F4EDE" w:rsidRPr="00105737" w:rsidRDefault="007F4EDE" w:rsidP="007F4EDE">
            <w:pPr>
              <w:ind w:left="0"/>
              <w:rPr>
                <w:sz w:val="18"/>
                <w:szCs w:val="18"/>
              </w:rPr>
            </w:pPr>
            <w:r w:rsidRPr="00105737">
              <w:rPr>
                <w:sz w:val="18"/>
                <w:szCs w:val="18"/>
              </w:rPr>
              <w:t>Thiamine, mg</w:t>
            </w:r>
          </w:p>
        </w:tc>
        <w:tc>
          <w:tcPr>
            <w:tcW w:w="1051" w:type="dxa"/>
          </w:tcPr>
          <w:p w14:paraId="213F3E5E" w14:textId="77777777" w:rsidR="007F4EDE" w:rsidRPr="00105737" w:rsidRDefault="007F4EDE" w:rsidP="007F4EDE">
            <w:pPr>
              <w:ind w:left="0"/>
              <w:jc w:val="center"/>
              <w:rPr>
                <w:sz w:val="18"/>
                <w:szCs w:val="18"/>
              </w:rPr>
            </w:pPr>
            <w:r w:rsidRPr="00105737">
              <w:rPr>
                <w:sz w:val="18"/>
                <w:szCs w:val="18"/>
              </w:rPr>
              <w:t>0.7</w:t>
            </w:r>
          </w:p>
        </w:tc>
        <w:tc>
          <w:tcPr>
            <w:tcW w:w="1169" w:type="dxa"/>
          </w:tcPr>
          <w:p w14:paraId="12486E59" w14:textId="77777777" w:rsidR="007F4EDE" w:rsidRPr="00105737" w:rsidRDefault="007F4EDE" w:rsidP="007F4EDE">
            <w:pPr>
              <w:ind w:left="0"/>
              <w:jc w:val="center"/>
              <w:rPr>
                <w:sz w:val="18"/>
                <w:szCs w:val="18"/>
              </w:rPr>
            </w:pPr>
            <w:r w:rsidRPr="00105737">
              <w:rPr>
                <w:sz w:val="18"/>
                <w:szCs w:val="18"/>
              </w:rPr>
              <w:t>0.9</w:t>
            </w:r>
          </w:p>
        </w:tc>
        <w:tc>
          <w:tcPr>
            <w:tcW w:w="1564" w:type="dxa"/>
            <w:tcBorders>
              <w:right w:val="single" w:sz="4" w:space="0" w:color="auto"/>
            </w:tcBorders>
          </w:tcPr>
          <w:p w14:paraId="7FBE09C5" w14:textId="77777777" w:rsidR="007F4EDE" w:rsidRPr="00105737" w:rsidRDefault="007F4EDE" w:rsidP="007F4EDE">
            <w:pPr>
              <w:ind w:left="0"/>
              <w:jc w:val="center"/>
              <w:rPr>
                <w:sz w:val="18"/>
                <w:szCs w:val="18"/>
              </w:rPr>
            </w:pPr>
            <w:r w:rsidRPr="00105737">
              <w:rPr>
                <w:sz w:val="18"/>
                <w:szCs w:val="18"/>
              </w:rPr>
              <w:t>14</w:t>
            </w:r>
          </w:p>
        </w:tc>
      </w:tr>
      <w:tr w:rsidR="007F4EDE" w14:paraId="6D54D75A" w14:textId="77777777" w:rsidTr="007F7EA3">
        <w:trPr>
          <w:trHeight w:val="224"/>
        </w:trPr>
        <w:tc>
          <w:tcPr>
            <w:tcW w:w="1806" w:type="dxa"/>
            <w:vMerge/>
            <w:tcBorders>
              <w:left w:val="single" w:sz="4" w:space="0" w:color="auto"/>
            </w:tcBorders>
            <w:shd w:val="clear" w:color="auto" w:fill="D9D9D9" w:themeFill="background1" w:themeFillShade="D9"/>
          </w:tcPr>
          <w:p w14:paraId="18E43CF0" w14:textId="77777777" w:rsidR="007F4EDE" w:rsidRPr="006E189F" w:rsidRDefault="007F4EDE" w:rsidP="007F4EDE">
            <w:pPr>
              <w:rPr>
                <w:sz w:val="18"/>
                <w:szCs w:val="18"/>
              </w:rPr>
            </w:pPr>
          </w:p>
        </w:tc>
        <w:tc>
          <w:tcPr>
            <w:tcW w:w="1556" w:type="dxa"/>
            <w:vMerge/>
            <w:shd w:val="clear" w:color="auto" w:fill="D9D9D9" w:themeFill="background1" w:themeFillShade="D9"/>
          </w:tcPr>
          <w:p w14:paraId="07027D7C" w14:textId="77777777" w:rsidR="007F4EDE" w:rsidRPr="00E90B70" w:rsidRDefault="007F4EDE" w:rsidP="007F4EDE">
            <w:pPr>
              <w:rPr>
                <w:sz w:val="18"/>
                <w:szCs w:val="18"/>
              </w:rPr>
            </w:pPr>
          </w:p>
        </w:tc>
        <w:tc>
          <w:tcPr>
            <w:tcW w:w="2251" w:type="dxa"/>
            <w:vMerge/>
            <w:shd w:val="clear" w:color="auto" w:fill="D9D9D9" w:themeFill="background1" w:themeFillShade="D9"/>
          </w:tcPr>
          <w:p w14:paraId="0594BDAA" w14:textId="77777777" w:rsidR="007F4EDE" w:rsidRPr="00E90B70" w:rsidRDefault="007F4EDE" w:rsidP="007F4EDE">
            <w:pPr>
              <w:rPr>
                <w:sz w:val="18"/>
                <w:szCs w:val="18"/>
              </w:rPr>
            </w:pPr>
          </w:p>
        </w:tc>
        <w:tc>
          <w:tcPr>
            <w:tcW w:w="1701" w:type="dxa"/>
            <w:vMerge/>
            <w:shd w:val="clear" w:color="auto" w:fill="D9D9D9" w:themeFill="background1" w:themeFillShade="D9"/>
          </w:tcPr>
          <w:p w14:paraId="363CDE67" w14:textId="77777777" w:rsidR="007F4EDE" w:rsidRDefault="007F4EDE" w:rsidP="007F4EDE">
            <w:pPr>
              <w:rPr>
                <w:sz w:val="18"/>
                <w:szCs w:val="18"/>
              </w:rPr>
            </w:pPr>
          </w:p>
        </w:tc>
        <w:tc>
          <w:tcPr>
            <w:tcW w:w="1965" w:type="dxa"/>
            <w:shd w:val="clear" w:color="auto" w:fill="D9D9D9" w:themeFill="background1" w:themeFillShade="D9"/>
          </w:tcPr>
          <w:p w14:paraId="582CDF5F" w14:textId="77777777" w:rsidR="007F4EDE" w:rsidRPr="00105737" w:rsidRDefault="007F4EDE" w:rsidP="007F4EDE">
            <w:pPr>
              <w:ind w:left="0"/>
              <w:rPr>
                <w:sz w:val="18"/>
                <w:szCs w:val="18"/>
              </w:rPr>
            </w:pPr>
            <w:r w:rsidRPr="00105737">
              <w:rPr>
                <w:sz w:val="18"/>
                <w:szCs w:val="18"/>
              </w:rPr>
              <w:t>Riboflavin, mg</w:t>
            </w:r>
          </w:p>
        </w:tc>
        <w:tc>
          <w:tcPr>
            <w:tcW w:w="1051" w:type="dxa"/>
            <w:shd w:val="clear" w:color="auto" w:fill="D9D9D9" w:themeFill="background1" w:themeFillShade="D9"/>
          </w:tcPr>
          <w:p w14:paraId="4C822411" w14:textId="77777777" w:rsidR="007F4EDE" w:rsidRPr="00105737" w:rsidRDefault="007F4EDE" w:rsidP="007F4EDE">
            <w:pPr>
              <w:ind w:left="0"/>
              <w:jc w:val="center"/>
              <w:rPr>
                <w:sz w:val="18"/>
                <w:szCs w:val="18"/>
              </w:rPr>
            </w:pPr>
            <w:r w:rsidRPr="00105737">
              <w:rPr>
                <w:sz w:val="18"/>
                <w:szCs w:val="18"/>
              </w:rPr>
              <w:t>0.4</w:t>
            </w:r>
          </w:p>
        </w:tc>
        <w:tc>
          <w:tcPr>
            <w:tcW w:w="1169" w:type="dxa"/>
            <w:shd w:val="clear" w:color="auto" w:fill="D9D9D9" w:themeFill="background1" w:themeFillShade="D9"/>
          </w:tcPr>
          <w:p w14:paraId="37AE70E0" w14:textId="77777777" w:rsidR="007F4EDE" w:rsidRPr="00105737" w:rsidRDefault="007F4EDE" w:rsidP="007F4EDE">
            <w:pPr>
              <w:ind w:left="0"/>
              <w:jc w:val="center"/>
              <w:rPr>
                <w:sz w:val="18"/>
                <w:szCs w:val="18"/>
              </w:rPr>
            </w:pPr>
            <w:r w:rsidRPr="00105737">
              <w:rPr>
                <w:sz w:val="18"/>
                <w:szCs w:val="18"/>
              </w:rPr>
              <w:t>0.5</w:t>
            </w:r>
          </w:p>
        </w:tc>
        <w:tc>
          <w:tcPr>
            <w:tcW w:w="1564" w:type="dxa"/>
            <w:tcBorders>
              <w:right w:val="single" w:sz="4" w:space="0" w:color="auto"/>
            </w:tcBorders>
            <w:shd w:val="clear" w:color="auto" w:fill="D9D9D9" w:themeFill="background1" w:themeFillShade="D9"/>
          </w:tcPr>
          <w:p w14:paraId="3A2D0CE7" w14:textId="77777777" w:rsidR="007F4EDE" w:rsidRPr="00105737" w:rsidRDefault="007F4EDE" w:rsidP="007F4EDE">
            <w:pPr>
              <w:ind w:left="0"/>
              <w:jc w:val="center"/>
              <w:rPr>
                <w:sz w:val="18"/>
                <w:szCs w:val="18"/>
              </w:rPr>
            </w:pPr>
            <w:r w:rsidRPr="00105737">
              <w:rPr>
                <w:sz w:val="18"/>
                <w:szCs w:val="18"/>
              </w:rPr>
              <w:t>25</w:t>
            </w:r>
          </w:p>
        </w:tc>
      </w:tr>
      <w:tr w:rsidR="007F4EDE" w14:paraId="62C709F5" w14:textId="77777777" w:rsidTr="007F7EA3">
        <w:trPr>
          <w:trHeight w:val="224"/>
        </w:trPr>
        <w:tc>
          <w:tcPr>
            <w:tcW w:w="1806" w:type="dxa"/>
            <w:vMerge/>
            <w:tcBorders>
              <w:left w:val="single" w:sz="4" w:space="0" w:color="auto"/>
            </w:tcBorders>
            <w:shd w:val="clear" w:color="auto" w:fill="D9D9D9" w:themeFill="background1" w:themeFillShade="D9"/>
          </w:tcPr>
          <w:p w14:paraId="6AD684F0" w14:textId="77777777" w:rsidR="007F4EDE" w:rsidRPr="006E189F" w:rsidRDefault="007F4EDE" w:rsidP="007F4EDE">
            <w:pPr>
              <w:rPr>
                <w:sz w:val="18"/>
                <w:szCs w:val="18"/>
              </w:rPr>
            </w:pPr>
          </w:p>
        </w:tc>
        <w:tc>
          <w:tcPr>
            <w:tcW w:w="1556" w:type="dxa"/>
            <w:vMerge/>
            <w:shd w:val="clear" w:color="auto" w:fill="D9D9D9" w:themeFill="background1" w:themeFillShade="D9"/>
          </w:tcPr>
          <w:p w14:paraId="42B6E519" w14:textId="77777777" w:rsidR="007F4EDE" w:rsidRPr="00E90B70" w:rsidRDefault="007F4EDE" w:rsidP="007F4EDE">
            <w:pPr>
              <w:rPr>
                <w:sz w:val="18"/>
                <w:szCs w:val="18"/>
              </w:rPr>
            </w:pPr>
          </w:p>
        </w:tc>
        <w:tc>
          <w:tcPr>
            <w:tcW w:w="2251" w:type="dxa"/>
            <w:vMerge/>
            <w:shd w:val="clear" w:color="auto" w:fill="D9D9D9" w:themeFill="background1" w:themeFillShade="D9"/>
          </w:tcPr>
          <w:p w14:paraId="7D7FB7EF" w14:textId="77777777" w:rsidR="007F4EDE" w:rsidRPr="00E90B70" w:rsidRDefault="007F4EDE" w:rsidP="007F4EDE">
            <w:pPr>
              <w:rPr>
                <w:sz w:val="18"/>
                <w:szCs w:val="18"/>
              </w:rPr>
            </w:pPr>
          </w:p>
        </w:tc>
        <w:tc>
          <w:tcPr>
            <w:tcW w:w="1701" w:type="dxa"/>
            <w:vMerge/>
            <w:shd w:val="clear" w:color="auto" w:fill="D9D9D9" w:themeFill="background1" w:themeFillShade="D9"/>
          </w:tcPr>
          <w:p w14:paraId="27C05372" w14:textId="77777777" w:rsidR="007F4EDE" w:rsidRDefault="007F4EDE" w:rsidP="007F4EDE">
            <w:pPr>
              <w:rPr>
                <w:sz w:val="18"/>
                <w:szCs w:val="18"/>
              </w:rPr>
            </w:pPr>
          </w:p>
        </w:tc>
        <w:tc>
          <w:tcPr>
            <w:tcW w:w="1965" w:type="dxa"/>
          </w:tcPr>
          <w:p w14:paraId="184E0D90" w14:textId="77777777" w:rsidR="007F4EDE" w:rsidRPr="00105737" w:rsidRDefault="007F4EDE" w:rsidP="007F4EDE">
            <w:pPr>
              <w:ind w:left="0"/>
              <w:rPr>
                <w:sz w:val="18"/>
                <w:szCs w:val="18"/>
              </w:rPr>
            </w:pPr>
            <w:r w:rsidRPr="00105737">
              <w:rPr>
                <w:sz w:val="18"/>
                <w:szCs w:val="18"/>
              </w:rPr>
              <w:t>Niacin, mg</w:t>
            </w:r>
          </w:p>
        </w:tc>
        <w:tc>
          <w:tcPr>
            <w:tcW w:w="1051" w:type="dxa"/>
          </w:tcPr>
          <w:p w14:paraId="056B1C4A" w14:textId="77777777" w:rsidR="007F4EDE" w:rsidRPr="00105737" w:rsidRDefault="007F4EDE" w:rsidP="007F4EDE">
            <w:pPr>
              <w:ind w:left="0"/>
              <w:jc w:val="center"/>
              <w:rPr>
                <w:sz w:val="18"/>
                <w:szCs w:val="18"/>
              </w:rPr>
            </w:pPr>
            <w:r w:rsidRPr="00105737">
              <w:rPr>
                <w:sz w:val="18"/>
                <w:szCs w:val="18"/>
              </w:rPr>
              <w:t>13.4</w:t>
            </w:r>
          </w:p>
        </w:tc>
        <w:tc>
          <w:tcPr>
            <w:tcW w:w="1169" w:type="dxa"/>
          </w:tcPr>
          <w:p w14:paraId="79290797" w14:textId="77777777" w:rsidR="007F4EDE" w:rsidRPr="00105737" w:rsidRDefault="007F4EDE" w:rsidP="007F4EDE">
            <w:pPr>
              <w:ind w:left="0"/>
              <w:jc w:val="center"/>
              <w:rPr>
                <w:sz w:val="18"/>
                <w:szCs w:val="18"/>
              </w:rPr>
            </w:pPr>
            <w:r w:rsidRPr="00105737">
              <w:rPr>
                <w:sz w:val="18"/>
                <w:szCs w:val="18"/>
              </w:rPr>
              <w:t>15</w:t>
            </w:r>
          </w:p>
        </w:tc>
        <w:tc>
          <w:tcPr>
            <w:tcW w:w="1564" w:type="dxa"/>
            <w:tcBorders>
              <w:right w:val="single" w:sz="4" w:space="0" w:color="auto"/>
            </w:tcBorders>
          </w:tcPr>
          <w:p w14:paraId="36151B5A" w14:textId="77777777" w:rsidR="007F4EDE" w:rsidRPr="00105737" w:rsidRDefault="007F4EDE" w:rsidP="007F4EDE">
            <w:pPr>
              <w:ind w:left="0"/>
              <w:jc w:val="center"/>
              <w:rPr>
                <w:sz w:val="18"/>
                <w:szCs w:val="18"/>
              </w:rPr>
            </w:pPr>
            <w:r w:rsidRPr="00105737">
              <w:rPr>
                <w:sz w:val="18"/>
                <w:szCs w:val="18"/>
              </w:rPr>
              <w:t>11</w:t>
            </w:r>
          </w:p>
        </w:tc>
      </w:tr>
      <w:tr w:rsidR="007F4EDE" w14:paraId="66F2E8FC" w14:textId="77777777" w:rsidTr="007F7EA3">
        <w:trPr>
          <w:trHeight w:val="224"/>
        </w:trPr>
        <w:tc>
          <w:tcPr>
            <w:tcW w:w="1806" w:type="dxa"/>
            <w:vMerge/>
            <w:tcBorders>
              <w:left w:val="single" w:sz="4" w:space="0" w:color="auto"/>
            </w:tcBorders>
            <w:shd w:val="clear" w:color="auto" w:fill="D9D9D9" w:themeFill="background1" w:themeFillShade="D9"/>
          </w:tcPr>
          <w:p w14:paraId="08D5FA09" w14:textId="77777777" w:rsidR="007F4EDE" w:rsidRPr="006E189F" w:rsidRDefault="007F4EDE" w:rsidP="007F4EDE">
            <w:pPr>
              <w:rPr>
                <w:sz w:val="18"/>
                <w:szCs w:val="18"/>
              </w:rPr>
            </w:pPr>
          </w:p>
        </w:tc>
        <w:tc>
          <w:tcPr>
            <w:tcW w:w="1556" w:type="dxa"/>
            <w:vMerge/>
            <w:shd w:val="clear" w:color="auto" w:fill="D9D9D9" w:themeFill="background1" w:themeFillShade="D9"/>
          </w:tcPr>
          <w:p w14:paraId="13E5F2AE" w14:textId="77777777" w:rsidR="007F4EDE" w:rsidRPr="00E90B70" w:rsidRDefault="007F4EDE" w:rsidP="007F4EDE">
            <w:pPr>
              <w:rPr>
                <w:sz w:val="18"/>
                <w:szCs w:val="18"/>
              </w:rPr>
            </w:pPr>
          </w:p>
        </w:tc>
        <w:tc>
          <w:tcPr>
            <w:tcW w:w="2251" w:type="dxa"/>
            <w:vMerge/>
            <w:shd w:val="clear" w:color="auto" w:fill="D9D9D9" w:themeFill="background1" w:themeFillShade="D9"/>
          </w:tcPr>
          <w:p w14:paraId="779BB4A8" w14:textId="77777777" w:rsidR="007F4EDE" w:rsidRPr="00E90B70" w:rsidRDefault="007F4EDE" w:rsidP="007F4EDE">
            <w:pPr>
              <w:rPr>
                <w:sz w:val="18"/>
                <w:szCs w:val="18"/>
              </w:rPr>
            </w:pPr>
          </w:p>
        </w:tc>
        <w:tc>
          <w:tcPr>
            <w:tcW w:w="1701" w:type="dxa"/>
            <w:vMerge/>
            <w:shd w:val="clear" w:color="auto" w:fill="D9D9D9" w:themeFill="background1" w:themeFillShade="D9"/>
          </w:tcPr>
          <w:p w14:paraId="2B6E7AC2" w14:textId="77777777" w:rsidR="007F4EDE" w:rsidRDefault="007F4EDE" w:rsidP="007F4EDE">
            <w:pPr>
              <w:rPr>
                <w:sz w:val="18"/>
                <w:szCs w:val="18"/>
              </w:rPr>
            </w:pPr>
          </w:p>
        </w:tc>
        <w:tc>
          <w:tcPr>
            <w:tcW w:w="1965" w:type="dxa"/>
            <w:shd w:val="clear" w:color="auto" w:fill="D9D9D9" w:themeFill="background1" w:themeFillShade="D9"/>
          </w:tcPr>
          <w:p w14:paraId="48682357" w14:textId="77777777" w:rsidR="007F4EDE" w:rsidRPr="00105737" w:rsidRDefault="007F4EDE" w:rsidP="007F4EDE">
            <w:pPr>
              <w:ind w:left="0"/>
              <w:rPr>
                <w:sz w:val="18"/>
                <w:szCs w:val="18"/>
              </w:rPr>
            </w:pPr>
            <w:r w:rsidRPr="00105737">
              <w:rPr>
                <w:sz w:val="18"/>
                <w:szCs w:val="18"/>
              </w:rPr>
              <w:t>Vitamin B6</w:t>
            </w:r>
          </w:p>
        </w:tc>
        <w:tc>
          <w:tcPr>
            <w:tcW w:w="1051" w:type="dxa"/>
            <w:shd w:val="clear" w:color="auto" w:fill="D9D9D9" w:themeFill="background1" w:themeFillShade="D9"/>
          </w:tcPr>
          <w:p w14:paraId="5E20A9A7" w14:textId="77777777" w:rsidR="007F4EDE" w:rsidRPr="00105737" w:rsidRDefault="007F4EDE" w:rsidP="007F4EDE">
            <w:pPr>
              <w:ind w:left="0"/>
              <w:jc w:val="center"/>
              <w:rPr>
                <w:sz w:val="18"/>
                <w:szCs w:val="18"/>
              </w:rPr>
            </w:pPr>
            <w:r w:rsidRPr="00105737">
              <w:rPr>
                <w:sz w:val="18"/>
                <w:szCs w:val="18"/>
              </w:rPr>
              <w:t>1.1</w:t>
            </w:r>
          </w:p>
        </w:tc>
        <w:tc>
          <w:tcPr>
            <w:tcW w:w="1169" w:type="dxa"/>
            <w:shd w:val="clear" w:color="auto" w:fill="D9D9D9" w:themeFill="background1" w:themeFillShade="D9"/>
          </w:tcPr>
          <w:p w14:paraId="26195ED6" w14:textId="77777777" w:rsidR="007F4EDE" w:rsidRPr="00105737" w:rsidRDefault="007F4EDE" w:rsidP="007F4EDE">
            <w:pPr>
              <w:ind w:left="0"/>
              <w:jc w:val="center"/>
              <w:rPr>
                <w:sz w:val="18"/>
                <w:szCs w:val="18"/>
              </w:rPr>
            </w:pPr>
            <w:r w:rsidRPr="00105737">
              <w:rPr>
                <w:sz w:val="18"/>
                <w:szCs w:val="18"/>
              </w:rPr>
              <w:t>1.3</w:t>
            </w:r>
          </w:p>
        </w:tc>
        <w:tc>
          <w:tcPr>
            <w:tcW w:w="1564" w:type="dxa"/>
            <w:tcBorders>
              <w:right w:val="single" w:sz="4" w:space="0" w:color="auto"/>
            </w:tcBorders>
            <w:shd w:val="clear" w:color="auto" w:fill="D9D9D9" w:themeFill="background1" w:themeFillShade="D9"/>
          </w:tcPr>
          <w:p w14:paraId="3657F230" w14:textId="77777777" w:rsidR="007F4EDE" w:rsidRPr="00105737" w:rsidRDefault="007F4EDE" w:rsidP="007F4EDE">
            <w:pPr>
              <w:ind w:left="0"/>
              <w:jc w:val="center"/>
              <w:rPr>
                <w:sz w:val="18"/>
                <w:szCs w:val="18"/>
              </w:rPr>
            </w:pPr>
            <w:r w:rsidRPr="00105737">
              <w:rPr>
                <w:sz w:val="18"/>
                <w:szCs w:val="18"/>
              </w:rPr>
              <w:t>18</w:t>
            </w:r>
          </w:p>
        </w:tc>
      </w:tr>
      <w:tr w:rsidR="007F4EDE" w14:paraId="7826AC44" w14:textId="77777777" w:rsidTr="007F7EA3">
        <w:trPr>
          <w:trHeight w:val="224"/>
        </w:trPr>
        <w:tc>
          <w:tcPr>
            <w:tcW w:w="1806" w:type="dxa"/>
            <w:vMerge/>
            <w:tcBorders>
              <w:left w:val="single" w:sz="4" w:space="0" w:color="auto"/>
            </w:tcBorders>
            <w:shd w:val="clear" w:color="auto" w:fill="D9D9D9" w:themeFill="background1" w:themeFillShade="D9"/>
          </w:tcPr>
          <w:p w14:paraId="0FE10BAD" w14:textId="77777777" w:rsidR="007F4EDE" w:rsidRPr="006E189F" w:rsidRDefault="007F4EDE" w:rsidP="007F4EDE">
            <w:pPr>
              <w:rPr>
                <w:sz w:val="18"/>
                <w:szCs w:val="18"/>
              </w:rPr>
            </w:pPr>
          </w:p>
        </w:tc>
        <w:tc>
          <w:tcPr>
            <w:tcW w:w="1556" w:type="dxa"/>
            <w:vMerge/>
            <w:shd w:val="clear" w:color="auto" w:fill="D9D9D9" w:themeFill="background1" w:themeFillShade="D9"/>
          </w:tcPr>
          <w:p w14:paraId="4789B68D" w14:textId="77777777" w:rsidR="007F4EDE" w:rsidRPr="00E90B70" w:rsidRDefault="007F4EDE" w:rsidP="007F4EDE">
            <w:pPr>
              <w:rPr>
                <w:sz w:val="18"/>
                <w:szCs w:val="18"/>
              </w:rPr>
            </w:pPr>
          </w:p>
        </w:tc>
        <w:tc>
          <w:tcPr>
            <w:tcW w:w="2251" w:type="dxa"/>
            <w:vMerge/>
            <w:shd w:val="clear" w:color="auto" w:fill="D9D9D9" w:themeFill="background1" w:themeFillShade="D9"/>
          </w:tcPr>
          <w:p w14:paraId="092D1CBD" w14:textId="77777777" w:rsidR="007F4EDE" w:rsidRPr="00E90B70" w:rsidRDefault="007F4EDE" w:rsidP="007F4EDE">
            <w:pPr>
              <w:rPr>
                <w:sz w:val="18"/>
                <w:szCs w:val="18"/>
              </w:rPr>
            </w:pPr>
          </w:p>
        </w:tc>
        <w:tc>
          <w:tcPr>
            <w:tcW w:w="1701" w:type="dxa"/>
            <w:vMerge/>
            <w:shd w:val="clear" w:color="auto" w:fill="D9D9D9" w:themeFill="background1" w:themeFillShade="D9"/>
          </w:tcPr>
          <w:p w14:paraId="22B42626" w14:textId="77777777" w:rsidR="007F4EDE" w:rsidRDefault="007F4EDE" w:rsidP="007F4EDE">
            <w:pPr>
              <w:rPr>
                <w:sz w:val="18"/>
                <w:szCs w:val="18"/>
              </w:rPr>
            </w:pPr>
          </w:p>
        </w:tc>
        <w:tc>
          <w:tcPr>
            <w:tcW w:w="1965" w:type="dxa"/>
          </w:tcPr>
          <w:p w14:paraId="74284F13" w14:textId="77777777" w:rsidR="007F4EDE" w:rsidRPr="00105737" w:rsidRDefault="007F4EDE" w:rsidP="007F4EDE">
            <w:pPr>
              <w:ind w:left="0"/>
              <w:rPr>
                <w:sz w:val="18"/>
                <w:szCs w:val="18"/>
              </w:rPr>
            </w:pPr>
            <w:r w:rsidRPr="00105737">
              <w:rPr>
                <w:sz w:val="18"/>
                <w:szCs w:val="18"/>
              </w:rPr>
              <w:t xml:space="preserve">Folate, </w:t>
            </w:r>
            <w:r w:rsidRPr="00105737">
              <w:rPr>
                <w:sz w:val="18"/>
                <w:szCs w:val="18"/>
              </w:rPr>
              <w:sym w:font="Symbol" w:char="F06D"/>
            </w:r>
            <w:r w:rsidRPr="00105737">
              <w:rPr>
                <w:sz w:val="18"/>
                <w:szCs w:val="18"/>
              </w:rPr>
              <w:t>g</w:t>
            </w:r>
          </w:p>
        </w:tc>
        <w:tc>
          <w:tcPr>
            <w:tcW w:w="1051" w:type="dxa"/>
          </w:tcPr>
          <w:p w14:paraId="496E92D9" w14:textId="77777777" w:rsidR="007F4EDE" w:rsidRPr="00105737" w:rsidRDefault="007F4EDE" w:rsidP="007F4EDE">
            <w:pPr>
              <w:ind w:left="0"/>
              <w:jc w:val="center"/>
              <w:rPr>
                <w:sz w:val="18"/>
                <w:szCs w:val="18"/>
              </w:rPr>
            </w:pPr>
            <w:r w:rsidRPr="00105737">
              <w:rPr>
                <w:sz w:val="18"/>
                <w:szCs w:val="18"/>
              </w:rPr>
              <w:t>115</w:t>
            </w:r>
          </w:p>
        </w:tc>
        <w:tc>
          <w:tcPr>
            <w:tcW w:w="1169" w:type="dxa"/>
          </w:tcPr>
          <w:p w14:paraId="32046DEB" w14:textId="77777777" w:rsidR="007F4EDE" w:rsidRPr="00105737" w:rsidRDefault="007F4EDE" w:rsidP="007F4EDE">
            <w:pPr>
              <w:ind w:left="0"/>
              <w:jc w:val="center"/>
              <w:rPr>
                <w:sz w:val="18"/>
                <w:szCs w:val="18"/>
              </w:rPr>
            </w:pPr>
            <w:r w:rsidRPr="00105737">
              <w:rPr>
                <w:sz w:val="18"/>
                <w:szCs w:val="18"/>
              </w:rPr>
              <w:t>148</w:t>
            </w:r>
          </w:p>
        </w:tc>
        <w:tc>
          <w:tcPr>
            <w:tcW w:w="1564" w:type="dxa"/>
            <w:tcBorders>
              <w:right w:val="single" w:sz="4" w:space="0" w:color="auto"/>
            </w:tcBorders>
          </w:tcPr>
          <w:p w14:paraId="6EF9971A" w14:textId="77777777" w:rsidR="007F4EDE" w:rsidRPr="00105737" w:rsidRDefault="007F4EDE" w:rsidP="007F4EDE">
            <w:pPr>
              <w:ind w:left="0"/>
              <w:jc w:val="center"/>
              <w:rPr>
                <w:sz w:val="18"/>
                <w:szCs w:val="18"/>
              </w:rPr>
            </w:pPr>
            <w:r w:rsidRPr="00105737">
              <w:rPr>
                <w:sz w:val="18"/>
                <w:szCs w:val="18"/>
              </w:rPr>
              <w:t>29</w:t>
            </w:r>
          </w:p>
        </w:tc>
      </w:tr>
      <w:tr w:rsidR="007F4EDE" w14:paraId="6748B608" w14:textId="77777777" w:rsidTr="007F7EA3">
        <w:trPr>
          <w:trHeight w:val="224"/>
        </w:trPr>
        <w:tc>
          <w:tcPr>
            <w:tcW w:w="1806" w:type="dxa"/>
            <w:vMerge/>
            <w:tcBorders>
              <w:left w:val="single" w:sz="4" w:space="0" w:color="auto"/>
            </w:tcBorders>
            <w:shd w:val="clear" w:color="auto" w:fill="D9D9D9" w:themeFill="background1" w:themeFillShade="D9"/>
          </w:tcPr>
          <w:p w14:paraId="7EAB9539" w14:textId="77777777" w:rsidR="007F4EDE" w:rsidRPr="006E189F" w:rsidRDefault="007F4EDE" w:rsidP="007F4EDE">
            <w:pPr>
              <w:rPr>
                <w:sz w:val="18"/>
                <w:szCs w:val="18"/>
              </w:rPr>
            </w:pPr>
          </w:p>
        </w:tc>
        <w:tc>
          <w:tcPr>
            <w:tcW w:w="1556" w:type="dxa"/>
            <w:vMerge/>
            <w:shd w:val="clear" w:color="auto" w:fill="D9D9D9" w:themeFill="background1" w:themeFillShade="D9"/>
          </w:tcPr>
          <w:p w14:paraId="1788BAE6" w14:textId="77777777" w:rsidR="007F4EDE" w:rsidRPr="00E90B70" w:rsidRDefault="007F4EDE" w:rsidP="007F4EDE">
            <w:pPr>
              <w:rPr>
                <w:sz w:val="18"/>
                <w:szCs w:val="18"/>
              </w:rPr>
            </w:pPr>
          </w:p>
        </w:tc>
        <w:tc>
          <w:tcPr>
            <w:tcW w:w="2251" w:type="dxa"/>
            <w:vMerge/>
            <w:shd w:val="clear" w:color="auto" w:fill="D9D9D9" w:themeFill="background1" w:themeFillShade="D9"/>
          </w:tcPr>
          <w:p w14:paraId="7376C186" w14:textId="77777777" w:rsidR="007F4EDE" w:rsidRPr="00E90B70" w:rsidRDefault="007F4EDE" w:rsidP="007F4EDE">
            <w:pPr>
              <w:rPr>
                <w:sz w:val="18"/>
                <w:szCs w:val="18"/>
              </w:rPr>
            </w:pPr>
          </w:p>
        </w:tc>
        <w:tc>
          <w:tcPr>
            <w:tcW w:w="1701" w:type="dxa"/>
            <w:vMerge/>
            <w:shd w:val="clear" w:color="auto" w:fill="D9D9D9" w:themeFill="background1" w:themeFillShade="D9"/>
          </w:tcPr>
          <w:p w14:paraId="2DEB25D2" w14:textId="77777777" w:rsidR="007F4EDE" w:rsidRDefault="007F4EDE" w:rsidP="007F4EDE">
            <w:pPr>
              <w:rPr>
                <w:sz w:val="18"/>
                <w:szCs w:val="18"/>
              </w:rPr>
            </w:pPr>
          </w:p>
        </w:tc>
        <w:tc>
          <w:tcPr>
            <w:tcW w:w="1965" w:type="dxa"/>
            <w:shd w:val="clear" w:color="auto" w:fill="D9D9D9" w:themeFill="background1" w:themeFillShade="D9"/>
          </w:tcPr>
          <w:p w14:paraId="3116B1BF" w14:textId="77777777" w:rsidR="007F4EDE" w:rsidRPr="00105737" w:rsidRDefault="007F4EDE" w:rsidP="007F4EDE">
            <w:pPr>
              <w:ind w:left="0"/>
              <w:rPr>
                <w:sz w:val="18"/>
                <w:szCs w:val="18"/>
              </w:rPr>
            </w:pPr>
            <w:r w:rsidRPr="00105737">
              <w:rPr>
                <w:sz w:val="18"/>
                <w:szCs w:val="18"/>
              </w:rPr>
              <w:t>Vitamin C, mg</w:t>
            </w:r>
          </w:p>
        </w:tc>
        <w:tc>
          <w:tcPr>
            <w:tcW w:w="1051" w:type="dxa"/>
            <w:shd w:val="clear" w:color="auto" w:fill="D9D9D9" w:themeFill="background1" w:themeFillShade="D9"/>
          </w:tcPr>
          <w:p w14:paraId="4EADB8AA" w14:textId="77777777" w:rsidR="007F4EDE" w:rsidRPr="00105737" w:rsidRDefault="007F4EDE" w:rsidP="007F4EDE">
            <w:pPr>
              <w:ind w:left="0"/>
              <w:jc w:val="center"/>
              <w:rPr>
                <w:sz w:val="18"/>
                <w:szCs w:val="18"/>
              </w:rPr>
            </w:pPr>
            <w:r w:rsidRPr="00105737">
              <w:rPr>
                <w:sz w:val="18"/>
                <w:szCs w:val="18"/>
              </w:rPr>
              <w:t>41</w:t>
            </w:r>
          </w:p>
        </w:tc>
        <w:tc>
          <w:tcPr>
            <w:tcW w:w="1169" w:type="dxa"/>
            <w:shd w:val="clear" w:color="auto" w:fill="D9D9D9" w:themeFill="background1" w:themeFillShade="D9"/>
          </w:tcPr>
          <w:p w14:paraId="79922826" w14:textId="77777777" w:rsidR="007F4EDE" w:rsidRPr="00105737" w:rsidRDefault="007F4EDE" w:rsidP="007F4EDE">
            <w:pPr>
              <w:ind w:left="0"/>
              <w:jc w:val="center"/>
              <w:rPr>
                <w:sz w:val="18"/>
                <w:szCs w:val="18"/>
              </w:rPr>
            </w:pPr>
            <w:r w:rsidRPr="00105737">
              <w:rPr>
                <w:sz w:val="18"/>
                <w:szCs w:val="18"/>
              </w:rPr>
              <w:t>62</w:t>
            </w:r>
          </w:p>
        </w:tc>
        <w:tc>
          <w:tcPr>
            <w:tcW w:w="1564" w:type="dxa"/>
            <w:tcBorders>
              <w:right w:val="single" w:sz="4" w:space="0" w:color="auto"/>
            </w:tcBorders>
            <w:shd w:val="clear" w:color="auto" w:fill="D9D9D9" w:themeFill="background1" w:themeFillShade="D9"/>
          </w:tcPr>
          <w:p w14:paraId="771B2433" w14:textId="77777777" w:rsidR="007F4EDE" w:rsidRPr="00105737" w:rsidRDefault="007F4EDE" w:rsidP="007F4EDE">
            <w:pPr>
              <w:ind w:left="0"/>
              <w:jc w:val="center"/>
              <w:rPr>
                <w:sz w:val="18"/>
                <w:szCs w:val="18"/>
              </w:rPr>
            </w:pPr>
            <w:r w:rsidRPr="00105737">
              <w:rPr>
                <w:sz w:val="18"/>
                <w:szCs w:val="18"/>
              </w:rPr>
              <w:t>52</w:t>
            </w:r>
          </w:p>
        </w:tc>
      </w:tr>
      <w:tr w:rsidR="007F4EDE" w14:paraId="6D3634F9" w14:textId="77777777" w:rsidTr="007F7EA3">
        <w:trPr>
          <w:trHeight w:val="224"/>
        </w:trPr>
        <w:tc>
          <w:tcPr>
            <w:tcW w:w="1806" w:type="dxa"/>
            <w:vMerge/>
            <w:tcBorders>
              <w:left w:val="single" w:sz="4" w:space="0" w:color="auto"/>
            </w:tcBorders>
            <w:shd w:val="clear" w:color="auto" w:fill="D9D9D9" w:themeFill="background1" w:themeFillShade="D9"/>
          </w:tcPr>
          <w:p w14:paraId="6B7C3455" w14:textId="77777777" w:rsidR="007F4EDE" w:rsidRPr="006E189F" w:rsidRDefault="007F4EDE" w:rsidP="007F4EDE">
            <w:pPr>
              <w:rPr>
                <w:sz w:val="18"/>
                <w:szCs w:val="18"/>
              </w:rPr>
            </w:pPr>
          </w:p>
        </w:tc>
        <w:tc>
          <w:tcPr>
            <w:tcW w:w="1556" w:type="dxa"/>
            <w:vMerge/>
            <w:shd w:val="clear" w:color="auto" w:fill="D9D9D9" w:themeFill="background1" w:themeFillShade="D9"/>
          </w:tcPr>
          <w:p w14:paraId="16F0A282" w14:textId="77777777" w:rsidR="007F4EDE" w:rsidRPr="00E90B70" w:rsidRDefault="007F4EDE" w:rsidP="007F4EDE">
            <w:pPr>
              <w:rPr>
                <w:sz w:val="18"/>
                <w:szCs w:val="18"/>
              </w:rPr>
            </w:pPr>
          </w:p>
        </w:tc>
        <w:tc>
          <w:tcPr>
            <w:tcW w:w="2251" w:type="dxa"/>
            <w:vMerge/>
            <w:shd w:val="clear" w:color="auto" w:fill="D9D9D9" w:themeFill="background1" w:themeFillShade="D9"/>
          </w:tcPr>
          <w:p w14:paraId="289711FF" w14:textId="77777777" w:rsidR="007F4EDE" w:rsidRPr="00E90B70" w:rsidRDefault="007F4EDE" w:rsidP="007F4EDE">
            <w:pPr>
              <w:rPr>
                <w:sz w:val="18"/>
                <w:szCs w:val="18"/>
              </w:rPr>
            </w:pPr>
          </w:p>
        </w:tc>
        <w:tc>
          <w:tcPr>
            <w:tcW w:w="1701" w:type="dxa"/>
            <w:vMerge/>
            <w:shd w:val="clear" w:color="auto" w:fill="D9D9D9" w:themeFill="background1" w:themeFillShade="D9"/>
          </w:tcPr>
          <w:p w14:paraId="469A2307" w14:textId="77777777" w:rsidR="007F4EDE" w:rsidRDefault="007F4EDE" w:rsidP="007F4EDE">
            <w:pPr>
              <w:rPr>
                <w:sz w:val="18"/>
                <w:szCs w:val="18"/>
              </w:rPr>
            </w:pPr>
          </w:p>
        </w:tc>
        <w:tc>
          <w:tcPr>
            <w:tcW w:w="1965" w:type="dxa"/>
          </w:tcPr>
          <w:p w14:paraId="223E90A5" w14:textId="77777777" w:rsidR="007F4EDE" w:rsidRPr="00105737" w:rsidRDefault="007F4EDE" w:rsidP="007F4EDE">
            <w:pPr>
              <w:ind w:left="0"/>
              <w:rPr>
                <w:sz w:val="18"/>
                <w:szCs w:val="18"/>
              </w:rPr>
            </w:pPr>
            <w:r w:rsidRPr="00105737">
              <w:rPr>
                <w:sz w:val="18"/>
                <w:szCs w:val="18"/>
              </w:rPr>
              <w:t>Calcium, mg</w:t>
            </w:r>
          </w:p>
        </w:tc>
        <w:tc>
          <w:tcPr>
            <w:tcW w:w="1051" w:type="dxa"/>
          </w:tcPr>
          <w:p w14:paraId="553FE042" w14:textId="77777777" w:rsidR="007F4EDE" w:rsidRPr="00105737" w:rsidRDefault="007F4EDE" w:rsidP="007F4EDE">
            <w:pPr>
              <w:ind w:left="0"/>
              <w:jc w:val="center"/>
              <w:rPr>
                <w:sz w:val="18"/>
                <w:szCs w:val="18"/>
              </w:rPr>
            </w:pPr>
            <w:r w:rsidRPr="00105737">
              <w:rPr>
                <w:sz w:val="18"/>
                <w:szCs w:val="18"/>
              </w:rPr>
              <w:t>260</w:t>
            </w:r>
          </w:p>
        </w:tc>
        <w:tc>
          <w:tcPr>
            <w:tcW w:w="1169" w:type="dxa"/>
          </w:tcPr>
          <w:p w14:paraId="0E8B2769" w14:textId="77777777" w:rsidR="007F4EDE" w:rsidRPr="00105737" w:rsidRDefault="007F4EDE" w:rsidP="007F4EDE">
            <w:pPr>
              <w:ind w:left="0"/>
              <w:jc w:val="center"/>
              <w:rPr>
                <w:sz w:val="18"/>
                <w:szCs w:val="18"/>
              </w:rPr>
            </w:pPr>
            <w:r w:rsidRPr="00105737">
              <w:rPr>
                <w:sz w:val="18"/>
                <w:szCs w:val="18"/>
              </w:rPr>
              <w:t>324</w:t>
            </w:r>
          </w:p>
        </w:tc>
        <w:tc>
          <w:tcPr>
            <w:tcW w:w="1564" w:type="dxa"/>
            <w:tcBorders>
              <w:right w:val="single" w:sz="4" w:space="0" w:color="auto"/>
            </w:tcBorders>
          </w:tcPr>
          <w:p w14:paraId="0B739C0C" w14:textId="77777777" w:rsidR="007F4EDE" w:rsidRPr="00105737" w:rsidRDefault="007F4EDE" w:rsidP="007F4EDE">
            <w:pPr>
              <w:ind w:left="0"/>
              <w:jc w:val="center"/>
              <w:rPr>
                <w:sz w:val="18"/>
                <w:szCs w:val="18"/>
              </w:rPr>
            </w:pPr>
            <w:r w:rsidRPr="00105737">
              <w:rPr>
                <w:sz w:val="18"/>
                <w:szCs w:val="18"/>
              </w:rPr>
              <w:t>25</w:t>
            </w:r>
          </w:p>
        </w:tc>
      </w:tr>
      <w:tr w:rsidR="007F4EDE" w14:paraId="2B0A3E3F" w14:textId="77777777" w:rsidTr="007F7EA3">
        <w:trPr>
          <w:trHeight w:val="224"/>
        </w:trPr>
        <w:tc>
          <w:tcPr>
            <w:tcW w:w="1806" w:type="dxa"/>
            <w:vMerge/>
            <w:tcBorders>
              <w:left w:val="single" w:sz="4" w:space="0" w:color="auto"/>
            </w:tcBorders>
            <w:shd w:val="clear" w:color="auto" w:fill="D9D9D9" w:themeFill="background1" w:themeFillShade="D9"/>
          </w:tcPr>
          <w:p w14:paraId="539B32A3" w14:textId="77777777" w:rsidR="007F4EDE" w:rsidRPr="006E189F" w:rsidRDefault="007F4EDE" w:rsidP="007F4EDE">
            <w:pPr>
              <w:rPr>
                <w:sz w:val="18"/>
                <w:szCs w:val="18"/>
              </w:rPr>
            </w:pPr>
          </w:p>
        </w:tc>
        <w:tc>
          <w:tcPr>
            <w:tcW w:w="1556" w:type="dxa"/>
            <w:vMerge/>
            <w:shd w:val="clear" w:color="auto" w:fill="D9D9D9" w:themeFill="background1" w:themeFillShade="D9"/>
          </w:tcPr>
          <w:p w14:paraId="03F26C90" w14:textId="77777777" w:rsidR="007F4EDE" w:rsidRPr="00E90B70" w:rsidRDefault="007F4EDE" w:rsidP="007F4EDE">
            <w:pPr>
              <w:rPr>
                <w:sz w:val="18"/>
                <w:szCs w:val="18"/>
              </w:rPr>
            </w:pPr>
          </w:p>
        </w:tc>
        <w:tc>
          <w:tcPr>
            <w:tcW w:w="2251" w:type="dxa"/>
            <w:vMerge/>
            <w:shd w:val="clear" w:color="auto" w:fill="D9D9D9" w:themeFill="background1" w:themeFillShade="D9"/>
          </w:tcPr>
          <w:p w14:paraId="063B7F85" w14:textId="77777777" w:rsidR="007F4EDE" w:rsidRPr="00E90B70" w:rsidRDefault="007F4EDE" w:rsidP="007F4EDE">
            <w:pPr>
              <w:rPr>
                <w:sz w:val="18"/>
                <w:szCs w:val="18"/>
              </w:rPr>
            </w:pPr>
          </w:p>
        </w:tc>
        <w:tc>
          <w:tcPr>
            <w:tcW w:w="1701" w:type="dxa"/>
            <w:vMerge/>
            <w:shd w:val="clear" w:color="auto" w:fill="D9D9D9" w:themeFill="background1" w:themeFillShade="D9"/>
          </w:tcPr>
          <w:p w14:paraId="3397D56D" w14:textId="77777777" w:rsidR="007F4EDE" w:rsidRDefault="007F4EDE" w:rsidP="007F4EDE">
            <w:pPr>
              <w:rPr>
                <w:sz w:val="18"/>
                <w:szCs w:val="18"/>
              </w:rPr>
            </w:pPr>
          </w:p>
        </w:tc>
        <w:tc>
          <w:tcPr>
            <w:tcW w:w="1965" w:type="dxa"/>
            <w:shd w:val="clear" w:color="auto" w:fill="D9D9D9" w:themeFill="background1" w:themeFillShade="D9"/>
          </w:tcPr>
          <w:p w14:paraId="62E394B5" w14:textId="77777777" w:rsidR="007F4EDE" w:rsidRPr="00105737" w:rsidRDefault="007F4EDE" w:rsidP="007F4EDE">
            <w:pPr>
              <w:ind w:left="0"/>
              <w:rPr>
                <w:sz w:val="18"/>
                <w:szCs w:val="18"/>
              </w:rPr>
            </w:pPr>
            <w:r w:rsidRPr="00105737">
              <w:rPr>
                <w:sz w:val="18"/>
                <w:szCs w:val="18"/>
              </w:rPr>
              <w:t>Iron, mg</w:t>
            </w:r>
          </w:p>
        </w:tc>
        <w:tc>
          <w:tcPr>
            <w:tcW w:w="1051" w:type="dxa"/>
            <w:shd w:val="clear" w:color="auto" w:fill="D9D9D9" w:themeFill="background1" w:themeFillShade="D9"/>
          </w:tcPr>
          <w:p w14:paraId="4FCCC2FD" w14:textId="77777777" w:rsidR="007F4EDE" w:rsidRPr="00105737" w:rsidRDefault="007F4EDE" w:rsidP="007F4EDE">
            <w:pPr>
              <w:ind w:left="0"/>
              <w:jc w:val="center"/>
              <w:rPr>
                <w:sz w:val="18"/>
                <w:szCs w:val="18"/>
              </w:rPr>
            </w:pPr>
            <w:r w:rsidRPr="00105737">
              <w:rPr>
                <w:sz w:val="18"/>
                <w:szCs w:val="18"/>
              </w:rPr>
              <w:t>9.4</w:t>
            </w:r>
          </w:p>
        </w:tc>
        <w:tc>
          <w:tcPr>
            <w:tcW w:w="1169" w:type="dxa"/>
            <w:shd w:val="clear" w:color="auto" w:fill="D9D9D9" w:themeFill="background1" w:themeFillShade="D9"/>
          </w:tcPr>
          <w:p w14:paraId="7D613893" w14:textId="77777777" w:rsidR="007F4EDE" w:rsidRPr="00105737" w:rsidRDefault="007F4EDE" w:rsidP="007F4EDE">
            <w:pPr>
              <w:ind w:left="0"/>
              <w:jc w:val="center"/>
              <w:rPr>
                <w:sz w:val="18"/>
                <w:szCs w:val="18"/>
              </w:rPr>
            </w:pPr>
            <w:r w:rsidRPr="00105737">
              <w:rPr>
                <w:sz w:val="18"/>
                <w:szCs w:val="18"/>
              </w:rPr>
              <w:t>11</w:t>
            </w:r>
            <w:r>
              <w:rPr>
                <w:sz w:val="18"/>
                <w:szCs w:val="18"/>
              </w:rPr>
              <w:t>.3</w:t>
            </w:r>
          </w:p>
        </w:tc>
        <w:tc>
          <w:tcPr>
            <w:tcW w:w="1564" w:type="dxa"/>
            <w:tcBorders>
              <w:right w:val="single" w:sz="4" w:space="0" w:color="auto"/>
            </w:tcBorders>
            <w:shd w:val="clear" w:color="auto" w:fill="D9D9D9" w:themeFill="background1" w:themeFillShade="D9"/>
          </w:tcPr>
          <w:p w14:paraId="15C46959" w14:textId="77777777" w:rsidR="007F4EDE" w:rsidRPr="00105737" w:rsidRDefault="007F4EDE" w:rsidP="007F4EDE">
            <w:pPr>
              <w:ind w:left="0"/>
              <w:jc w:val="center"/>
              <w:rPr>
                <w:sz w:val="18"/>
                <w:szCs w:val="18"/>
              </w:rPr>
            </w:pPr>
            <w:r w:rsidRPr="00105737">
              <w:rPr>
                <w:sz w:val="18"/>
                <w:szCs w:val="18"/>
              </w:rPr>
              <w:t>20</w:t>
            </w:r>
          </w:p>
        </w:tc>
      </w:tr>
      <w:tr w:rsidR="007F4EDE" w14:paraId="4DEB6180" w14:textId="77777777" w:rsidTr="007F7EA3">
        <w:trPr>
          <w:trHeight w:val="224"/>
        </w:trPr>
        <w:tc>
          <w:tcPr>
            <w:tcW w:w="1806" w:type="dxa"/>
            <w:vMerge/>
            <w:tcBorders>
              <w:left w:val="single" w:sz="4" w:space="0" w:color="auto"/>
            </w:tcBorders>
            <w:shd w:val="clear" w:color="auto" w:fill="D9D9D9" w:themeFill="background1" w:themeFillShade="D9"/>
          </w:tcPr>
          <w:p w14:paraId="4302B23B" w14:textId="77777777" w:rsidR="007F4EDE" w:rsidRPr="006E189F" w:rsidRDefault="007F4EDE" w:rsidP="007F4EDE">
            <w:pPr>
              <w:rPr>
                <w:sz w:val="18"/>
                <w:szCs w:val="18"/>
              </w:rPr>
            </w:pPr>
          </w:p>
        </w:tc>
        <w:tc>
          <w:tcPr>
            <w:tcW w:w="1556" w:type="dxa"/>
            <w:vMerge/>
            <w:shd w:val="clear" w:color="auto" w:fill="D9D9D9" w:themeFill="background1" w:themeFillShade="D9"/>
          </w:tcPr>
          <w:p w14:paraId="597C55E0" w14:textId="77777777" w:rsidR="007F4EDE" w:rsidRPr="00E90B70" w:rsidRDefault="007F4EDE" w:rsidP="007F4EDE">
            <w:pPr>
              <w:rPr>
                <w:sz w:val="18"/>
                <w:szCs w:val="18"/>
              </w:rPr>
            </w:pPr>
          </w:p>
        </w:tc>
        <w:tc>
          <w:tcPr>
            <w:tcW w:w="2251" w:type="dxa"/>
            <w:vMerge/>
            <w:shd w:val="clear" w:color="auto" w:fill="D9D9D9" w:themeFill="background1" w:themeFillShade="D9"/>
          </w:tcPr>
          <w:p w14:paraId="11F7676B" w14:textId="77777777" w:rsidR="007F4EDE" w:rsidRPr="00E90B70" w:rsidRDefault="007F4EDE" w:rsidP="007F4EDE">
            <w:pPr>
              <w:rPr>
                <w:sz w:val="18"/>
                <w:szCs w:val="18"/>
              </w:rPr>
            </w:pPr>
          </w:p>
        </w:tc>
        <w:tc>
          <w:tcPr>
            <w:tcW w:w="1701" w:type="dxa"/>
            <w:vMerge/>
            <w:shd w:val="clear" w:color="auto" w:fill="D9D9D9" w:themeFill="background1" w:themeFillShade="D9"/>
          </w:tcPr>
          <w:p w14:paraId="5B471CB5" w14:textId="77777777" w:rsidR="007F4EDE" w:rsidRDefault="007F4EDE" w:rsidP="007F4EDE">
            <w:pPr>
              <w:rPr>
                <w:sz w:val="18"/>
                <w:szCs w:val="18"/>
              </w:rPr>
            </w:pPr>
          </w:p>
        </w:tc>
        <w:tc>
          <w:tcPr>
            <w:tcW w:w="1965" w:type="dxa"/>
          </w:tcPr>
          <w:p w14:paraId="5225255E" w14:textId="77777777" w:rsidR="007F4EDE" w:rsidRPr="00105737" w:rsidRDefault="007F4EDE" w:rsidP="007F4EDE">
            <w:pPr>
              <w:ind w:left="0"/>
              <w:rPr>
                <w:sz w:val="18"/>
                <w:szCs w:val="18"/>
              </w:rPr>
            </w:pPr>
            <w:r w:rsidRPr="00105737">
              <w:rPr>
                <w:sz w:val="18"/>
                <w:szCs w:val="18"/>
              </w:rPr>
              <w:t>Sodium, mg</w:t>
            </w:r>
          </w:p>
        </w:tc>
        <w:tc>
          <w:tcPr>
            <w:tcW w:w="1051" w:type="dxa"/>
          </w:tcPr>
          <w:p w14:paraId="76176A47" w14:textId="77777777" w:rsidR="007F4EDE" w:rsidRPr="00105737" w:rsidRDefault="007F4EDE" w:rsidP="007F4EDE">
            <w:pPr>
              <w:ind w:left="0"/>
              <w:jc w:val="center"/>
              <w:rPr>
                <w:sz w:val="18"/>
                <w:szCs w:val="18"/>
              </w:rPr>
            </w:pPr>
            <w:r w:rsidRPr="00105737">
              <w:rPr>
                <w:sz w:val="18"/>
                <w:szCs w:val="18"/>
              </w:rPr>
              <w:t>4096</w:t>
            </w:r>
          </w:p>
        </w:tc>
        <w:tc>
          <w:tcPr>
            <w:tcW w:w="1169" w:type="dxa"/>
          </w:tcPr>
          <w:p w14:paraId="7B550B8B" w14:textId="77777777" w:rsidR="007F4EDE" w:rsidRPr="00105737" w:rsidRDefault="007F4EDE" w:rsidP="007F4EDE">
            <w:pPr>
              <w:ind w:left="0"/>
              <w:jc w:val="center"/>
              <w:rPr>
                <w:sz w:val="18"/>
                <w:szCs w:val="18"/>
              </w:rPr>
            </w:pPr>
            <w:r w:rsidRPr="00105737">
              <w:rPr>
                <w:sz w:val="18"/>
                <w:szCs w:val="18"/>
              </w:rPr>
              <w:t>5538</w:t>
            </w:r>
          </w:p>
        </w:tc>
        <w:tc>
          <w:tcPr>
            <w:tcW w:w="1564" w:type="dxa"/>
            <w:tcBorders>
              <w:right w:val="single" w:sz="4" w:space="0" w:color="auto"/>
            </w:tcBorders>
          </w:tcPr>
          <w:p w14:paraId="08A8C71D" w14:textId="77777777" w:rsidR="007F4EDE" w:rsidRPr="00105737" w:rsidRDefault="007F4EDE" w:rsidP="007F4EDE">
            <w:pPr>
              <w:ind w:left="0"/>
              <w:jc w:val="center"/>
              <w:rPr>
                <w:sz w:val="18"/>
                <w:szCs w:val="18"/>
              </w:rPr>
            </w:pPr>
            <w:r w:rsidRPr="00105737">
              <w:rPr>
                <w:sz w:val="18"/>
                <w:szCs w:val="18"/>
              </w:rPr>
              <w:t>35</w:t>
            </w:r>
          </w:p>
        </w:tc>
      </w:tr>
      <w:tr w:rsidR="007F4EDE" w14:paraId="3C466BB3" w14:textId="77777777" w:rsidTr="007F7EA3">
        <w:trPr>
          <w:trHeight w:val="224"/>
        </w:trPr>
        <w:tc>
          <w:tcPr>
            <w:tcW w:w="1806" w:type="dxa"/>
            <w:vMerge/>
            <w:tcBorders>
              <w:left w:val="single" w:sz="4" w:space="0" w:color="auto"/>
            </w:tcBorders>
            <w:shd w:val="clear" w:color="auto" w:fill="D9D9D9" w:themeFill="background1" w:themeFillShade="D9"/>
          </w:tcPr>
          <w:p w14:paraId="5A084DA8" w14:textId="77777777" w:rsidR="007F4EDE" w:rsidRPr="006E189F" w:rsidRDefault="007F4EDE" w:rsidP="007F4EDE">
            <w:pPr>
              <w:rPr>
                <w:sz w:val="18"/>
                <w:szCs w:val="18"/>
              </w:rPr>
            </w:pPr>
          </w:p>
        </w:tc>
        <w:tc>
          <w:tcPr>
            <w:tcW w:w="1556" w:type="dxa"/>
            <w:vMerge/>
            <w:shd w:val="clear" w:color="auto" w:fill="D9D9D9" w:themeFill="background1" w:themeFillShade="D9"/>
          </w:tcPr>
          <w:p w14:paraId="0B97FDED" w14:textId="77777777" w:rsidR="007F4EDE" w:rsidRPr="00E90B70" w:rsidRDefault="007F4EDE" w:rsidP="007F4EDE">
            <w:pPr>
              <w:rPr>
                <w:sz w:val="18"/>
                <w:szCs w:val="18"/>
              </w:rPr>
            </w:pPr>
          </w:p>
        </w:tc>
        <w:tc>
          <w:tcPr>
            <w:tcW w:w="2251" w:type="dxa"/>
            <w:vMerge/>
            <w:shd w:val="clear" w:color="auto" w:fill="D9D9D9" w:themeFill="background1" w:themeFillShade="D9"/>
          </w:tcPr>
          <w:p w14:paraId="60F5230B" w14:textId="77777777" w:rsidR="007F4EDE" w:rsidRPr="00E90B70" w:rsidRDefault="007F4EDE" w:rsidP="007F4EDE">
            <w:pPr>
              <w:rPr>
                <w:sz w:val="18"/>
                <w:szCs w:val="18"/>
              </w:rPr>
            </w:pPr>
          </w:p>
        </w:tc>
        <w:tc>
          <w:tcPr>
            <w:tcW w:w="1701" w:type="dxa"/>
            <w:vMerge/>
            <w:shd w:val="clear" w:color="auto" w:fill="D9D9D9" w:themeFill="background1" w:themeFillShade="D9"/>
          </w:tcPr>
          <w:p w14:paraId="374E54CF" w14:textId="77777777" w:rsidR="007F4EDE" w:rsidRDefault="007F4EDE" w:rsidP="007F4EDE">
            <w:pPr>
              <w:rPr>
                <w:sz w:val="18"/>
                <w:szCs w:val="18"/>
              </w:rPr>
            </w:pPr>
          </w:p>
        </w:tc>
        <w:tc>
          <w:tcPr>
            <w:tcW w:w="1965" w:type="dxa"/>
            <w:shd w:val="clear" w:color="auto" w:fill="D9D9D9" w:themeFill="background1" w:themeFillShade="D9"/>
          </w:tcPr>
          <w:p w14:paraId="53184DAF" w14:textId="77777777" w:rsidR="007F4EDE" w:rsidRPr="00105737" w:rsidRDefault="007F4EDE" w:rsidP="007F4EDE">
            <w:pPr>
              <w:ind w:left="0"/>
              <w:rPr>
                <w:sz w:val="18"/>
                <w:szCs w:val="18"/>
              </w:rPr>
            </w:pPr>
            <w:r w:rsidRPr="00105737">
              <w:rPr>
                <w:sz w:val="18"/>
                <w:szCs w:val="18"/>
              </w:rPr>
              <w:t>Potassium, mg</w:t>
            </w:r>
          </w:p>
        </w:tc>
        <w:tc>
          <w:tcPr>
            <w:tcW w:w="1051" w:type="dxa"/>
            <w:shd w:val="clear" w:color="auto" w:fill="D9D9D9" w:themeFill="background1" w:themeFillShade="D9"/>
          </w:tcPr>
          <w:p w14:paraId="66690D29" w14:textId="77777777" w:rsidR="007F4EDE" w:rsidRPr="00105737" w:rsidRDefault="007F4EDE" w:rsidP="007F4EDE">
            <w:pPr>
              <w:ind w:left="0"/>
              <w:jc w:val="center"/>
              <w:rPr>
                <w:sz w:val="18"/>
                <w:szCs w:val="18"/>
              </w:rPr>
            </w:pPr>
            <w:r w:rsidRPr="00105737">
              <w:rPr>
                <w:sz w:val="18"/>
                <w:szCs w:val="18"/>
              </w:rPr>
              <w:t>1329</w:t>
            </w:r>
          </w:p>
        </w:tc>
        <w:tc>
          <w:tcPr>
            <w:tcW w:w="1169" w:type="dxa"/>
            <w:shd w:val="clear" w:color="auto" w:fill="D9D9D9" w:themeFill="background1" w:themeFillShade="D9"/>
          </w:tcPr>
          <w:p w14:paraId="672ACEE2" w14:textId="77777777" w:rsidR="007F4EDE" w:rsidRPr="00105737" w:rsidRDefault="007F4EDE" w:rsidP="007F4EDE">
            <w:pPr>
              <w:ind w:left="0"/>
              <w:jc w:val="center"/>
              <w:rPr>
                <w:sz w:val="18"/>
                <w:szCs w:val="18"/>
              </w:rPr>
            </w:pPr>
            <w:r w:rsidRPr="00105737">
              <w:rPr>
                <w:sz w:val="18"/>
                <w:szCs w:val="18"/>
              </w:rPr>
              <w:t>1646</w:t>
            </w:r>
          </w:p>
        </w:tc>
        <w:tc>
          <w:tcPr>
            <w:tcW w:w="1564" w:type="dxa"/>
            <w:tcBorders>
              <w:right w:val="single" w:sz="4" w:space="0" w:color="auto"/>
            </w:tcBorders>
            <w:shd w:val="clear" w:color="auto" w:fill="D9D9D9" w:themeFill="background1" w:themeFillShade="D9"/>
          </w:tcPr>
          <w:p w14:paraId="704FB101" w14:textId="77777777" w:rsidR="007F4EDE" w:rsidRPr="00105737" w:rsidRDefault="007F4EDE" w:rsidP="007F4EDE">
            <w:pPr>
              <w:ind w:left="0"/>
              <w:jc w:val="center"/>
              <w:rPr>
                <w:sz w:val="18"/>
                <w:szCs w:val="18"/>
              </w:rPr>
            </w:pPr>
            <w:r w:rsidRPr="00105737">
              <w:rPr>
                <w:sz w:val="18"/>
                <w:szCs w:val="18"/>
              </w:rPr>
              <w:t>24</w:t>
            </w:r>
          </w:p>
        </w:tc>
      </w:tr>
      <w:tr w:rsidR="007F4EDE" w14:paraId="0689D522" w14:textId="77777777" w:rsidTr="007F7EA3">
        <w:trPr>
          <w:trHeight w:val="224"/>
        </w:trPr>
        <w:tc>
          <w:tcPr>
            <w:tcW w:w="1806" w:type="dxa"/>
            <w:vMerge/>
            <w:tcBorders>
              <w:left w:val="single" w:sz="4" w:space="0" w:color="auto"/>
            </w:tcBorders>
            <w:shd w:val="clear" w:color="auto" w:fill="D9D9D9" w:themeFill="background1" w:themeFillShade="D9"/>
          </w:tcPr>
          <w:p w14:paraId="749E8113" w14:textId="77777777" w:rsidR="007F4EDE" w:rsidRPr="006E189F" w:rsidRDefault="007F4EDE" w:rsidP="007F4EDE">
            <w:pPr>
              <w:rPr>
                <w:sz w:val="18"/>
                <w:szCs w:val="18"/>
              </w:rPr>
            </w:pPr>
          </w:p>
        </w:tc>
        <w:tc>
          <w:tcPr>
            <w:tcW w:w="1556" w:type="dxa"/>
            <w:vMerge/>
            <w:shd w:val="clear" w:color="auto" w:fill="D9D9D9" w:themeFill="background1" w:themeFillShade="D9"/>
          </w:tcPr>
          <w:p w14:paraId="7FCAA7F1" w14:textId="77777777" w:rsidR="007F4EDE" w:rsidRPr="00E90B70" w:rsidRDefault="007F4EDE" w:rsidP="007F4EDE">
            <w:pPr>
              <w:rPr>
                <w:sz w:val="18"/>
                <w:szCs w:val="18"/>
              </w:rPr>
            </w:pPr>
          </w:p>
        </w:tc>
        <w:tc>
          <w:tcPr>
            <w:tcW w:w="2251" w:type="dxa"/>
            <w:vMerge/>
            <w:shd w:val="clear" w:color="auto" w:fill="D9D9D9" w:themeFill="background1" w:themeFillShade="D9"/>
          </w:tcPr>
          <w:p w14:paraId="1C99B413" w14:textId="77777777" w:rsidR="007F4EDE" w:rsidRPr="00E90B70" w:rsidRDefault="007F4EDE" w:rsidP="007F4EDE">
            <w:pPr>
              <w:rPr>
                <w:sz w:val="18"/>
                <w:szCs w:val="18"/>
              </w:rPr>
            </w:pPr>
          </w:p>
        </w:tc>
        <w:tc>
          <w:tcPr>
            <w:tcW w:w="1701" w:type="dxa"/>
            <w:vMerge/>
            <w:shd w:val="clear" w:color="auto" w:fill="D9D9D9" w:themeFill="background1" w:themeFillShade="D9"/>
          </w:tcPr>
          <w:p w14:paraId="4F9E098E" w14:textId="77777777" w:rsidR="007F4EDE" w:rsidRDefault="007F4EDE" w:rsidP="007F4EDE">
            <w:pPr>
              <w:rPr>
                <w:sz w:val="18"/>
                <w:szCs w:val="18"/>
              </w:rPr>
            </w:pPr>
          </w:p>
        </w:tc>
        <w:tc>
          <w:tcPr>
            <w:tcW w:w="1965" w:type="dxa"/>
          </w:tcPr>
          <w:p w14:paraId="7CE15F74" w14:textId="77777777" w:rsidR="007F4EDE" w:rsidRPr="00105737" w:rsidRDefault="007F4EDE" w:rsidP="007F4EDE">
            <w:pPr>
              <w:ind w:left="0"/>
              <w:rPr>
                <w:sz w:val="18"/>
                <w:szCs w:val="18"/>
              </w:rPr>
            </w:pPr>
            <w:r w:rsidRPr="00105737">
              <w:rPr>
                <w:sz w:val="18"/>
                <w:szCs w:val="18"/>
              </w:rPr>
              <w:t>Magnesium, mg</w:t>
            </w:r>
          </w:p>
        </w:tc>
        <w:tc>
          <w:tcPr>
            <w:tcW w:w="1051" w:type="dxa"/>
          </w:tcPr>
          <w:p w14:paraId="6D17E14B" w14:textId="77777777" w:rsidR="007F4EDE" w:rsidRPr="00105737" w:rsidRDefault="007F4EDE" w:rsidP="007F4EDE">
            <w:pPr>
              <w:ind w:left="0"/>
              <w:jc w:val="center"/>
              <w:rPr>
                <w:sz w:val="18"/>
                <w:szCs w:val="18"/>
              </w:rPr>
            </w:pPr>
            <w:r w:rsidRPr="00105737">
              <w:rPr>
                <w:sz w:val="18"/>
                <w:szCs w:val="18"/>
              </w:rPr>
              <w:t>306</w:t>
            </w:r>
          </w:p>
        </w:tc>
        <w:tc>
          <w:tcPr>
            <w:tcW w:w="1169" w:type="dxa"/>
          </w:tcPr>
          <w:p w14:paraId="482AF9B3" w14:textId="77777777" w:rsidR="007F4EDE" w:rsidRPr="00105737" w:rsidRDefault="007F4EDE" w:rsidP="007F4EDE">
            <w:pPr>
              <w:ind w:left="0"/>
              <w:jc w:val="center"/>
              <w:rPr>
                <w:sz w:val="18"/>
                <w:szCs w:val="18"/>
              </w:rPr>
            </w:pPr>
            <w:r w:rsidRPr="00105737">
              <w:rPr>
                <w:sz w:val="18"/>
                <w:szCs w:val="18"/>
              </w:rPr>
              <w:t>354</w:t>
            </w:r>
          </w:p>
        </w:tc>
        <w:tc>
          <w:tcPr>
            <w:tcW w:w="1564" w:type="dxa"/>
            <w:tcBorders>
              <w:right w:val="single" w:sz="4" w:space="0" w:color="auto"/>
            </w:tcBorders>
          </w:tcPr>
          <w:p w14:paraId="33BA20D2" w14:textId="77777777" w:rsidR="007F4EDE" w:rsidRPr="00105737" w:rsidRDefault="007F4EDE" w:rsidP="007F4EDE">
            <w:pPr>
              <w:ind w:left="0"/>
              <w:jc w:val="center"/>
              <w:rPr>
                <w:sz w:val="18"/>
                <w:szCs w:val="18"/>
              </w:rPr>
            </w:pPr>
            <w:r w:rsidRPr="00105737">
              <w:rPr>
                <w:sz w:val="18"/>
                <w:szCs w:val="18"/>
              </w:rPr>
              <w:t>16</w:t>
            </w:r>
          </w:p>
        </w:tc>
      </w:tr>
      <w:tr w:rsidR="007F4EDE" w14:paraId="614E6AFC" w14:textId="77777777" w:rsidTr="007F7EA3">
        <w:trPr>
          <w:trHeight w:val="224"/>
        </w:trPr>
        <w:tc>
          <w:tcPr>
            <w:tcW w:w="1806" w:type="dxa"/>
            <w:vMerge/>
            <w:tcBorders>
              <w:left w:val="single" w:sz="4" w:space="0" w:color="auto"/>
              <w:bottom w:val="single" w:sz="4" w:space="0" w:color="auto"/>
            </w:tcBorders>
            <w:shd w:val="clear" w:color="auto" w:fill="D9D9D9" w:themeFill="background1" w:themeFillShade="D9"/>
          </w:tcPr>
          <w:p w14:paraId="70C23FB5" w14:textId="77777777" w:rsidR="007F4EDE" w:rsidRPr="006E189F" w:rsidRDefault="007F4EDE" w:rsidP="007F4EDE">
            <w:pPr>
              <w:rPr>
                <w:sz w:val="18"/>
                <w:szCs w:val="18"/>
              </w:rPr>
            </w:pPr>
          </w:p>
        </w:tc>
        <w:tc>
          <w:tcPr>
            <w:tcW w:w="1556" w:type="dxa"/>
            <w:vMerge/>
            <w:tcBorders>
              <w:bottom w:val="single" w:sz="4" w:space="0" w:color="auto"/>
            </w:tcBorders>
            <w:shd w:val="clear" w:color="auto" w:fill="D9D9D9" w:themeFill="background1" w:themeFillShade="D9"/>
          </w:tcPr>
          <w:p w14:paraId="6712F218" w14:textId="77777777" w:rsidR="007F4EDE" w:rsidRPr="00E90B70" w:rsidRDefault="007F4EDE" w:rsidP="007F4EDE">
            <w:pPr>
              <w:rPr>
                <w:sz w:val="18"/>
                <w:szCs w:val="18"/>
              </w:rPr>
            </w:pPr>
          </w:p>
        </w:tc>
        <w:tc>
          <w:tcPr>
            <w:tcW w:w="2251" w:type="dxa"/>
            <w:vMerge/>
            <w:tcBorders>
              <w:bottom w:val="single" w:sz="4" w:space="0" w:color="auto"/>
            </w:tcBorders>
            <w:shd w:val="clear" w:color="auto" w:fill="D9D9D9" w:themeFill="background1" w:themeFillShade="D9"/>
          </w:tcPr>
          <w:p w14:paraId="5CDE7FEC" w14:textId="77777777" w:rsidR="007F4EDE" w:rsidRPr="00E90B70" w:rsidRDefault="007F4EDE" w:rsidP="007F4EDE">
            <w:pPr>
              <w:rPr>
                <w:sz w:val="18"/>
                <w:szCs w:val="18"/>
              </w:rPr>
            </w:pPr>
          </w:p>
        </w:tc>
        <w:tc>
          <w:tcPr>
            <w:tcW w:w="1701" w:type="dxa"/>
            <w:vMerge/>
            <w:shd w:val="clear" w:color="auto" w:fill="D9D9D9" w:themeFill="background1" w:themeFillShade="D9"/>
          </w:tcPr>
          <w:p w14:paraId="5EDE6E94" w14:textId="77777777" w:rsidR="007F4EDE" w:rsidRDefault="007F4EDE" w:rsidP="007F4EDE">
            <w:pPr>
              <w:rPr>
                <w:sz w:val="18"/>
                <w:szCs w:val="18"/>
              </w:rPr>
            </w:pPr>
          </w:p>
        </w:tc>
        <w:tc>
          <w:tcPr>
            <w:tcW w:w="1965" w:type="dxa"/>
            <w:tcBorders>
              <w:bottom w:val="single" w:sz="4" w:space="0" w:color="auto"/>
            </w:tcBorders>
            <w:shd w:val="clear" w:color="auto" w:fill="D9D9D9" w:themeFill="background1" w:themeFillShade="D9"/>
          </w:tcPr>
          <w:p w14:paraId="1645088C" w14:textId="77777777" w:rsidR="007F4EDE" w:rsidRPr="00105737" w:rsidRDefault="007F4EDE" w:rsidP="007F4EDE">
            <w:pPr>
              <w:ind w:left="0"/>
              <w:rPr>
                <w:sz w:val="18"/>
                <w:szCs w:val="18"/>
              </w:rPr>
            </w:pPr>
            <w:r w:rsidRPr="00105737">
              <w:rPr>
                <w:sz w:val="18"/>
                <w:szCs w:val="18"/>
              </w:rPr>
              <w:t>Zinc, mg</w:t>
            </w:r>
          </w:p>
        </w:tc>
        <w:tc>
          <w:tcPr>
            <w:tcW w:w="1051" w:type="dxa"/>
            <w:tcBorders>
              <w:bottom w:val="single" w:sz="4" w:space="0" w:color="auto"/>
            </w:tcBorders>
            <w:shd w:val="clear" w:color="auto" w:fill="D9D9D9" w:themeFill="background1" w:themeFillShade="D9"/>
          </w:tcPr>
          <w:p w14:paraId="7165A219" w14:textId="77777777" w:rsidR="007F4EDE" w:rsidRPr="00105737" w:rsidRDefault="007F4EDE" w:rsidP="007F4EDE">
            <w:pPr>
              <w:ind w:left="0"/>
              <w:jc w:val="center"/>
              <w:rPr>
                <w:sz w:val="18"/>
                <w:szCs w:val="18"/>
              </w:rPr>
            </w:pPr>
            <w:r w:rsidRPr="00105737">
              <w:rPr>
                <w:sz w:val="18"/>
                <w:szCs w:val="18"/>
              </w:rPr>
              <w:t>8.2</w:t>
            </w:r>
          </w:p>
        </w:tc>
        <w:tc>
          <w:tcPr>
            <w:tcW w:w="1169" w:type="dxa"/>
            <w:tcBorders>
              <w:bottom w:val="single" w:sz="4" w:space="0" w:color="auto"/>
            </w:tcBorders>
            <w:shd w:val="clear" w:color="auto" w:fill="D9D9D9" w:themeFill="background1" w:themeFillShade="D9"/>
          </w:tcPr>
          <w:p w14:paraId="63087E9C" w14:textId="77777777" w:rsidR="007F4EDE" w:rsidRPr="00105737" w:rsidRDefault="007F4EDE" w:rsidP="007F4EDE">
            <w:pPr>
              <w:ind w:left="0"/>
              <w:jc w:val="center"/>
              <w:rPr>
                <w:sz w:val="18"/>
                <w:szCs w:val="18"/>
              </w:rPr>
            </w:pPr>
            <w:r w:rsidRPr="00105737">
              <w:rPr>
                <w:sz w:val="18"/>
                <w:szCs w:val="18"/>
              </w:rPr>
              <w:t>9.2</w:t>
            </w:r>
          </w:p>
        </w:tc>
        <w:tc>
          <w:tcPr>
            <w:tcW w:w="1564" w:type="dxa"/>
            <w:tcBorders>
              <w:bottom w:val="single" w:sz="4" w:space="0" w:color="auto"/>
              <w:right w:val="single" w:sz="4" w:space="0" w:color="auto"/>
            </w:tcBorders>
            <w:shd w:val="clear" w:color="auto" w:fill="D9D9D9" w:themeFill="background1" w:themeFillShade="D9"/>
          </w:tcPr>
          <w:p w14:paraId="57EE054E" w14:textId="77777777" w:rsidR="007F4EDE" w:rsidRPr="00105737" w:rsidRDefault="007F4EDE" w:rsidP="007F4EDE">
            <w:pPr>
              <w:ind w:left="0"/>
              <w:jc w:val="center"/>
              <w:rPr>
                <w:sz w:val="18"/>
                <w:szCs w:val="18"/>
              </w:rPr>
            </w:pPr>
            <w:r w:rsidRPr="00105737">
              <w:rPr>
                <w:sz w:val="18"/>
                <w:szCs w:val="18"/>
              </w:rPr>
              <w:t>12</w:t>
            </w:r>
          </w:p>
        </w:tc>
      </w:tr>
      <w:tr w:rsidR="00F41059" w:rsidRPr="0013134C" w14:paraId="7034E43E" w14:textId="77777777" w:rsidTr="007F7EA3">
        <w:trPr>
          <w:trHeight w:val="224"/>
        </w:trPr>
        <w:tc>
          <w:tcPr>
            <w:tcW w:w="1806" w:type="dxa"/>
            <w:tcBorders>
              <w:top w:val="single" w:sz="4" w:space="0" w:color="auto"/>
              <w:left w:val="single" w:sz="4" w:space="0" w:color="auto"/>
              <w:bottom w:val="single" w:sz="4" w:space="0" w:color="auto"/>
            </w:tcBorders>
          </w:tcPr>
          <w:p w14:paraId="186B23BC" w14:textId="45B8B108" w:rsidR="00F41059" w:rsidRPr="0013134C" w:rsidRDefault="00F41059" w:rsidP="00F41059">
            <w:pPr>
              <w:ind w:left="0"/>
              <w:rPr>
                <w:sz w:val="18"/>
                <w:szCs w:val="18"/>
              </w:rPr>
            </w:pPr>
            <w:proofErr w:type="spellStart"/>
            <w:r w:rsidRPr="0023048C">
              <w:rPr>
                <w:sz w:val="18"/>
                <w:szCs w:val="18"/>
              </w:rPr>
              <w:t>Lividini</w:t>
            </w:r>
            <w:proofErr w:type="spellEnd"/>
            <w:r w:rsidRPr="0023048C">
              <w:rPr>
                <w:sz w:val="18"/>
                <w:szCs w:val="18"/>
              </w:rPr>
              <w:t xml:space="preserve"> </w:t>
            </w:r>
            <w:r w:rsidRPr="0023048C">
              <w:rPr>
                <w:i/>
                <w:iCs/>
                <w:sz w:val="18"/>
                <w:szCs w:val="18"/>
              </w:rPr>
              <w:t>et al.</w:t>
            </w:r>
            <w:r w:rsidRPr="0023048C">
              <w:rPr>
                <w:sz w:val="18"/>
                <w:szCs w:val="18"/>
              </w:rPr>
              <w:t xml:space="preserve"> (2013) </w:t>
            </w:r>
            <w:r>
              <w:rPr>
                <w:sz w:val="18"/>
                <w:szCs w:val="18"/>
                <w:lang w:val="fr-FR"/>
              </w:rPr>
              <w:fldChar w:fldCharType="begin" w:fldLock="1"/>
            </w:r>
            <w:r w:rsidR="005B0D26">
              <w:rPr>
                <w:sz w:val="18"/>
                <w:szCs w:val="18"/>
              </w:rPr>
              <w:instrText>ADDIN CSL_CITATION {"citationItems":[{"id":"ITEM-1","itemData":{"DOI":"10.1177/156482651303400414","ISSN":"03795721","abstract":"Background. Observed-Weighed Food Record Surveys (OWFR) are regarded as the most precise dietary assessment methodology, despite their recognized shortcomings, which include limited availability, high cost, small samples with uncertain external validity that rarely include all household members, Hawthorne effects, and using only 1 or 2 days to identify \"usual intake.\" Although Household Consumption and Expenditures Surveys (HCES) also have significant limitations, they are increasingly being used to inform nutrition policy. Objective. To investigate differences in fortification simulations based on OWFR and HCES from Bangladesh. Methods. The pre- and postfortification nutrient intake levels from the two surveys were compared. Results. The total population-based rank orderings of oil, wheat flour, and sugar coverage were identical for the two surveys. OWFR found differences in women's and children's coverage rates and average quantities consumed for all three foods that were not detected by HCES. Guided by the Food Fortification Formulator, we found that these differences did not result in differences in recommended fortification levels. Differences were found, however, in estimated impacts: although both surveys found that oil would be effective in reducing the prevalence of inadequate vitamin A intake among both subpopulations, only OWFR also found that sugar and wheat flour fortification would significantly reduce inadequate vitamin A intake among children. Conclusions. Despite the less precise measure of food consumption from HCES, the two surveys provide similar guidance for designing a fortification program. The external validity of these findings is limited. With relatively minor modifications, the precision of HCES in dietary assessment and the use of HCES in fortification programming could be strengthened. © 2013, The Nevin Scrimshaw International Nutrition Foundation.","author":[{"dropping-particle":"","family":"Lividini","given":"Keith","non-dropping-particle":"","parse-names":false,"suffix":""},{"dropping-particle":"","family":"Fiedler","given":"John L.","non-dropping-particle":"","parse-names":false,"suffix":""},{"dropping-particle":"","family":"Bermudez","given":"Odilia I.","non-dropping-particle":"","parse-names":false,"suffix":""}],"container-title":"Food and Nutrition Bulletin","id":"ITEM-1","issue":"4","issued":{"date-parts":[["2013"]]},"page":"520-32","title":"Policy implications of using a Household Consumption and Expenditures Survey versus an Observed-Weighed Food Record Survey to design a food fortification program","type":"article-journal","volume":"34"},"uris":["http://www.mendeley.com/documents/?uuid=b4a07d97-8051-4aac-aa55-9362929debad"]}],"mendeley":{"formattedCitation":"&lt;sup&gt;(40)&lt;/sup&gt;","plainTextFormattedCitation":"(40)","previouslyFormattedCitation":"[40]"},"properties":{"noteIndex":0},"schema":"https://github.com/citation-style-language/schema/raw/master/csl-citation.json"}</w:instrText>
            </w:r>
            <w:r>
              <w:rPr>
                <w:sz w:val="18"/>
                <w:szCs w:val="18"/>
                <w:lang w:val="fr-FR"/>
              </w:rPr>
              <w:fldChar w:fldCharType="separate"/>
            </w:r>
            <w:r w:rsidR="005B0D26" w:rsidRPr="005B0D26">
              <w:rPr>
                <w:noProof/>
                <w:sz w:val="18"/>
                <w:szCs w:val="18"/>
                <w:vertAlign w:val="superscript"/>
              </w:rPr>
              <w:t>(40)</w:t>
            </w:r>
            <w:r>
              <w:rPr>
                <w:sz w:val="18"/>
                <w:szCs w:val="18"/>
                <w:lang w:val="fr-FR"/>
              </w:rPr>
              <w:fldChar w:fldCharType="end"/>
            </w:r>
            <w:r w:rsidRPr="0013134C">
              <w:rPr>
                <w:sz w:val="18"/>
                <w:szCs w:val="18"/>
              </w:rPr>
              <w:t>;</w:t>
            </w:r>
          </w:p>
          <w:p w14:paraId="6146A322" w14:textId="77777777" w:rsidR="00F41059" w:rsidRPr="0013134C" w:rsidRDefault="00F41059" w:rsidP="00F41059">
            <w:pPr>
              <w:ind w:left="0"/>
              <w:rPr>
                <w:sz w:val="18"/>
                <w:szCs w:val="18"/>
              </w:rPr>
            </w:pPr>
            <w:proofErr w:type="spellStart"/>
            <w:r w:rsidRPr="0013134C">
              <w:rPr>
                <w:sz w:val="18"/>
                <w:szCs w:val="18"/>
              </w:rPr>
              <w:t>Rajshahi</w:t>
            </w:r>
            <w:proofErr w:type="spellEnd"/>
            <w:r w:rsidRPr="0013134C">
              <w:rPr>
                <w:sz w:val="18"/>
                <w:szCs w:val="18"/>
              </w:rPr>
              <w:t xml:space="preserve">, </w:t>
            </w:r>
            <w:proofErr w:type="gramStart"/>
            <w:r w:rsidRPr="0013134C">
              <w:rPr>
                <w:sz w:val="18"/>
                <w:szCs w:val="18"/>
              </w:rPr>
              <w:t>Bangladesh;</w:t>
            </w:r>
            <w:proofErr w:type="gramEnd"/>
          </w:p>
          <w:p w14:paraId="6DED4643" w14:textId="77777777" w:rsidR="00F41059" w:rsidRPr="0013134C" w:rsidRDefault="00F41059" w:rsidP="00F41059">
            <w:pPr>
              <w:ind w:left="0"/>
              <w:rPr>
                <w:sz w:val="18"/>
                <w:szCs w:val="18"/>
              </w:rPr>
            </w:pPr>
            <w:r w:rsidRPr="0013134C">
              <w:rPr>
                <w:sz w:val="18"/>
                <w:szCs w:val="18"/>
              </w:rPr>
              <w:t>medians</w:t>
            </w:r>
          </w:p>
        </w:tc>
        <w:tc>
          <w:tcPr>
            <w:tcW w:w="1556" w:type="dxa"/>
            <w:tcBorders>
              <w:top w:val="single" w:sz="4" w:space="0" w:color="auto"/>
              <w:bottom w:val="single" w:sz="4" w:space="0" w:color="auto"/>
            </w:tcBorders>
          </w:tcPr>
          <w:p w14:paraId="4880D4F3" w14:textId="77777777" w:rsidR="00F41059" w:rsidRPr="00F41059" w:rsidRDefault="00F41059" w:rsidP="00F41059">
            <w:pPr>
              <w:ind w:left="0"/>
              <w:rPr>
                <w:color w:val="000000" w:themeColor="text1"/>
                <w:sz w:val="18"/>
                <w:szCs w:val="18"/>
              </w:rPr>
            </w:pPr>
            <w:r w:rsidRPr="00F41059">
              <w:rPr>
                <w:color w:val="000000" w:themeColor="text1"/>
                <w:sz w:val="18"/>
                <w:szCs w:val="18"/>
              </w:rPr>
              <w:t>2 non-consecutive days of 12-hour observed weighed food records &amp; 12-hour dietary recall (n=477)</w:t>
            </w:r>
          </w:p>
          <w:p w14:paraId="0FBA8F14" w14:textId="117659A7" w:rsidR="00F41059" w:rsidRPr="00F41059" w:rsidRDefault="00F41059" w:rsidP="00F41059">
            <w:pPr>
              <w:rPr>
                <w:color w:val="000000" w:themeColor="text1"/>
                <w:sz w:val="18"/>
                <w:szCs w:val="18"/>
              </w:rPr>
            </w:pPr>
            <w:r w:rsidRPr="00F41059">
              <w:rPr>
                <w:color w:val="000000" w:themeColor="text1"/>
                <w:sz w:val="18"/>
                <w:szCs w:val="18"/>
              </w:rPr>
              <w:t xml:space="preserve"> </w:t>
            </w:r>
          </w:p>
        </w:tc>
        <w:tc>
          <w:tcPr>
            <w:tcW w:w="2251" w:type="dxa"/>
            <w:tcBorders>
              <w:top w:val="single" w:sz="4" w:space="0" w:color="auto"/>
              <w:bottom w:val="single" w:sz="4" w:space="0" w:color="auto"/>
            </w:tcBorders>
          </w:tcPr>
          <w:p w14:paraId="0FB01CD9" w14:textId="77777777" w:rsidR="00F41059" w:rsidRPr="00F41059" w:rsidRDefault="00F41059" w:rsidP="00F41059">
            <w:pPr>
              <w:ind w:left="0"/>
              <w:rPr>
                <w:color w:val="000000" w:themeColor="text1"/>
                <w:sz w:val="18"/>
                <w:szCs w:val="18"/>
              </w:rPr>
            </w:pPr>
            <w:r w:rsidRPr="00F41059">
              <w:rPr>
                <w:color w:val="000000" w:themeColor="text1"/>
                <w:sz w:val="18"/>
                <w:szCs w:val="18"/>
              </w:rPr>
              <w:t xml:space="preserve">14-day food diary of </w:t>
            </w:r>
          </w:p>
          <w:p w14:paraId="0978E5A8" w14:textId="52F58B47" w:rsidR="00F41059" w:rsidRPr="00F41059" w:rsidRDefault="00F41059" w:rsidP="00F41059">
            <w:pPr>
              <w:ind w:left="0"/>
              <w:rPr>
                <w:color w:val="000000" w:themeColor="text1"/>
                <w:sz w:val="18"/>
                <w:szCs w:val="18"/>
              </w:rPr>
            </w:pPr>
            <w:r w:rsidRPr="00F41059">
              <w:rPr>
                <w:color w:val="000000" w:themeColor="text1"/>
                <w:sz w:val="18"/>
                <w:szCs w:val="18"/>
              </w:rPr>
              <w:t>hou</w:t>
            </w:r>
            <w:r>
              <w:rPr>
                <w:color w:val="000000" w:themeColor="text1"/>
                <w:sz w:val="18"/>
                <w:szCs w:val="18"/>
              </w:rPr>
              <w:t>s</w:t>
            </w:r>
            <w:r w:rsidRPr="00F41059">
              <w:rPr>
                <w:color w:val="000000" w:themeColor="text1"/>
                <w:sz w:val="18"/>
                <w:szCs w:val="18"/>
              </w:rPr>
              <w:t xml:space="preserve">eholds with children </w:t>
            </w:r>
            <w:proofErr w:type="gramStart"/>
            <w:r w:rsidRPr="00F41059">
              <w:rPr>
                <w:color w:val="000000" w:themeColor="text1"/>
                <w:sz w:val="18"/>
                <w:szCs w:val="18"/>
              </w:rPr>
              <w:t>age</w:t>
            </w:r>
            <w:proofErr w:type="gramEnd"/>
            <w:r w:rsidRPr="00F41059">
              <w:rPr>
                <w:color w:val="000000" w:themeColor="text1"/>
                <w:sz w:val="18"/>
                <w:szCs w:val="18"/>
              </w:rPr>
              <w:t xml:space="preserve"> 2-3 (n=513)</w:t>
            </w:r>
          </w:p>
        </w:tc>
        <w:tc>
          <w:tcPr>
            <w:tcW w:w="1701" w:type="dxa"/>
            <w:tcBorders>
              <w:top w:val="single" w:sz="4" w:space="0" w:color="auto"/>
              <w:bottom w:val="single" w:sz="4" w:space="0" w:color="auto"/>
            </w:tcBorders>
          </w:tcPr>
          <w:p w14:paraId="7E0F1B79" w14:textId="77777777" w:rsidR="00F41059" w:rsidRDefault="00F41059" w:rsidP="00F41059">
            <w:pPr>
              <w:ind w:left="0"/>
              <w:rPr>
                <w:sz w:val="18"/>
                <w:szCs w:val="18"/>
              </w:rPr>
            </w:pPr>
            <w:r>
              <w:rPr>
                <w:sz w:val="18"/>
                <w:szCs w:val="18"/>
              </w:rPr>
              <w:t>WRA</w:t>
            </w:r>
          </w:p>
          <w:p w14:paraId="249DDFB2" w14:textId="77777777" w:rsidR="00F41059" w:rsidRPr="0013134C" w:rsidRDefault="00F41059" w:rsidP="00F41059">
            <w:pPr>
              <w:ind w:left="0"/>
              <w:rPr>
                <w:sz w:val="18"/>
                <w:szCs w:val="18"/>
              </w:rPr>
            </w:pPr>
            <w:r>
              <w:rPr>
                <w:sz w:val="18"/>
                <w:szCs w:val="18"/>
              </w:rPr>
              <w:t>(n=240)</w:t>
            </w:r>
          </w:p>
        </w:tc>
        <w:tc>
          <w:tcPr>
            <w:tcW w:w="1965" w:type="dxa"/>
            <w:tcBorders>
              <w:top w:val="single" w:sz="4" w:space="0" w:color="auto"/>
              <w:bottom w:val="single" w:sz="4" w:space="0" w:color="auto"/>
            </w:tcBorders>
          </w:tcPr>
          <w:p w14:paraId="579B65D6" w14:textId="77777777" w:rsidR="00F41059" w:rsidRPr="0013134C" w:rsidRDefault="00F41059" w:rsidP="00F41059">
            <w:pPr>
              <w:ind w:left="0"/>
              <w:rPr>
                <w:b/>
                <w:bCs/>
                <w:sz w:val="18"/>
                <w:szCs w:val="18"/>
              </w:rPr>
            </w:pPr>
            <w:r w:rsidRPr="00105737">
              <w:rPr>
                <w:sz w:val="18"/>
                <w:szCs w:val="18"/>
              </w:rPr>
              <w:t>Energy, kcal</w:t>
            </w:r>
          </w:p>
        </w:tc>
        <w:tc>
          <w:tcPr>
            <w:tcW w:w="1051" w:type="dxa"/>
            <w:tcBorders>
              <w:top w:val="single" w:sz="4" w:space="0" w:color="auto"/>
              <w:bottom w:val="single" w:sz="4" w:space="0" w:color="auto"/>
            </w:tcBorders>
          </w:tcPr>
          <w:p w14:paraId="7F9EA917" w14:textId="77777777" w:rsidR="00F41059" w:rsidRPr="0013134C" w:rsidRDefault="00F41059" w:rsidP="00F41059">
            <w:pPr>
              <w:ind w:left="0"/>
              <w:jc w:val="center"/>
              <w:rPr>
                <w:sz w:val="18"/>
                <w:szCs w:val="18"/>
              </w:rPr>
            </w:pPr>
            <w:r w:rsidRPr="00105737">
              <w:rPr>
                <w:sz w:val="18"/>
                <w:szCs w:val="18"/>
              </w:rPr>
              <w:t>1984</w:t>
            </w:r>
          </w:p>
        </w:tc>
        <w:tc>
          <w:tcPr>
            <w:tcW w:w="1169" w:type="dxa"/>
            <w:tcBorders>
              <w:top w:val="single" w:sz="4" w:space="0" w:color="auto"/>
              <w:bottom w:val="single" w:sz="4" w:space="0" w:color="auto"/>
            </w:tcBorders>
          </w:tcPr>
          <w:p w14:paraId="04C9DC35" w14:textId="77777777" w:rsidR="00F41059" w:rsidRPr="0013134C" w:rsidRDefault="00F41059" w:rsidP="00F41059">
            <w:pPr>
              <w:ind w:left="0"/>
              <w:jc w:val="center"/>
              <w:rPr>
                <w:sz w:val="18"/>
                <w:szCs w:val="18"/>
              </w:rPr>
            </w:pPr>
            <w:r w:rsidRPr="00105737">
              <w:rPr>
                <w:sz w:val="18"/>
                <w:szCs w:val="18"/>
              </w:rPr>
              <w:t>2281</w:t>
            </w:r>
          </w:p>
        </w:tc>
        <w:tc>
          <w:tcPr>
            <w:tcW w:w="1564" w:type="dxa"/>
            <w:tcBorders>
              <w:top w:val="single" w:sz="4" w:space="0" w:color="auto"/>
              <w:bottom w:val="single" w:sz="4" w:space="0" w:color="auto"/>
              <w:right w:val="single" w:sz="4" w:space="0" w:color="auto"/>
            </w:tcBorders>
          </w:tcPr>
          <w:p w14:paraId="4F1192AD" w14:textId="77777777" w:rsidR="00F41059" w:rsidRPr="0013134C" w:rsidRDefault="00F41059" w:rsidP="00F41059">
            <w:pPr>
              <w:ind w:left="0"/>
              <w:jc w:val="center"/>
              <w:rPr>
                <w:sz w:val="18"/>
                <w:szCs w:val="18"/>
              </w:rPr>
            </w:pPr>
            <w:r w:rsidRPr="0013134C">
              <w:rPr>
                <w:sz w:val="18"/>
                <w:szCs w:val="18"/>
              </w:rPr>
              <w:t>13</w:t>
            </w:r>
          </w:p>
        </w:tc>
      </w:tr>
      <w:tr w:rsidR="00F41059" w14:paraId="26B8478A" w14:textId="77777777" w:rsidTr="007F4EDE">
        <w:trPr>
          <w:trHeight w:val="980"/>
        </w:trPr>
        <w:tc>
          <w:tcPr>
            <w:tcW w:w="1806" w:type="dxa"/>
            <w:tcBorders>
              <w:top w:val="single" w:sz="4" w:space="0" w:color="auto"/>
              <w:left w:val="single" w:sz="4" w:space="0" w:color="auto"/>
              <w:bottom w:val="single" w:sz="4" w:space="0" w:color="auto"/>
            </w:tcBorders>
            <w:shd w:val="clear" w:color="auto" w:fill="D9D9D9" w:themeFill="background1" w:themeFillShade="D9"/>
          </w:tcPr>
          <w:p w14:paraId="3824FFDB" w14:textId="03B89CC1" w:rsidR="00F41059" w:rsidRPr="00EC3718" w:rsidRDefault="00F41059" w:rsidP="00F41059">
            <w:pPr>
              <w:ind w:left="0"/>
              <w:rPr>
                <w:color w:val="000000" w:themeColor="text1"/>
                <w:sz w:val="18"/>
                <w:szCs w:val="18"/>
              </w:rPr>
            </w:pPr>
            <w:proofErr w:type="spellStart"/>
            <w:r w:rsidRPr="00EC3718">
              <w:rPr>
                <w:color w:val="000000" w:themeColor="text1"/>
                <w:sz w:val="18"/>
                <w:szCs w:val="18"/>
              </w:rPr>
              <w:t>Lividini</w:t>
            </w:r>
            <w:proofErr w:type="spellEnd"/>
            <w:r w:rsidRPr="00EC3718">
              <w:rPr>
                <w:color w:val="000000" w:themeColor="text1"/>
                <w:sz w:val="18"/>
                <w:szCs w:val="18"/>
              </w:rPr>
              <w:t xml:space="preserve"> </w:t>
            </w:r>
            <w:r w:rsidRPr="00EC3718">
              <w:rPr>
                <w:i/>
                <w:iCs/>
                <w:color w:val="000000" w:themeColor="text1"/>
                <w:sz w:val="18"/>
                <w:szCs w:val="18"/>
              </w:rPr>
              <w:t>et al.</w:t>
            </w:r>
            <w:r w:rsidRPr="00EC3718">
              <w:rPr>
                <w:color w:val="000000" w:themeColor="text1"/>
                <w:sz w:val="18"/>
                <w:szCs w:val="18"/>
              </w:rPr>
              <w:t xml:space="preserve"> (2013) </w:t>
            </w:r>
            <w:r w:rsidRPr="00EC3718">
              <w:rPr>
                <w:color w:val="000000" w:themeColor="text1"/>
                <w:sz w:val="18"/>
                <w:szCs w:val="18"/>
                <w:lang w:val="fr-FR"/>
              </w:rPr>
              <w:fldChar w:fldCharType="begin" w:fldLock="1"/>
            </w:r>
            <w:r w:rsidR="005B0D26">
              <w:rPr>
                <w:color w:val="000000" w:themeColor="text1"/>
                <w:sz w:val="18"/>
                <w:szCs w:val="18"/>
              </w:rPr>
              <w:instrText>ADDIN CSL_CITATION {"citationItems":[{"id":"ITEM-1","itemData":{"DOI":"10.1177/156482651303400414","ISSN":"03795721","abstract":"Background. Observed-Weighed Food Record Surveys (OWFR) are regarded as the most precise dietary assessment methodology, despite their recognized shortcomings, which include limited availability, high cost, small samples with uncertain external validity that rarely include all household members, Hawthorne effects, and using only 1 or 2 days to identify \"usual intake.\" Although Household Consumption and Expenditures Surveys (HCES) also have significant limitations, they are increasingly being used to inform nutrition policy. Objective. To investigate differences in fortification simulations based on OWFR and HCES from Bangladesh. Methods. The pre- and postfortification nutrient intake levels from the two surveys were compared. Results. The total population-based rank orderings of oil, wheat flour, and sugar coverage were identical for the two surveys. OWFR found differences in women's and children's coverage rates and average quantities consumed for all three foods that were not detected by HCES. Guided by the Food Fortification Formulator, we found that these differences did not result in differences in recommended fortification levels. Differences were found, however, in estimated impacts: although both surveys found that oil would be effective in reducing the prevalence of inadequate vitamin A intake among both subpopulations, only OWFR also found that sugar and wheat flour fortification would significantly reduce inadequate vitamin A intake among children. Conclusions. Despite the less precise measure of food consumption from HCES, the two surveys provide similar guidance for designing a fortification program. The external validity of these findings is limited. With relatively minor modifications, the precision of HCES in dietary assessment and the use of HCES in fortification programming could be strengthened. © 2013, The Nevin Scrimshaw International Nutrition Foundation.","author":[{"dropping-particle":"","family":"Lividini","given":"Keith","non-dropping-particle":"","parse-names":false,"suffix":""},{"dropping-particle":"","family":"Fiedler","given":"John L.","non-dropping-particle":"","parse-names":false,"suffix":""},{"dropping-particle":"","family":"Bermudez","given":"Odilia I.","non-dropping-particle":"","parse-names":false,"suffix":""}],"container-title":"Food and Nutrition Bulletin","id":"ITEM-1","issue":"4","issued":{"date-parts":[["2013"]]},"page":"520-32","title":"Policy implications of using a Household Consumption and Expenditures Survey versus an Observed-Weighed Food Record Survey to design a food fortification program","type":"article-journal","volume":"34"},"uris":["http://www.mendeley.com/documents/?uuid=b4a07d97-8051-4aac-aa55-9362929debad"]}],"mendeley":{"formattedCitation":"&lt;sup&gt;(40)&lt;/sup&gt;","plainTextFormattedCitation":"(40)","previouslyFormattedCitation":"[40]"},"properties":{"noteIndex":0},"schema":"https://github.com/citation-style-language/schema/raw/master/csl-citation.json"}</w:instrText>
            </w:r>
            <w:r w:rsidRPr="00EC3718">
              <w:rPr>
                <w:color w:val="000000" w:themeColor="text1"/>
                <w:sz w:val="18"/>
                <w:szCs w:val="18"/>
                <w:lang w:val="fr-FR"/>
              </w:rPr>
              <w:fldChar w:fldCharType="separate"/>
            </w:r>
            <w:r w:rsidR="005B0D26" w:rsidRPr="005B0D26">
              <w:rPr>
                <w:noProof/>
                <w:color w:val="000000" w:themeColor="text1"/>
                <w:sz w:val="18"/>
                <w:szCs w:val="18"/>
                <w:vertAlign w:val="superscript"/>
              </w:rPr>
              <w:t>(40)</w:t>
            </w:r>
            <w:r w:rsidRPr="00EC3718">
              <w:rPr>
                <w:color w:val="000000" w:themeColor="text1"/>
                <w:sz w:val="18"/>
                <w:szCs w:val="18"/>
                <w:lang w:val="fr-FR"/>
              </w:rPr>
              <w:fldChar w:fldCharType="end"/>
            </w:r>
            <w:r w:rsidRPr="00EC3718">
              <w:rPr>
                <w:color w:val="000000" w:themeColor="text1"/>
                <w:sz w:val="18"/>
                <w:szCs w:val="18"/>
              </w:rPr>
              <w:t>;</w:t>
            </w:r>
          </w:p>
          <w:p w14:paraId="7E784C99" w14:textId="77777777" w:rsidR="00F41059" w:rsidRPr="00EC3718" w:rsidRDefault="00F41059" w:rsidP="00F41059">
            <w:pPr>
              <w:ind w:left="0"/>
              <w:rPr>
                <w:color w:val="000000" w:themeColor="text1"/>
                <w:sz w:val="18"/>
                <w:szCs w:val="18"/>
              </w:rPr>
            </w:pPr>
            <w:r w:rsidRPr="00EC3718">
              <w:rPr>
                <w:color w:val="000000" w:themeColor="text1"/>
                <w:sz w:val="18"/>
                <w:szCs w:val="18"/>
              </w:rPr>
              <w:t xml:space="preserve">Dhaka, </w:t>
            </w:r>
            <w:proofErr w:type="gramStart"/>
            <w:r w:rsidRPr="00EC3718">
              <w:rPr>
                <w:color w:val="000000" w:themeColor="text1"/>
                <w:sz w:val="18"/>
                <w:szCs w:val="18"/>
              </w:rPr>
              <w:t>Bangladesh;</w:t>
            </w:r>
            <w:proofErr w:type="gramEnd"/>
          </w:p>
          <w:p w14:paraId="681F73D4" w14:textId="77777777" w:rsidR="00F41059" w:rsidRPr="00EC3718" w:rsidRDefault="00F41059" w:rsidP="00F41059">
            <w:pPr>
              <w:ind w:left="0"/>
              <w:rPr>
                <w:color w:val="000000" w:themeColor="text1"/>
                <w:sz w:val="18"/>
                <w:szCs w:val="18"/>
              </w:rPr>
            </w:pPr>
            <w:r w:rsidRPr="00EC3718">
              <w:rPr>
                <w:color w:val="000000" w:themeColor="text1"/>
                <w:sz w:val="18"/>
                <w:szCs w:val="18"/>
              </w:rPr>
              <w:t>medians</w:t>
            </w:r>
          </w:p>
        </w:tc>
        <w:tc>
          <w:tcPr>
            <w:tcW w:w="1556" w:type="dxa"/>
            <w:tcBorders>
              <w:top w:val="single" w:sz="4" w:space="0" w:color="auto"/>
              <w:bottom w:val="single" w:sz="4" w:space="0" w:color="auto"/>
            </w:tcBorders>
            <w:shd w:val="clear" w:color="auto" w:fill="D9D9D9" w:themeFill="background1" w:themeFillShade="D9"/>
          </w:tcPr>
          <w:p w14:paraId="62B6AE77" w14:textId="66B2F2AF" w:rsidR="00F41059" w:rsidRPr="00F41059" w:rsidRDefault="00F41059" w:rsidP="00F41059">
            <w:pPr>
              <w:ind w:left="0"/>
              <w:rPr>
                <w:color w:val="000000" w:themeColor="text1"/>
                <w:sz w:val="18"/>
                <w:szCs w:val="18"/>
              </w:rPr>
            </w:pPr>
            <w:r w:rsidRPr="00F41059">
              <w:rPr>
                <w:color w:val="000000" w:themeColor="text1"/>
                <w:sz w:val="18"/>
                <w:szCs w:val="18"/>
              </w:rPr>
              <w:t>2 non-consecutive days of 12-hour observed weighed food records &amp; 12-hour dietary recall (n=464)</w:t>
            </w:r>
          </w:p>
        </w:tc>
        <w:tc>
          <w:tcPr>
            <w:tcW w:w="2251" w:type="dxa"/>
            <w:tcBorders>
              <w:top w:val="single" w:sz="4" w:space="0" w:color="auto"/>
              <w:bottom w:val="single" w:sz="4" w:space="0" w:color="auto"/>
            </w:tcBorders>
            <w:shd w:val="clear" w:color="auto" w:fill="D9D9D9" w:themeFill="background1" w:themeFillShade="D9"/>
          </w:tcPr>
          <w:p w14:paraId="7A1512EA" w14:textId="77777777" w:rsidR="00F41059" w:rsidRPr="00F41059" w:rsidRDefault="00F41059" w:rsidP="00F41059">
            <w:pPr>
              <w:ind w:left="0"/>
              <w:rPr>
                <w:color w:val="000000" w:themeColor="text1"/>
                <w:sz w:val="18"/>
                <w:szCs w:val="18"/>
              </w:rPr>
            </w:pPr>
            <w:r w:rsidRPr="00F41059">
              <w:rPr>
                <w:color w:val="000000" w:themeColor="text1"/>
                <w:sz w:val="18"/>
                <w:szCs w:val="18"/>
              </w:rPr>
              <w:t xml:space="preserve">14-day food diary of </w:t>
            </w:r>
          </w:p>
          <w:p w14:paraId="15839811" w14:textId="48BC2B72" w:rsidR="00F41059" w:rsidRPr="00F41059" w:rsidRDefault="00F41059" w:rsidP="00F41059">
            <w:pPr>
              <w:ind w:left="0"/>
              <w:rPr>
                <w:color w:val="000000" w:themeColor="text1"/>
                <w:sz w:val="18"/>
                <w:szCs w:val="18"/>
              </w:rPr>
            </w:pPr>
            <w:r w:rsidRPr="00F41059">
              <w:rPr>
                <w:color w:val="000000" w:themeColor="text1"/>
                <w:sz w:val="18"/>
                <w:szCs w:val="18"/>
              </w:rPr>
              <w:t xml:space="preserve">households with children </w:t>
            </w:r>
            <w:proofErr w:type="gramStart"/>
            <w:r w:rsidRPr="00F41059">
              <w:rPr>
                <w:color w:val="000000" w:themeColor="text1"/>
                <w:sz w:val="18"/>
                <w:szCs w:val="18"/>
              </w:rPr>
              <w:t>age</w:t>
            </w:r>
            <w:proofErr w:type="gramEnd"/>
            <w:r w:rsidRPr="00F41059">
              <w:rPr>
                <w:color w:val="000000" w:themeColor="text1"/>
                <w:sz w:val="18"/>
                <w:szCs w:val="18"/>
              </w:rPr>
              <w:t xml:space="preserve"> 2-3 (n=678)</w:t>
            </w:r>
          </w:p>
          <w:p w14:paraId="4B933B3D" w14:textId="77777777" w:rsidR="00F41059" w:rsidRPr="00F41059" w:rsidRDefault="00F41059" w:rsidP="00F41059">
            <w:pPr>
              <w:rPr>
                <w:color w:val="000000" w:themeColor="text1"/>
                <w:sz w:val="18"/>
                <w:szCs w:val="18"/>
              </w:rPr>
            </w:pPr>
          </w:p>
        </w:tc>
        <w:tc>
          <w:tcPr>
            <w:tcW w:w="1701" w:type="dxa"/>
            <w:tcBorders>
              <w:top w:val="single" w:sz="4" w:space="0" w:color="auto"/>
              <w:bottom w:val="single" w:sz="4" w:space="0" w:color="auto"/>
            </w:tcBorders>
            <w:shd w:val="clear" w:color="auto" w:fill="D9D9D9" w:themeFill="background1" w:themeFillShade="D9"/>
          </w:tcPr>
          <w:p w14:paraId="6A54656E" w14:textId="77777777" w:rsidR="00F41059" w:rsidRPr="00EC3718" w:rsidRDefault="00F41059" w:rsidP="00F41059">
            <w:pPr>
              <w:ind w:left="0"/>
              <w:rPr>
                <w:color w:val="000000" w:themeColor="text1"/>
                <w:sz w:val="18"/>
                <w:szCs w:val="18"/>
              </w:rPr>
            </w:pPr>
            <w:r w:rsidRPr="00EC3718">
              <w:rPr>
                <w:color w:val="000000" w:themeColor="text1"/>
                <w:sz w:val="18"/>
                <w:szCs w:val="18"/>
              </w:rPr>
              <w:t>WRA</w:t>
            </w:r>
          </w:p>
          <w:p w14:paraId="42C417BC" w14:textId="77777777" w:rsidR="00F41059" w:rsidRPr="00EC3718" w:rsidRDefault="00F41059" w:rsidP="00F41059">
            <w:pPr>
              <w:ind w:left="0"/>
              <w:rPr>
                <w:color w:val="000000" w:themeColor="text1"/>
                <w:sz w:val="18"/>
                <w:szCs w:val="18"/>
              </w:rPr>
            </w:pPr>
            <w:r w:rsidRPr="00EC3718">
              <w:rPr>
                <w:color w:val="000000" w:themeColor="text1"/>
                <w:sz w:val="18"/>
                <w:szCs w:val="18"/>
              </w:rPr>
              <w:t>(n=238)</w:t>
            </w:r>
          </w:p>
        </w:tc>
        <w:tc>
          <w:tcPr>
            <w:tcW w:w="1965" w:type="dxa"/>
            <w:tcBorders>
              <w:top w:val="single" w:sz="4" w:space="0" w:color="auto"/>
              <w:bottom w:val="single" w:sz="4" w:space="0" w:color="auto"/>
            </w:tcBorders>
            <w:shd w:val="clear" w:color="auto" w:fill="D9D9D9" w:themeFill="background1" w:themeFillShade="D9"/>
          </w:tcPr>
          <w:p w14:paraId="77CF5AEA" w14:textId="77777777" w:rsidR="00F41059" w:rsidRPr="00105737" w:rsidRDefault="00F41059" w:rsidP="00F41059">
            <w:pPr>
              <w:ind w:left="0"/>
              <w:rPr>
                <w:sz w:val="18"/>
                <w:szCs w:val="18"/>
              </w:rPr>
            </w:pPr>
            <w:r w:rsidRPr="00105737">
              <w:rPr>
                <w:sz w:val="18"/>
                <w:szCs w:val="18"/>
              </w:rPr>
              <w:t>Energy, kcal</w:t>
            </w:r>
          </w:p>
        </w:tc>
        <w:tc>
          <w:tcPr>
            <w:tcW w:w="1051" w:type="dxa"/>
            <w:tcBorders>
              <w:top w:val="single" w:sz="4" w:space="0" w:color="auto"/>
              <w:bottom w:val="single" w:sz="4" w:space="0" w:color="auto"/>
            </w:tcBorders>
            <w:shd w:val="clear" w:color="auto" w:fill="D9D9D9" w:themeFill="background1" w:themeFillShade="D9"/>
          </w:tcPr>
          <w:p w14:paraId="68DFB81E" w14:textId="77777777" w:rsidR="00F41059" w:rsidRPr="00105737" w:rsidRDefault="00F41059" w:rsidP="00F41059">
            <w:pPr>
              <w:ind w:left="0"/>
              <w:jc w:val="center"/>
              <w:rPr>
                <w:sz w:val="18"/>
                <w:szCs w:val="18"/>
              </w:rPr>
            </w:pPr>
            <w:r w:rsidRPr="00105737">
              <w:rPr>
                <w:sz w:val="18"/>
                <w:szCs w:val="18"/>
              </w:rPr>
              <w:t>1693</w:t>
            </w:r>
          </w:p>
        </w:tc>
        <w:tc>
          <w:tcPr>
            <w:tcW w:w="1169" w:type="dxa"/>
            <w:tcBorders>
              <w:top w:val="single" w:sz="4" w:space="0" w:color="auto"/>
              <w:bottom w:val="single" w:sz="4" w:space="0" w:color="auto"/>
            </w:tcBorders>
            <w:shd w:val="clear" w:color="auto" w:fill="D9D9D9" w:themeFill="background1" w:themeFillShade="D9"/>
          </w:tcPr>
          <w:p w14:paraId="69A75381" w14:textId="77777777" w:rsidR="00F41059" w:rsidRPr="00105737" w:rsidRDefault="00F41059" w:rsidP="00F41059">
            <w:pPr>
              <w:ind w:left="0"/>
              <w:jc w:val="center"/>
              <w:rPr>
                <w:sz w:val="18"/>
                <w:szCs w:val="18"/>
              </w:rPr>
            </w:pPr>
            <w:r w:rsidRPr="00105737">
              <w:rPr>
                <w:sz w:val="18"/>
                <w:szCs w:val="18"/>
              </w:rPr>
              <w:t>2329</w:t>
            </w:r>
          </w:p>
        </w:tc>
        <w:tc>
          <w:tcPr>
            <w:tcW w:w="1564" w:type="dxa"/>
            <w:tcBorders>
              <w:top w:val="single" w:sz="4" w:space="0" w:color="auto"/>
              <w:bottom w:val="single" w:sz="4" w:space="0" w:color="auto"/>
              <w:right w:val="single" w:sz="4" w:space="0" w:color="auto"/>
            </w:tcBorders>
            <w:shd w:val="clear" w:color="auto" w:fill="D9D9D9" w:themeFill="background1" w:themeFillShade="D9"/>
          </w:tcPr>
          <w:p w14:paraId="533B5853" w14:textId="77777777" w:rsidR="00F41059" w:rsidRPr="00105737" w:rsidRDefault="00F41059" w:rsidP="00F41059">
            <w:pPr>
              <w:ind w:left="0"/>
              <w:jc w:val="center"/>
              <w:rPr>
                <w:sz w:val="18"/>
                <w:szCs w:val="18"/>
              </w:rPr>
            </w:pPr>
            <w:r>
              <w:rPr>
                <w:sz w:val="18"/>
                <w:szCs w:val="18"/>
              </w:rPr>
              <w:t>27</w:t>
            </w:r>
          </w:p>
        </w:tc>
      </w:tr>
      <w:tr w:rsidR="00CB7D5E" w14:paraId="5F41DEC4" w14:textId="77777777" w:rsidTr="007F4EDE">
        <w:trPr>
          <w:trHeight w:val="224"/>
        </w:trPr>
        <w:tc>
          <w:tcPr>
            <w:tcW w:w="13063" w:type="dxa"/>
            <w:gridSpan w:val="8"/>
            <w:tcBorders>
              <w:top w:val="single" w:sz="4" w:space="0" w:color="auto"/>
              <w:left w:val="single" w:sz="4" w:space="0" w:color="auto"/>
              <w:right w:val="single" w:sz="4" w:space="0" w:color="auto"/>
            </w:tcBorders>
          </w:tcPr>
          <w:p w14:paraId="34208959" w14:textId="08B56536" w:rsidR="00CB7D5E" w:rsidRPr="00EC3718" w:rsidRDefault="00CB7D5E" w:rsidP="00CB7D5E">
            <w:pPr>
              <w:ind w:left="0"/>
              <w:rPr>
                <w:color w:val="000000" w:themeColor="text1"/>
                <w:sz w:val="18"/>
                <w:szCs w:val="18"/>
              </w:rPr>
            </w:pPr>
            <w:r w:rsidRPr="00EC3718">
              <w:rPr>
                <w:b/>
                <w:bCs/>
                <w:i/>
                <w:iCs/>
                <w:color w:val="000000" w:themeColor="text1"/>
                <w:sz w:val="18"/>
                <w:szCs w:val="18"/>
              </w:rPr>
              <w:t>II. Study compared consumption of fortified food vehicles derived from individual-level versus HCES dietary data</w:t>
            </w:r>
          </w:p>
        </w:tc>
      </w:tr>
      <w:tr w:rsidR="00CB7D5E" w14:paraId="20A90E13" w14:textId="77777777" w:rsidTr="007F4EDE">
        <w:trPr>
          <w:trHeight w:val="224"/>
        </w:trPr>
        <w:tc>
          <w:tcPr>
            <w:tcW w:w="1806" w:type="dxa"/>
            <w:vMerge w:val="restart"/>
            <w:tcBorders>
              <w:top w:val="single" w:sz="4" w:space="0" w:color="auto"/>
              <w:left w:val="single" w:sz="4" w:space="0" w:color="auto"/>
            </w:tcBorders>
            <w:shd w:val="clear" w:color="auto" w:fill="D9D9D9" w:themeFill="background1" w:themeFillShade="D9"/>
          </w:tcPr>
          <w:p w14:paraId="069D3561" w14:textId="368516D6" w:rsidR="00CB7D5E" w:rsidRPr="00EC3718" w:rsidRDefault="00CB7D5E" w:rsidP="00CB7D5E">
            <w:pPr>
              <w:ind w:left="0"/>
              <w:rPr>
                <w:color w:val="000000" w:themeColor="text1"/>
                <w:sz w:val="18"/>
                <w:szCs w:val="18"/>
              </w:rPr>
            </w:pPr>
            <w:r w:rsidRPr="00EC3718">
              <w:rPr>
                <w:color w:val="000000" w:themeColor="text1"/>
                <w:sz w:val="18"/>
                <w:szCs w:val="18"/>
              </w:rPr>
              <w:lastRenderedPageBreak/>
              <w:t xml:space="preserve">Engle-Stone &amp; Brown (2015) </w:t>
            </w:r>
            <w:r w:rsidRPr="00EC3718">
              <w:rPr>
                <w:color w:val="000000" w:themeColor="text1"/>
                <w:sz w:val="18"/>
                <w:szCs w:val="18"/>
              </w:rPr>
              <w:fldChar w:fldCharType="begin" w:fldLock="1"/>
            </w:r>
            <w:r w:rsidR="005B0D26">
              <w:rPr>
                <w:color w:val="000000" w:themeColor="text1"/>
                <w:sz w:val="18"/>
                <w:szCs w:val="18"/>
              </w:rPr>
              <w:instrText>ADDIN CSL_CITATION {"citationItems":[{"id":"ITEM-1","itemData":{"DOI":"10.1177/0379572115587272","ISSN":"03795721","abstract":"Background: Household Consumption and Expenditures Surveys (HCES) are potential sources of data on dietary patterns for planning fortification programs, but they rarely have been compared with individual-level dietary assessment methods. Objective: To compare apparent consumption of fortifiable foods estimated from the Third Cameroon Household Survey (ECAM3) with the results of a national dietary survey using food frequency questionnaire (FFQ) and 24-hour recall (24HR) methods among women aged 15 to 49 years and children aged 12 to 59 months. Methods: We estimated coverage and frequency of consumption in the previous week (ECAM3 and FFQ) and coverage and amount consumed on the previous day (ECAM3 and 24HR) of refined vegetable oil, wheat flour, sugar, and bouillon cubes. Results: Coverage in the past week as measured by the ECAM3 and FFQ, respectively, was 64% vs. 54% for oil, 60% vs. 92% for flour, 69% vs. 78% for sugar, and 85% vs. 96% for bouillon cubes. The different methods identified similar patterns of coverage among subgroups for oil, but patterns for other foods were variable. Frequency of consumption and previous-day coverage were lower with the ECAM3 than with the FFQ and 24HR, likely reflecting infrequent acquisition relative to intake. For women, the mean amounts consumed on the previous day (among consumers) were 43 vs. 29 g of oil, 71 vs. 83 g of flour, 42 vs. 32 g of sugar, and 5.0 vs. 2.4 g of bouillon cubes (ECAM and 24HR, respectively). Conclusions: HCES provide useful information on patterns of food access but inadequate information on individual consumption amounts to estimate appropriate food fortification levels.","author":[{"dropping-particle":"","family":"Engle-Stone","given":"Reina","non-dropping-particle":"","parse-names":false,"suffix":""},{"dropping-particle":"","family":"Brown","given":"Kenneth H.","non-dropping-particle":"","parse-names":false,"suffix":""}],"container-title":"Food and Nutrition Bulletin","id":"ITEM-1","issue":"2","issued":{"date-parts":[["2015"]]},"page":"211-30","title":"Comparison of a household consumption and expenditures survey with nationally representative food frequency questionnaire and 24-hour dietary recall data for assessing consumption of fortifiable foods by women and young children in Cameroon","type":"article-journal","volume":"36"},"uris":["http://www.mendeley.com/documents/?uuid=a0fa259a-1290-4768-953d-777a1601ee29"]}],"mendeley":{"formattedCitation":"&lt;sup&gt;(18)&lt;/sup&gt;","plainTextFormattedCitation":"(18)","previouslyFormattedCitation":"[18]"},"properties":{"noteIndex":0},"schema":"https://github.com/citation-style-language/schema/raw/master/csl-citation.json"}</w:instrText>
            </w:r>
            <w:r w:rsidRPr="00EC3718">
              <w:rPr>
                <w:color w:val="000000" w:themeColor="text1"/>
                <w:sz w:val="18"/>
                <w:szCs w:val="18"/>
              </w:rPr>
              <w:fldChar w:fldCharType="separate"/>
            </w:r>
            <w:r w:rsidR="005B0D26" w:rsidRPr="005B0D26">
              <w:rPr>
                <w:noProof/>
                <w:color w:val="000000" w:themeColor="text1"/>
                <w:sz w:val="18"/>
                <w:szCs w:val="18"/>
                <w:vertAlign w:val="superscript"/>
              </w:rPr>
              <w:t>(18)</w:t>
            </w:r>
            <w:r w:rsidRPr="00EC3718">
              <w:rPr>
                <w:color w:val="000000" w:themeColor="text1"/>
                <w:sz w:val="18"/>
                <w:szCs w:val="18"/>
              </w:rPr>
              <w:fldChar w:fldCharType="end"/>
            </w:r>
            <w:r w:rsidRPr="00EC3718">
              <w:rPr>
                <w:color w:val="000000" w:themeColor="text1"/>
                <w:sz w:val="18"/>
                <w:szCs w:val="18"/>
              </w:rPr>
              <w:t>;</w:t>
            </w:r>
          </w:p>
          <w:p w14:paraId="58157F36" w14:textId="77777777" w:rsidR="00CB7D5E" w:rsidRPr="00EC3718" w:rsidRDefault="00CB7D5E" w:rsidP="00CB7D5E">
            <w:pPr>
              <w:ind w:left="0"/>
              <w:rPr>
                <w:color w:val="000000" w:themeColor="text1"/>
                <w:sz w:val="18"/>
                <w:szCs w:val="18"/>
              </w:rPr>
            </w:pPr>
            <w:proofErr w:type="gramStart"/>
            <w:r w:rsidRPr="00EC3718">
              <w:rPr>
                <w:color w:val="000000" w:themeColor="text1"/>
                <w:sz w:val="18"/>
                <w:szCs w:val="18"/>
              </w:rPr>
              <w:t>Cameroon;</w:t>
            </w:r>
            <w:proofErr w:type="gramEnd"/>
          </w:p>
          <w:p w14:paraId="4BBE2491" w14:textId="77777777" w:rsidR="00CB7D5E" w:rsidRPr="00EC3718" w:rsidRDefault="00CB7D5E" w:rsidP="00CB7D5E">
            <w:pPr>
              <w:ind w:left="0"/>
              <w:rPr>
                <w:color w:val="000000" w:themeColor="text1"/>
                <w:sz w:val="18"/>
                <w:szCs w:val="18"/>
              </w:rPr>
            </w:pPr>
            <w:r w:rsidRPr="00EC3718">
              <w:rPr>
                <w:color w:val="000000" w:themeColor="text1"/>
                <w:sz w:val="18"/>
                <w:szCs w:val="18"/>
              </w:rPr>
              <w:t>medians</w:t>
            </w:r>
          </w:p>
        </w:tc>
        <w:tc>
          <w:tcPr>
            <w:tcW w:w="1556" w:type="dxa"/>
            <w:vMerge w:val="restart"/>
            <w:tcBorders>
              <w:top w:val="single" w:sz="4" w:space="0" w:color="auto"/>
            </w:tcBorders>
            <w:shd w:val="clear" w:color="auto" w:fill="D9D9D9" w:themeFill="background1" w:themeFillShade="D9"/>
          </w:tcPr>
          <w:p w14:paraId="588DA25F" w14:textId="77777777" w:rsidR="00CB7D5E" w:rsidRPr="00EC3718" w:rsidRDefault="00CB7D5E" w:rsidP="00CB7D5E">
            <w:pPr>
              <w:ind w:left="0"/>
              <w:rPr>
                <w:color w:val="000000" w:themeColor="text1"/>
                <w:sz w:val="18"/>
                <w:szCs w:val="18"/>
              </w:rPr>
            </w:pPr>
            <w:r w:rsidRPr="00EC3718">
              <w:rPr>
                <w:color w:val="000000" w:themeColor="text1"/>
                <w:sz w:val="18"/>
                <w:szCs w:val="18"/>
              </w:rPr>
              <w:t>24H individual recall</w:t>
            </w:r>
          </w:p>
          <w:p w14:paraId="4C9AEC3B" w14:textId="7CCF2CD6" w:rsidR="00CB7D5E" w:rsidRPr="00EC3718" w:rsidRDefault="00CB7D5E" w:rsidP="00CB7D5E">
            <w:pPr>
              <w:ind w:left="0"/>
              <w:rPr>
                <w:color w:val="000000" w:themeColor="text1"/>
                <w:sz w:val="18"/>
                <w:szCs w:val="18"/>
              </w:rPr>
            </w:pPr>
            <w:r w:rsidRPr="00EC3718">
              <w:rPr>
                <w:color w:val="000000" w:themeColor="text1"/>
                <w:sz w:val="18"/>
                <w:szCs w:val="18"/>
              </w:rPr>
              <w:t>(N=</w:t>
            </w:r>
            <w:r w:rsidR="005E26C0">
              <w:rPr>
                <w:color w:val="000000" w:themeColor="text1"/>
                <w:sz w:val="18"/>
                <w:szCs w:val="18"/>
              </w:rPr>
              <w:t>1794</w:t>
            </w:r>
            <w:r w:rsidRPr="00EC3718">
              <w:rPr>
                <w:color w:val="000000" w:themeColor="text1"/>
                <w:sz w:val="18"/>
                <w:szCs w:val="18"/>
              </w:rPr>
              <w:t>)</w:t>
            </w:r>
          </w:p>
          <w:p w14:paraId="6E65657A" w14:textId="77777777" w:rsidR="00CB7D5E" w:rsidRPr="00EC3718" w:rsidRDefault="00CB7D5E" w:rsidP="00CB7D5E">
            <w:pPr>
              <w:rPr>
                <w:color w:val="000000" w:themeColor="text1"/>
                <w:sz w:val="18"/>
                <w:szCs w:val="18"/>
              </w:rPr>
            </w:pPr>
          </w:p>
        </w:tc>
        <w:tc>
          <w:tcPr>
            <w:tcW w:w="2251" w:type="dxa"/>
            <w:vMerge w:val="restart"/>
            <w:tcBorders>
              <w:top w:val="single" w:sz="4" w:space="0" w:color="auto"/>
            </w:tcBorders>
            <w:shd w:val="clear" w:color="auto" w:fill="D9D9D9" w:themeFill="background1" w:themeFillShade="D9"/>
          </w:tcPr>
          <w:p w14:paraId="0D020FF0" w14:textId="77777777" w:rsidR="005E26C0" w:rsidRPr="00EC3718" w:rsidRDefault="005E26C0" w:rsidP="005E26C0">
            <w:pPr>
              <w:ind w:left="0"/>
              <w:rPr>
                <w:color w:val="000000" w:themeColor="text1"/>
                <w:sz w:val="18"/>
                <w:szCs w:val="18"/>
              </w:rPr>
            </w:pPr>
            <w:r>
              <w:rPr>
                <w:color w:val="000000" w:themeColor="text1"/>
                <w:sz w:val="18"/>
                <w:szCs w:val="18"/>
              </w:rPr>
              <w:t>Combination of 3 to 7 day recalls and 15-day diary depending on sub-population</w:t>
            </w:r>
            <w:r w:rsidRPr="00EC3718">
              <w:rPr>
                <w:color w:val="000000" w:themeColor="text1"/>
                <w:sz w:val="18"/>
                <w:szCs w:val="18"/>
              </w:rPr>
              <w:t>, different survey sample</w:t>
            </w:r>
          </w:p>
          <w:p w14:paraId="7DC3025A" w14:textId="232A31BF" w:rsidR="00CB7D5E" w:rsidRPr="00EC3718" w:rsidRDefault="005E26C0" w:rsidP="005E26C0">
            <w:pPr>
              <w:ind w:left="0"/>
              <w:rPr>
                <w:color w:val="000000" w:themeColor="text1"/>
                <w:sz w:val="18"/>
                <w:szCs w:val="18"/>
              </w:rPr>
            </w:pPr>
            <w:r w:rsidRPr="00EC3718">
              <w:rPr>
                <w:color w:val="000000" w:themeColor="text1"/>
                <w:sz w:val="18"/>
                <w:szCs w:val="18"/>
              </w:rPr>
              <w:t>(n=4363)</w:t>
            </w:r>
          </w:p>
        </w:tc>
        <w:tc>
          <w:tcPr>
            <w:tcW w:w="1701" w:type="dxa"/>
            <w:vMerge w:val="restart"/>
            <w:tcBorders>
              <w:top w:val="single" w:sz="4" w:space="0" w:color="auto"/>
            </w:tcBorders>
            <w:shd w:val="clear" w:color="auto" w:fill="D9D9D9" w:themeFill="background1" w:themeFillShade="D9"/>
          </w:tcPr>
          <w:p w14:paraId="3D3E389F" w14:textId="77777777" w:rsidR="00CB7D5E" w:rsidRPr="00EC3718" w:rsidRDefault="00CB7D5E" w:rsidP="00CB7D5E">
            <w:pPr>
              <w:ind w:left="0"/>
              <w:rPr>
                <w:color w:val="000000" w:themeColor="text1"/>
                <w:sz w:val="18"/>
                <w:szCs w:val="18"/>
              </w:rPr>
            </w:pPr>
            <w:r w:rsidRPr="00EC3718">
              <w:rPr>
                <w:color w:val="000000" w:themeColor="text1"/>
                <w:sz w:val="18"/>
                <w:szCs w:val="18"/>
              </w:rPr>
              <w:t>WRA</w:t>
            </w:r>
          </w:p>
          <w:p w14:paraId="170F0468" w14:textId="337A39FC" w:rsidR="00CB7D5E" w:rsidRPr="00EC3718" w:rsidRDefault="005E26C0" w:rsidP="00CB7D5E">
            <w:pPr>
              <w:ind w:left="0"/>
              <w:rPr>
                <w:color w:val="000000" w:themeColor="text1"/>
                <w:sz w:val="18"/>
                <w:szCs w:val="18"/>
              </w:rPr>
            </w:pPr>
            <w:r>
              <w:rPr>
                <w:color w:val="000000" w:themeColor="text1"/>
                <w:sz w:val="18"/>
                <w:szCs w:val="18"/>
              </w:rPr>
              <w:t>(n=912)</w:t>
            </w:r>
          </w:p>
        </w:tc>
        <w:tc>
          <w:tcPr>
            <w:tcW w:w="1965" w:type="dxa"/>
            <w:tcBorders>
              <w:top w:val="single" w:sz="4" w:space="0" w:color="auto"/>
            </w:tcBorders>
            <w:shd w:val="clear" w:color="auto" w:fill="D9D9D9" w:themeFill="background1" w:themeFillShade="D9"/>
          </w:tcPr>
          <w:p w14:paraId="3628B8B0" w14:textId="77777777" w:rsidR="00CB7D5E" w:rsidRPr="00EC3718" w:rsidRDefault="00CB7D5E" w:rsidP="00CB7D5E">
            <w:pPr>
              <w:ind w:left="0"/>
              <w:rPr>
                <w:color w:val="000000" w:themeColor="text1"/>
                <w:sz w:val="18"/>
                <w:szCs w:val="18"/>
              </w:rPr>
            </w:pPr>
            <w:r w:rsidRPr="00EC3718">
              <w:rPr>
                <w:color w:val="000000" w:themeColor="text1"/>
                <w:sz w:val="18"/>
                <w:szCs w:val="18"/>
              </w:rPr>
              <w:t xml:space="preserve">Refined oil, g </w:t>
            </w:r>
          </w:p>
        </w:tc>
        <w:tc>
          <w:tcPr>
            <w:tcW w:w="1051" w:type="dxa"/>
            <w:tcBorders>
              <w:top w:val="single" w:sz="4" w:space="0" w:color="auto"/>
            </w:tcBorders>
            <w:shd w:val="clear" w:color="auto" w:fill="D9D9D9" w:themeFill="background1" w:themeFillShade="D9"/>
          </w:tcPr>
          <w:p w14:paraId="53420689"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19.6</w:t>
            </w:r>
          </w:p>
        </w:tc>
        <w:tc>
          <w:tcPr>
            <w:tcW w:w="1169" w:type="dxa"/>
            <w:tcBorders>
              <w:top w:val="single" w:sz="4" w:space="0" w:color="auto"/>
            </w:tcBorders>
            <w:shd w:val="clear" w:color="auto" w:fill="D9D9D9" w:themeFill="background1" w:themeFillShade="D9"/>
          </w:tcPr>
          <w:p w14:paraId="2701A45E"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13.3</w:t>
            </w:r>
          </w:p>
        </w:tc>
        <w:tc>
          <w:tcPr>
            <w:tcW w:w="1564" w:type="dxa"/>
            <w:tcBorders>
              <w:top w:val="single" w:sz="4" w:space="0" w:color="auto"/>
              <w:right w:val="single" w:sz="4" w:space="0" w:color="auto"/>
            </w:tcBorders>
            <w:shd w:val="clear" w:color="auto" w:fill="D9D9D9" w:themeFill="background1" w:themeFillShade="D9"/>
          </w:tcPr>
          <w:p w14:paraId="050B6186"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-47</w:t>
            </w:r>
          </w:p>
        </w:tc>
      </w:tr>
      <w:tr w:rsidR="00CB7D5E" w14:paraId="259C85A7" w14:textId="77777777" w:rsidTr="007F4EDE">
        <w:trPr>
          <w:trHeight w:val="224"/>
        </w:trPr>
        <w:tc>
          <w:tcPr>
            <w:tcW w:w="1806" w:type="dxa"/>
            <w:vMerge/>
            <w:tcBorders>
              <w:left w:val="single" w:sz="4" w:space="0" w:color="auto"/>
            </w:tcBorders>
            <w:shd w:val="clear" w:color="auto" w:fill="D9D9D9" w:themeFill="background1" w:themeFillShade="D9"/>
          </w:tcPr>
          <w:p w14:paraId="108DB1D1" w14:textId="77777777" w:rsidR="00CB7D5E" w:rsidRPr="00EC3718" w:rsidRDefault="00CB7D5E" w:rsidP="00CB7D5E">
            <w:pPr>
              <w:rPr>
                <w:color w:val="000000" w:themeColor="text1"/>
                <w:sz w:val="18"/>
                <w:szCs w:val="18"/>
              </w:rPr>
            </w:pPr>
          </w:p>
        </w:tc>
        <w:tc>
          <w:tcPr>
            <w:tcW w:w="1556" w:type="dxa"/>
            <w:vMerge/>
            <w:shd w:val="clear" w:color="auto" w:fill="D9D9D9" w:themeFill="background1" w:themeFillShade="D9"/>
          </w:tcPr>
          <w:p w14:paraId="26EB5A45" w14:textId="77777777" w:rsidR="00CB7D5E" w:rsidRPr="00EC3718" w:rsidRDefault="00CB7D5E" w:rsidP="00CB7D5E">
            <w:pPr>
              <w:rPr>
                <w:color w:val="000000" w:themeColor="text1"/>
                <w:sz w:val="18"/>
                <w:szCs w:val="18"/>
              </w:rPr>
            </w:pPr>
          </w:p>
        </w:tc>
        <w:tc>
          <w:tcPr>
            <w:tcW w:w="2251" w:type="dxa"/>
            <w:vMerge/>
            <w:shd w:val="clear" w:color="auto" w:fill="D9D9D9" w:themeFill="background1" w:themeFillShade="D9"/>
          </w:tcPr>
          <w:p w14:paraId="2DF2DD83" w14:textId="77777777" w:rsidR="00CB7D5E" w:rsidRPr="00EC3718" w:rsidRDefault="00CB7D5E" w:rsidP="00CB7D5E">
            <w:pPr>
              <w:rPr>
                <w:color w:val="000000" w:themeColor="text1"/>
                <w:sz w:val="18"/>
                <w:szCs w:val="18"/>
              </w:rPr>
            </w:pPr>
          </w:p>
        </w:tc>
        <w:tc>
          <w:tcPr>
            <w:tcW w:w="1701" w:type="dxa"/>
            <w:vMerge/>
            <w:shd w:val="clear" w:color="auto" w:fill="D9D9D9" w:themeFill="background1" w:themeFillShade="D9"/>
          </w:tcPr>
          <w:p w14:paraId="5928B943" w14:textId="77777777" w:rsidR="00CB7D5E" w:rsidRPr="00EC3718" w:rsidRDefault="00CB7D5E" w:rsidP="00CB7D5E">
            <w:pPr>
              <w:rPr>
                <w:color w:val="000000" w:themeColor="text1"/>
                <w:sz w:val="18"/>
                <w:szCs w:val="18"/>
              </w:rPr>
            </w:pPr>
          </w:p>
        </w:tc>
        <w:tc>
          <w:tcPr>
            <w:tcW w:w="1965" w:type="dxa"/>
            <w:shd w:val="clear" w:color="auto" w:fill="FFFFFF" w:themeFill="background1"/>
          </w:tcPr>
          <w:p w14:paraId="0A5834E8" w14:textId="77777777" w:rsidR="00CB7D5E" w:rsidRPr="00EC3718" w:rsidRDefault="00CB7D5E" w:rsidP="00CB7D5E">
            <w:pPr>
              <w:ind w:left="0"/>
              <w:rPr>
                <w:color w:val="000000" w:themeColor="text1"/>
                <w:sz w:val="18"/>
                <w:szCs w:val="18"/>
              </w:rPr>
            </w:pPr>
            <w:r w:rsidRPr="00EC3718">
              <w:rPr>
                <w:color w:val="000000" w:themeColor="text1"/>
                <w:sz w:val="18"/>
                <w:szCs w:val="18"/>
              </w:rPr>
              <w:t xml:space="preserve">Wheat flour, g </w:t>
            </w:r>
          </w:p>
        </w:tc>
        <w:tc>
          <w:tcPr>
            <w:tcW w:w="1051" w:type="dxa"/>
            <w:shd w:val="clear" w:color="auto" w:fill="FFFFFF" w:themeFill="background1"/>
          </w:tcPr>
          <w:p w14:paraId="74F25B88"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76.6</w:t>
            </w:r>
          </w:p>
        </w:tc>
        <w:tc>
          <w:tcPr>
            <w:tcW w:w="1169" w:type="dxa"/>
            <w:shd w:val="clear" w:color="auto" w:fill="FFFFFF" w:themeFill="background1"/>
          </w:tcPr>
          <w:p w14:paraId="10AE538A"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51.2</w:t>
            </w:r>
          </w:p>
        </w:tc>
        <w:tc>
          <w:tcPr>
            <w:tcW w:w="1564" w:type="dxa"/>
            <w:tcBorders>
              <w:right w:val="single" w:sz="4" w:space="0" w:color="auto"/>
            </w:tcBorders>
            <w:shd w:val="clear" w:color="auto" w:fill="FFFFFF" w:themeFill="background1"/>
          </w:tcPr>
          <w:p w14:paraId="0AC7949A"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-50</w:t>
            </w:r>
          </w:p>
        </w:tc>
      </w:tr>
      <w:tr w:rsidR="00CB7D5E" w14:paraId="14FC047E" w14:textId="77777777" w:rsidTr="007F4EDE">
        <w:trPr>
          <w:trHeight w:val="224"/>
        </w:trPr>
        <w:tc>
          <w:tcPr>
            <w:tcW w:w="1806" w:type="dxa"/>
            <w:vMerge/>
            <w:tcBorders>
              <w:left w:val="single" w:sz="4" w:space="0" w:color="auto"/>
            </w:tcBorders>
            <w:shd w:val="clear" w:color="auto" w:fill="D9D9D9" w:themeFill="background1" w:themeFillShade="D9"/>
          </w:tcPr>
          <w:p w14:paraId="00C029DE" w14:textId="77777777" w:rsidR="00CB7D5E" w:rsidRPr="00EC3718" w:rsidRDefault="00CB7D5E" w:rsidP="00CB7D5E">
            <w:pPr>
              <w:rPr>
                <w:color w:val="000000" w:themeColor="text1"/>
                <w:sz w:val="18"/>
                <w:szCs w:val="18"/>
              </w:rPr>
            </w:pPr>
          </w:p>
        </w:tc>
        <w:tc>
          <w:tcPr>
            <w:tcW w:w="1556" w:type="dxa"/>
            <w:vMerge/>
            <w:shd w:val="clear" w:color="auto" w:fill="D9D9D9" w:themeFill="background1" w:themeFillShade="D9"/>
          </w:tcPr>
          <w:p w14:paraId="6712E716" w14:textId="77777777" w:rsidR="00CB7D5E" w:rsidRPr="00EC3718" w:rsidRDefault="00CB7D5E" w:rsidP="00CB7D5E">
            <w:pPr>
              <w:rPr>
                <w:color w:val="000000" w:themeColor="text1"/>
                <w:sz w:val="18"/>
                <w:szCs w:val="18"/>
              </w:rPr>
            </w:pPr>
          </w:p>
        </w:tc>
        <w:tc>
          <w:tcPr>
            <w:tcW w:w="2251" w:type="dxa"/>
            <w:vMerge/>
            <w:shd w:val="clear" w:color="auto" w:fill="D9D9D9" w:themeFill="background1" w:themeFillShade="D9"/>
          </w:tcPr>
          <w:p w14:paraId="5B383519" w14:textId="77777777" w:rsidR="00CB7D5E" w:rsidRPr="00EC3718" w:rsidRDefault="00CB7D5E" w:rsidP="00CB7D5E">
            <w:pPr>
              <w:rPr>
                <w:color w:val="000000" w:themeColor="text1"/>
                <w:sz w:val="18"/>
                <w:szCs w:val="18"/>
              </w:rPr>
            </w:pPr>
          </w:p>
        </w:tc>
        <w:tc>
          <w:tcPr>
            <w:tcW w:w="1701" w:type="dxa"/>
            <w:vMerge/>
            <w:shd w:val="clear" w:color="auto" w:fill="D9D9D9" w:themeFill="background1" w:themeFillShade="D9"/>
          </w:tcPr>
          <w:p w14:paraId="1659D9ED" w14:textId="77777777" w:rsidR="00CB7D5E" w:rsidRPr="00EC3718" w:rsidRDefault="00CB7D5E" w:rsidP="00CB7D5E">
            <w:pPr>
              <w:rPr>
                <w:color w:val="000000" w:themeColor="text1"/>
                <w:sz w:val="18"/>
                <w:szCs w:val="18"/>
              </w:rPr>
            </w:pPr>
          </w:p>
        </w:tc>
        <w:tc>
          <w:tcPr>
            <w:tcW w:w="1965" w:type="dxa"/>
            <w:shd w:val="clear" w:color="auto" w:fill="D9D9D9" w:themeFill="background1" w:themeFillShade="D9"/>
          </w:tcPr>
          <w:p w14:paraId="100A0469" w14:textId="77777777" w:rsidR="00CB7D5E" w:rsidRPr="00EC3718" w:rsidRDefault="00CB7D5E" w:rsidP="00CB7D5E">
            <w:pPr>
              <w:ind w:left="0"/>
              <w:rPr>
                <w:color w:val="000000" w:themeColor="text1"/>
                <w:sz w:val="18"/>
                <w:szCs w:val="18"/>
              </w:rPr>
            </w:pPr>
            <w:r w:rsidRPr="00EC3718">
              <w:rPr>
                <w:color w:val="000000" w:themeColor="text1"/>
                <w:sz w:val="18"/>
                <w:szCs w:val="18"/>
              </w:rPr>
              <w:t xml:space="preserve">Sugar, g </w:t>
            </w:r>
          </w:p>
        </w:tc>
        <w:tc>
          <w:tcPr>
            <w:tcW w:w="1051" w:type="dxa"/>
            <w:shd w:val="clear" w:color="auto" w:fill="D9D9D9" w:themeFill="background1" w:themeFillShade="D9"/>
          </w:tcPr>
          <w:p w14:paraId="6B57E32B"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29.2</w:t>
            </w:r>
          </w:p>
        </w:tc>
        <w:tc>
          <w:tcPr>
            <w:tcW w:w="1169" w:type="dxa"/>
            <w:shd w:val="clear" w:color="auto" w:fill="D9D9D9" w:themeFill="background1" w:themeFillShade="D9"/>
          </w:tcPr>
          <w:p w14:paraId="25B2DD36"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15.5</w:t>
            </w:r>
          </w:p>
        </w:tc>
        <w:tc>
          <w:tcPr>
            <w:tcW w:w="1564" w:type="dxa"/>
            <w:tcBorders>
              <w:right w:val="single" w:sz="4" w:space="0" w:color="auto"/>
            </w:tcBorders>
            <w:shd w:val="clear" w:color="auto" w:fill="D9D9D9" w:themeFill="background1" w:themeFillShade="D9"/>
          </w:tcPr>
          <w:p w14:paraId="59DD2C5E"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-88</w:t>
            </w:r>
          </w:p>
        </w:tc>
      </w:tr>
      <w:tr w:rsidR="00CB7D5E" w14:paraId="459FF6AC" w14:textId="77777777" w:rsidTr="007F4EDE">
        <w:trPr>
          <w:trHeight w:val="224"/>
        </w:trPr>
        <w:tc>
          <w:tcPr>
            <w:tcW w:w="1806" w:type="dxa"/>
            <w:vMerge/>
            <w:tcBorders>
              <w:left w:val="single" w:sz="4" w:space="0" w:color="auto"/>
              <w:bottom w:val="single" w:sz="4" w:space="0" w:color="auto"/>
            </w:tcBorders>
            <w:shd w:val="clear" w:color="auto" w:fill="D9D9D9" w:themeFill="background1" w:themeFillShade="D9"/>
          </w:tcPr>
          <w:p w14:paraId="2345104B" w14:textId="77777777" w:rsidR="00CB7D5E" w:rsidRPr="00EC3718" w:rsidRDefault="00CB7D5E" w:rsidP="00CB7D5E">
            <w:pPr>
              <w:rPr>
                <w:color w:val="000000" w:themeColor="text1"/>
                <w:sz w:val="18"/>
                <w:szCs w:val="18"/>
              </w:rPr>
            </w:pPr>
          </w:p>
        </w:tc>
        <w:tc>
          <w:tcPr>
            <w:tcW w:w="1556" w:type="dxa"/>
            <w:vMerge/>
            <w:tcBorders>
              <w:bottom w:val="single" w:sz="4" w:space="0" w:color="auto"/>
            </w:tcBorders>
            <w:shd w:val="clear" w:color="auto" w:fill="D9D9D9" w:themeFill="background1" w:themeFillShade="D9"/>
          </w:tcPr>
          <w:p w14:paraId="2B8EE1C4" w14:textId="77777777" w:rsidR="00CB7D5E" w:rsidRPr="00EC3718" w:rsidRDefault="00CB7D5E" w:rsidP="00CB7D5E">
            <w:pPr>
              <w:rPr>
                <w:color w:val="000000" w:themeColor="text1"/>
                <w:sz w:val="18"/>
                <w:szCs w:val="18"/>
              </w:rPr>
            </w:pPr>
          </w:p>
        </w:tc>
        <w:tc>
          <w:tcPr>
            <w:tcW w:w="2251" w:type="dxa"/>
            <w:vMerge/>
            <w:tcBorders>
              <w:bottom w:val="single" w:sz="4" w:space="0" w:color="auto"/>
            </w:tcBorders>
            <w:shd w:val="clear" w:color="auto" w:fill="D9D9D9" w:themeFill="background1" w:themeFillShade="D9"/>
          </w:tcPr>
          <w:p w14:paraId="2377F1D9" w14:textId="77777777" w:rsidR="00CB7D5E" w:rsidRPr="00EC3718" w:rsidRDefault="00CB7D5E" w:rsidP="00CB7D5E">
            <w:pPr>
              <w:rPr>
                <w:color w:val="000000" w:themeColor="text1"/>
                <w:sz w:val="18"/>
                <w:szCs w:val="18"/>
              </w:rPr>
            </w:pPr>
          </w:p>
        </w:tc>
        <w:tc>
          <w:tcPr>
            <w:tcW w:w="1701" w:type="dxa"/>
            <w:vMerge/>
            <w:shd w:val="clear" w:color="auto" w:fill="D9D9D9" w:themeFill="background1" w:themeFillShade="D9"/>
          </w:tcPr>
          <w:p w14:paraId="4B85DCE9" w14:textId="77777777" w:rsidR="00CB7D5E" w:rsidRPr="00EC3718" w:rsidRDefault="00CB7D5E" w:rsidP="00CB7D5E">
            <w:pPr>
              <w:rPr>
                <w:color w:val="000000" w:themeColor="text1"/>
                <w:sz w:val="18"/>
                <w:szCs w:val="18"/>
              </w:rPr>
            </w:pPr>
          </w:p>
        </w:tc>
        <w:tc>
          <w:tcPr>
            <w:tcW w:w="1965" w:type="dxa"/>
            <w:tcBorders>
              <w:bottom w:val="single" w:sz="4" w:space="0" w:color="auto"/>
            </w:tcBorders>
            <w:shd w:val="clear" w:color="auto" w:fill="FFFFFF" w:themeFill="background1"/>
          </w:tcPr>
          <w:p w14:paraId="6978B0A2" w14:textId="77777777" w:rsidR="00CB7D5E" w:rsidRPr="00EC3718" w:rsidRDefault="00CB7D5E" w:rsidP="00CB7D5E">
            <w:pPr>
              <w:ind w:left="0"/>
              <w:rPr>
                <w:color w:val="000000" w:themeColor="text1"/>
                <w:sz w:val="18"/>
                <w:szCs w:val="18"/>
              </w:rPr>
            </w:pPr>
            <w:r w:rsidRPr="00EC3718">
              <w:rPr>
                <w:color w:val="000000" w:themeColor="text1"/>
                <w:sz w:val="18"/>
                <w:szCs w:val="18"/>
              </w:rPr>
              <w:t xml:space="preserve">Bouillon, g </w:t>
            </w:r>
          </w:p>
        </w:tc>
        <w:tc>
          <w:tcPr>
            <w:tcW w:w="1051" w:type="dxa"/>
            <w:tcBorders>
              <w:bottom w:val="single" w:sz="4" w:space="0" w:color="auto"/>
            </w:tcBorders>
            <w:shd w:val="clear" w:color="auto" w:fill="FFFFFF" w:themeFill="background1"/>
          </w:tcPr>
          <w:p w14:paraId="561D1676"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1.9</w:t>
            </w:r>
          </w:p>
        </w:tc>
        <w:tc>
          <w:tcPr>
            <w:tcW w:w="1169" w:type="dxa"/>
            <w:tcBorders>
              <w:bottom w:val="single" w:sz="4" w:space="0" w:color="auto"/>
            </w:tcBorders>
            <w:shd w:val="clear" w:color="auto" w:fill="FFFFFF" w:themeFill="background1"/>
          </w:tcPr>
          <w:p w14:paraId="34F37E04"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2.7</w:t>
            </w:r>
          </w:p>
        </w:tc>
        <w:tc>
          <w:tcPr>
            <w:tcW w:w="1564" w:type="dxa"/>
            <w:tcBorders>
              <w:bottom w:val="single" w:sz="4" w:space="0" w:color="auto"/>
              <w:right w:val="single" w:sz="4" w:space="0" w:color="auto"/>
            </w:tcBorders>
            <w:shd w:val="clear" w:color="auto" w:fill="FFFFFF" w:themeFill="background1"/>
          </w:tcPr>
          <w:p w14:paraId="7C362E6D"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30</w:t>
            </w:r>
          </w:p>
        </w:tc>
      </w:tr>
      <w:tr w:rsidR="00CB7D5E" w14:paraId="2073BFEB" w14:textId="77777777" w:rsidTr="007F4EDE">
        <w:trPr>
          <w:trHeight w:val="224"/>
        </w:trPr>
        <w:tc>
          <w:tcPr>
            <w:tcW w:w="1806" w:type="dxa"/>
            <w:vMerge w:val="restart"/>
            <w:tcBorders>
              <w:top w:val="single" w:sz="4" w:space="0" w:color="auto"/>
              <w:left w:val="single" w:sz="4" w:space="0" w:color="auto"/>
            </w:tcBorders>
            <w:shd w:val="clear" w:color="auto" w:fill="FFFFFF" w:themeFill="background1"/>
          </w:tcPr>
          <w:p w14:paraId="24C6EDB1" w14:textId="3CFE16DA" w:rsidR="00CB7D5E" w:rsidRPr="00EC3718" w:rsidRDefault="00CB7D5E" w:rsidP="00CB7D5E">
            <w:pPr>
              <w:ind w:left="0"/>
              <w:rPr>
                <w:color w:val="000000" w:themeColor="text1"/>
                <w:sz w:val="18"/>
                <w:szCs w:val="18"/>
                <w:lang w:val="es-GT"/>
              </w:rPr>
            </w:pPr>
            <w:r w:rsidRPr="00EC3718">
              <w:rPr>
                <w:color w:val="000000" w:themeColor="text1"/>
                <w:sz w:val="18"/>
                <w:szCs w:val="18"/>
                <w:lang w:val="es-GT"/>
              </w:rPr>
              <w:t xml:space="preserve">Dary &amp; Jariseta (2012) </w:t>
            </w:r>
            <w:r w:rsidRPr="00EC3718">
              <w:rPr>
                <w:color w:val="000000" w:themeColor="text1"/>
                <w:sz w:val="18"/>
                <w:szCs w:val="18"/>
              </w:rPr>
              <w:fldChar w:fldCharType="begin" w:fldLock="1"/>
            </w:r>
            <w:r w:rsidR="005B0D26">
              <w:rPr>
                <w:color w:val="000000" w:themeColor="text1"/>
                <w:sz w:val="18"/>
                <w:szCs w:val="18"/>
                <w:lang w:val="es-GT"/>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sidRPr="00EC3718">
              <w:rPr>
                <w:color w:val="000000" w:themeColor="text1"/>
                <w:sz w:val="18"/>
                <w:szCs w:val="18"/>
              </w:rPr>
              <w:fldChar w:fldCharType="separate"/>
            </w:r>
            <w:r w:rsidR="005B0D26" w:rsidRPr="005B0D26">
              <w:rPr>
                <w:noProof/>
                <w:color w:val="000000" w:themeColor="text1"/>
                <w:sz w:val="18"/>
                <w:szCs w:val="18"/>
                <w:vertAlign w:val="superscript"/>
                <w:lang w:val="es-GT"/>
              </w:rPr>
              <w:t>(11)</w:t>
            </w:r>
            <w:r w:rsidRPr="00EC3718">
              <w:rPr>
                <w:color w:val="000000" w:themeColor="text1"/>
                <w:sz w:val="18"/>
                <w:szCs w:val="18"/>
              </w:rPr>
              <w:fldChar w:fldCharType="end"/>
            </w:r>
            <w:r w:rsidRPr="00EC3718">
              <w:rPr>
                <w:color w:val="000000" w:themeColor="text1"/>
                <w:sz w:val="18"/>
                <w:szCs w:val="18"/>
                <w:lang w:val="es-GT"/>
              </w:rPr>
              <w:t>;</w:t>
            </w:r>
          </w:p>
          <w:p w14:paraId="7E996488" w14:textId="77777777" w:rsidR="00CB7D5E" w:rsidRPr="00EC3718" w:rsidRDefault="00CB7D5E" w:rsidP="00CB7D5E">
            <w:pPr>
              <w:ind w:left="0"/>
              <w:rPr>
                <w:color w:val="000000" w:themeColor="text1"/>
                <w:sz w:val="18"/>
                <w:szCs w:val="18"/>
                <w:lang w:val="es-GT"/>
              </w:rPr>
            </w:pPr>
            <w:r w:rsidRPr="00EC3718">
              <w:rPr>
                <w:color w:val="000000" w:themeColor="text1"/>
                <w:sz w:val="18"/>
                <w:szCs w:val="18"/>
                <w:lang w:val="es-GT"/>
              </w:rPr>
              <w:t>Kampala, Uganda;</w:t>
            </w:r>
          </w:p>
          <w:p w14:paraId="5DB2AF50" w14:textId="77777777" w:rsidR="00CB7D5E" w:rsidRPr="00EC3718" w:rsidRDefault="00CB7D5E" w:rsidP="00CB7D5E">
            <w:pPr>
              <w:ind w:left="0"/>
              <w:rPr>
                <w:color w:val="000000" w:themeColor="text1"/>
                <w:sz w:val="18"/>
                <w:szCs w:val="18"/>
                <w:lang w:val="es-GT"/>
              </w:rPr>
            </w:pPr>
            <w:r w:rsidRPr="00EC3718">
              <w:rPr>
                <w:color w:val="000000" w:themeColor="text1"/>
                <w:sz w:val="18"/>
                <w:szCs w:val="18"/>
                <w:lang w:val="es-GT"/>
              </w:rPr>
              <w:t>medians</w:t>
            </w:r>
          </w:p>
        </w:tc>
        <w:tc>
          <w:tcPr>
            <w:tcW w:w="1556" w:type="dxa"/>
            <w:vMerge w:val="restart"/>
            <w:tcBorders>
              <w:top w:val="single" w:sz="4" w:space="0" w:color="auto"/>
            </w:tcBorders>
            <w:shd w:val="clear" w:color="auto" w:fill="FFFFFF" w:themeFill="background1"/>
          </w:tcPr>
          <w:p w14:paraId="2AFC7E49" w14:textId="77777777" w:rsidR="00CB7D5E" w:rsidRPr="00EC3718" w:rsidRDefault="00CB7D5E" w:rsidP="00CB7D5E">
            <w:pPr>
              <w:ind w:left="0"/>
              <w:rPr>
                <w:color w:val="000000" w:themeColor="text1"/>
                <w:sz w:val="18"/>
                <w:szCs w:val="18"/>
              </w:rPr>
            </w:pPr>
            <w:r w:rsidRPr="00EC3718">
              <w:rPr>
                <w:color w:val="000000" w:themeColor="text1"/>
                <w:sz w:val="18"/>
                <w:szCs w:val="18"/>
              </w:rPr>
              <w:t>24H individual recall</w:t>
            </w:r>
          </w:p>
        </w:tc>
        <w:tc>
          <w:tcPr>
            <w:tcW w:w="2251" w:type="dxa"/>
            <w:vMerge w:val="restart"/>
            <w:tcBorders>
              <w:top w:val="single" w:sz="4" w:space="0" w:color="auto"/>
            </w:tcBorders>
            <w:shd w:val="clear" w:color="auto" w:fill="FFFFFF" w:themeFill="background1"/>
          </w:tcPr>
          <w:p w14:paraId="2445125B" w14:textId="77777777" w:rsidR="00E663ED" w:rsidRDefault="00E663ED" w:rsidP="00E663ED">
            <w:pPr>
              <w:ind w:left="0"/>
              <w:rPr>
                <w:sz w:val="18"/>
                <w:szCs w:val="18"/>
              </w:rPr>
            </w:pPr>
            <w:r>
              <w:rPr>
                <w:sz w:val="18"/>
                <w:szCs w:val="18"/>
              </w:rPr>
              <w:t>7-day recall of household meals</w:t>
            </w:r>
          </w:p>
          <w:p w14:paraId="215CC082" w14:textId="77777777" w:rsidR="00CB7D5E" w:rsidRPr="00EC3718" w:rsidRDefault="00CB7D5E" w:rsidP="00CB7D5E">
            <w:pPr>
              <w:ind w:left="0"/>
              <w:rPr>
                <w:color w:val="000000" w:themeColor="text1"/>
                <w:sz w:val="18"/>
                <w:szCs w:val="18"/>
              </w:rPr>
            </w:pPr>
            <w:r w:rsidRPr="00EC3718">
              <w:rPr>
                <w:color w:val="000000" w:themeColor="text1"/>
                <w:sz w:val="18"/>
                <w:szCs w:val="18"/>
              </w:rPr>
              <w:t>(n=314)</w:t>
            </w:r>
          </w:p>
        </w:tc>
        <w:tc>
          <w:tcPr>
            <w:tcW w:w="1701" w:type="dxa"/>
            <w:vMerge w:val="restart"/>
            <w:tcBorders>
              <w:top w:val="single" w:sz="4" w:space="0" w:color="auto"/>
            </w:tcBorders>
            <w:shd w:val="clear" w:color="auto" w:fill="FFFFFF" w:themeFill="background1"/>
          </w:tcPr>
          <w:p w14:paraId="7E51FC43" w14:textId="77777777" w:rsidR="00CB7D5E" w:rsidRPr="00EC3718" w:rsidRDefault="00CB7D5E" w:rsidP="00CB7D5E">
            <w:pPr>
              <w:ind w:left="0"/>
              <w:rPr>
                <w:color w:val="000000" w:themeColor="text1"/>
                <w:sz w:val="18"/>
                <w:szCs w:val="18"/>
              </w:rPr>
            </w:pPr>
            <w:r w:rsidRPr="00EC3718">
              <w:rPr>
                <w:color w:val="000000" w:themeColor="text1"/>
                <w:sz w:val="18"/>
                <w:szCs w:val="18"/>
              </w:rPr>
              <w:t>WRA (15-49 years)</w:t>
            </w:r>
          </w:p>
        </w:tc>
        <w:tc>
          <w:tcPr>
            <w:tcW w:w="1965" w:type="dxa"/>
            <w:tcBorders>
              <w:top w:val="single" w:sz="4" w:space="0" w:color="auto"/>
            </w:tcBorders>
            <w:shd w:val="clear" w:color="auto" w:fill="D9D9D9" w:themeFill="background1" w:themeFillShade="D9"/>
          </w:tcPr>
          <w:p w14:paraId="2A4789A8" w14:textId="77777777" w:rsidR="00CB7D5E" w:rsidRPr="00EC3718" w:rsidRDefault="00CB7D5E" w:rsidP="00CB7D5E">
            <w:pPr>
              <w:ind w:left="0"/>
              <w:rPr>
                <w:color w:val="000000" w:themeColor="text1"/>
                <w:sz w:val="18"/>
                <w:szCs w:val="18"/>
              </w:rPr>
            </w:pPr>
            <w:r w:rsidRPr="00EC3718">
              <w:rPr>
                <w:color w:val="000000" w:themeColor="text1"/>
                <w:sz w:val="18"/>
                <w:szCs w:val="18"/>
              </w:rPr>
              <w:t xml:space="preserve">Vegetable oil, g </w:t>
            </w:r>
          </w:p>
        </w:tc>
        <w:tc>
          <w:tcPr>
            <w:tcW w:w="1051" w:type="dxa"/>
            <w:tcBorders>
              <w:top w:val="single" w:sz="4" w:space="0" w:color="auto"/>
            </w:tcBorders>
            <w:shd w:val="clear" w:color="auto" w:fill="D9D9D9" w:themeFill="background1" w:themeFillShade="D9"/>
          </w:tcPr>
          <w:p w14:paraId="1578BA7D"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10.4</w:t>
            </w:r>
          </w:p>
        </w:tc>
        <w:tc>
          <w:tcPr>
            <w:tcW w:w="1169" w:type="dxa"/>
            <w:tcBorders>
              <w:top w:val="single" w:sz="4" w:space="0" w:color="auto"/>
            </w:tcBorders>
            <w:shd w:val="clear" w:color="auto" w:fill="D9D9D9" w:themeFill="background1" w:themeFillShade="D9"/>
          </w:tcPr>
          <w:p w14:paraId="539719B0"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12.8</w:t>
            </w:r>
          </w:p>
        </w:tc>
        <w:tc>
          <w:tcPr>
            <w:tcW w:w="1564" w:type="dxa"/>
            <w:tcBorders>
              <w:top w:val="single" w:sz="4" w:space="0" w:color="auto"/>
              <w:right w:val="single" w:sz="4" w:space="0" w:color="auto"/>
            </w:tcBorders>
            <w:shd w:val="clear" w:color="auto" w:fill="D9D9D9" w:themeFill="background1" w:themeFillShade="D9"/>
          </w:tcPr>
          <w:p w14:paraId="66C14B54" w14:textId="77777777" w:rsidR="00CB7D5E" w:rsidRPr="00EC3718" w:rsidRDefault="00CB7D5E" w:rsidP="00CB7D5E">
            <w:pPr>
              <w:ind w:left="0"/>
              <w:jc w:val="center"/>
              <w:rPr>
                <w:color w:val="000000" w:themeColor="text1"/>
                <w:sz w:val="18"/>
                <w:szCs w:val="18"/>
              </w:rPr>
            </w:pPr>
            <w:r w:rsidRPr="00EC3718">
              <w:rPr>
                <w:color w:val="000000" w:themeColor="text1"/>
                <w:sz w:val="18"/>
                <w:szCs w:val="18"/>
              </w:rPr>
              <w:t>19</w:t>
            </w:r>
          </w:p>
        </w:tc>
      </w:tr>
      <w:tr w:rsidR="00CB7D5E" w14:paraId="7BA1812C" w14:textId="77777777" w:rsidTr="007F4EDE">
        <w:trPr>
          <w:trHeight w:val="224"/>
        </w:trPr>
        <w:tc>
          <w:tcPr>
            <w:tcW w:w="1806" w:type="dxa"/>
            <w:vMerge/>
            <w:tcBorders>
              <w:left w:val="single" w:sz="4" w:space="0" w:color="auto"/>
            </w:tcBorders>
            <w:shd w:val="clear" w:color="auto" w:fill="FFFFFF" w:themeFill="background1"/>
          </w:tcPr>
          <w:p w14:paraId="13964B27" w14:textId="77777777" w:rsidR="00CB7D5E" w:rsidRPr="006E189F" w:rsidRDefault="00CB7D5E" w:rsidP="00CB7D5E">
            <w:pPr>
              <w:rPr>
                <w:sz w:val="18"/>
                <w:szCs w:val="18"/>
              </w:rPr>
            </w:pPr>
          </w:p>
        </w:tc>
        <w:tc>
          <w:tcPr>
            <w:tcW w:w="1556" w:type="dxa"/>
            <w:vMerge/>
            <w:shd w:val="clear" w:color="auto" w:fill="FFFFFF" w:themeFill="background1"/>
          </w:tcPr>
          <w:p w14:paraId="07CDD42A" w14:textId="77777777" w:rsidR="00CB7D5E" w:rsidRPr="00E90B70" w:rsidRDefault="00CB7D5E" w:rsidP="00CB7D5E">
            <w:pPr>
              <w:rPr>
                <w:sz w:val="18"/>
                <w:szCs w:val="18"/>
              </w:rPr>
            </w:pPr>
          </w:p>
        </w:tc>
        <w:tc>
          <w:tcPr>
            <w:tcW w:w="2251" w:type="dxa"/>
            <w:vMerge/>
            <w:shd w:val="clear" w:color="auto" w:fill="FFFFFF" w:themeFill="background1"/>
          </w:tcPr>
          <w:p w14:paraId="7E50FD2F" w14:textId="77777777" w:rsidR="00CB7D5E" w:rsidRPr="00E90B70" w:rsidRDefault="00CB7D5E" w:rsidP="00CB7D5E">
            <w:pPr>
              <w:rPr>
                <w:sz w:val="18"/>
                <w:szCs w:val="18"/>
              </w:rPr>
            </w:pPr>
          </w:p>
        </w:tc>
        <w:tc>
          <w:tcPr>
            <w:tcW w:w="1701" w:type="dxa"/>
            <w:vMerge/>
            <w:shd w:val="clear" w:color="auto" w:fill="FFFFFF" w:themeFill="background1"/>
          </w:tcPr>
          <w:p w14:paraId="040E018B" w14:textId="77777777" w:rsidR="00CB7D5E" w:rsidRDefault="00CB7D5E" w:rsidP="00CB7D5E">
            <w:pPr>
              <w:rPr>
                <w:sz w:val="18"/>
                <w:szCs w:val="18"/>
              </w:rPr>
            </w:pPr>
          </w:p>
        </w:tc>
        <w:tc>
          <w:tcPr>
            <w:tcW w:w="1965" w:type="dxa"/>
            <w:shd w:val="clear" w:color="auto" w:fill="FFFFFF" w:themeFill="background1"/>
          </w:tcPr>
          <w:p w14:paraId="285DE293" w14:textId="77777777" w:rsidR="00CB7D5E" w:rsidRPr="002F330C" w:rsidRDefault="00CB7D5E" w:rsidP="00CB7D5E">
            <w:pPr>
              <w:ind w:left="0"/>
              <w:rPr>
                <w:sz w:val="18"/>
                <w:szCs w:val="18"/>
              </w:rPr>
            </w:pPr>
            <w:r w:rsidRPr="002F330C">
              <w:rPr>
                <w:sz w:val="18"/>
                <w:szCs w:val="18"/>
              </w:rPr>
              <w:t xml:space="preserve">Wheat flour, g </w:t>
            </w:r>
          </w:p>
        </w:tc>
        <w:tc>
          <w:tcPr>
            <w:tcW w:w="1051" w:type="dxa"/>
            <w:shd w:val="clear" w:color="auto" w:fill="FFFFFF" w:themeFill="background1"/>
          </w:tcPr>
          <w:p w14:paraId="34C9FA45" w14:textId="77777777" w:rsidR="00CB7D5E" w:rsidRPr="002F330C" w:rsidRDefault="00CB7D5E" w:rsidP="00CB7D5E">
            <w:pPr>
              <w:ind w:left="0"/>
              <w:jc w:val="center"/>
              <w:rPr>
                <w:sz w:val="18"/>
                <w:szCs w:val="18"/>
              </w:rPr>
            </w:pPr>
            <w:r w:rsidRPr="002F330C">
              <w:rPr>
                <w:sz w:val="18"/>
                <w:szCs w:val="18"/>
              </w:rPr>
              <w:t>58.3</w:t>
            </w:r>
          </w:p>
        </w:tc>
        <w:tc>
          <w:tcPr>
            <w:tcW w:w="1169" w:type="dxa"/>
            <w:shd w:val="clear" w:color="auto" w:fill="FFFFFF" w:themeFill="background1"/>
          </w:tcPr>
          <w:p w14:paraId="4392ECE0" w14:textId="77777777" w:rsidR="00CB7D5E" w:rsidRPr="002F330C" w:rsidRDefault="00CB7D5E" w:rsidP="00CB7D5E">
            <w:pPr>
              <w:ind w:left="0"/>
              <w:jc w:val="center"/>
              <w:rPr>
                <w:sz w:val="18"/>
                <w:szCs w:val="18"/>
              </w:rPr>
            </w:pPr>
            <w:r w:rsidRPr="002F330C">
              <w:rPr>
                <w:sz w:val="18"/>
                <w:szCs w:val="18"/>
              </w:rPr>
              <w:t>29.3</w:t>
            </w:r>
          </w:p>
        </w:tc>
        <w:tc>
          <w:tcPr>
            <w:tcW w:w="1564" w:type="dxa"/>
            <w:tcBorders>
              <w:right w:val="single" w:sz="4" w:space="0" w:color="auto"/>
            </w:tcBorders>
            <w:shd w:val="clear" w:color="auto" w:fill="FFFFFF" w:themeFill="background1"/>
          </w:tcPr>
          <w:p w14:paraId="769635F9" w14:textId="77777777" w:rsidR="00CB7D5E" w:rsidRPr="002F330C" w:rsidRDefault="00CB7D5E" w:rsidP="00CB7D5E">
            <w:pPr>
              <w:ind w:left="0"/>
              <w:jc w:val="center"/>
              <w:rPr>
                <w:sz w:val="18"/>
                <w:szCs w:val="18"/>
              </w:rPr>
            </w:pPr>
            <w:r w:rsidRPr="002F330C">
              <w:rPr>
                <w:sz w:val="18"/>
                <w:szCs w:val="18"/>
              </w:rPr>
              <w:t>-99</w:t>
            </w:r>
          </w:p>
        </w:tc>
      </w:tr>
      <w:tr w:rsidR="00CB7D5E" w14:paraId="2A1F667B" w14:textId="77777777" w:rsidTr="007F4EDE">
        <w:trPr>
          <w:trHeight w:val="224"/>
        </w:trPr>
        <w:tc>
          <w:tcPr>
            <w:tcW w:w="1806" w:type="dxa"/>
            <w:vMerge/>
            <w:tcBorders>
              <w:left w:val="single" w:sz="4" w:space="0" w:color="auto"/>
            </w:tcBorders>
            <w:shd w:val="clear" w:color="auto" w:fill="FFFFFF" w:themeFill="background1"/>
          </w:tcPr>
          <w:p w14:paraId="7DE56E97" w14:textId="77777777" w:rsidR="00CB7D5E" w:rsidRPr="006E189F" w:rsidRDefault="00CB7D5E" w:rsidP="00CB7D5E">
            <w:pPr>
              <w:rPr>
                <w:sz w:val="18"/>
                <w:szCs w:val="18"/>
              </w:rPr>
            </w:pPr>
          </w:p>
        </w:tc>
        <w:tc>
          <w:tcPr>
            <w:tcW w:w="1556" w:type="dxa"/>
            <w:vMerge/>
            <w:shd w:val="clear" w:color="auto" w:fill="FFFFFF" w:themeFill="background1"/>
          </w:tcPr>
          <w:p w14:paraId="65D08F90" w14:textId="77777777" w:rsidR="00CB7D5E" w:rsidRPr="00E90B70" w:rsidRDefault="00CB7D5E" w:rsidP="00CB7D5E">
            <w:pPr>
              <w:rPr>
                <w:sz w:val="18"/>
                <w:szCs w:val="18"/>
              </w:rPr>
            </w:pPr>
          </w:p>
        </w:tc>
        <w:tc>
          <w:tcPr>
            <w:tcW w:w="2251" w:type="dxa"/>
            <w:vMerge/>
            <w:shd w:val="clear" w:color="auto" w:fill="FFFFFF" w:themeFill="background1"/>
          </w:tcPr>
          <w:p w14:paraId="0D207922" w14:textId="77777777" w:rsidR="00CB7D5E" w:rsidRPr="00E90B70" w:rsidRDefault="00CB7D5E" w:rsidP="00CB7D5E">
            <w:pPr>
              <w:rPr>
                <w:sz w:val="18"/>
                <w:szCs w:val="18"/>
              </w:rPr>
            </w:pPr>
          </w:p>
        </w:tc>
        <w:tc>
          <w:tcPr>
            <w:tcW w:w="1701" w:type="dxa"/>
            <w:vMerge/>
            <w:shd w:val="clear" w:color="auto" w:fill="FFFFFF" w:themeFill="background1"/>
          </w:tcPr>
          <w:p w14:paraId="31D3BD75" w14:textId="77777777" w:rsidR="00CB7D5E" w:rsidRDefault="00CB7D5E" w:rsidP="00CB7D5E">
            <w:pPr>
              <w:rPr>
                <w:sz w:val="18"/>
                <w:szCs w:val="18"/>
              </w:rPr>
            </w:pPr>
          </w:p>
        </w:tc>
        <w:tc>
          <w:tcPr>
            <w:tcW w:w="1965" w:type="dxa"/>
            <w:shd w:val="clear" w:color="auto" w:fill="D9D9D9" w:themeFill="background1" w:themeFillShade="D9"/>
          </w:tcPr>
          <w:p w14:paraId="2317FC82" w14:textId="77777777" w:rsidR="00CB7D5E" w:rsidRPr="002F330C" w:rsidRDefault="00CB7D5E" w:rsidP="00CB7D5E">
            <w:pPr>
              <w:ind w:left="0"/>
              <w:rPr>
                <w:sz w:val="18"/>
                <w:szCs w:val="18"/>
              </w:rPr>
            </w:pPr>
            <w:r w:rsidRPr="002F330C">
              <w:rPr>
                <w:sz w:val="18"/>
                <w:szCs w:val="18"/>
              </w:rPr>
              <w:t xml:space="preserve">Sugar, g </w:t>
            </w:r>
          </w:p>
        </w:tc>
        <w:tc>
          <w:tcPr>
            <w:tcW w:w="1051" w:type="dxa"/>
            <w:shd w:val="clear" w:color="auto" w:fill="D9D9D9" w:themeFill="background1" w:themeFillShade="D9"/>
          </w:tcPr>
          <w:p w14:paraId="6A3EDA3F" w14:textId="77777777" w:rsidR="00CB7D5E" w:rsidRPr="002F330C" w:rsidRDefault="00CB7D5E" w:rsidP="00CB7D5E">
            <w:pPr>
              <w:ind w:left="0"/>
              <w:jc w:val="center"/>
              <w:rPr>
                <w:sz w:val="18"/>
                <w:szCs w:val="18"/>
              </w:rPr>
            </w:pPr>
            <w:r w:rsidRPr="002F330C">
              <w:rPr>
                <w:sz w:val="18"/>
                <w:szCs w:val="18"/>
              </w:rPr>
              <w:t>55.5</w:t>
            </w:r>
          </w:p>
        </w:tc>
        <w:tc>
          <w:tcPr>
            <w:tcW w:w="1169" w:type="dxa"/>
            <w:shd w:val="clear" w:color="auto" w:fill="D9D9D9" w:themeFill="background1" w:themeFillShade="D9"/>
          </w:tcPr>
          <w:p w14:paraId="0847869F" w14:textId="77777777" w:rsidR="00CB7D5E" w:rsidRPr="002F330C" w:rsidRDefault="00CB7D5E" w:rsidP="00CB7D5E">
            <w:pPr>
              <w:ind w:left="0"/>
              <w:jc w:val="center"/>
              <w:rPr>
                <w:sz w:val="18"/>
                <w:szCs w:val="18"/>
              </w:rPr>
            </w:pPr>
            <w:r w:rsidRPr="002F330C">
              <w:rPr>
                <w:sz w:val="18"/>
                <w:szCs w:val="18"/>
              </w:rPr>
              <w:t>45.6</w:t>
            </w:r>
          </w:p>
        </w:tc>
        <w:tc>
          <w:tcPr>
            <w:tcW w:w="1564" w:type="dxa"/>
            <w:tcBorders>
              <w:right w:val="single" w:sz="4" w:space="0" w:color="auto"/>
            </w:tcBorders>
            <w:shd w:val="clear" w:color="auto" w:fill="D9D9D9" w:themeFill="background1" w:themeFillShade="D9"/>
          </w:tcPr>
          <w:p w14:paraId="3B042C2C" w14:textId="77777777" w:rsidR="00CB7D5E" w:rsidRPr="002F330C" w:rsidRDefault="00CB7D5E" w:rsidP="00CB7D5E">
            <w:pPr>
              <w:ind w:left="0"/>
              <w:jc w:val="center"/>
              <w:rPr>
                <w:sz w:val="18"/>
                <w:szCs w:val="18"/>
              </w:rPr>
            </w:pPr>
            <w:r w:rsidRPr="002F330C">
              <w:rPr>
                <w:sz w:val="18"/>
                <w:szCs w:val="18"/>
              </w:rPr>
              <w:t>-22</w:t>
            </w:r>
          </w:p>
        </w:tc>
      </w:tr>
      <w:tr w:rsidR="00CB7D5E" w14:paraId="3EEBE5D1" w14:textId="77777777" w:rsidTr="007F4EDE">
        <w:trPr>
          <w:trHeight w:val="224"/>
        </w:trPr>
        <w:tc>
          <w:tcPr>
            <w:tcW w:w="1806" w:type="dxa"/>
            <w:vMerge/>
            <w:tcBorders>
              <w:left w:val="single" w:sz="4" w:space="0" w:color="auto"/>
            </w:tcBorders>
            <w:shd w:val="clear" w:color="auto" w:fill="FFFFFF" w:themeFill="background1"/>
          </w:tcPr>
          <w:p w14:paraId="11AB5600" w14:textId="77777777" w:rsidR="00CB7D5E" w:rsidRPr="006E189F" w:rsidRDefault="00CB7D5E" w:rsidP="00CB7D5E">
            <w:pPr>
              <w:rPr>
                <w:sz w:val="18"/>
                <w:szCs w:val="18"/>
              </w:rPr>
            </w:pPr>
          </w:p>
        </w:tc>
        <w:tc>
          <w:tcPr>
            <w:tcW w:w="1556" w:type="dxa"/>
            <w:vMerge/>
            <w:shd w:val="clear" w:color="auto" w:fill="FFFFFF" w:themeFill="background1"/>
          </w:tcPr>
          <w:p w14:paraId="750F0541" w14:textId="77777777" w:rsidR="00CB7D5E" w:rsidRPr="00E90B70" w:rsidRDefault="00CB7D5E" w:rsidP="00CB7D5E">
            <w:pPr>
              <w:rPr>
                <w:sz w:val="18"/>
                <w:szCs w:val="18"/>
              </w:rPr>
            </w:pPr>
          </w:p>
        </w:tc>
        <w:tc>
          <w:tcPr>
            <w:tcW w:w="2251" w:type="dxa"/>
            <w:vMerge/>
            <w:shd w:val="clear" w:color="auto" w:fill="FFFFFF" w:themeFill="background1"/>
          </w:tcPr>
          <w:p w14:paraId="5C4984D9" w14:textId="77777777" w:rsidR="00CB7D5E" w:rsidRPr="00E90B70" w:rsidRDefault="00CB7D5E" w:rsidP="00CB7D5E">
            <w:pPr>
              <w:rPr>
                <w:sz w:val="18"/>
                <w:szCs w:val="18"/>
              </w:rPr>
            </w:pPr>
          </w:p>
        </w:tc>
        <w:tc>
          <w:tcPr>
            <w:tcW w:w="1701" w:type="dxa"/>
            <w:vMerge/>
            <w:shd w:val="clear" w:color="auto" w:fill="FFFFFF" w:themeFill="background1"/>
          </w:tcPr>
          <w:p w14:paraId="0B7A6AF4" w14:textId="77777777" w:rsidR="00CB7D5E" w:rsidRDefault="00CB7D5E" w:rsidP="00CB7D5E">
            <w:pPr>
              <w:rPr>
                <w:sz w:val="18"/>
                <w:szCs w:val="18"/>
              </w:rPr>
            </w:pPr>
          </w:p>
        </w:tc>
        <w:tc>
          <w:tcPr>
            <w:tcW w:w="1965" w:type="dxa"/>
            <w:shd w:val="clear" w:color="auto" w:fill="FFFFFF" w:themeFill="background1"/>
          </w:tcPr>
          <w:p w14:paraId="7265B840" w14:textId="77777777" w:rsidR="00CB7D5E" w:rsidRPr="002F330C" w:rsidRDefault="00CB7D5E" w:rsidP="00CB7D5E">
            <w:pPr>
              <w:ind w:left="0"/>
              <w:rPr>
                <w:sz w:val="18"/>
                <w:szCs w:val="18"/>
              </w:rPr>
            </w:pPr>
            <w:r w:rsidRPr="002F330C">
              <w:rPr>
                <w:sz w:val="18"/>
                <w:szCs w:val="18"/>
              </w:rPr>
              <w:t xml:space="preserve">Maize flour, g </w:t>
            </w:r>
          </w:p>
        </w:tc>
        <w:tc>
          <w:tcPr>
            <w:tcW w:w="1051" w:type="dxa"/>
            <w:shd w:val="clear" w:color="auto" w:fill="FFFFFF" w:themeFill="background1"/>
          </w:tcPr>
          <w:p w14:paraId="435A767F" w14:textId="77777777" w:rsidR="00CB7D5E" w:rsidRPr="002F330C" w:rsidRDefault="00CB7D5E" w:rsidP="00CB7D5E">
            <w:pPr>
              <w:ind w:left="0"/>
              <w:jc w:val="center"/>
              <w:rPr>
                <w:sz w:val="18"/>
                <w:szCs w:val="18"/>
              </w:rPr>
            </w:pPr>
            <w:r w:rsidRPr="002F330C">
              <w:rPr>
                <w:sz w:val="18"/>
                <w:szCs w:val="18"/>
              </w:rPr>
              <w:t>115.9</w:t>
            </w:r>
          </w:p>
        </w:tc>
        <w:tc>
          <w:tcPr>
            <w:tcW w:w="1169" w:type="dxa"/>
            <w:shd w:val="clear" w:color="auto" w:fill="FFFFFF" w:themeFill="background1"/>
          </w:tcPr>
          <w:p w14:paraId="0080BABC" w14:textId="77777777" w:rsidR="00CB7D5E" w:rsidRPr="002F330C" w:rsidRDefault="00CB7D5E" w:rsidP="00CB7D5E">
            <w:pPr>
              <w:ind w:left="0"/>
              <w:jc w:val="center"/>
              <w:rPr>
                <w:sz w:val="18"/>
                <w:szCs w:val="18"/>
              </w:rPr>
            </w:pPr>
            <w:r w:rsidRPr="002F330C">
              <w:rPr>
                <w:sz w:val="18"/>
                <w:szCs w:val="18"/>
              </w:rPr>
              <w:t>44.4</w:t>
            </w:r>
          </w:p>
        </w:tc>
        <w:tc>
          <w:tcPr>
            <w:tcW w:w="1564" w:type="dxa"/>
            <w:tcBorders>
              <w:right w:val="single" w:sz="4" w:space="0" w:color="auto"/>
            </w:tcBorders>
            <w:shd w:val="clear" w:color="auto" w:fill="FFFFFF" w:themeFill="background1"/>
          </w:tcPr>
          <w:p w14:paraId="6588748B" w14:textId="77777777" w:rsidR="00CB7D5E" w:rsidRPr="002F330C" w:rsidRDefault="00CB7D5E" w:rsidP="00CB7D5E">
            <w:pPr>
              <w:ind w:left="0"/>
              <w:jc w:val="center"/>
              <w:rPr>
                <w:sz w:val="18"/>
                <w:szCs w:val="18"/>
              </w:rPr>
            </w:pPr>
            <w:r w:rsidRPr="002F330C">
              <w:rPr>
                <w:sz w:val="18"/>
                <w:szCs w:val="18"/>
              </w:rPr>
              <w:t>-161</w:t>
            </w:r>
          </w:p>
        </w:tc>
      </w:tr>
      <w:tr w:rsidR="00CB7D5E" w14:paraId="78DA6993" w14:textId="77777777" w:rsidTr="007F4EDE">
        <w:trPr>
          <w:trHeight w:val="224"/>
        </w:trPr>
        <w:tc>
          <w:tcPr>
            <w:tcW w:w="1806" w:type="dxa"/>
            <w:vMerge/>
            <w:tcBorders>
              <w:left w:val="single" w:sz="4" w:space="0" w:color="auto"/>
              <w:bottom w:val="single" w:sz="4" w:space="0" w:color="auto"/>
            </w:tcBorders>
            <w:shd w:val="clear" w:color="auto" w:fill="FFFFFF" w:themeFill="background1"/>
          </w:tcPr>
          <w:p w14:paraId="7ADC68C0" w14:textId="77777777" w:rsidR="00CB7D5E" w:rsidRPr="006E189F" w:rsidRDefault="00CB7D5E" w:rsidP="00CB7D5E">
            <w:pPr>
              <w:rPr>
                <w:sz w:val="18"/>
                <w:szCs w:val="18"/>
              </w:rPr>
            </w:pPr>
          </w:p>
        </w:tc>
        <w:tc>
          <w:tcPr>
            <w:tcW w:w="1556" w:type="dxa"/>
            <w:vMerge/>
            <w:tcBorders>
              <w:bottom w:val="single" w:sz="4" w:space="0" w:color="auto"/>
            </w:tcBorders>
            <w:shd w:val="clear" w:color="auto" w:fill="FFFFFF" w:themeFill="background1"/>
          </w:tcPr>
          <w:p w14:paraId="74AB882E" w14:textId="77777777" w:rsidR="00CB7D5E" w:rsidRPr="00E90B70" w:rsidRDefault="00CB7D5E" w:rsidP="00CB7D5E">
            <w:pPr>
              <w:rPr>
                <w:sz w:val="18"/>
                <w:szCs w:val="18"/>
              </w:rPr>
            </w:pPr>
          </w:p>
        </w:tc>
        <w:tc>
          <w:tcPr>
            <w:tcW w:w="2251" w:type="dxa"/>
            <w:vMerge/>
            <w:tcBorders>
              <w:bottom w:val="single" w:sz="4" w:space="0" w:color="auto"/>
            </w:tcBorders>
            <w:shd w:val="clear" w:color="auto" w:fill="FFFFFF" w:themeFill="background1"/>
          </w:tcPr>
          <w:p w14:paraId="7394456B" w14:textId="77777777" w:rsidR="00CB7D5E" w:rsidRPr="00E90B70" w:rsidRDefault="00CB7D5E" w:rsidP="00CB7D5E">
            <w:pPr>
              <w:rPr>
                <w:sz w:val="18"/>
                <w:szCs w:val="18"/>
              </w:rPr>
            </w:pPr>
          </w:p>
        </w:tc>
        <w:tc>
          <w:tcPr>
            <w:tcW w:w="1701" w:type="dxa"/>
            <w:vMerge/>
            <w:shd w:val="clear" w:color="auto" w:fill="FFFFFF" w:themeFill="background1"/>
          </w:tcPr>
          <w:p w14:paraId="1A380BB1" w14:textId="77777777" w:rsidR="00CB7D5E" w:rsidRDefault="00CB7D5E" w:rsidP="00CB7D5E">
            <w:pPr>
              <w:rPr>
                <w:sz w:val="18"/>
                <w:szCs w:val="18"/>
              </w:rPr>
            </w:pPr>
          </w:p>
        </w:tc>
        <w:tc>
          <w:tcPr>
            <w:tcW w:w="1965" w:type="dxa"/>
            <w:tcBorders>
              <w:bottom w:val="single" w:sz="4" w:space="0" w:color="auto"/>
            </w:tcBorders>
            <w:shd w:val="clear" w:color="auto" w:fill="D9D9D9" w:themeFill="background1" w:themeFillShade="D9"/>
          </w:tcPr>
          <w:p w14:paraId="7325357A" w14:textId="77777777" w:rsidR="00CB7D5E" w:rsidRPr="002F330C" w:rsidRDefault="00CB7D5E" w:rsidP="00CB7D5E">
            <w:pPr>
              <w:ind w:left="0"/>
              <w:rPr>
                <w:sz w:val="18"/>
                <w:szCs w:val="18"/>
              </w:rPr>
            </w:pPr>
            <w:r w:rsidRPr="002F330C">
              <w:rPr>
                <w:sz w:val="18"/>
                <w:szCs w:val="18"/>
              </w:rPr>
              <w:t xml:space="preserve">Rice, g </w:t>
            </w:r>
          </w:p>
        </w:tc>
        <w:tc>
          <w:tcPr>
            <w:tcW w:w="1051" w:type="dxa"/>
            <w:tcBorders>
              <w:bottom w:val="single" w:sz="4" w:space="0" w:color="auto"/>
            </w:tcBorders>
            <w:shd w:val="clear" w:color="auto" w:fill="D9D9D9" w:themeFill="background1" w:themeFillShade="D9"/>
          </w:tcPr>
          <w:p w14:paraId="758181A7" w14:textId="77777777" w:rsidR="00CB7D5E" w:rsidRPr="002F330C" w:rsidRDefault="00CB7D5E" w:rsidP="00CB7D5E">
            <w:pPr>
              <w:ind w:left="0"/>
              <w:jc w:val="center"/>
              <w:rPr>
                <w:sz w:val="18"/>
                <w:szCs w:val="18"/>
              </w:rPr>
            </w:pPr>
            <w:r w:rsidRPr="002F330C">
              <w:rPr>
                <w:sz w:val="18"/>
                <w:szCs w:val="18"/>
              </w:rPr>
              <w:t>63.0</w:t>
            </w:r>
          </w:p>
        </w:tc>
        <w:tc>
          <w:tcPr>
            <w:tcW w:w="1169" w:type="dxa"/>
            <w:tcBorders>
              <w:bottom w:val="single" w:sz="4" w:space="0" w:color="auto"/>
            </w:tcBorders>
            <w:shd w:val="clear" w:color="auto" w:fill="D9D9D9" w:themeFill="background1" w:themeFillShade="D9"/>
          </w:tcPr>
          <w:p w14:paraId="0457D916" w14:textId="77777777" w:rsidR="00CB7D5E" w:rsidRPr="002F330C" w:rsidRDefault="00CB7D5E" w:rsidP="00CB7D5E">
            <w:pPr>
              <w:ind w:left="0"/>
              <w:jc w:val="center"/>
              <w:rPr>
                <w:sz w:val="18"/>
                <w:szCs w:val="18"/>
              </w:rPr>
            </w:pPr>
            <w:r w:rsidRPr="002F330C">
              <w:rPr>
                <w:sz w:val="18"/>
                <w:szCs w:val="18"/>
              </w:rPr>
              <w:t>37.5</w:t>
            </w:r>
          </w:p>
        </w:tc>
        <w:tc>
          <w:tcPr>
            <w:tcW w:w="1564" w:type="dxa"/>
            <w:tcBorders>
              <w:bottom w:val="single" w:sz="4" w:space="0" w:color="auto"/>
              <w:right w:val="single" w:sz="4" w:space="0" w:color="auto"/>
            </w:tcBorders>
            <w:shd w:val="clear" w:color="auto" w:fill="D9D9D9" w:themeFill="background1" w:themeFillShade="D9"/>
          </w:tcPr>
          <w:p w14:paraId="392FC662" w14:textId="77777777" w:rsidR="00CB7D5E" w:rsidRPr="002F330C" w:rsidRDefault="00CB7D5E" w:rsidP="00CB7D5E">
            <w:pPr>
              <w:ind w:left="0"/>
              <w:jc w:val="center"/>
              <w:rPr>
                <w:sz w:val="18"/>
                <w:szCs w:val="18"/>
              </w:rPr>
            </w:pPr>
            <w:r w:rsidRPr="002F330C">
              <w:rPr>
                <w:sz w:val="18"/>
                <w:szCs w:val="18"/>
              </w:rPr>
              <w:t>-68</w:t>
            </w:r>
          </w:p>
        </w:tc>
      </w:tr>
      <w:tr w:rsidR="00CB7D5E" w14:paraId="45AC980F" w14:textId="77777777" w:rsidTr="007F4EDE">
        <w:trPr>
          <w:trHeight w:val="224"/>
        </w:trPr>
        <w:tc>
          <w:tcPr>
            <w:tcW w:w="1806" w:type="dxa"/>
            <w:vMerge w:val="restart"/>
            <w:tcBorders>
              <w:top w:val="single" w:sz="4" w:space="0" w:color="auto"/>
              <w:left w:val="single" w:sz="4" w:space="0" w:color="auto"/>
            </w:tcBorders>
            <w:shd w:val="clear" w:color="auto" w:fill="D9D9D9" w:themeFill="background1" w:themeFillShade="D9"/>
          </w:tcPr>
          <w:p w14:paraId="6E1133A5" w14:textId="28FB76B8" w:rsidR="00CB7D5E" w:rsidRPr="001000F1" w:rsidRDefault="00CB7D5E" w:rsidP="00CB7D5E">
            <w:pPr>
              <w:ind w:left="0"/>
              <w:rPr>
                <w:sz w:val="18"/>
                <w:szCs w:val="18"/>
              </w:rPr>
            </w:pPr>
            <w:proofErr w:type="spellStart"/>
            <w:r w:rsidRPr="001000F1">
              <w:rPr>
                <w:sz w:val="18"/>
                <w:szCs w:val="18"/>
              </w:rPr>
              <w:t>Dary</w:t>
            </w:r>
            <w:proofErr w:type="spellEnd"/>
            <w:r w:rsidRPr="001000F1">
              <w:rPr>
                <w:sz w:val="18"/>
                <w:szCs w:val="18"/>
              </w:rPr>
              <w:t xml:space="preserve"> &amp; </w:t>
            </w:r>
            <w:proofErr w:type="spellStart"/>
            <w:r w:rsidRPr="001000F1">
              <w:rPr>
                <w:sz w:val="18"/>
                <w:szCs w:val="18"/>
              </w:rPr>
              <w:t>Jariseta</w:t>
            </w:r>
            <w:proofErr w:type="spellEnd"/>
            <w:r w:rsidRPr="001000F1">
              <w:rPr>
                <w:sz w:val="18"/>
                <w:szCs w:val="18"/>
              </w:rPr>
              <w:t xml:space="preserve"> (2012) </w:t>
            </w:r>
            <w:r w:rsidRPr="001000F1">
              <w:rPr>
                <w:sz w:val="18"/>
                <w:szCs w:val="18"/>
              </w:rPr>
              <w:fldChar w:fldCharType="begin" w:fldLock="1"/>
            </w:r>
            <w:r w:rsidR="005B0D26">
              <w:rPr>
                <w:sz w:val="18"/>
                <w:szCs w:val="18"/>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sidRPr="001000F1">
              <w:rPr>
                <w:sz w:val="18"/>
                <w:szCs w:val="18"/>
              </w:rPr>
              <w:fldChar w:fldCharType="separate"/>
            </w:r>
            <w:r w:rsidR="005B0D26" w:rsidRPr="005B0D26">
              <w:rPr>
                <w:noProof/>
                <w:sz w:val="18"/>
                <w:szCs w:val="18"/>
                <w:vertAlign w:val="superscript"/>
              </w:rPr>
              <w:t>(11)</w:t>
            </w:r>
            <w:r w:rsidRPr="001000F1">
              <w:rPr>
                <w:sz w:val="18"/>
                <w:szCs w:val="18"/>
              </w:rPr>
              <w:fldChar w:fldCharType="end"/>
            </w:r>
            <w:r w:rsidRPr="001000F1">
              <w:rPr>
                <w:sz w:val="18"/>
                <w:szCs w:val="18"/>
              </w:rPr>
              <w:t>;</w:t>
            </w:r>
          </w:p>
          <w:p w14:paraId="24F73BE7" w14:textId="77777777" w:rsidR="00CB7D5E" w:rsidRDefault="00CB7D5E" w:rsidP="00CB7D5E">
            <w:pPr>
              <w:ind w:left="0"/>
              <w:rPr>
                <w:sz w:val="18"/>
                <w:szCs w:val="18"/>
              </w:rPr>
            </w:pPr>
            <w:r w:rsidRPr="00E90B70">
              <w:rPr>
                <w:sz w:val="18"/>
                <w:szCs w:val="18"/>
              </w:rPr>
              <w:t xml:space="preserve">Southwestern Region, </w:t>
            </w:r>
            <w:proofErr w:type="gramStart"/>
            <w:r w:rsidRPr="00E90B70">
              <w:rPr>
                <w:sz w:val="18"/>
                <w:szCs w:val="18"/>
              </w:rPr>
              <w:t>Uganda</w:t>
            </w:r>
            <w:r>
              <w:rPr>
                <w:sz w:val="18"/>
                <w:szCs w:val="18"/>
              </w:rPr>
              <w:t>;</w:t>
            </w:r>
            <w:proofErr w:type="gramEnd"/>
          </w:p>
          <w:p w14:paraId="3BC1C33E" w14:textId="77777777" w:rsidR="00CB7D5E" w:rsidRPr="006E189F" w:rsidRDefault="00CB7D5E" w:rsidP="00CB7D5E">
            <w:pPr>
              <w:ind w:left="0"/>
              <w:rPr>
                <w:sz w:val="18"/>
                <w:szCs w:val="18"/>
              </w:rPr>
            </w:pPr>
            <w:r>
              <w:rPr>
                <w:sz w:val="18"/>
                <w:szCs w:val="18"/>
              </w:rPr>
              <w:t>medians</w:t>
            </w:r>
          </w:p>
        </w:tc>
        <w:tc>
          <w:tcPr>
            <w:tcW w:w="1556" w:type="dxa"/>
            <w:vMerge w:val="restart"/>
            <w:tcBorders>
              <w:top w:val="single" w:sz="4" w:space="0" w:color="auto"/>
            </w:tcBorders>
            <w:shd w:val="clear" w:color="auto" w:fill="D9D9D9" w:themeFill="background1" w:themeFillShade="D9"/>
          </w:tcPr>
          <w:p w14:paraId="136BEF74" w14:textId="77777777" w:rsidR="00CB7D5E" w:rsidRPr="00E90B70" w:rsidRDefault="00CB7D5E" w:rsidP="00CB7D5E">
            <w:pPr>
              <w:ind w:left="0"/>
              <w:rPr>
                <w:sz w:val="18"/>
                <w:szCs w:val="18"/>
              </w:rPr>
            </w:pPr>
            <w:r w:rsidRPr="00E90B70">
              <w:rPr>
                <w:sz w:val="18"/>
                <w:szCs w:val="18"/>
              </w:rPr>
              <w:t>24H individual recall</w:t>
            </w:r>
          </w:p>
        </w:tc>
        <w:tc>
          <w:tcPr>
            <w:tcW w:w="2251" w:type="dxa"/>
            <w:vMerge w:val="restart"/>
            <w:tcBorders>
              <w:top w:val="single" w:sz="4" w:space="0" w:color="auto"/>
            </w:tcBorders>
            <w:shd w:val="clear" w:color="auto" w:fill="D9D9D9" w:themeFill="background1" w:themeFillShade="D9"/>
          </w:tcPr>
          <w:p w14:paraId="08DDF6CB" w14:textId="77777777" w:rsidR="00E663ED" w:rsidRDefault="00E663ED" w:rsidP="00E663ED">
            <w:pPr>
              <w:ind w:left="0"/>
              <w:rPr>
                <w:sz w:val="18"/>
                <w:szCs w:val="18"/>
              </w:rPr>
            </w:pPr>
            <w:r>
              <w:rPr>
                <w:sz w:val="18"/>
                <w:szCs w:val="18"/>
              </w:rPr>
              <w:t>7-day recall of household meals</w:t>
            </w:r>
          </w:p>
          <w:p w14:paraId="2BD7CD48" w14:textId="77777777" w:rsidR="00CB7D5E" w:rsidRPr="00E90B70" w:rsidRDefault="00CB7D5E" w:rsidP="00CB7D5E">
            <w:pPr>
              <w:ind w:left="0"/>
              <w:rPr>
                <w:sz w:val="18"/>
                <w:szCs w:val="18"/>
              </w:rPr>
            </w:pPr>
            <w:r w:rsidRPr="00E90B70">
              <w:rPr>
                <w:sz w:val="18"/>
                <w:szCs w:val="18"/>
              </w:rPr>
              <w:t>(n=</w:t>
            </w:r>
            <w:r>
              <w:rPr>
                <w:sz w:val="18"/>
                <w:szCs w:val="18"/>
              </w:rPr>
              <w:t>322)</w:t>
            </w:r>
          </w:p>
        </w:tc>
        <w:tc>
          <w:tcPr>
            <w:tcW w:w="1701" w:type="dxa"/>
            <w:vMerge w:val="restart"/>
            <w:tcBorders>
              <w:top w:val="single" w:sz="4" w:space="0" w:color="auto"/>
            </w:tcBorders>
            <w:shd w:val="clear" w:color="auto" w:fill="D9D9D9" w:themeFill="background1" w:themeFillShade="D9"/>
          </w:tcPr>
          <w:p w14:paraId="10EAFC2E" w14:textId="77777777" w:rsidR="00CB7D5E" w:rsidRDefault="00CB7D5E" w:rsidP="00CB7D5E">
            <w:pPr>
              <w:ind w:left="0"/>
              <w:rPr>
                <w:sz w:val="18"/>
                <w:szCs w:val="18"/>
              </w:rPr>
            </w:pPr>
            <w:r>
              <w:rPr>
                <w:sz w:val="18"/>
                <w:szCs w:val="18"/>
              </w:rPr>
              <w:t>WRA (15-49 years)</w:t>
            </w:r>
          </w:p>
        </w:tc>
        <w:tc>
          <w:tcPr>
            <w:tcW w:w="1965" w:type="dxa"/>
            <w:tcBorders>
              <w:top w:val="single" w:sz="4" w:space="0" w:color="auto"/>
            </w:tcBorders>
            <w:shd w:val="clear" w:color="auto" w:fill="FFFFFF" w:themeFill="background1"/>
          </w:tcPr>
          <w:p w14:paraId="21D92CF5" w14:textId="77777777" w:rsidR="00CB7D5E" w:rsidRPr="002F330C" w:rsidRDefault="00CB7D5E" w:rsidP="00CB7D5E">
            <w:pPr>
              <w:ind w:left="0"/>
              <w:rPr>
                <w:sz w:val="18"/>
                <w:szCs w:val="18"/>
              </w:rPr>
            </w:pPr>
            <w:r w:rsidRPr="002F330C">
              <w:rPr>
                <w:sz w:val="18"/>
                <w:szCs w:val="18"/>
              </w:rPr>
              <w:t>Vegetable oil, g</w:t>
            </w:r>
          </w:p>
        </w:tc>
        <w:tc>
          <w:tcPr>
            <w:tcW w:w="1051" w:type="dxa"/>
            <w:tcBorders>
              <w:top w:val="single" w:sz="4" w:space="0" w:color="auto"/>
            </w:tcBorders>
            <w:shd w:val="clear" w:color="auto" w:fill="FFFFFF" w:themeFill="background1"/>
          </w:tcPr>
          <w:p w14:paraId="239E67FB" w14:textId="77777777" w:rsidR="00CB7D5E" w:rsidRPr="002F330C" w:rsidRDefault="00CB7D5E" w:rsidP="00CB7D5E">
            <w:pPr>
              <w:ind w:left="0"/>
              <w:jc w:val="center"/>
              <w:rPr>
                <w:sz w:val="18"/>
                <w:szCs w:val="18"/>
              </w:rPr>
            </w:pPr>
            <w:r w:rsidRPr="002F330C">
              <w:rPr>
                <w:sz w:val="18"/>
                <w:szCs w:val="18"/>
              </w:rPr>
              <w:t>10.9</w:t>
            </w:r>
          </w:p>
        </w:tc>
        <w:tc>
          <w:tcPr>
            <w:tcW w:w="1169" w:type="dxa"/>
            <w:tcBorders>
              <w:top w:val="single" w:sz="4" w:space="0" w:color="auto"/>
            </w:tcBorders>
            <w:shd w:val="clear" w:color="auto" w:fill="FFFFFF" w:themeFill="background1"/>
          </w:tcPr>
          <w:p w14:paraId="0F07CBC6" w14:textId="77777777" w:rsidR="00CB7D5E" w:rsidRPr="002F330C" w:rsidRDefault="00CB7D5E" w:rsidP="00CB7D5E">
            <w:pPr>
              <w:ind w:left="0"/>
              <w:jc w:val="center"/>
              <w:rPr>
                <w:sz w:val="18"/>
                <w:szCs w:val="18"/>
              </w:rPr>
            </w:pPr>
            <w:r w:rsidRPr="002F330C">
              <w:rPr>
                <w:sz w:val="18"/>
                <w:szCs w:val="18"/>
              </w:rPr>
              <w:t>9.1</w:t>
            </w:r>
          </w:p>
        </w:tc>
        <w:tc>
          <w:tcPr>
            <w:tcW w:w="1564" w:type="dxa"/>
            <w:tcBorders>
              <w:top w:val="single" w:sz="4" w:space="0" w:color="auto"/>
              <w:right w:val="single" w:sz="4" w:space="0" w:color="auto"/>
            </w:tcBorders>
            <w:shd w:val="clear" w:color="auto" w:fill="FFFFFF" w:themeFill="background1"/>
          </w:tcPr>
          <w:p w14:paraId="39211843" w14:textId="77777777" w:rsidR="00CB7D5E" w:rsidRPr="002F330C" w:rsidRDefault="00CB7D5E" w:rsidP="00CB7D5E">
            <w:pPr>
              <w:ind w:left="0"/>
              <w:jc w:val="center"/>
              <w:rPr>
                <w:sz w:val="18"/>
                <w:szCs w:val="18"/>
              </w:rPr>
            </w:pPr>
            <w:r w:rsidRPr="002F330C">
              <w:rPr>
                <w:sz w:val="18"/>
                <w:szCs w:val="18"/>
              </w:rPr>
              <w:t>-20</w:t>
            </w:r>
          </w:p>
        </w:tc>
      </w:tr>
      <w:tr w:rsidR="00CB7D5E" w14:paraId="15AF4932" w14:textId="77777777" w:rsidTr="007F4EDE">
        <w:trPr>
          <w:trHeight w:val="224"/>
        </w:trPr>
        <w:tc>
          <w:tcPr>
            <w:tcW w:w="1806" w:type="dxa"/>
            <w:vMerge/>
            <w:tcBorders>
              <w:left w:val="single" w:sz="4" w:space="0" w:color="auto"/>
            </w:tcBorders>
            <w:shd w:val="clear" w:color="auto" w:fill="D9D9D9" w:themeFill="background1" w:themeFillShade="D9"/>
          </w:tcPr>
          <w:p w14:paraId="09524980" w14:textId="77777777" w:rsidR="00CB7D5E" w:rsidRPr="006E189F" w:rsidRDefault="00CB7D5E" w:rsidP="00CB7D5E">
            <w:pPr>
              <w:rPr>
                <w:sz w:val="18"/>
                <w:szCs w:val="18"/>
              </w:rPr>
            </w:pPr>
          </w:p>
        </w:tc>
        <w:tc>
          <w:tcPr>
            <w:tcW w:w="1556" w:type="dxa"/>
            <w:vMerge/>
            <w:shd w:val="clear" w:color="auto" w:fill="D9D9D9" w:themeFill="background1" w:themeFillShade="D9"/>
          </w:tcPr>
          <w:p w14:paraId="34DA6301" w14:textId="77777777" w:rsidR="00CB7D5E" w:rsidRPr="00E90B70" w:rsidRDefault="00CB7D5E" w:rsidP="00CB7D5E">
            <w:pPr>
              <w:rPr>
                <w:sz w:val="18"/>
                <w:szCs w:val="18"/>
              </w:rPr>
            </w:pPr>
          </w:p>
        </w:tc>
        <w:tc>
          <w:tcPr>
            <w:tcW w:w="2251" w:type="dxa"/>
            <w:vMerge/>
            <w:shd w:val="clear" w:color="auto" w:fill="D9D9D9" w:themeFill="background1" w:themeFillShade="D9"/>
          </w:tcPr>
          <w:p w14:paraId="3914FD59" w14:textId="77777777" w:rsidR="00CB7D5E" w:rsidRPr="00E90B70" w:rsidRDefault="00CB7D5E" w:rsidP="00CB7D5E">
            <w:pPr>
              <w:rPr>
                <w:sz w:val="18"/>
                <w:szCs w:val="18"/>
              </w:rPr>
            </w:pPr>
          </w:p>
        </w:tc>
        <w:tc>
          <w:tcPr>
            <w:tcW w:w="1701" w:type="dxa"/>
            <w:vMerge/>
            <w:shd w:val="clear" w:color="auto" w:fill="D9D9D9" w:themeFill="background1" w:themeFillShade="D9"/>
          </w:tcPr>
          <w:p w14:paraId="75480CF4" w14:textId="77777777" w:rsidR="00CB7D5E" w:rsidRDefault="00CB7D5E" w:rsidP="00CB7D5E">
            <w:pPr>
              <w:rPr>
                <w:sz w:val="18"/>
                <w:szCs w:val="18"/>
              </w:rPr>
            </w:pPr>
          </w:p>
        </w:tc>
        <w:tc>
          <w:tcPr>
            <w:tcW w:w="1965" w:type="dxa"/>
            <w:shd w:val="clear" w:color="auto" w:fill="D9D9D9" w:themeFill="background1" w:themeFillShade="D9"/>
          </w:tcPr>
          <w:p w14:paraId="6825F3BC" w14:textId="77777777" w:rsidR="00CB7D5E" w:rsidRPr="002F330C" w:rsidRDefault="00CB7D5E" w:rsidP="00CB7D5E">
            <w:pPr>
              <w:ind w:left="0"/>
              <w:rPr>
                <w:sz w:val="18"/>
                <w:szCs w:val="18"/>
              </w:rPr>
            </w:pPr>
            <w:r w:rsidRPr="002F330C">
              <w:rPr>
                <w:sz w:val="18"/>
                <w:szCs w:val="18"/>
              </w:rPr>
              <w:t>Wheat flour, g</w:t>
            </w:r>
          </w:p>
        </w:tc>
        <w:tc>
          <w:tcPr>
            <w:tcW w:w="1051" w:type="dxa"/>
            <w:shd w:val="clear" w:color="auto" w:fill="D9D9D9" w:themeFill="background1" w:themeFillShade="D9"/>
          </w:tcPr>
          <w:p w14:paraId="13046052" w14:textId="77777777" w:rsidR="00CB7D5E" w:rsidRPr="002F330C" w:rsidRDefault="00CB7D5E" w:rsidP="00CB7D5E">
            <w:pPr>
              <w:ind w:left="0"/>
              <w:jc w:val="center"/>
              <w:rPr>
                <w:sz w:val="18"/>
                <w:szCs w:val="18"/>
              </w:rPr>
            </w:pPr>
            <w:r w:rsidRPr="002F330C">
              <w:rPr>
                <w:sz w:val="18"/>
                <w:szCs w:val="18"/>
              </w:rPr>
              <w:t>35.3</w:t>
            </w:r>
          </w:p>
        </w:tc>
        <w:tc>
          <w:tcPr>
            <w:tcW w:w="1169" w:type="dxa"/>
            <w:shd w:val="clear" w:color="auto" w:fill="D9D9D9" w:themeFill="background1" w:themeFillShade="D9"/>
          </w:tcPr>
          <w:p w14:paraId="29EFE848" w14:textId="77777777" w:rsidR="00CB7D5E" w:rsidRPr="002F330C" w:rsidRDefault="00CB7D5E" w:rsidP="00CB7D5E">
            <w:pPr>
              <w:ind w:left="0"/>
              <w:jc w:val="center"/>
              <w:rPr>
                <w:sz w:val="18"/>
                <w:szCs w:val="18"/>
              </w:rPr>
            </w:pPr>
            <w:r w:rsidRPr="002F330C">
              <w:rPr>
                <w:sz w:val="18"/>
                <w:szCs w:val="18"/>
              </w:rPr>
              <w:t>13.7</w:t>
            </w:r>
          </w:p>
        </w:tc>
        <w:tc>
          <w:tcPr>
            <w:tcW w:w="1564" w:type="dxa"/>
            <w:tcBorders>
              <w:right w:val="single" w:sz="4" w:space="0" w:color="auto"/>
            </w:tcBorders>
            <w:shd w:val="clear" w:color="auto" w:fill="D9D9D9" w:themeFill="background1" w:themeFillShade="D9"/>
          </w:tcPr>
          <w:p w14:paraId="73AED85C" w14:textId="77777777" w:rsidR="00CB7D5E" w:rsidRPr="002F330C" w:rsidRDefault="00CB7D5E" w:rsidP="00CB7D5E">
            <w:pPr>
              <w:ind w:left="0"/>
              <w:jc w:val="center"/>
              <w:rPr>
                <w:sz w:val="18"/>
                <w:szCs w:val="18"/>
              </w:rPr>
            </w:pPr>
            <w:r w:rsidRPr="002F330C">
              <w:rPr>
                <w:sz w:val="18"/>
                <w:szCs w:val="18"/>
              </w:rPr>
              <w:t>-158</w:t>
            </w:r>
          </w:p>
        </w:tc>
      </w:tr>
      <w:tr w:rsidR="00CB7D5E" w14:paraId="56A47264" w14:textId="77777777" w:rsidTr="007F4EDE">
        <w:trPr>
          <w:trHeight w:val="224"/>
        </w:trPr>
        <w:tc>
          <w:tcPr>
            <w:tcW w:w="1806" w:type="dxa"/>
            <w:vMerge/>
            <w:tcBorders>
              <w:left w:val="single" w:sz="4" w:space="0" w:color="auto"/>
            </w:tcBorders>
            <w:shd w:val="clear" w:color="auto" w:fill="D9D9D9" w:themeFill="background1" w:themeFillShade="D9"/>
          </w:tcPr>
          <w:p w14:paraId="0097BBBD" w14:textId="77777777" w:rsidR="00CB7D5E" w:rsidRPr="006E189F" w:rsidRDefault="00CB7D5E" w:rsidP="00CB7D5E">
            <w:pPr>
              <w:rPr>
                <w:sz w:val="18"/>
                <w:szCs w:val="18"/>
              </w:rPr>
            </w:pPr>
          </w:p>
        </w:tc>
        <w:tc>
          <w:tcPr>
            <w:tcW w:w="1556" w:type="dxa"/>
            <w:vMerge/>
            <w:shd w:val="clear" w:color="auto" w:fill="D9D9D9" w:themeFill="background1" w:themeFillShade="D9"/>
          </w:tcPr>
          <w:p w14:paraId="5809FA74" w14:textId="77777777" w:rsidR="00CB7D5E" w:rsidRPr="00E90B70" w:rsidRDefault="00CB7D5E" w:rsidP="00CB7D5E">
            <w:pPr>
              <w:rPr>
                <w:sz w:val="18"/>
                <w:szCs w:val="18"/>
              </w:rPr>
            </w:pPr>
          </w:p>
        </w:tc>
        <w:tc>
          <w:tcPr>
            <w:tcW w:w="2251" w:type="dxa"/>
            <w:vMerge/>
            <w:shd w:val="clear" w:color="auto" w:fill="D9D9D9" w:themeFill="background1" w:themeFillShade="D9"/>
          </w:tcPr>
          <w:p w14:paraId="11DA2835" w14:textId="77777777" w:rsidR="00CB7D5E" w:rsidRPr="00E90B70" w:rsidRDefault="00CB7D5E" w:rsidP="00CB7D5E">
            <w:pPr>
              <w:rPr>
                <w:sz w:val="18"/>
                <w:szCs w:val="18"/>
              </w:rPr>
            </w:pPr>
          </w:p>
        </w:tc>
        <w:tc>
          <w:tcPr>
            <w:tcW w:w="1701" w:type="dxa"/>
            <w:vMerge/>
            <w:shd w:val="clear" w:color="auto" w:fill="D9D9D9" w:themeFill="background1" w:themeFillShade="D9"/>
          </w:tcPr>
          <w:p w14:paraId="7945460D" w14:textId="77777777" w:rsidR="00CB7D5E" w:rsidRDefault="00CB7D5E" w:rsidP="00CB7D5E">
            <w:pPr>
              <w:rPr>
                <w:sz w:val="18"/>
                <w:szCs w:val="18"/>
              </w:rPr>
            </w:pPr>
          </w:p>
        </w:tc>
        <w:tc>
          <w:tcPr>
            <w:tcW w:w="1965" w:type="dxa"/>
            <w:shd w:val="clear" w:color="auto" w:fill="FFFFFF" w:themeFill="background1"/>
          </w:tcPr>
          <w:p w14:paraId="719D67E4" w14:textId="77777777" w:rsidR="00CB7D5E" w:rsidRPr="002F330C" w:rsidRDefault="00CB7D5E" w:rsidP="00CB7D5E">
            <w:pPr>
              <w:ind w:left="0"/>
              <w:rPr>
                <w:sz w:val="18"/>
                <w:szCs w:val="18"/>
              </w:rPr>
            </w:pPr>
            <w:r w:rsidRPr="002F330C">
              <w:rPr>
                <w:sz w:val="18"/>
                <w:szCs w:val="18"/>
              </w:rPr>
              <w:t>Sugar, g</w:t>
            </w:r>
          </w:p>
        </w:tc>
        <w:tc>
          <w:tcPr>
            <w:tcW w:w="1051" w:type="dxa"/>
            <w:shd w:val="clear" w:color="auto" w:fill="FFFFFF" w:themeFill="background1"/>
          </w:tcPr>
          <w:p w14:paraId="3EA789BE" w14:textId="77777777" w:rsidR="00CB7D5E" w:rsidRPr="002F330C" w:rsidRDefault="00CB7D5E" w:rsidP="00CB7D5E">
            <w:pPr>
              <w:ind w:left="0"/>
              <w:jc w:val="center"/>
              <w:rPr>
                <w:sz w:val="18"/>
                <w:szCs w:val="18"/>
              </w:rPr>
            </w:pPr>
            <w:r w:rsidRPr="002F330C">
              <w:rPr>
                <w:sz w:val="18"/>
                <w:szCs w:val="18"/>
              </w:rPr>
              <w:t>40.3</w:t>
            </w:r>
          </w:p>
        </w:tc>
        <w:tc>
          <w:tcPr>
            <w:tcW w:w="1169" w:type="dxa"/>
            <w:shd w:val="clear" w:color="auto" w:fill="FFFFFF" w:themeFill="background1"/>
          </w:tcPr>
          <w:p w14:paraId="3C5C17DD" w14:textId="77777777" w:rsidR="00CB7D5E" w:rsidRPr="002F330C" w:rsidRDefault="00CB7D5E" w:rsidP="00CB7D5E">
            <w:pPr>
              <w:ind w:left="0"/>
              <w:jc w:val="center"/>
              <w:rPr>
                <w:sz w:val="18"/>
                <w:szCs w:val="18"/>
              </w:rPr>
            </w:pPr>
            <w:r w:rsidRPr="002F330C">
              <w:rPr>
                <w:sz w:val="18"/>
                <w:szCs w:val="18"/>
              </w:rPr>
              <w:t>21.2</w:t>
            </w:r>
          </w:p>
        </w:tc>
        <w:tc>
          <w:tcPr>
            <w:tcW w:w="1564" w:type="dxa"/>
            <w:tcBorders>
              <w:right w:val="single" w:sz="4" w:space="0" w:color="auto"/>
            </w:tcBorders>
            <w:shd w:val="clear" w:color="auto" w:fill="FFFFFF" w:themeFill="background1"/>
          </w:tcPr>
          <w:p w14:paraId="340C4AF5" w14:textId="77777777" w:rsidR="00CB7D5E" w:rsidRPr="002F330C" w:rsidRDefault="00CB7D5E" w:rsidP="00CB7D5E">
            <w:pPr>
              <w:ind w:left="0"/>
              <w:jc w:val="center"/>
              <w:rPr>
                <w:sz w:val="18"/>
                <w:szCs w:val="18"/>
              </w:rPr>
            </w:pPr>
            <w:r w:rsidRPr="002F330C">
              <w:rPr>
                <w:sz w:val="18"/>
                <w:szCs w:val="18"/>
              </w:rPr>
              <w:t>-90</w:t>
            </w:r>
          </w:p>
        </w:tc>
      </w:tr>
      <w:tr w:rsidR="00CB7D5E" w14:paraId="6DD09D98" w14:textId="77777777" w:rsidTr="007F4EDE">
        <w:trPr>
          <w:trHeight w:val="224"/>
        </w:trPr>
        <w:tc>
          <w:tcPr>
            <w:tcW w:w="1806" w:type="dxa"/>
            <w:vMerge/>
            <w:tcBorders>
              <w:left w:val="single" w:sz="4" w:space="0" w:color="auto"/>
            </w:tcBorders>
            <w:shd w:val="clear" w:color="auto" w:fill="D9D9D9" w:themeFill="background1" w:themeFillShade="D9"/>
          </w:tcPr>
          <w:p w14:paraId="7DC55AEA" w14:textId="77777777" w:rsidR="00CB7D5E" w:rsidRPr="006E189F" w:rsidRDefault="00CB7D5E" w:rsidP="00CB7D5E">
            <w:pPr>
              <w:rPr>
                <w:sz w:val="18"/>
                <w:szCs w:val="18"/>
              </w:rPr>
            </w:pPr>
          </w:p>
        </w:tc>
        <w:tc>
          <w:tcPr>
            <w:tcW w:w="1556" w:type="dxa"/>
            <w:vMerge/>
            <w:shd w:val="clear" w:color="auto" w:fill="D9D9D9" w:themeFill="background1" w:themeFillShade="D9"/>
          </w:tcPr>
          <w:p w14:paraId="173DB520" w14:textId="77777777" w:rsidR="00CB7D5E" w:rsidRPr="00E90B70" w:rsidRDefault="00CB7D5E" w:rsidP="00CB7D5E">
            <w:pPr>
              <w:rPr>
                <w:sz w:val="18"/>
                <w:szCs w:val="18"/>
              </w:rPr>
            </w:pPr>
          </w:p>
        </w:tc>
        <w:tc>
          <w:tcPr>
            <w:tcW w:w="2251" w:type="dxa"/>
            <w:vMerge/>
            <w:shd w:val="clear" w:color="auto" w:fill="D9D9D9" w:themeFill="background1" w:themeFillShade="D9"/>
          </w:tcPr>
          <w:p w14:paraId="355A58AE" w14:textId="77777777" w:rsidR="00CB7D5E" w:rsidRPr="00E90B70" w:rsidRDefault="00CB7D5E" w:rsidP="00CB7D5E">
            <w:pPr>
              <w:rPr>
                <w:sz w:val="18"/>
                <w:szCs w:val="18"/>
              </w:rPr>
            </w:pPr>
          </w:p>
        </w:tc>
        <w:tc>
          <w:tcPr>
            <w:tcW w:w="1701" w:type="dxa"/>
            <w:vMerge/>
            <w:shd w:val="clear" w:color="auto" w:fill="D9D9D9" w:themeFill="background1" w:themeFillShade="D9"/>
          </w:tcPr>
          <w:p w14:paraId="6608CCB2" w14:textId="77777777" w:rsidR="00CB7D5E" w:rsidRDefault="00CB7D5E" w:rsidP="00CB7D5E">
            <w:pPr>
              <w:rPr>
                <w:sz w:val="18"/>
                <w:szCs w:val="18"/>
              </w:rPr>
            </w:pPr>
          </w:p>
        </w:tc>
        <w:tc>
          <w:tcPr>
            <w:tcW w:w="1965" w:type="dxa"/>
            <w:shd w:val="clear" w:color="auto" w:fill="D9D9D9" w:themeFill="background1" w:themeFillShade="D9"/>
          </w:tcPr>
          <w:p w14:paraId="7AA1BF6C" w14:textId="77777777" w:rsidR="00CB7D5E" w:rsidRPr="002F330C" w:rsidRDefault="00CB7D5E" w:rsidP="00CB7D5E">
            <w:pPr>
              <w:ind w:left="0"/>
              <w:rPr>
                <w:sz w:val="18"/>
                <w:szCs w:val="18"/>
              </w:rPr>
            </w:pPr>
            <w:r w:rsidRPr="002F330C">
              <w:rPr>
                <w:sz w:val="18"/>
                <w:szCs w:val="18"/>
              </w:rPr>
              <w:t>Maize flour, g</w:t>
            </w:r>
          </w:p>
        </w:tc>
        <w:tc>
          <w:tcPr>
            <w:tcW w:w="1051" w:type="dxa"/>
            <w:shd w:val="clear" w:color="auto" w:fill="D9D9D9" w:themeFill="background1" w:themeFillShade="D9"/>
          </w:tcPr>
          <w:p w14:paraId="2A398E9E" w14:textId="77777777" w:rsidR="00CB7D5E" w:rsidRPr="002F330C" w:rsidRDefault="00CB7D5E" w:rsidP="00CB7D5E">
            <w:pPr>
              <w:ind w:left="0"/>
              <w:jc w:val="center"/>
              <w:rPr>
                <w:sz w:val="18"/>
                <w:szCs w:val="18"/>
              </w:rPr>
            </w:pPr>
            <w:r w:rsidRPr="002F330C">
              <w:rPr>
                <w:sz w:val="18"/>
                <w:szCs w:val="18"/>
              </w:rPr>
              <w:t>78.6</w:t>
            </w:r>
          </w:p>
        </w:tc>
        <w:tc>
          <w:tcPr>
            <w:tcW w:w="1169" w:type="dxa"/>
            <w:shd w:val="clear" w:color="auto" w:fill="D9D9D9" w:themeFill="background1" w:themeFillShade="D9"/>
          </w:tcPr>
          <w:p w14:paraId="7D210AF4" w14:textId="77777777" w:rsidR="00CB7D5E" w:rsidRPr="002F330C" w:rsidRDefault="00CB7D5E" w:rsidP="00CB7D5E">
            <w:pPr>
              <w:ind w:left="0"/>
              <w:jc w:val="center"/>
              <w:rPr>
                <w:sz w:val="18"/>
                <w:szCs w:val="18"/>
              </w:rPr>
            </w:pPr>
            <w:r w:rsidRPr="002F330C">
              <w:rPr>
                <w:sz w:val="18"/>
                <w:szCs w:val="18"/>
              </w:rPr>
              <w:t>49.4</w:t>
            </w:r>
          </w:p>
        </w:tc>
        <w:tc>
          <w:tcPr>
            <w:tcW w:w="1564" w:type="dxa"/>
            <w:tcBorders>
              <w:right w:val="single" w:sz="4" w:space="0" w:color="auto"/>
            </w:tcBorders>
            <w:shd w:val="clear" w:color="auto" w:fill="D9D9D9" w:themeFill="background1" w:themeFillShade="D9"/>
          </w:tcPr>
          <w:p w14:paraId="77AE1E62" w14:textId="77777777" w:rsidR="00CB7D5E" w:rsidRPr="002F330C" w:rsidRDefault="00CB7D5E" w:rsidP="00CB7D5E">
            <w:pPr>
              <w:ind w:left="0"/>
              <w:jc w:val="center"/>
              <w:rPr>
                <w:sz w:val="18"/>
                <w:szCs w:val="18"/>
              </w:rPr>
            </w:pPr>
            <w:r w:rsidRPr="002F330C">
              <w:rPr>
                <w:sz w:val="18"/>
                <w:szCs w:val="18"/>
              </w:rPr>
              <w:t>-59</w:t>
            </w:r>
          </w:p>
        </w:tc>
      </w:tr>
      <w:tr w:rsidR="00CB7D5E" w14:paraId="3E102E95" w14:textId="77777777" w:rsidTr="007F4EDE">
        <w:trPr>
          <w:trHeight w:val="79"/>
        </w:trPr>
        <w:tc>
          <w:tcPr>
            <w:tcW w:w="1806" w:type="dxa"/>
            <w:vMerge/>
            <w:tcBorders>
              <w:left w:val="single" w:sz="4" w:space="0" w:color="auto"/>
              <w:bottom w:val="single" w:sz="4" w:space="0" w:color="auto"/>
            </w:tcBorders>
            <w:shd w:val="clear" w:color="auto" w:fill="D9D9D9" w:themeFill="background1" w:themeFillShade="D9"/>
          </w:tcPr>
          <w:p w14:paraId="773AC421" w14:textId="77777777" w:rsidR="00CB7D5E" w:rsidRPr="006E189F" w:rsidRDefault="00CB7D5E" w:rsidP="00CB7D5E">
            <w:pPr>
              <w:rPr>
                <w:sz w:val="18"/>
                <w:szCs w:val="18"/>
              </w:rPr>
            </w:pPr>
          </w:p>
        </w:tc>
        <w:tc>
          <w:tcPr>
            <w:tcW w:w="1556" w:type="dxa"/>
            <w:vMerge/>
            <w:tcBorders>
              <w:bottom w:val="single" w:sz="4" w:space="0" w:color="auto"/>
            </w:tcBorders>
            <w:shd w:val="clear" w:color="auto" w:fill="D9D9D9" w:themeFill="background1" w:themeFillShade="D9"/>
          </w:tcPr>
          <w:p w14:paraId="24832631" w14:textId="77777777" w:rsidR="00CB7D5E" w:rsidRPr="00E90B70" w:rsidRDefault="00CB7D5E" w:rsidP="00CB7D5E">
            <w:pPr>
              <w:rPr>
                <w:sz w:val="18"/>
                <w:szCs w:val="18"/>
              </w:rPr>
            </w:pPr>
          </w:p>
        </w:tc>
        <w:tc>
          <w:tcPr>
            <w:tcW w:w="2251" w:type="dxa"/>
            <w:vMerge/>
            <w:tcBorders>
              <w:bottom w:val="single" w:sz="4" w:space="0" w:color="auto"/>
            </w:tcBorders>
            <w:shd w:val="clear" w:color="auto" w:fill="D9D9D9" w:themeFill="background1" w:themeFillShade="D9"/>
          </w:tcPr>
          <w:p w14:paraId="565CF78C" w14:textId="77777777" w:rsidR="00CB7D5E" w:rsidRPr="00E90B70" w:rsidRDefault="00CB7D5E" w:rsidP="00CB7D5E">
            <w:pPr>
              <w:rPr>
                <w:sz w:val="18"/>
                <w:szCs w:val="18"/>
              </w:rPr>
            </w:pPr>
          </w:p>
        </w:tc>
        <w:tc>
          <w:tcPr>
            <w:tcW w:w="1701" w:type="dxa"/>
            <w:vMerge/>
            <w:tcBorders>
              <w:bottom w:val="single" w:sz="4" w:space="0" w:color="auto"/>
            </w:tcBorders>
            <w:shd w:val="clear" w:color="auto" w:fill="D9D9D9" w:themeFill="background1" w:themeFillShade="D9"/>
          </w:tcPr>
          <w:p w14:paraId="47919638" w14:textId="77777777" w:rsidR="00CB7D5E" w:rsidRDefault="00CB7D5E" w:rsidP="00CB7D5E">
            <w:pPr>
              <w:rPr>
                <w:sz w:val="18"/>
                <w:szCs w:val="18"/>
              </w:rPr>
            </w:pPr>
          </w:p>
        </w:tc>
        <w:tc>
          <w:tcPr>
            <w:tcW w:w="1965" w:type="dxa"/>
            <w:tcBorders>
              <w:bottom w:val="single" w:sz="4" w:space="0" w:color="auto"/>
            </w:tcBorders>
            <w:shd w:val="clear" w:color="auto" w:fill="FFFFFF" w:themeFill="background1"/>
          </w:tcPr>
          <w:p w14:paraId="373CAC73" w14:textId="77777777" w:rsidR="00CB7D5E" w:rsidRPr="002F330C" w:rsidRDefault="00CB7D5E" w:rsidP="00CB7D5E">
            <w:pPr>
              <w:ind w:left="0"/>
              <w:rPr>
                <w:sz w:val="18"/>
                <w:szCs w:val="18"/>
              </w:rPr>
            </w:pPr>
            <w:r w:rsidRPr="002F330C">
              <w:rPr>
                <w:sz w:val="18"/>
                <w:szCs w:val="18"/>
              </w:rPr>
              <w:t xml:space="preserve">Rice, g </w:t>
            </w:r>
          </w:p>
        </w:tc>
        <w:tc>
          <w:tcPr>
            <w:tcW w:w="1051" w:type="dxa"/>
            <w:tcBorders>
              <w:bottom w:val="single" w:sz="4" w:space="0" w:color="auto"/>
            </w:tcBorders>
            <w:shd w:val="clear" w:color="auto" w:fill="FFFFFF" w:themeFill="background1"/>
          </w:tcPr>
          <w:p w14:paraId="2DB083E8" w14:textId="77777777" w:rsidR="00CB7D5E" w:rsidRPr="002F330C" w:rsidRDefault="00CB7D5E" w:rsidP="00CB7D5E">
            <w:pPr>
              <w:ind w:left="0"/>
              <w:jc w:val="center"/>
              <w:rPr>
                <w:sz w:val="18"/>
                <w:szCs w:val="18"/>
              </w:rPr>
            </w:pPr>
            <w:r w:rsidRPr="002F330C">
              <w:rPr>
                <w:sz w:val="18"/>
                <w:szCs w:val="18"/>
              </w:rPr>
              <w:t>81.3</w:t>
            </w:r>
          </w:p>
        </w:tc>
        <w:tc>
          <w:tcPr>
            <w:tcW w:w="1169" w:type="dxa"/>
            <w:tcBorders>
              <w:bottom w:val="single" w:sz="4" w:space="0" w:color="auto"/>
            </w:tcBorders>
            <w:shd w:val="clear" w:color="auto" w:fill="FFFFFF" w:themeFill="background1"/>
          </w:tcPr>
          <w:p w14:paraId="67C123BC" w14:textId="77777777" w:rsidR="00CB7D5E" w:rsidRPr="002F330C" w:rsidRDefault="00CB7D5E" w:rsidP="00CB7D5E">
            <w:pPr>
              <w:ind w:left="0"/>
              <w:jc w:val="center"/>
              <w:rPr>
                <w:sz w:val="18"/>
                <w:szCs w:val="18"/>
              </w:rPr>
            </w:pPr>
            <w:r w:rsidRPr="002F330C">
              <w:rPr>
                <w:sz w:val="18"/>
                <w:szCs w:val="18"/>
              </w:rPr>
              <w:t>33.1</w:t>
            </w:r>
          </w:p>
        </w:tc>
        <w:tc>
          <w:tcPr>
            <w:tcW w:w="1564" w:type="dxa"/>
            <w:tcBorders>
              <w:bottom w:val="single" w:sz="4" w:space="0" w:color="auto"/>
              <w:right w:val="single" w:sz="4" w:space="0" w:color="auto"/>
            </w:tcBorders>
            <w:shd w:val="clear" w:color="auto" w:fill="FFFFFF" w:themeFill="background1"/>
          </w:tcPr>
          <w:p w14:paraId="7784D5EF" w14:textId="77777777" w:rsidR="00CB7D5E" w:rsidRPr="002F330C" w:rsidRDefault="00CB7D5E" w:rsidP="00CB7D5E">
            <w:pPr>
              <w:ind w:left="0"/>
              <w:jc w:val="center"/>
              <w:rPr>
                <w:sz w:val="18"/>
                <w:szCs w:val="18"/>
              </w:rPr>
            </w:pPr>
            <w:r w:rsidRPr="002F330C">
              <w:rPr>
                <w:sz w:val="18"/>
                <w:szCs w:val="18"/>
              </w:rPr>
              <w:t>-146</w:t>
            </w:r>
          </w:p>
        </w:tc>
      </w:tr>
      <w:tr w:rsidR="00CB7D5E" w14:paraId="19B13657" w14:textId="77777777" w:rsidTr="007F4EDE">
        <w:trPr>
          <w:trHeight w:val="224"/>
        </w:trPr>
        <w:tc>
          <w:tcPr>
            <w:tcW w:w="1806" w:type="dxa"/>
            <w:vMerge w:val="restart"/>
            <w:tcBorders>
              <w:top w:val="single" w:sz="4" w:space="0" w:color="auto"/>
              <w:left w:val="single" w:sz="4" w:space="0" w:color="auto"/>
            </w:tcBorders>
            <w:shd w:val="clear" w:color="auto" w:fill="FFFFFF" w:themeFill="background1"/>
          </w:tcPr>
          <w:p w14:paraId="0DD7CE3E" w14:textId="2CC5ED88" w:rsidR="00CB7D5E" w:rsidRPr="001000F1" w:rsidRDefault="00CB7D5E" w:rsidP="00CB7D5E">
            <w:pPr>
              <w:ind w:left="0"/>
              <w:rPr>
                <w:sz w:val="18"/>
                <w:szCs w:val="18"/>
              </w:rPr>
            </w:pPr>
            <w:proofErr w:type="spellStart"/>
            <w:r w:rsidRPr="001000F1">
              <w:rPr>
                <w:sz w:val="18"/>
                <w:szCs w:val="18"/>
              </w:rPr>
              <w:t>Dary</w:t>
            </w:r>
            <w:proofErr w:type="spellEnd"/>
            <w:r w:rsidRPr="001000F1">
              <w:rPr>
                <w:sz w:val="18"/>
                <w:szCs w:val="18"/>
              </w:rPr>
              <w:t xml:space="preserve"> &amp; </w:t>
            </w:r>
            <w:proofErr w:type="spellStart"/>
            <w:r w:rsidRPr="001000F1">
              <w:rPr>
                <w:sz w:val="18"/>
                <w:szCs w:val="18"/>
              </w:rPr>
              <w:t>Jariseta</w:t>
            </w:r>
            <w:proofErr w:type="spellEnd"/>
            <w:r w:rsidRPr="001000F1">
              <w:rPr>
                <w:sz w:val="18"/>
                <w:szCs w:val="18"/>
              </w:rPr>
              <w:t xml:space="preserve"> (2012) </w:t>
            </w:r>
            <w:r w:rsidRPr="001000F1">
              <w:rPr>
                <w:sz w:val="18"/>
                <w:szCs w:val="18"/>
              </w:rPr>
              <w:fldChar w:fldCharType="begin" w:fldLock="1"/>
            </w:r>
            <w:r w:rsidR="005B0D26">
              <w:rPr>
                <w:sz w:val="18"/>
                <w:szCs w:val="18"/>
              </w:rPr>
              <w:instrText>ADDIN CSL_CITATION {"citationItems":[{"id":"ITEM-1","itemData":{"DOI":"10.1177/15648265120333s207","ISSN":"03795721","PMID":"23193770","abstract":"The benefits of food fortification depend on the proportion of the population that uses the fortified food (coverage), the amount of the food being consumed, and the additional content of micronutrients in the food. Coverage and amounts consumed can be determined by 24-hour recall or Food Frequency Questionnaires (FFQs). However, these methods are rarely applied. Secondary analysis of data from Household Consumption and Expenditures Surveys (HCES) can be used for these purposes; however, such data analysis has not been validated. To compare the results of HCES and 24-hour recall for estimating the consumption profile of potential fortification vehicles in Uganda. Food intake estimates for 24- to 59-month-old children and 15- to 49-year-old women derived from a one-day 24-hour recall carried out in Uganda (Kampala, North, and Southwest) were compared with data from two HCES (2006, nationwide, and 2008, coupled with the 24-hour recall). The analyzed foods were vegetable oil, sugar, wheat flour, maize flour, and rice. Food consumption estimates calculated from HCES may be less accurate than estimates derived by 24-hour recall. Nevertheless, the HCES results are sensitive enough to differentiate consumption patterns among population strata. In Uganda, HCES predicted proportion of the population that consumes the foods, and approximated intakes of main food vehicles by the \"observed\" consumers (those who reported using the foods), although estimates for the latter were lower for wheat flour and rice. HCES data offer the basic information needed to provide a rationale for, and help design, food fortification programs. Individual intake surveys are still needed, however, to assess intrahousehold use of foods.","author":[{"dropping-particle":"","family":"Dary","given":"Omar","non-dropping-particle":"","parse-names":false,"suffix":""},{"dropping-particle":"","family":"Jariseta","given":"Zo Rambeloson","non-dropping-particle":"","parse-names":false,"suffix":""}],"container-title":"Food and nutrition bulletin","id":"ITEM-1","issue":"3 Suppl","issued":{"date-parts":[["2012"]]},"page":"S190-8","title":"Validation of dietary applications of Household Consumption and Expenditures Surveys (HCES) against a 24-hour recall method in Uganda.","type":"article-journal","volume":"33"},"uris":["http://www.mendeley.com/documents/?uuid=bd3ea60c-68ad-45e6-8af9-57c9f725473a"]}],"mendeley":{"formattedCitation":"&lt;sup&gt;(11)&lt;/sup&gt;","plainTextFormattedCitation":"(11)","previouslyFormattedCitation":"[11]"},"properties":{"noteIndex":0},"schema":"https://github.com/citation-style-language/schema/raw/master/csl-citation.json"}</w:instrText>
            </w:r>
            <w:r w:rsidRPr="001000F1">
              <w:rPr>
                <w:sz w:val="18"/>
                <w:szCs w:val="18"/>
              </w:rPr>
              <w:fldChar w:fldCharType="separate"/>
            </w:r>
            <w:r w:rsidR="005B0D26" w:rsidRPr="005B0D26">
              <w:rPr>
                <w:noProof/>
                <w:sz w:val="18"/>
                <w:szCs w:val="18"/>
                <w:vertAlign w:val="superscript"/>
              </w:rPr>
              <w:t>(11)</w:t>
            </w:r>
            <w:r w:rsidRPr="001000F1">
              <w:rPr>
                <w:sz w:val="18"/>
                <w:szCs w:val="18"/>
              </w:rPr>
              <w:fldChar w:fldCharType="end"/>
            </w:r>
            <w:r w:rsidRPr="001000F1">
              <w:rPr>
                <w:sz w:val="18"/>
                <w:szCs w:val="18"/>
              </w:rPr>
              <w:t>;</w:t>
            </w:r>
          </w:p>
          <w:p w14:paraId="2B0FD846" w14:textId="77777777" w:rsidR="00CB7D5E" w:rsidRDefault="00CB7D5E" w:rsidP="00CB7D5E">
            <w:pPr>
              <w:ind w:left="0"/>
              <w:rPr>
                <w:sz w:val="18"/>
                <w:szCs w:val="18"/>
              </w:rPr>
            </w:pPr>
            <w:r w:rsidRPr="00E90B70">
              <w:rPr>
                <w:sz w:val="18"/>
                <w:szCs w:val="18"/>
              </w:rPr>
              <w:t xml:space="preserve">Northern Region, </w:t>
            </w:r>
            <w:proofErr w:type="gramStart"/>
            <w:r w:rsidRPr="00E90B70">
              <w:rPr>
                <w:sz w:val="18"/>
                <w:szCs w:val="18"/>
              </w:rPr>
              <w:t>Uganda</w:t>
            </w:r>
            <w:r>
              <w:rPr>
                <w:sz w:val="18"/>
                <w:szCs w:val="18"/>
              </w:rPr>
              <w:t>;</w:t>
            </w:r>
            <w:proofErr w:type="gramEnd"/>
          </w:p>
          <w:p w14:paraId="19E8AE4E" w14:textId="77777777" w:rsidR="00CB7D5E" w:rsidRPr="006E189F" w:rsidRDefault="00CB7D5E" w:rsidP="00CB7D5E">
            <w:pPr>
              <w:ind w:left="0"/>
              <w:rPr>
                <w:sz w:val="18"/>
                <w:szCs w:val="18"/>
              </w:rPr>
            </w:pPr>
            <w:r>
              <w:rPr>
                <w:sz w:val="18"/>
                <w:szCs w:val="18"/>
              </w:rPr>
              <w:t>medians</w:t>
            </w:r>
          </w:p>
        </w:tc>
        <w:tc>
          <w:tcPr>
            <w:tcW w:w="1556" w:type="dxa"/>
            <w:vMerge w:val="restart"/>
            <w:tcBorders>
              <w:top w:val="single" w:sz="4" w:space="0" w:color="auto"/>
            </w:tcBorders>
            <w:shd w:val="clear" w:color="auto" w:fill="FFFFFF" w:themeFill="background1"/>
          </w:tcPr>
          <w:p w14:paraId="0E7394A5" w14:textId="77777777" w:rsidR="00CB7D5E" w:rsidRPr="00E90B70" w:rsidRDefault="00CB7D5E" w:rsidP="00CB7D5E">
            <w:pPr>
              <w:ind w:left="0"/>
              <w:rPr>
                <w:sz w:val="18"/>
                <w:szCs w:val="18"/>
              </w:rPr>
            </w:pPr>
            <w:r w:rsidRPr="00E90B70">
              <w:rPr>
                <w:sz w:val="18"/>
                <w:szCs w:val="18"/>
              </w:rPr>
              <w:t>24H individual recall</w:t>
            </w:r>
          </w:p>
        </w:tc>
        <w:tc>
          <w:tcPr>
            <w:tcW w:w="2251" w:type="dxa"/>
            <w:vMerge w:val="restart"/>
            <w:tcBorders>
              <w:top w:val="single" w:sz="4" w:space="0" w:color="auto"/>
            </w:tcBorders>
            <w:shd w:val="clear" w:color="auto" w:fill="FFFFFF" w:themeFill="background1"/>
          </w:tcPr>
          <w:p w14:paraId="46517308" w14:textId="77777777" w:rsidR="00E663ED" w:rsidRDefault="00E663ED" w:rsidP="00E663ED">
            <w:pPr>
              <w:ind w:left="0"/>
              <w:rPr>
                <w:sz w:val="18"/>
                <w:szCs w:val="18"/>
              </w:rPr>
            </w:pPr>
            <w:r>
              <w:rPr>
                <w:sz w:val="18"/>
                <w:szCs w:val="18"/>
              </w:rPr>
              <w:t>7-day recall of household meals</w:t>
            </w:r>
          </w:p>
          <w:p w14:paraId="205C56BC" w14:textId="77777777" w:rsidR="00CB7D5E" w:rsidRPr="00E90B70" w:rsidRDefault="00CB7D5E" w:rsidP="00CB7D5E">
            <w:pPr>
              <w:ind w:left="0"/>
              <w:rPr>
                <w:sz w:val="18"/>
                <w:szCs w:val="18"/>
              </w:rPr>
            </w:pPr>
            <w:r w:rsidRPr="00E90B70">
              <w:rPr>
                <w:sz w:val="18"/>
                <w:szCs w:val="18"/>
              </w:rPr>
              <w:t>(n=</w:t>
            </w:r>
            <w:r>
              <w:rPr>
                <w:sz w:val="18"/>
                <w:szCs w:val="18"/>
              </w:rPr>
              <w:t>321)</w:t>
            </w:r>
          </w:p>
        </w:tc>
        <w:tc>
          <w:tcPr>
            <w:tcW w:w="1701" w:type="dxa"/>
            <w:vMerge w:val="restart"/>
            <w:tcBorders>
              <w:top w:val="single" w:sz="4" w:space="0" w:color="auto"/>
              <w:bottom w:val="single" w:sz="4" w:space="0" w:color="auto"/>
            </w:tcBorders>
            <w:shd w:val="clear" w:color="auto" w:fill="FFFFFF" w:themeFill="background1"/>
          </w:tcPr>
          <w:p w14:paraId="11781EAD" w14:textId="77777777" w:rsidR="00CB7D5E" w:rsidRDefault="00CB7D5E" w:rsidP="00CB7D5E">
            <w:pPr>
              <w:ind w:left="0"/>
              <w:rPr>
                <w:sz w:val="18"/>
                <w:szCs w:val="18"/>
              </w:rPr>
            </w:pPr>
            <w:r>
              <w:rPr>
                <w:sz w:val="18"/>
                <w:szCs w:val="18"/>
              </w:rPr>
              <w:t>WRA (15-49 years)</w:t>
            </w:r>
          </w:p>
        </w:tc>
        <w:tc>
          <w:tcPr>
            <w:tcW w:w="1965" w:type="dxa"/>
            <w:tcBorders>
              <w:top w:val="single" w:sz="4" w:space="0" w:color="auto"/>
            </w:tcBorders>
            <w:shd w:val="clear" w:color="auto" w:fill="D9D9D9" w:themeFill="background1" w:themeFillShade="D9"/>
          </w:tcPr>
          <w:p w14:paraId="483D9C0D" w14:textId="77777777" w:rsidR="00CB7D5E" w:rsidRPr="002F330C" w:rsidRDefault="00CB7D5E" w:rsidP="00CB7D5E">
            <w:pPr>
              <w:ind w:left="0"/>
              <w:rPr>
                <w:sz w:val="18"/>
                <w:szCs w:val="18"/>
              </w:rPr>
            </w:pPr>
            <w:r w:rsidRPr="002F330C">
              <w:rPr>
                <w:sz w:val="18"/>
                <w:szCs w:val="18"/>
              </w:rPr>
              <w:t>Vegetable oil, g</w:t>
            </w:r>
          </w:p>
        </w:tc>
        <w:tc>
          <w:tcPr>
            <w:tcW w:w="1051" w:type="dxa"/>
            <w:tcBorders>
              <w:top w:val="single" w:sz="4" w:space="0" w:color="auto"/>
            </w:tcBorders>
            <w:shd w:val="clear" w:color="auto" w:fill="D9D9D9" w:themeFill="background1" w:themeFillShade="D9"/>
          </w:tcPr>
          <w:p w14:paraId="7E988A51" w14:textId="77777777" w:rsidR="00CB7D5E" w:rsidRPr="002F330C" w:rsidRDefault="00CB7D5E" w:rsidP="00CB7D5E">
            <w:pPr>
              <w:ind w:left="0"/>
              <w:jc w:val="center"/>
              <w:rPr>
                <w:sz w:val="18"/>
                <w:szCs w:val="18"/>
              </w:rPr>
            </w:pPr>
            <w:r w:rsidRPr="002F330C">
              <w:rPr>
                <w:sz w:val="18"/>
                <w:szCs w:val="18"/>
              </w:rPr>
              <w:t>18.8</w:t>
            </w:r>
          </w:p>
        </w:tc>
        <w:tc>
          <w:tcPr>
            <w:tcW w:w="1169" w:type="dxa"/>
            <w:tcBorders>
              <w:top w:val="single" w:sz="4" w:space="0" w:color="auto"/>
            </w:tcBorders>
            <w:shd w:val="clear" w:color="auto" w:fill="D9D9D9" w:themeFill="background1" w:themeFillShade="D9"/>
          </w:tcPr>
          <w:p w14:paraId="3CFF3F56" w14:textId="77777777" w:rsidR="00CB7D5E" w:rsidRPr="002F330C" w:rsidRDefault="00CB7D5E" w:rsidP="00CB7D5E">
            <w:pPr>
              <w:ind w:left="0"/>
              <w:jc w:val="center"/>
              <w:rPr>
                <w:sz w:val="18"/>
                <w:szCs w:val="18"/>
              </w:rPr>
            </w:pPr>
            <w:r w:rsidRPr="002F330C">
              <w:rPr>
                <w:sz w:val="18"/>
                <w:szCs w:val="18"/>
              </w:rPr>
              <w:t>7.0</w:t>
            </w:r>
          </w:p>
        </w:tc>
        <w:tc>
          <w:tcPr>
            <w:tcW w:w="1564" w:type="dxa"/>
            <w:tcBorders>
              <w:top w:val="single" w:sz="4" w:space="0" w:color="auto"/>
              <w:right w:val="single" w:sz="4" w:space="0" w:color="auto"/>
            </w:tcBorders>
            <w:shd w:val="clear" w:color="auto" w:fill="D9D9D9" w:themeFill="background1" w:themeFillShade="D9"/>
          </w:tcPr>
          <w:p w14:paraId="272D8E1A" w14:textId="77777777" w:rsidR="00CB7D5E" w:rsidRPr="002F330C" w:rsidRDefault="00CB7D5E" w:rsidP="00CB7D5E">
            <w:pPr>
              <w:ind w:left="0"/>
              <w:jc w:val="center"/>
              <w:rPr>
                <w:sz w:val="18"/>
                <w:szCs w:val="18"/>
              </w:rPr>
            </w:pPr>
            <w:r w:rsidRPr="002F330C">
              <w:rPr>
                <w:sz w:val="18"/>
                <w:szCs w:val="18"/>
              </w:rPr>
              <w:t>-169</w:t>
            </w:r>
          </w:p>
        </w:tc>
      </w:tr>
      <w:tr w:rsidR="00CB7D5E" w14:paraId="0CA27121" w14:textId="77777777" w:rsidTr="007F4EDE">
        <w:trPr>
          <w:trHeight w:val="224"/>
        </w:trPr>
        <w:tc>
          <w:tcPr>
            <w:tcW w:w="1806" w:type="dxa"/>
            <w:vMerge/>
            <w:tcBorders>
              <w:left w:val="single" w:sz="4" w:space="0" w:color="auto"/>
            </w:tcBorders>
            <w:shd w:val="clear" w:color="auto" w:fill="FFFFFF" w:themeFill="background1"/>
          </w:tcPr>
          <w:p w14:paraId="3E7E789A" w14:textId="77777777" w:rsidR="00CB7D5E" w:rsidRPr="006E189F" w:rsidRDefault="00CB7D5E" w:rsidP="00CB7D5E">
            <w:pPr>
              <w:rPr>
                <w:sz w:val="18"/>
                <w:szCs w:val="18"/>
              </w:rPr>
            </w:pPr>
          </w:p>
        </w:tc>
        <w:tc>
          <w:tcPr>
            <w:tcW w:w="1556" w:type="dxa"/>
            <w:vMerge/>
            <w:shd w:val="clear" w:color="auto" w:fill="FFFFFF" w:themeFill="background1"/>
          </w:tcPr>
          <w:p w14:paraId="14E59359" w14:textId="77777777" w:rsidR="00CB7D5E" w:rsidRPr="00E90B70" w:rsidRDefault="00CB7D5E" w:rsidP="00CB7D5E">
            <w:pPr>
              <w:rPr>
                <w:sz w:val="18"/>
                <w:szCs w:val="18"/>
              </w:rPr>
            </w:pPr>
          </w:p>
        </w:tc>
        <w:tc>
          <w:tcPr>
            <w:tcW w:w="2251" w:type="dxa"/>
            <w:vMerge/>
            <w:shd w:val="clear" w:color="auto" w:fill="FFFFFF" w:themeFill="background1"/>
          </w:tcPr>
          <w:p w14:paraId="46528A49" w14:textId="77777777" w:rsidR="00CB7D5E" w:rsidRPr="00E90B70" w:rsidRDefault="00CB7D5E" w:rsidP="00CB7D5E">
            <w:pPr>
              <w:rPr>
                <w:sz w:val="18"/>
                <w:szCs w:val="18"/>
              </w:rPr>
            </w:pPr>
          </w:p>
        </w:tc>
        <w:tc>
          <w:tcPr>
            <w:tcW w:w="1701" w:type="dxa"/>
            <w:vMerge/>
            <w:tcBorders>
              <w:bottom w:val="single" w:sz="4" w:space="0" w:color="auto"/>
            </w:tcBorders>
            <w:shd w:val="clear" w:color="auto" w:fill="FFFFFF" w:themeFill="background1"/>
          </w:tcPr>
          <w:p w14:paraId="678FDAE6" w14:textId="77777777" w:rsidR="00CB7D5E" w:rsidRDefault="00CB7D5E" w:rsidP="00CB7D5E">
            <w:pPr>
              <w:rPr>
                <w:sz w:val="18"/>
                <w:szCs w:val="18"/>
              </w:rPr>
            </w:pPr>
          </w:p>
        </w:tc>
        <w:tc>
          <w:tcPr>
            <w:tcW w:w="1965" w:type="dxa"/>
            <w:shd w:val="clear" w:color="auto" w:fill="FFFFFF" w:themeFill="background1"/>
          </w:tcPr>
          <w:p w14:paraId="14CD953B" w14:textId="77777777" w:rsidR="00CB7D5E" w:rsidRPr="002F330C" w:rsidRDefault="00CB7D5E" w:rsidP="00CB7D5E">
            <w:pPr>
              <w:ind w:left="0"/>
              <w:rPr>
                <w:sz w:val="18"/>
                <w:szCs w:val="18"/>
              </w:rPr>
            </w:pPr>
            <w:r w:rsidRPr="002F330C">
              <w:rPr>
                <w:sz w:val="18"/>
                <w:szCs w:val="18"/>
              </w:rPr>
              <w:t>Wheat flour, g</w:t>
            </w:r>
          </w:p>
        </w:tc>
        <w:tc>
          <w:tcPr>
            <w:tcW w:w="1051" w:type="dxa"/>
            <w:shd w:val="clear" w:color="auto" w:fill="FFFFFF" w:themeFill="background1"/>
          </w:tcPr>
          <w:p w14:paraId="2DE2AC96" w14:textId="77777777" w:rsidR="00CB7D5E" w:rsidRPr="002F330C" w:rsidRDefault="00CB7D5E" w:rsidP="00CB7D5E">
            <w:pPr>
              <w:ind w:left="0"/>
              <w:jc w:val="center"/>
              <w:rPr>
                <w:sz w:val="18"/>
                <w:szCs w:val="18"/>
              </w:rPr>
            </w:pPr>
            <w:r w:rsidRPr="002F330C">
              <w:rPr>
                <w:sz w:val="18"/>
                <w:szCs w:val="18"/>
              </w:rPr>
              <w:t>35.6</w:t>
            </w:r>
          </w:p>
        </w:tc>
        <w:tc>
          <w:tcPr>
            <w:tcW w:w="1169" w:type="dxa"/>
            <w:shd w:val="clear" w:color="auto" w:fill="FFFFFF" w:themeFill="background1"/>
          </w:tcPr>
          <w:p w14:paraId="6C03BA26" w14:textId="77777777" w:rsidR="00CB7D5E" w:rsidRPr="002F330C" w:rsidRDefault="00CB7D5E" w:rsidP="00CB7D5E">
            <w:pPr>
              <w:ind w:left="0"/>
              <w:jc w:val="center"/>
              <w:rPr>
                <w:sz w:val="18"/>
                <w:szCs w:val="18"/>
              </w:rPr>
            </w:pPr>
            <w:r w:rsidRPr="002F330C">
              <w:rPr>
                <w:sz w:val="18"/>
                <w:szCs w:val="18"/>
              </w:rPr>
              <w:t>6.1</w:t>
            </w:r>
          </w:p>
        </w:tc>
        <w:tc>
          <w:tcPr>
            <w:tcW w:w="1564" w:type="dxa"/>
            <w:tcBorders>
              <w:right w:val="single" w:sz="4" w:space="0" w:color="auto"/>
            </w:tcBorders>
            <w:shd w:val="clear" w:color="auto" w:fill="FFFFFF" w:themeFill="background1"/>
          </w:tcPr>
          <w:p w14:paraId="660944D4" w14:textId="77777777" w:rsidR="00CB7D5E" w:rsidRPr="002F330C" w:rsidRDefault="00CB7D5E" w:rsidP="00CB7D5E">
            <w:pPr>
              <w:ind w:left="0"/>
              <w:jc w:val="center"/>
              <w:rPr>
                <w:sz w:val="18"/>
                <w:szCs w:val="18"/>
              </w:rPr>
            </w:pPr>
            <w:r w:rsidRPr="002F330C">
              <w:rPr>
                <w:sz w:val="18"/>
                <w:szCs w:val="18"/>
              </w:rPr>
              <w:t>-484</w:t>
            </w:r>
          </w:p>
        </w:tc>
      </w:tr>
      <w:tr w:rsidR="00CB7D5E" w14:paraId="3660EB91" w14:textId="77777777" w:rsidTr="007F4EDE">
        <w:trPr>
          <w:trHeight w:val="224"/>
        </w:trPr>
        <w:tc>
          <w:tcPr>
            <w:tcW w:w="1806" w:type="dxa"/>
            <w:vMerge/>
            <w:tcBorders>
              <w:left w:val="single" w:sz="4" w:space="0" w:color="auto"/>
            </w:tcBorders>
            <w:shd w:val="clear" w:color="auto" w:fill="FFFFFF" w:themeFill="background1"/>
          </w:tcPr>
          <w:p w14:paraId="4EDAB8FB" w14:textId="77777777" w:rsidR="00CB7D5E" w:rsidRPr="006E189F" w:rsidRDefault="00CB7D5E" w:rsidP="00CB7D5E">
            <w:pPr>
              <w:rPr>
                <w:sz w:val="18"/>
                <w:szCs w:val="18"/>
              </w:rPr>
            </w:pPr>
          </w:p>
        </w:tc>
        <w:tc>
          <w:tcPr>
            <w:tcW w:w="1556" w:type="dxa"/>
            <w:vMerge/>
            <w:shd w:val="clear" w:color="auto" w:fill="FFFFFF" w:themeFill="background1"/>
          </w:tcPr>
          <w:p w14:paraId="37F765A7" w14:textId="77777777" w:rsidR="00CB7D5E" w:rsidRPr="00E90B70" w:rsidRDefault="00CB7D5E" w:rsidP="00CB7D5E">
            <w:pPr>
              <w:rPr>
                <w:sz w:val="18"/>
                <w:szCs w:val="18"/>
              </w:rPr>
            </w:pPr>
          </w:p>
        </w:tc>
        <w:tc>
          <w:tcPr>
            <w:tcW w:w="2251" w:type="dxa"/>
            <w:vMerge/>
            <w:shd w:val="clear" w:color="auto" w:fill="FFFFFF" w:themeFill="background1"/>
          </w:tcPr>
          <w:p w14:paraId="290383CC" w14:textId="77777777" w:rsidR="00CB7D5E" w:rsidRPr="00E90B70" w:rsidRDefault="00CB7D5E" w:rsidP="00CB7D5E">
            <w:pPr>
              <w:rPr>
                <w:sz w:val="18"/>
                <w:szCs w:val="18"/>
              </w:rPr>
            </w:pPr>
          </w:p>
        </w:tc>
        <w:tc>
          <w:tcPr>
            <w:tcW w:w="1701" w:type="dxa"/>
            <w:vMerge/>
            <w:tcBorders>
              <w:bottom w:val="single" w:sz="4" w:space="0" w:color="auto"/>
            </w:tcBorders>
            <w:shd w:val="clear" w:color="auto" w:fill="FFFFFF" w:themeFill="background1"/>
          </w:tcPr>
          <w:p w14:paraId="06E3F192" w14:textId="77777777" w:rsidR="00CB7D5E" w:rsidRDefault="00CB7D5E" w:rsidP="00CB7D5E">
            <w:pPr>
              <w:rPr>
                <w:sz w:val="18"/>
                <w:szCs w:val="18"/>
              </w:rPr>
            </w:pPr>
          </w:p>
        </w:tc>
        <w:tc>
          <w:tcPr>
            <w:tcW w:w="1965" w:type="dxa"/>
            <w:shd w:val="clear" w:color="auto" w:fill="D9D9D9" w:themeFill="background1" w:themeFillShade="D9"/>
          </w:tcPr>
          <w:p w14:paraId="71B713F3" w14:textId="77777777" w:rsidR="00CB7D5E" w:rsidRPr="002F330C" w:rsidRDefault="00CB7D5E" w:rsidP="00CB7D5E">
            <w:pPr>
              <w:ind w:left="0"/>
              <w:rPr>
                <w:sz w:val="18"/>
                <w:szCs w:val="18"/>
              </w:rPr>
            </w:pPr>
            <w:r w:rsidRPr="002F330C">
              <w:rPr>
                <w:sz w:val="18"/>
                <w:szCs w:val="18"/>
              </w:rPr>
              <w:t>Sugar, g</w:t>
            </w:r>
          </w:p>
        </w:tc>
        <w:tc>
          <w:tcPr>
            <w:tcW w:w="1051" w:type="dxa"/>
            <w:shd w:val="clear" w:color="auto" w:fill="D9D9D9" w:themeFill="background1" w:themeFillShade="D9"/>
          </w:tcPr>
          <w:p w14:paraId="17854E09" w14:textId="77777777" w:rsidR="00CB7D5E" w:rsidRPr="002F330C" w:rsidRDefault="00CB7D5E" w:rsidP="00CB7D5E">
            <w:pPr>
              <w:ind w:left="0"/>
              <w:jc w:val="center"/>
              <w:rPr>
                <w:sz w:val="18"/>
                <w:szCs w:val="18"/>
              </w:rPr>
            </w:pPr>
            <w:r w:rsidRPr="002F330C">
              <w:rPr>
                <w:sz w:val="18"/>
                <w:szCs w:val="18"/>
              </w:rPr>
              <w:t>39.4</w:t>
            </w:r>
          </w:p>
        </w:tc>
        <w:tc>
          <w:tcPr>
            <w:tcW w:w="1169" w:type="dxa"/>
            <w:shd w:val="clear" w:color="auto" w:fill="D9D9D9" w:themeFill="background1" w:themeFillShade="D9"/>
          </w:tcPr>
          <w:p w14:paraId="700F7360" w14:textId="77777777" w:rsidR="00CB7D5E" w:rsidRPr="002F330C" w:rsidRDefault="00CB7D5E" w:rsidP="00CB7D5E">
            <w:pPr>
              <w:ind w:left="0"/>
              <w:jc w:val="center"/>
              <w:rPr>
                <w:sz w:val="18"/>
                <w:szCs w:val="18"/>
              </w:rPr>
            </w:pPr>
            <w:r w:rsidRPr="002F330C">
              <w:rPr>
                <w:sz w:val="18"/>
                <w:szCs w:val="18"/>
              </w:rPr>
              <w:t>12.3</w:t>
            </w:r>
          </w:p>
        </w:tc>
        <w:tc>
          <w:tcPr>
            <w:tcW w:w="1564" w:type="dxa"/>
            <w:tcBorders>
              <w:right w:val="single" w:sz="4" w:space="0" w:color="auto"/>
            </w:tcBorders>
            <w:shd w:val="clear" w:color="auto" w:fill="D9D9D9" w:themeFill="background1" w:themeFillShade="D9"/>
          </w:tcPr>
          <w:p w14:paraId="1BCA2E5A" w14:textId="77777777" w:rsidR="00CB7D5E" w:rsidRPr="002F330C" w:rsidRDefault="00CB7D5E" w:rsidP="00CB7D5E">
            <w:pPr>
              <w:ind w:left="0"/>
              <w:jc w:val="center"/>
              <w:rPr>
                <w:sz w:val="18"/>
                <w:szCs w:val="18"/>
              </w:rPr>
            </w:pPr>
            <w:r w:rsidRPr="002F330C">
              <w:rPr>
                <w:sz w:val="18"/>
                <w:szCs w:val="18"/>
              </w:rPr>
              <w:t>-220</w:t>
            </w:r>
          </w:p>
        </w:tc>
      </w:tr>
      <w:tr w:rsidR="00CB7D5E" w14:paraId="2ACE5A77" w14:textId="77777777" w:rsidTr="007F4EDE">
        <w:trPr>
          <w:trHeight w:val="224"/>
        </w:trPr>
        <w:tc>
          <w:tcPr>
            <w:tcW w:w="1806" w:type="dxa"/>
            <w:vMerge/>
            <w:tcBorders>
              <w:left w:val="single" w:sz="4" w:space="0" w:color="auto"/>
            </w:tcBorders>
            <w:shd w:val="clear" w:color="auto" w:fill="FFFFFF" w:themeFill="background1"/>
          </w:tcPr>
          <w:p w14:paraId="3F39EE58" w14:textId="77777777" w:rsidR="00CB7D5E" w:rsidRPr="006E189F" w:rsidRDefault="00CB7D5E" w:rsidP="00CB7D5E">
            <w:pPr>
              <w:rPr>
                <w:sz w:val="18"/>
                <w:szCs w:val="18"/>
              </w:rPr>
            </w:pPr>
          </w:p>
        </w:tc>
        <w:tc>
          <w:tcPr>
            <w:tcW w:w="1556" w:type="dxa"/>
            <w:vMerge/>
            <w:shd w:val="clear" w:color="auto" w:fill="FFFFFF" w:themeFill="background1"/>
          </w:tcPr>
          <w:p w14:paraId="2C79898D" w14:textId="77777777" w:rsidR="00CB7D5E" w:rsidRPr="00E90B70" w:rsidRDefault="00CB7D5E" w:rsidP="00CB7D5E">
            <w:pPr>
              <w:rPr>
                <w:sz w:val="18"/>
                <w:szCs w:val="18"/>
              </w:rPr>
            </w:pPr>
          </w:p>
        </w:tc>
        <w:tc>
          <w:tcPr>
            <w:tcW w:w="2251" w:type="dxa"/>
            <w:vMerge/>
            <w:shd w:val="clear" w:color="auto" w:fill="FFFFFF" w:themeFill="background1"/>
          </w:tcPr>
          <w:p w14:paraId="4D9EA90F" w14:textId="77777777" w:rsidR="00CB7D5E" w:rsidRPr="00E90B70" w:rsidRDefault="00CB7D5E" w:rsidP="00CB7D5E">
            <w:pPr>
              <w:rPr>
                <w:sz w:val="18"/>
                <w:szCs w:val="18"/>
              </w:rPr>
            </w:pPr>
          </w:p>
        </w:tc>
        <w:tc>
          <w:tcPr>
            <w:tcW w:w="1701" w:type="dxa"/>
            <w:vMerge/>
            <w:tcBorders>
              <w:bottom w:val="single" w:sz="4" w:space="0" w:color="auto"/>
            </w:tcBorders>
            <w:shd w:val="clear" w:color="auto" w:fill="FFFFFF" w:themeFill="background1"/>
          </w:tcPr>
          <w:p w14:paraId="5AC87F30" w14:textId="77777777" w:rsidR="00CB7D5E" w:rsidRDefault="00CB7D5E" w:rsidP="00CB7D5E">
            <w:pPr>
              <w:rPr>
                <w:sz w:val="18"/>
                <w:szCs w:val="18"/>
              </w:rPr>
            </w:pPr>
          </w:p>
        </w:tc>
        <w:tc>
          <w:tcPr>
            <w:tcW w:w="1965" w:type="dxa"/>
            <w:shd w:val="clear" w:color="auto" w:fill="FFFFFF" w:themeFill="background1"/>
          </w:tcPr>
          <w:p w14:paraId="58C42D00" w14:textId="77777777" w:rsidR="00CB7D5E" w:rsidRPr="002F330C" w:rsidRDefault="00CB7D5E" w:rsidP="00CB7D5E">
            <w:pPr>
              <w:ind w:left="0"/>
              <w:rPr>
                <w:sz w:val="18"/>
                <w:szCs w:val="18"/>
              </w:rPr>
            </w:pPr>
            <w:r w:rsidRPr="002F330C">
              <w:rPr>
                <w:sz w:val="18"/>
                <w:szCs w:val="18"/>
              </w:rPr>
              <w:t>Maize flour, g</w:t>
            </w:r>
          </w:p>
        </w:tc>
        <w:tc>
          <w:tcPr>
            <w:tcW w:w="1051" w:type="dxa"/>
            <w:shd w:val="clear" w:color="auto" w:fill="FFFFFF" w:themeFill="background1"/>
          </w:tcPr>
          <w:p w14:paraId="78FF4DA9" w14:textId="77777777" w:rsidR="00CB7D5E" w:rsidRPr="002F330C" w:rsidRDefault="00CB7D5E" w:rsidP="00CB7D5E">
            <w:pPr>
              <w:ind w:left="0"/>
              <w:jc w:val="center"/>
              <w:rPr>
                <w:sz w:val="18"/>
                <w:szCs w:val="18"/>
              </w:rPr>
            </w:pPr>
            <w:r w:rsidRPr="002F330C">
              <w:rPr>
                <w:sz w:val="18"/>
                <w:szCs w:val="18"/>
              </w:rPr>
              <w:t>130.3</w:t>
            </w:r>
          </w:p>
        </w:tc>
        <w:tc>
          <w:tcPr>
            <w:tcW w:w="1169" w:type="dxa"/>
            <w:shd w:val="clear" w:color="auto" w:fill="FFFFFF" w:themeFill="background1"/>
          </w:tcPr>
          <w:p w14:paraId="7553457A" w14:textId="77777777" w:rsidR="00CB7D5E" w:rsidRPr="002F330C" w:rsidRDefault="00CB7D5E" w:rsidP="00CB7D5E">
            <w:pPr>
              <w:ind w:left="0"/>
              <w:jc w:val="center"/>
              <w:rPr>
                <w:sz w:val="18"/>
                <w:szCs w:val="18"/>
              </w:rPr>
            </w:pPr>
            <w:r w:rsidRPr="002F330C">
              <w:rPr>
                <w:sz w:val="18"/>
                <w:szCs w:val="18"/>
              </w:rPr>
              <w:t>19.6</w:t>
            </w:r>
          </w:p>
        </w:tc>
        <w:tc>
          <w:tcPr>
            <w:tcW w:w="1564" w:type="dxa"/>
            <w:tcBorders>
              <w:right w:val="single" w:sz="4" w:space="0" w:color="auto"/>
            </w:tcBorders>
            <w:shd w:val="clear" w:color="auto" w:fill="FFFFFF" w:themeFill="background1"/>
          </w:tcPr>
          <w:p w14:paraId="169D478B" w14:textId="77777777" w:rsidR="00CB7D5E" w:rsidRPr="002F330C" w:rsidRDefault="00CB7D5E" w:rsidP="00CB7D5E">
            <w:pPr>
              <w:ind w:left="0"/>
              <w:jc w:val="center"/>
              <w:rPr>
                <w:sz w:val="18"/>
                <w:szCs w:val="18"/>
              </w:rPr>
            </w:pPr>
            <w:r w:rsidRPr="002F330C">
              <w:rPr>
                <w:sz w:val="18"/>
                <w:szCs w:val="18"/>
              </w:rPr>
              <w:t>-565</w:t>
            </w:r>
          </w:p>
        </w:tc>
      </w:tr>
      <w:tr w:rsidR="00CB7D5E" w14:paraId="546F8FCC" w14:textId="77777777" w:rsidTr="007F4EDE">
        <w:trPr>
          <w:trHeight w:val="224"/>
        </w:trPr>
        <w:tc>
          <w:tcPr>
            <w:tcW w:w="1806" w:type="dxa"/>
            <w:vMerge/>
            <w:tcBorders>
              <w:left w:val="single" w:sz="4" w:space="0" w:color="auto"/>
              <w:bottom w:val="single" w:sz="4" w:space="0" w:color="auto"/>
            </w:tcBorders>
            <w:shd w:val="clear" w:color="auto" w:fill="FFFFFF" w:themeFill="background1"/>
          </w:tcPr>
          <w:p w14:paraId="49715F32" w14:textId="77777777" w:rsidR="00CB7D5E" w:rsidRPr="006E189F" w:rsidRDefault="00CB7D5E" w:rsidP="00CB7D5E">
            <w:pPr>
              <w:rPr>
                <w:sz w:val="18"/>
                <w:szCs w:val="18"/>
              </w:rPr>
            </w:pPr>
          </w:p>
        </w:tc>
        <w:tc>
          <w:tcPr>
            <w:tcW w:w="1556" w:type="dxa"/>
            <w:vMerge/>
            <w:tcBorders>
              <w:bottom w:val="single" w:sz="4" w:space="0" w:color="auto"/>
            </w:tcBorders>
            <w:shd w:val="clear" w:color="auto" w:fill="FFFFFF" w:themeFill="background1"/>
          </w:tcPr>
          <w:p w14:paraId="1D5DE472" w14:textId="77777777" w:rsidR="00CB7D5E" w:rsidRPr="00E90B70" w:rsidRDefault="00CB7D5E" w:rsidP="00CB7D5E">
            <w:pPr>
              <w:rPr>
                <w:sz w:val="18"/>
                <w:szCs w:val="18"/>
              </w:rPr>
            </w:pPr>
          </w:p>
        </w:tc>
        <w:tc>
          <w:tcPr>
            <w:tcW w:w="2251" w:type="dxa"/>
            <w:vMerge/>
            <w:tcBorders>
              <w:bottom w:val="single" w:sz="4" w:space="0" w:color="auto"/>
            </w:tcBorders>
            <w:shd w:val="clear" w:color="auto" w:fill="FFFFFF" w:themeFill="background1"/>
          </w:tcPr>
          <w:p w14:paraId="3611B6BE" w14:textId="77777777" w:rsidR="00CB7D5E" w:rsidRPr="00E90B70" w:rsidRDefault="00CB7D5E" w:rsidP="00CB7D5E">
            <w:pPr>
              <w:rPr>
                <w:sz w:val="18"/>
                <w:szCs w:val="18"/>
              </w:rPr>
            </w:pPr>
          </w:p>
        </w:tc>
        <w:tc>
          <w:tcPr>
            <w:tcW w:w="1701" w:type="dxa"/>
            <w:vMerge/>
            <w:tcBorders>
              <w:bottom w:val="single" w:sz="4" w:space="0" w:color="auto"/>
            </w:tcBorders>
            <w:shd w:val="clear" w:color="auto" w:fill="FFFFFF" w:themeFill="background1"/>
          </w:tcPr>
          <w:p w14:paraId="609C5BE2" w14:textId="77777777" w:rsidR="00CB7D5E" w:rsidRDefault="00CB7D5E" w:rsidP="00CB7D5E">
            <w:pPr>
              <w:rPr>
                <w:sz w:val="18"/>
                <w:szCs w:val="18"/>
              </w:rPr>
            </w:pPr>
          </w:p>
        </w:tc>
        <w:tc>
          <w:tcPr>
            <w:tcW w:w="1965" w:type="dxa"/>
            <w:tcBorders>
              <w:bottom w:val="single" w:sz="4" w:space="0" w:color="auto"/>
            </w:tcBorders>
            <w:shd w:val="clear" w:color="auto" w:fill="D9D9D9" w:themeFill="background1" w:themeFillShade="D9"/>
          </w:tcPr>
          <w:p w14:paraId="697DC42B" w14:textId="77777777" w:rsidR="00CB7D5E" w:rsidRPr="002F330C" w:rsidRDefault="00CB7D5E" w:rsidP="00CB7D5E">
            <w:pPr>
              <w:ind w:left="0"/>
              <w:rPr>
                <w:sz w:val="18"/>
                <w:szCs w:val="18"/>
              </w:rPr>
            </w:pPr>
            <w:r w:rsidRPr="002F330C">
              <w:rPr>
                <w:sz w:val="18"/>
                <w:szCs w:val="18"/>
              </w:rPr>
              <w:t>Rice, g</w:t>
            </w:r>
          </w:p>
        </w:tc>
        <w:tc>
          <w:tcPr>
            <w:tcW w:w="1051" w:type="dxa"/>
            <w:tcBorders>
              <w:bottom w:val="single" w:sz="4" w:space="0" w:color="auto"/>
            </w:tcBorders>
            <w:shd w:val="clear" w:color="auto" w:fill="D9D9D9" w:themeFill="background1" w:themeFillShade="D9"/>
          </w:tcPr>
          <w:p w14:paraId="18DB8203" w14:textId="77777777" w:rsidR="00CB7D5E" w:rsidRPr="002F330C" w:rsidRDefault="00CB7D5E" w:rsidP="00CB7D5E">
            <w:pPr>
              <w:ind w:left="0"/>
              <w:jc w:val="center"/>
              <w:rPr>
                <w:sz w:val="18"/>
                <w:szCs w:val="18"/>
              </w:rPr>
            </w:pPr>
            <w:r w:rsidRPr="002F330C">
              <w:rPr>
                <w:sz w:val="18"/>
                <w:szCs w:val="18"/>
              </w:rPr>
              <w:t>84.4</w:t>
            </w:r>
          </w:p>
        </w:tc>
        <w:tc>
          <w:tcPr>
            <w:tcW w:w="1169" w:type="dxa"/>
            <w:tcBorders>
              <w:bottom w:val="single" w:sz="4" w:space="0" w:color="auto"/>
            </w:tcBorders>
            <w:shd w:val="clear" w:color="auto" w:fill="D9D9D9" w:themeFill="background1" w:themeFillShade="D9"/>
          </w:tcPr>
          <w:p w14:paraId="38175F25" w14:textId="77777777" w:rsidR="00CB7D5E" w:rsidRPr="002F330C" w:rsidRDefault="00CB7D5E" w:rsidP="00CB7D5E">
            <w:pPr>
              <w:ind w:left="0"/>
              <w:jc w:val="center"/>
              <w:rPr>
                <w:sz w:val="18"/>
                <w:szCs w:val="18"/>
              </w:rPr>
            </w:pPr>
            <w:r w:rsidRPr="002F330C">
              <w:rPr>
                <w:sz w:val="18"/>
                <w:szCs w:val="18"/>
              </w:rPr>
              <w:t>17.7</w:t>
            </w:r>
          </w:p>
        </w:tc>
        <w:tc>
          <w:tcPr>
            <w:tcW w:w="1564" w:type="dxa"/>
            <w:tcBorders>
              <w:bottom w:val="single" w:sz="4" w:space="0" w:color="auto"/>
              <w:right w:val="single" w:sz="4" w:space="0" w:color="auto"/>
            </w:tcBorders>
            <w:shd w:val="clear" w:color="auto" w:fill="D9D9D9" w:themeFill="background1" w:themeFillShade="D9"/>
          </w:tcPr>
          <w:p w14:paraId="73A9CECD" w14:textId="77777777" w:rsidR="00CB7D5E" w:rsidRPr="002F330C" w:rsidRDefault="00CB7D5E" w:rsidP="00CB7D5E">
            <w:pPr>
              <w:ind w:left="0"/>
              <w:jc w:val="center"/>
              <w:rPr>
                <w:sz w:val="18"/>
                <w:szCs w:val="18"/>
              </w:rPr>
            </w:pPr>
            <w:r w:rsidRPr="002F330C">
              <w:rPr>
                <w:sz w:val="18"/>
                <w:szCs w:val="18"/>
              </w:rPr>
              <w:t>-377</w:t>
            </w:r>
          </w:p>
        </w:tc>
      </w:tr>
    </w:tbl>
    <w:p w14:paraId="56EC72BA" w14:textId="77777777" w:rsidR="00681CDB" w:rsidRDefault="00681CDB" w:rsidP="00681CDB">
      <w:r>
        <w:br w:type="page"/>
      </w:r>
    </w:p>
    <w:p w14:paraId="47FA3FCF" w14:textId="77777777" w:rsidR="00681CDB" w:rsidRDefault="00681CDB" w:rsidP="00681CDB">
      <w:pPr>
        <w:sectPr w:rsidR="00681CDB" w:rsidSect="003863B6">
          <w:pgSz w:w="15840" w:h="12240" w:orient="landscape"/>
          <w:pgMar w:top="1440" w:right="1440" w:bottom="1440" w:left="1440" w:header="720" w:footer="720" w:gutter="0"/>
          <w:cols w:space="720"/>
          <w:docGrid w:linePitch="360"/>
        </w:sectPr>
      </w:pPr>
    </w:p>
    <w:p w14:paraId="3FF4A3E0" w14:textId="77777777" w:rsidR="00681CDB" w:rsidRPr="00F3550D" w:rsidRDefault="00681CDB" w:rsidP="00FF3F99">
      <w:pPr>
        <w:pStyle w:val="Heading1"/>
      </w:pPr>
      <w:bookmarkStart w:id="7" w:name="_Toc44680601"/>
      <w:bookmarkStart w:id="8" w:name="_Toc76569020"/>
      <w:r w:rsidRPr="00F3550D">
        <w:rPr>
          <w:b/>
          <w:bCs/>
        </w:rPr>
        <w:lastRenderedPageBreak/>
        <w:t>Appendix 1.</w:t>
      </w:r>
      <w:r w:rsidRPr="00F3550D">
        <w:t xml:space="preserve"> Original protocol of systematic review developed according to PRISMA guidelines</w:t>
      </w:r>
      <w:bookmarkEnd w:id="7"/>
      <w:bookmarkEnd w:id="8"/>
    </w:p>
    <w:p w14:paraId="273FB180" w14:textId="00714E48" w:rsidR="00681CDB" w:rsidRDefault="00681CDB" w:rsidP="00FF3F99">
      <w:bookmarkStart w:id="9" w:name="_Toc44680602"/>
      <w:r>
        <w:t>[Original protocol attached as a separate document]</w:t>
      </w:r>
    </w:p>
    <w:p w14:paraId="15D4BE6E" w14:textId="77777777" w:rsidR="00FF3F99" w:rsidRDefault="00FF3F99" w:rsidP="00FF3F99">
      <w:pPr>
        <w:rPr>
          <w:i/>
          <w:iCs/>
        </w:rPr>
      </w:pPr>
    </w:p>
    <w:p w14:paraId="51894F45" w14:textId="77777777" w:rsidR="00681CDB" w:rsidRDefault="00681CDB" w:rsidP="00681CDB">
      <w:r>
        <w:t>[PRISMA checklist attached as a separate document]</w:t>
      </w:r>
    </w:p>
    <w:p w14:paraId="1BB2E6C1" w14:textId="77777777" w:rsidR="00681CDB" w:rsidRPr="001346C3" w:rsidRDefault="00681CDB" w:rsidP="00681CDB"/>
    <w:p w14:paraId="394B480A" w14:textId="77777777" w:rsidR="00681CDB" w:rsidRPr="00F3550D" w:rsidRDefault="00681CDB" w:rsidP="00FF3F99">
      <w:pPr>
        <w:pStyle w:val="Heading1"/>
      </w:pPr>
      <w:bookmarkStart w:id="10" w:name="_Toc76569021"/>
      <w:r w:rsidRPr="00F3550D">
        <w:rPr>
          <w:b/>
          <w:bCs/>
        </w:rPr>
        <w:t>Appendix 2.</w:t>
      </w:r>
      <w:r w:rsidRPr="00F3550D">
        <w:t xml:space="preserve"> Search algorithms</w:t>
      </w:r>
      <w:r>
        <w:t xml:space="preserve"> returning publications</w:t>
      </w:r>
      <w:r w:rsidRPr="00F3550D">
        <w:t xml:space="preserve"> in </w:t>
      </w:r>
      <w:bookmarkEnd w:id="9"/>
      <w:r>
        <w:t>database search</w:t>
      </w:r>
      <w:bookmarkEnd w:id="10"/>
    </w:p>
    <w:tbl>
      <w:tblPr>
        <w:tblStyle w:val="TableGrid"/>
        <w:tblW w:w="0" w:type="auto"/>
        <w:tblLook w:val="04A0" w:firstRow="1" w:lastRow="0" w:firstColumn="1" w:lastColumn="0" w:noHBand="0" w:noVBand="1"/>
      </w:tblPr>
      <w:tblGrid>
        <w:gridCol w:w="1885"/>
        <w:gridCol w:w="7465"/>
      </w:tblGrid>
      <w:tr w:rsidR="00681CDB" w14:paraId="63F2AF20" w14:textId="77777777" w:rsidTr="007F7EA3">
        <w:tc>
          <w:tcPr>
            <w:tcW w:w="1885" w:type="dxa"/>
            <w:vAlign w:val="bottom"/>
          </w:tcPr>
          <w:p w14:paraId="18177DE1" w14:textId="77777777" w:rsidR="00681CDB" w:rsidRDefault="00681CDB" w:rsidP="007F7EA3">
            <w:pPr>
              <w:ind w:left="0"/>
            </w:pPr>
            <w:r>
              <w:t>Database</w:t>
            </w:r>
          </w:p>
        </w:tc>
        <w:tc>
          <w:tcPr>
            <w:tcW w:w="7465" w:type="dxa"/>
            <w:vAlign w:val="center"/>
          </w:tcPr>
          <w:p w14:paraId="5844D6D6" w14:textId="77777777" w:rsidR="00681CDB" w:rsidRDefault="00681CDB" w:rsidP="007F7EA3">
            <w:pPr>
              <w:spacing w:before="120"/>
            </w:pPr>
            <w:r>
              <w:t>Search Algorithm</w:t>
            </w:r>
          </w:p>
        </w:tc>
      </w:tr>
      <w:tr w:rsidR="00681CDB" w:rsidRPr="006E424F" w14:paraId="471621B7" w14:textId="77777777" w:rsidTr="007F7EA3">
        <w:tc>
          <w:tcPr>
            <w:tcW w:w="1885" w:type="dxa"/>
          </w:tcPr>
          <w:p w14:paraId="7035413A" w14:textId="77777777" w:rsidR="00681CDB" w:rsidRDefault="00681CDB" w:rsidP="007F7EA3">
            <w:pPr>
              <w:ind w:left="0"/>
            </w:pPr>
            <w:r>
              <w:t>Web of Science</w:t>
            </w:r>
          </w:p>
        </w:tc>
        <w:tc>
          <w:tcPr>
            <w:tcW w:w="7465" w:type="dxa"/>
          </w:tcPr>
          <w:p w14:paraId="46144FC5" w14:textId="77777777" w:rsidR="00681CDB" w:rsidRPr="001776FB" w:rsidRDefault="00681CDB" w:rsidP="007F7EA3">
            <w:pPr>
              <w:pStyle w:val="ListParagraph"/>
              <w:spacing w:after="120"/>
              <w:ind w:left="0"/>
              <w:rPr>
                <w:sz w:val="18"/>
                <w:szCs w:val="18"/>
              </w:rPr>
            </w:pPr>
            <w:r w:rsidRPr="001776FB">
              <w:rPr>
                <w:sz w:val="18"/>
                <w:szCs w:val="18"/>
              </w:rPr>
              <w:t>TOPIC: (</w:t>
            </w:r>
            <w:proofErr w:type="spellStart"/>
            <w:r>
              <w:rPr>
                <w:sz w:val="18"/>
                <w:szCs w:val="18"/>
              </w:rPr>
              <w:t>hces</w:t>
            </w:r>
            <w:proofErr w:type="spellEnd"/>
            <w:r w:rsidRPr="001776FB">
              <w:rPr>
                <w:sz w:val="18"/>
                <w:szCs w:val="18"/>
              </w:rPr>
              <w:t>) Timespan: All years. Indexes: SCI-EXPANDED, SSCI, A&amp;HCI, CPCI-S, CPCI-SSH, ESCI.</w:t>
            </w:r>
          </w:p>
          <w:p w14:paraId="14452298" w14:textId="77777777" w:rsidR="00681CDB" w:rsidRPr="001776FB" w:rsidRDefault="00681CDB" w:rsidP="007F7EA3">
            <w:pPr>
              <w:spacing w:after="120"/>
              <w:rPr>
                <w:sz w:val="18"/>
                <w:szCs w:val="18"/>
              </w:rPr>
            </w:pPr>
            <w:r w:rsidRPr="001776FB">
              <w:rPr>
                <w:sz w:val="18"/>
                <w:szCs w:val="18"/>
              </w:rPr>
              <w:t>TOPIC: (household consumption and expenditure survey) Timespan: All years. Indexes: SCI-EXPANDED, SSCI, A&amp;HCI, CPCI-S, CPCI-SSH, ESCI.</w:t>
            </w:r>
          </w:p>
          <w:p w14:paraId="3B4CD585" w14:textId="77777777" w:rsidR="00681CDB" w:rsidRPr="001776FB" w:rsidRDefault="00681CDB" w:rsidP="007F7EA3">
            <w:pPr>
              <w:pStyle w:val="ListParagraph"/>
              <w:spacing w:after="120"/>
              <w:ind w:left="0"/>
              <w:rPr>
                <w:sz w:val="18"/>
                <w:szCs w:val="18"/>
              </w:rPr>
            </w:pPr>
            <w:r w:rsidRPr="001776FB">
              <w:rPr>
                <w:sz w:val="18"/>
                <w:szCs w:val="18"/>
              </w:rPr>
              <w:t>TOPIC: (</w:t>
            </w:r>
            <w:proofErr w:type="spellStart"/>
            <w:r>
              <w:rPr>
                <w:sz w:val="18"/>
                <w:szCs w:val="18"/>
              </w:rPr>
              <w:t>lsms</w:t>
            </w:r>
            <w:proofErr w:type="spellEnd"/>
            <w:r w:rsidRPr="001776FB">
              <w:rPr>
                <w:sz w:val="18"/>
                <w:szCs w:val="18"/>
              </w:rPr>
              <w:t>) Timespan: All years. Indexes: SCI-EXPANDED, SSCI, A&amp;HCI, CPCI-S, CPCI-SSH, ESCI.</w:t>
            </w:r>
          </w:p>
          <w:p w14:paraId="0DA820EB" w14:textId="77777777" w:rsidR="00681CDB" w:rsidRPr="001776FB" w:rsidRDefault="00681CDB" w:rsidP="007F7EA3">
            <w:pPr>
              <w:spacing w:after="120"/>
              <w:rPr>
                <w:sz w:val="18"/>
                <w:szCs w:val="18"/>
              </w:rPr>
            </w:pPr>
            <w:r w:rsidRPr="001776FB">
              <w:rPr>
                <w:sz w:val="18"/>
                <w:szCs w:val="18"/>
              </w:rPr>
              <w:t>TOPIC: ("living standards measurement study") Timespan: All years. Indexes: SCI-EXPANDED, SSCI, A&amp;HCI, CPCI-S, CPCI-SSH, ESCI.</w:t>
            </w:r>
          </w:p>
          <w:p w14:paraId="0603836F" w14:textId="77777777" w:rsidR="00681CDB" w:rsidRPr="001776FB" w:rsidRDefault="00681CDB" w:rsidP="007F7EA3">
            <w:pPr>
              <w:pStyle w:val="ListParagraph"/>
              <w:spacing w:after="120"/>
              <w:ind w:left="0"/>
              <w:rPr>
                <w:sz w:val="18"/>
                <w:szCs w:val="18"/>
              </w:rPr>
            </w:pPr>
            <w:r w:rsidRPr="001776FB">
              <w:rPr>
                <w:sz w:val="18"/>
                <w:szCs w:val="18"/>
              </w:rPr>
              <w:t>TOPIC: ("</w:t>
            </w:r>
            <w:r>
              <w:rPr>
                <w:sz w:val="18"/>
                <w:szCs w:val="18"/>
              </w:rPr>
              <w:t>i</w:t>
            </w:r>
            <w:r w:rsidRPr="001776FB">
              <w:rPr>
                <w:sz w:val="18"/>
                <w:szCs w:val="18"/>
              </w:rPr>
              <w:t>ntegrated household survey") Timespan: All years. Indexes: SCI-EXPANDED, SSCI, A&amp;HCI, CPCI-S, CPCI-SSH, ESCI.</w:t>
            </w:r>
          </w:p>
          <w:p w14:paraId="4FD5E54E" w14:textId="77777777" w:rsidR="00681CDB" w:rsidRPr="001776FB" w:rsidRDefault="00681CDB" w:rsidP="007F7EA3">
            <w:pPr>
              <w:spacing w:after="120"/>
              <w:rPr>
                <w:sz w:val="18"/>
                <w:szCs w:val="18"/>
              </w:rPr>
            </w:pPr>
            <w:r w:rsidRPr="001776FB">
              <w:rPr>
                <w:sz w:val="18"/>
                <w:szCs w:val="18"/>
              </w:rPr>
              <w:t>TOPIC: ("household budget survey") Timespan: All years. Indexes: SCI-EXPANDED, SSCI, A&amp;HCI, CPCI-S, CPCI-SSH, ESCI.</w:t>
            </w:r>
          </w:p>
          <w:p w14:paraId="5BCAD313" w14:textId="77777777" w:rsidR="00681CDB" w:rsidRPr="001776FB" w:rsidRDefault="00681CDB" w:rsidP="007F7EA3">
            <w:pPr>
              <w:pStyle w:val="ListParagraph"/>
              <w:spacing w:after="120"/>
              <w:ind w:left="0"/>
              <w:rPr>
                <w:sz w:val="18"/>
                <w:szCs w:val="18"/>
              </w:rPr>
            </w:pPr>
            <w:r w:rsidRPr="001776FB">
              <w:rPr>
                <w:sz w:val="18"/>
                <w:szCs w:val="18"/>
              </w:rPr>
              <w:t>TOPIC: ("living conditions monitoring survey") Timespan: All years. Indexes: SCI-EXPANDED, SSCI, A&amp;HCI, CPCI-S, CPCI-SSH, ESCI.</w:t>
            </w:r>
          </w:p>
          <w:p w14:paraId="0F1075C5" w14:textId="77777777" w:rsidR="00681CDB" w:rsidRPr="001776FB" w:rsidRDefault="00681CDB" w:rsidP="007F7EA3">
            <w:pPr>
              <w:spacing w:after="120"/>
              <w:rPr>
                <w:sz w:val="18"/>
                <w:szCs w:val="18"/>
              </w:rPr>
            </w:pPr>
            <w:r w:rsidRPr="001776FB">
              <w:rPr>
                <w:sz w:val="18"/>
                <w:szCs w:val="18"/>
              </w:rPr>
              <w:t>TOPIC: ("socioeconomic survey") Timespan: All years. Indexes: SCI-EXPANDED, SSCI, A&amp;HCI, CPCI-S, CPCI-SSH, ESCI.</w:t>
            </w:r>
          </w:p>
          <w:p w14:paraId="0582AF55" w14:textId="77777777" w:rsidR="00681CDB" w:rsidRPr="001776FB" w:rsidRDefault="00681CDB" w:rsidP="007F7EA3">
            <w:pPr>
              <w:spacing w:after="120"/>
              <w:rPr>
                <w:sz w:val="18"/>
                <w:szCs w:val="18"/>
              </w:rPr>
            </w:pPr>
            <w:r w:rsidRPr="001776FB">
              <w:rPr>
                <w:sz w:val="18"/>
                <w:szCs w:val="18"/>
              </w:rPr>
              <w:t>TOPIC: ("</w:t>
            </w:r>
            <w:r>
              <w:rPr>
                <w:sz w:val="18"/>
                <w:szCs w:val="18"/>
              </w:rPr>
              <w:t>n</w:t>
            </w:r>
            <w:r w:rsidRPr="001776FB">
              <w:rPr>
                <w:sz w:val="18"/>
                <w:szCs w:val="18"/>
              </w:rPr>
              <w:t xml:space="preserve">ational </w:t>
            </w:r>
            <w:r>
              <w:rPr>
                <w:sz w:val="18"/>
                <w:szCs w:val="18"/>
              </w:rPr>
              <w:t>r</w:t>
            </w:r>
            <w:r w:rsidRPr="001776FB">
              <w:rPr>
                <w:sz w:val="18"/>
                <w:szCs w:val="18"/>
              </w:rPr>
              <w:t xml:space="preserve">isk and </w:t>
            </w:r>
            <w:r>
              <w:rPr>
                <w:sz w:val="18"/>
                <w:szCs w:val="18"/>
              </w:rPr>
              <w:t>v</w:t>
            </w:r>
            <w:r w:rsidRPr="001776FB">
              <w:rPr>
                <w:sz w:val="18"/>
                <w:szCs w:val="18"/>
              </w:rPr>
              <w:t xml:space="preserve">ulnerability </w:t>
            </w:r>
            <w:r>
              <w:rPr>
                <w:sz w:val="18"/>
                <w:szCs w:val="18"/>
              </w:rPr>
              <w:t>a</w:t>
            </w:r>
            <w:r w:rsidRPr="001776FB">
              <w:rPr>
                <w:sz w:val="18"/>
                <w:szCs w:val="18"/>
              </w:rPr>
              <w:t>ssessment") Timespan: All years. Indexes: SCI-EXPANDED, SSCI, A&amp;HCI, CPCI-S, CPCI-SSH, ESCI.</w:t>
            </w:r>
          </w:p>
          <w:p w14:paraId="018CFC2A" w14:textId="77777777" w:rsidR="00681CDB" w:rsidRPr="00E27817" w:rsidRDefault="00681CDB" w:rsidP="007F7EA3">
            <w:pPr>
              <w:spacing w:after="120"/>
              <w:rPr>
                <w:sz w:val="18"/>
                <w:szCs w:val="18"/>
                <w:lang w:val="fr-FR"/>
              </w:rPr>
            </w:pPr>
            <w:r w:rsidRPr="001776FB">
              <w:rPr>
                <w:sz w:val="18"/>
                <w:szCs w:val="18"/>
              </w:rPr>
              <w:t>TOPIC: ("</w:t>
            </w:r>
            <w:r>
              <w:rPr>
                <w:sz w:val="18"/>
                <w:szCs w:val="18"/>
              </w:rPr>
              <w:t>c</w:t>
            </w:r>
            <w:r w:rsidRPr="001776FB">
              <w:rPr>
                <w:sz w:val="18"/>
                <w:szCs w:val="18"/>
              </w:rPr>
              <w:t xml:space="preserve">ore </w:t>
            </w:r>
            <w:r>
              <w:rPr>
                <w:sz w:val="18"/>
                <w:szCs w:val="18"/>
              </w:rPr>
              <w:t>w</w:t>
            </w:r>
            <w:r w:rsidRPr="001776FB">
              <w:rPr>
                <w:sz w:val="18"/>
                <w:szCs w:val="18"/>
              </w:rPr>
              <w:t xml:space="preserve">elfare </w:t>
            </w:r>
            <w:r>
              <w:rPr>
                <w:sz w:val="18"/>
                <w:szCs w:val="18"/>
              </w:rPr>
              <w:t>i</w:t>
            </w:r>
            <w:r w:rsidRPr="001776FB">
              <w:rPr>
                <w:sz w:val="18"/>
                <w:szCs w:val="18"/>
              </w:rPr>
              <w:t xml:space="preserve">ndicators") Timespan: All years. </w:t>
            </w:r>
            <w:proofErr w:type="gramStart"/>
            <w:r w:rsidRPr="00E27817">
              <w:rPr>
                <w:sz w:val="18"/>
                <w:szCs w:val="18"/>
                <w:lang w:val="fr-FR"/>
              </w:rPr>
              <w:t>Indexes:</w:t>
            </w:r>
            <w:proofErr w:type="gramEnd"/>
            <w:r w:rsidRPr="00E27817">
              <w:rPr>
                <w:sz w:val="18"/>
                <w:szCs w:val="18"/>
                <w:lang w:val="fr-FR"/>
              </w:rPr>
              <w:t xml:space="preserve"> SCI-EXPANDED, SSCI, A&amp;HCI, CPCI-S, CPCI-SSH, ESCI.</w:t>
            </w:r>
          </w:p>
          <w:p w14:paraId="18B29826" w14:textId="77777777" w:rsidR="00681CDB" w:rsidRPr="00E27817" w:rsidRDefault="00681CDB" w:rsidP="007F7EA3">
            <w:pPr>
              <w:spacing w:after="120"/>
              <w:rPr>
                <w:sz w:val="18"/>
                <w:szCs w:val="18"/>
                <w:lang w:val="fr-FR"/>
              </w:rPr>
            </w:pPr>
            <w:proofErr w:type="gramStart"/>
            <w:r w:rsidRPr="006E424F">
              <w:rPr>
                <w:sz w:val="18"/>
                <w:szCs w:val="18"/>
                <w:lang w:val="fr-FR"/>
              </w:rPr>
              <w:t>TOPIC:</w:t>
            </w:r>
            <w:proofErr w:type="gramEnd"/>
            <w:r w:rsidRPr="006E424F">
              <w:rPr>
                <w:sz w:val="18"/>
                <w:szCs w:val="18"/>
                <w:lang w:val="fr-FR"/>
              </w:rPr>
              <w:t xml:space="preserve"> ("enquête"  AND "auprès des ménages") </w:t>
            </w:r>
            <w:proofErr w:type="spellStart"/>
            <w:r w:rsidRPr="006E424F">
              <w:rPr>
                <w:sz w:val="18"/>
                <w:szCs w:val="18"/>
                <w:lang w:val="fr-FR"/>
              </w:rPr>
              <w:t>Timespan</w:t>
            </w:r>
            <w:proofErr w:type="spellEnd"/>
            <w:r w:rsidRPr="006E424F">
              <w:rPr>
                <w:sz w:val="18"/>
                <w:szCs w:val="18"/>
                <w:lang w:val="fr-FR"/>
              </w:rPr>
              <w:t xml:space="preserve">: All </w:t>
            </w:r>
            <w:proofErr w:type="spellStart"/>
            <w:r w:rsidRPr="006E424F">
              <w:rPr>
                <w:sz w:val="18"/>
                <w:szCs w:val="18"/>
                <w:lang w:val="fr-FR"/>
              </w:rPr>
              <w:t>years</w:t>
            </w:r>
            <w:proofErr w:type="spellEnd"/>
            <w:r w:rsidRPr="006E424F">
              <w:rPr>
                <w:sz w:val="18"/>
                <w:szCs w:val="18"/>
                <w:lang w:val="fr-FR"/>
              </w:rPr>
              <w:t xml:space="preserve">. </w:t>
            </w:r>
            <w:proofErr w:type="gramStart"/>
            <w:r w:rsidRPr="00E27817">
              <w:rPr>
                <w:sz w:val="18"/>
                <w:szCs w:val="18"/>
                <w:lang w:val="fr-FR"/>
              </w:rPr>
              <w:t>Indexes:</w:t>
            </w:r>
            <w:proofErr w:type="gramEnd"/>
            <w:r w:rsidRPr="00E27817">
              <w:rPr>
                <w:sz w:val="18"/>
                <w:szCs w:val="18"/>
                <w:lang w:val="fr-FR"/>
              </w:rPr>
              <w:t xml:space="preserve"> SCI-EXPANDED, SSCI, A&amp;HCI, CPCI-S, CPCI-SSH, ESCI.</w:t>
            </w:r>
          </w:p>
          <w:p w14:paraId="1683A8D3" w14:textId="77777777" w:rsidR="00681CDB" w:rsidRPr="00E27817" w:rsidRDefault="00681CDB" w:rsidP="007F7EA3">
            <w:pPr>
              <w:spacing w:after="120"/>
              <w:rPr>
                <w:sz w:val="18"/>
                <w:szCs w:val="18"/>
                <w:lang w:val="fr-FR"/>
              </w:rPr>
            </w:pPr>
            <w:proofErr w:type="gramStart"/>
            <w:r w:rsidRPr="006E424F">
              <w:rPr>
                <w:sz w:val="18"/>
                <w:szCs w:val="18"/>
                <w:lang w:val="fr-FR"/>
              </w:rPr>
              <w:t>TOPIC:</w:t>
            </w:r>
            <w:proofErr w:type="gramEnd"/>
            <w:r w:rsidRPr="006E424F">
              <w:rPr>
                <w:sz w:val="18"/>
                <w:szCs w:val="18"/>
                <w:lang w:val="fr-FR"/>
              </w:rPr>
              <w:t xml:space="preserve"> ("enquête"  AND "les conditions de vie") </w:t>
            </w:r>
            <w:proofErr w:type="spellStart"/>
            <w:r w:rsidRPr="006E424F">
              <w:rPr>
                <w:sz w:val="18"/>
                <w:szCs w:val="18"/>
                <w:lang w:val="fr-FR"/>
              </w:rPr>
              <w:t>Timespan</w:t>
            </w:r>
            <w:proofErr w:type="spellEnd"/>
            <w:r w:rsidRPr="006E424F">
              <w:rPr>
                <w:sz w:val="18"/>
                <w:szCs w:val="18"/>
                <w:lang w:val="fr-FR"/>
              </w:rPr>
              <w:t xml:space="preserve">: All </w:t>
            </w:r>
            <w:proofErr w:type="spellStart"/>
            <w:r w:rsidRPr="006E424F">
              <w:rPr>
                <w:sz w:val="18"/>
                <w:szCs w:val="18"/>
                <w:lang w:val="fr-FR"/>
              </w:rPr>
              <w:t>years</w:t>
            </w:r>
            <w:proofErr w:type="spellEnd"/>
            <w:r w:rsidRPr="006E424F">
              <w:rPr>
                <w:sz w:val="18"/>
                <w:szCs w:val="18"/>
                <w:lang w:val="fr-FR"/>
              </w:rPr>
              <w:t xml:space="preserve">. </w:t>
            </w:r>
            <w:proofErr w:type="gramStart"/>
            <w:r w:rsidRPr="00E27817">
              <w:rPr>
                <w:sz w:val="18"/>
                <w:szCs w:val="18"/>
                <w:lang w:val="fr-FR"/>
              </w:rPr>
              <w:t>Indexes:</w:t>
            </w:r>
            <w:proofErr w:type="gramEnd"/>
            <w:r w:rsidRPr="00E27817">
              <w:rPr>
                <w:sz w:val="18"/>
                <w:szCs w:val="18"/>
                <w:lang w:val="fr-FR"/>
              </w:rPr>
              <w:t xml:space="preserve"> SCI-EXPANDED, SSCI, A&amp;HCI, CPCI-S, CPCI-SSH, ESCI.</w:t>
            </w:r>
          </w:p>
          <w:p w14:paraId="53F05C6A" w14:textId="77777777" w:rsidR="00681CDB" w:rsidRPr="006E424F" w:rsidRDefault="00681CDB" w:rsidP="007F7EA3">
            <w:pPr>
              <w:spacing w:after="120"/>
              <w:rPr>
                <w:sz w:val="18"/>
                <w:szCs w:val="18"/>
                <w:lang w:val="fr-FR"/>
              </w:rPr>
            </w:pPr>
            <w:proofErr w:type="gramStart"/>
            <w:r w:rsidRPr="006E424F">
              <w:rPr>
                <w:sz w:val="18"/>
                <w:szCs w:val="18"/>
                <w:lang w:val="fr-FR"/>
              </w:rPr>
              <w:t>TOPIC:</w:t>
            </w:r>
            <w:proofErr w:type="gramEnd"/>
            <w:r w:rsidRPr="006E424F">
              <w:rPr>
                <w:sz w:val="18"/>
                <w:szCs w:val="18"/>
                <w:lang w:val="fr-FR"/>
              </w:rPr>
              <w:t xml:space="preserve"> ("enquête"  AND "le </w:t>
            </w:r>
            <w:r>
              <w:rPr>
                <w:sz w:val="18"/>
                <w:szCs w:val="18"/>
                <w:lang w:val="fr-FR"/>
              </w:rPr>
              <w:t>b</w:t>
            </w:r>
            <w:r w:rsidRPr="006E424F">
              <w:rPr>
                <w:sz w:val="18"/>
                <w:szCs w:val="18"/>
                <w:lang w:val="fr-FR"/>
              </w:rPr>
              <w:t xml:space="preserve">udget et la </w:t>
            </w:r>
            <w:r>
              <w:rPr>
                <w:sz w:val="18"/>
                <w:szCs w:val="18"/>
                <w:lang w:val="fr-FR"/>
              </w:rPr>
              <w:t>c</w:t>
            </w:r>
            <w:r w:rsidRPr="006E424F">
              <w:rPr>
                <w:sz w:val="18"/>
                <w:szCs w:val="18"/>
                <w:lang w:val="fr-FR"/>
              </w:rPr>
              <w:t xml:space="preserve">onsommation des </w:t>
            </w:r>
            <w:r>
              <w:rPr>
                <w:sz w:val="18"/>
                <w:szCs w:val="18"/>
                <w:lang w:val="fr-FR"/>
              </w:rPr>
              <w:t>m</w:t>
            </w:r>
            <w:r w:rsidRPr="006E424F">
              <w:rPr>
                <w:sz w:val="18"/>
                <w:szCs w:val="18"/>
                <w:lang w:val="fr-FR"/>
              </w:rPr>
              <w:t xml:space="preserve">énages") </w:t>
            </w:r>
            <w:proofErr w:type="spellStart"/>
            <w:r w:rsidRPr="006E424F">
              <w:rPr>
                <w:sz w:val="18"/>
                <w:szCs w:val="18"/>
                <w:lang w:val="fr-FR"/>
              </w:rPr>
              <w:t>Timespan</w:t>
            </w:r>
            <w:proofErr w:type="spellEnd"/>
            <w:r w:rsidRPr="006E424F">
              <w:rPr>
                <w:sz w:val="18"/>
                <w:szCs w:val="18"/>
                <w:lang w:val="fr-FR"/>
              </w:rPr>
              <w:t xml:space="preserve">: All </w:t>
            </w:r>
            <w:proofErr w:type="spellStart"/>
            <w:r w:rsidRPr="006E424F">
              <w:rPr>
                <w:sz w:val="18"/>
                <w:szCs w:val="18"/>
                <w:lang w:val="fr-FR"/>
              </w:rPr>
              <w:t>years</w:t>
            </w:r>
            <w:proofErr w:type="spellEnd"/>
            <w:r w:rsidRPr="006E424F">
              <w:rPr>
                <w:sz w:val="18"/>
                <w:szCs w:val="18"/>
                <w:lang w:val="fr-FR"/>
              </w:rPr>
              <w:t xml:space="preserve">. </w:t>
            </w:r>
            <w:proofErr w:type="gramStart"/>
            <w:r w:rsidRPr="006E424F">
              <w:rPr>
                <w:sz w:val="18"/>
                <w:szCs w:val="18"/>
                <w:lang w:val="fr-FR"/>
              </w:rPr>
              <w:t>Indexes:</w:t>
            </w:r>
            <w:proofErr w:type="gramEnd"/>
            <w:r w:rsidRPr="006E424F">
              <w:rPr>
                <w:sz w:val="18"/>
                <w:szCs w:val="18"/>
                <w:lang w:val="fr-FR"/>
              </w:rPr>
              <w:t xml:space="preserve"> SCI-EXPANDED, SSCI, A&amp;HCI, CPCI-S, CPCI-SSH, ESCI.</w:t>
            </w:r>
          </w:p>
        </w:tc>
      </w:tr>
      <w:tr w:rsidR="00681CDB" w14:paraId="68DE037A" w14:textId="77777777" w:rsidTr="007F7EA3">
        <w:tc>
          <w:tcPr>
            <w:tcW w:w="1885" w:type="dxa"/>
          </w:tcPr>
          <w:p w14:paraId="37184B7D" w14:textId="77777777" w:rsidR="00681CDB" w:rsidRDefault="00681CDB" w:rsidP="007F7EA3">
            <w:pPr>
              <w:ind w:left="0"/>
            </w:pPr>
            <w:r>
              <w:t>PubMed</w:t>
            </w:r>
          </w:p>
        </w:tc>
        <w:tc>
          <w:tcPr>
            <w:tcW w:w="7465" w:type="dxa"/>
          </w:tcPr>
          <w:p w14:paraId="3A14C45D" w14:textId="77777777" w:rsidR="00681CDB" w:rsidRDefault="00681CDB" w:rsidP="007F7EA3">
            <w:pPr>
              <w:spacing w:before="120"/>
              <w:rPr>
                <w:sz w:val="18"/>
                <w:szCs w:val="18"/>
              </w:rPr>
            </w:pPr>
            <w:r w:rsidRPr="001776FB">
              <w:rPr>
                <w:sz w:val="18"/>
                <w:szCs w:val="18"/>
              </w:rPr>
              <w:t>Search: “household consumption and expenditure survey” AND “food consumption”</w:t>
            </w:r>
          </w:p>
          <w:p w14:paraId="49BE0857" w14:textId="77777777" w:rsidR="00681CDB" w:rsidRPr="001776FB" w:rsidRDefault="00681CDB" w:rsidP="007F7EA3">
            <w:pPr>
              <w:spacing w:before="120"/>
              <w:rPr>
                <w:sz w:val="18"/>
                <w:szCs w:val="18"/>
              </w:rPr>
            </w:pPr>
            <w:r w:rsidRPr="001776FB">
              <w:rPr>
                <w:sz w:val="18"/>
                <w:szCs w:val="18"/>
              </w:rPr>
              <w:t xml:space="preserve">Search: “household consumption and expenditure survey” AND </w:t>
            </w:r>
            <w:proofErr w:type="spellStart"/>
            <w:r>
              <w:rPr>
                <w:sz w:val="18"/>
                <w:szCs w:val="18"/>
              </w:rPr>
              <w:t>nutr</w:t>
            </w:r>
            <w:proofErr w:type="spellEnd"/>
            <w:r>
              <w:rPr>
                <w:sz w:val="18"/>
                <w:szCs w:val="18"/>
              </w:rPr>
              <w:t>*</w:t>
            </w:r>
          </w:p>
          <w:p w14:paraId="1A52C24E" w14:textId="77777777" w:rsidR="00681CDB" w:rsidRPr="001776FB" w:rsidRDefault="00681CDB" w:rsidP="007F7EA3">
            <w:pPr>
              <w:spacing w:before="120"/>
              <w:rPr>
                <w:sz w:val="18"/>
                <w:szCs w:val="18"/>
              </w:rPr>
            </w:pPr>
            <w:r w:rsidRPr="001776FB">
              <w:rPr>
                <w:sz w:val="18"/>
                <w:szCs w:val="18"/>
              </w:rPr>
              <w:t>Search: "integrated household survey"</w:t>
            </w:r>
          </w:p>
          <w:p w14:paraId="73F4F5DC" w14:textId="77777777" w:rsidR="00681CDB" w:rsidRPr="001776FB" w:rsidRDefault="00681CDB" w:rsidP="007F7EA3">
            <w:pPr>
              <w:spacing w:before="120"/>
              <w:rPr>
                <w:sz w:val="18"/>
                <w:szCs w:val="18"/>
              </w:rPr>
            </w:pPr>
            <w:r w:rsidRPr="001776FB">
              <w:rPr>
                <w:sz w:val="18"/>
                <w:szCs w:val="18"/>
              </w:rPr>
              <w:t>Search: "living standards measurement study"</w:t>
            </w:r>
          </w:p>
          <w:p w14:paraId="1788FCB9" w14:textId="77777777" w:rsidR="00681CDB" w:rsidRDefault="00681CDB" w:rsidP="007F7EA3">
            <w:pPr>
              <w:spacing w:before="120"/>
              <w:rPr>
                <w:sz w:val="18"/>
                <w:szCs w:val="18"/>
              </w:rPr>
            </w:pPr>
            <w:r w:rsidRPr="001776FB">
              <w:rPr>
                <w:sz w:val="18"/>
                <w:szCs w:val="18"/>
              </w:rPr>
              <w:t>Search: "living conditions monitoring survey" AND “food consumption”</w:t>
            </w:r>
          </w:p>
          <w:p w14:paraId="7D540C29" w14:textId="77777777" w:rsidR="00681CDB" w:rsidRPr="001776FB" w:rsidRDefault="00681CDB" w:rsidP="007F7EA3">
            <w:pPr>
              <w:spacing w:before="120"/>
              <w:rPr>
                <w:sz w:val="18"/>
                <w:szCs w:val="18"/>
              </w:rPr>
            </w:pPr>
            <w:r w:rsidRPr="001776FB">
              <w:rPr>
                <w:sz w:val="18"/>
                <w:szCs w:val="18"/>
              </w:rPr>
              <w:t xml:space="preserve">Search: "living conditions monitoring survey" AND </w:t>
            </w:r>
            <w:proofErr w:type="spellStart"/>
            <w:r>
              <w:rPr>
                <w:sz w:val="18"/>
                <w:szCs w:val="18"/>
              </w:rPr>
              <w:t>nutr</w:t>
            </w:r>
            <w:proofErr w:type="spellEnd"/>
            <w:r>
              <w:rPr>
                <w:sz w:val="18"/>
                <w:szCs w:val="18"/>
              </w:rPr>
              <w:t>*</w:t>
            </w:r>
          </w:p>
          <w:p w14:paraId="1C6381A0" w14:textId="77777777" w:rsidR="00681CDB" w:rsidRPr="001776FB" w:rsidRDefault="00681CDB" w:rsidP="007F7EA3">
            <w:pPr>
              <w:spacing w:before="120"/>
              <w:rPr>
                <w:sz w:val="18"/>
                <w:szCs w:val="18"/>
              </w:rPr>
            </w:pPr>
            <w:r w:rsidRPr="001776FB">
              <w:rPr>
                <w:sz w:val="18"/>
                <w:szCs w:val="18"/>
              </w:rPr>
              <w:t>Search: "</w:t>
            </w:r>
            <w:r>
              <w:rPr>
                <w:sz w:val="18"/>
                <w:szCs w:val="18"/>
              </w:rPr>
              <w:t>n</w:t>
            </w:r>
            <w:r w:rsidRPr="001776FB">
              <w:rPr>
                <w:sz w:val="18"/>
                <w:szCs w:val="18"/>
              </w:rPr>
              <w:t xml:space="preserve">ational </w:t>
            </w:r>
            <w:r>
              <w:rPr>
                <w:sz w:val="18"/>
                <w:szCs w:val="18"/>
              </w:rPr>
              <w:t>r</w:t>
            </w:r>
            <w:r w:rsidRPr="001776FB">
              <w:rPr>
                <w:sz w:val="18"/>
                <w:szCs w:val="18"/>
              </w:rPr>
              <w:t xml:space="preserve">isk and </w:t>
            </w:r>
            <w:r>
              <w:rPr>
                <w:sz w:val="18"/>
                <w:szCs w:val="18"/>
              </w:rPr>
              <w:t>v</w:t>
            </w:r>
            <w:r w:rsidRPr="001776FB">
              <w:rPr>
                <w:sz w:val="18"/>
                <w:szCs w:val="18"/>
              </w:rPr>
              <w:t xml:space="preserve">ulnerability </w:t>
            </w:r>
            <w:r>
              <w:rPr>
                <w:sz w:val="18"/>
                <w:szCs w:val="18"/>
              </w:rPr>
              <w:t>a</w:t>
            </w:r>
            <w:r w:rsidRPr="001776FB">
              <w:rPr>
                <w:sz w:val="18"/>
                <w:szCs w:val="18"/>
              </w:rPr>
              <w:t>ssessment"</w:t>
            </w:r>
          </w:p>
          <w:p w14:paraId="30708D00" w14:textId="77777777" w:rsidR="00681CDB" w:rsidRPr="001776FB" w:rsidRDefault="00681CDB" w:rsidP="007F7EA3">
            <w:pPr>
              <w:spacing w:before="120"/>
              <w:rPr>
                <w:sz w:val="18"/>
                <w:szCs w:val="18"/>
              </w:rPr>
            </w:pPr>
            <w:r w:rsidRPr="001776FB">
              <w:rPr>
                <w:sz w:val="18"/>
                <w:szCs w:val="18"/>
              </w:rPr>
              <w:t>Search: "</w:t>
            </w:r>
            <w:r>
              <w:rPr>
                <w:sz w:val="18"/>
                <w:szCs w:val="18"/>
              </w:rPr>
              <w:t>c</w:t>
            </w:r>
            <w:r w:rsidRPr="001776FB">
              <w:rPr>
                <w:sz w:val="18"/>
                <w:szCs w:val="18"/>
              </w:rPr>
              <w:t xml:space="preserve">ore </w:t>
            </w:r>
            <w:r>
              <w:rPr>
                <w:sz w:val="18"/>
                <w:szCs w:val="18"/>
              </w:rPr>
              <w:t>w</w:t>
            </w:r>
            <w:r w:rsidRPr="001776FB">
              <w:rPr>
                <w:sz w:val="18"/>
                <w:szCs w:val="18"/>
              </w:rPr>
              <w:t xml:space="preserve">elfare </w:t>
            </w:r>
            <w:r>
              <w:rPr>
                <w:sz w:val="18"/>
                <w:szCs w:val="18"/>
              </w:rPr>
              <w:t>i</w:t>
            </w:r>
            <w:r w:rsidRPr="001776FB">
              <w:rPr>
                <w:sz w:val="18"/>
                <w:szCs w:val="18"/>
              </w:rPr>
              <w:t xml:space="preserve">ndicators </w:t>
            </w:r>
            <w:r>
              <w:rPr>
                <w:sz w:val="18"/>
                <w:szCs w:val="18"/>
              </w:rPr>
              <w:t>q</w:t>
            </w:r>
            <w:r w:rsidRPr="001776FB">
              <w:rPr>
                <w:sz w:val="18"/>
                <w:szCs w:val="18"/>
              </w:rPr>
              <w:t>uestionnaire"</w:t>
            </w:r>
          </w:p>
        </w:tc>
      </w:tr>
      <w:tr w:rsidR="00681CDB" w14:paraId="7DC5AEF2" w14:textId="77777777" w:rsidTr="007F7EA3">
        <w:tc>
          <w:tcPr>
            <w:tcW w:w="1885" w:type="dxa"/>
          </w:tcPr>
          <w:p w14:paraId="28384E4A" w14:textId="77777777" w:rsidR="00681CDB" w:rsidRDefault="00681CDB" w:rsidP="007F7EA3">
            <w:pPr>
              <w:ind w:left="0"/>
            </w:pPr>
            <w:proofErr w:type="spellStart"/>
            <w:r>
              <w:t>AgEcon</w:t>
            </w:r>
            <w:proofErr w:type="spellEnd"/>
          </w:p>
        </w:tc>
        <w:tc>
          <w:tcPr>
            <w:tcW w:w="7465" w:type="dxa"/>
          </w:tcPr>
          <w:p w14:paraId="13204719"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"household consumption and expenditure survey"</w:t>
            </w:r>
          </w:p>
          <w:p w14:paraId="5854583B"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"living standards measurement study"</w:t>
            </w:r>
          </w:p>
          <w:p w14:paraId="36C9BA95"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“household budget survey” </w:t>
            </w:r>
            <w:r>
              <w:rPr>
                <w:sz w:val="18"/>
                <w:szCs w:val="18"/>
              </w:rPr>
              <w:t xml:space="preserve">AND </w:t>
            </w:r>
            <w:proofErr w:type="spellStart"/>
            <w:r w:rsidRPr="005058B3">
              <w:rPr>
                <w:sz w:val="18"/>
                <w:szCs w:val="18"/>
              </w:rPr>
              <w:t>nutr</w:t>
            </w:r>
            <w:proofErr w:type="spellEnd"/>
            <w:r>
              <w:rPr>
                <w:sz w:val="18"/>
                <w:szCs w:val="18"/>
              </w:rPr>
              <w:t>*</w:t>
            </w:r>
          </w:p>
          <w:p w14:paraId="7407B639" w14:textId="77777777" w:rsidR="00681CDB" w:rsidRDefault="00681CDB" w:rsidP="007F7EA3">
            <w:pPr>
              <w:spacing w:before="120"/>
              <w:rPr>
                <w:sz w:val="18"/>
                <w:szCs w:val="18"/>
              </w:rPr>
            </w:pPr>
            <w:proofErr w:type="gramStart"/>
            <w:r w:rsidRPr="005058B3">
              <w:rPr>
                <w:sz w:val="18"/>
                <w:szCs w:val="18"/>
              </w:rPr>
              <w:lastRenderedPageBreak/>
              <w:t>Query :</w:t>
            </w:r>
            <w:proofErr w:type="gramEnd"/>
            <w:r w:rsidRPr="005058B3">
              <w:rPr>
                <w:sz w:val="18"/>
                <w:szCs w:val="18"/>
              </w:rPr>
              <w:t xml:space="preserve"> “household budget survey” </w:t>
            </w:r>
            <w:r>
              <w:rPr>
                <w:sz w:val="18"/>
                <w:szCs w:val="18"/>
              </w:rPr>
              <w:t>AND vitamin</w:t>
            </w:r>
          </w:p>
          <w:p w14:paraId="66E6AF93"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“household budget survey” </w:t>
            </w:r>
            <w:r>
              <w:rPr>
                <w:sz w:val="18"/>
                <w:szCs w:val="18"/>
              </w:rPr>
              <w:t>AND mineral</w:t>
            </w:r>
          </w:p>
          <w:p w14:paraId="3AEA98CF"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“household budget survey” </w:t>
            </w:r>
            <w:r>
              <w:rPr>
                <w:sz w:val="18"/>
                <w:szCs w:val="18"/>
              </w:rPr>
              <w:t>AND micronutrient</w:t>
            </w:r>
          </w:p>
          <w:p w14:paraId="54F50115"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“household budget survey” </w:t>
            </w:r>
            <w:r>
              <w:rPr>
                <w:sz w:val="18"/>
                <w:szCs w:val="18"/>
              </w:rPr>
              <w:t>AND energy intake</w:t>
            </w:r>
          </w:p>
          <w:p w14:paraId="56377232" w14:textId="77777777" w:rsidR="00681CDB" w:rsidRDefault="00681CDB" w:rsidP="007F7EA3">
            <w:pPr>
              <w:spacing w:before="120"/>
              <w:rPr>
                <w:sz w:val="18"/>
                <w:szCs w:val="18"/>
              </w:rPr>
            </w:pPr>
            <w:proofErr w:type="gramStart"/>
            <w:r w:rsidRPr="005058B3">
              <w:rPr>
                <w:sz w:val="18"/>
                <w:szCs w:val="18"/>
              </w:rPr>
              <w:t>Query :</w:t>
            </w:r>
            <w:proofErr w:type="gramEnd"/>
            <w:r>
              <w:rPr>
                <w:sz w:val="18"/>
                <w:szCs w:val="18"/>
              </w:rPr>
              <w:t xml:space="preserve"> </w:t>
            </w:r>
            <w:r w:rsidRPr="005058B3">
              <w:rPr>
                <w:sz w:val="18"/>
                <w:szCs w:val="18"/>
              </w:rPr>
              <w:t>“income and expenditure survey”</w:t>
            </w:r>
            <w:r>
              <w:rPr>
                <w:sz w:val="18"/>
                <w:szCs w:val="18"/>
              </w:rPr>
              <w:t xml:space="preserve"> AND </w:t>
            </w:r>
            <w:proofErr w:type="spellStart"/>
            <w:r w:rsidRPr="005058B3">
              <w:rPr>
                <w:sz w:val="18"/>
                <w:szCs w:val="18"/>
              </w:rPr>
              <w:t>nutr</w:t>
            </w:r>
            <w:proofErr w:type="spellEnd"/>
            <w:r>
              <w:rPr>
                <w:sz w:val="18"/>
                <w:szCs w:val="18"/>
              </w:rPr>
              <w:t>*</w:t>
            </w:r>
          </w:p>
          <w:p w14:paraId="2824D3C3"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“income and expenditure survey”</w:t>
            </w:r>
            <w:r>
              <w:rPr>
                <w:sz w:val="18"/>
                <w:szCs w:val="18"/>
              </w:rPr>
              <w:t xml:space="preserve"> AND vitamin</w:t>
            </w:r>
          </w:p>
          <w:p w14:paraId="27DCB363"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“income and expenditure survey”</w:t>
            </w:r>
            <w:r>
              <w:rPr>
                <w:sz w:val="18"/>
                <w:szCs w:val="18"/>
              </w:rPr>
              <w:t xml:space="preserve"> AND mineral</w:t>
            </w:r>
          </w:p>
          <w:p w14:paraId="58DAA4BF"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“income and expenditure survey”</w:t>
            </w:r>
            <w:r>
              <w:rPr>
                <w:sz w:val="18"/>
                <w:szCs w:val="18"/>
              </w:rPr>
              <w:t xml:space="preserve"> AND micronutrient</w:t>
            </w:r>
          </w:p>
          <w:p w14:paraId="56EF0DAD"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“income and expenditure survey”</w:t>
            </w:r>
            <w:r>
              <w:rPr>
                <w:sz w:val="18"/>
                <w:szCs w:val="18"/>
              </w:rPr>
              <w:t xml:space="preserve"> AND energy intake</w:t>
            </w:r>
          </w:p>
          <w:p w14:paraId="2BEC7AF8" w14:textId="77777777" w:rsidR="00681CDB"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w:t>
            </w:r>
            <w:r w:rsidRPr="001776FB">
              <w:rPr>
                <w:sz w:val="18"/>
                <w:szCs w:val="18"/>
              </w:rPr>
              <w:t>living conditions monitoring survey</w:t>
            </w:r>
            <w:r w:rsidRPr="005058B3">
              <w:rPr>
                <w:sz w:val="18"/>
                <w:szCs w:val="18"/>
              </w:rPr>
              <w:t>"</w:t>
            </w:r>
          </w:p>
          <w:p w14:paraId="2A363CC2" w14:textId="77777777" w:rsidR="00681CDB" w:rsidRPr="00BB70EC" w:rsidRDefault="00681CDB" w:rsidP="007F7EA3">
            <w:pPr>
              <w:spacing w:before="120"/>
              <w:rPr>
                <w:sz w:val="18"/>
                <w:szCs w:val="18"/>
              </w:rPr>
            </w:pPr>
            <w:proofErr w:type="gramStart"/>
            <w:r w:rsidRPr="005058B3">
              <w:rPr>
                <w:sz w:val="18"/>
                <w:szCs w:val="18"/>
              </w:rPr>
              <w:t>Query :</w:t>
            </w:r>
            <w:proofErr w:type="gramEnd"/>
            <w:r w:rsidRPr="005058B3">
              <w:rPr>
                <w:sz w:val="18"/>
                <w:szCs w:val="18"/>
              </w:rPr>
              <w:t xml:space="preserve"> "</w:t>
            </w:r>
            <w:r w:rsidRPr="001776FB">
              <w:rPr>
                <w:sz w:val="18"/>
                <w:szCs w:val="18"/>
              </w:rPr>
              <w:t>integrated household survey</w:t>
            </w:r>
            <w:r w:rsidRPr="005058B3">
              <w:rPr>
                <w:sz w:val="18"/>
                <w:szCs w:val="18"/>
              </w:rPr>
              <w:t>"</w:t>
            </w:r>
          </w:p>
        </w:tc>
      </w:tr>
      <w:tr w:rsidR="00681CDB" w14:paraId="72481E92" w14:textId="77777777" w:rsidTr="007F7EA3">
        <w:tc>
          <w:tcPr>
            <w:tcW w:w="1885" w:type="dxa"/>
          </w:tcPr>
          <w:p w14:paraId="23D57D44" w14:textId="77777777" w:rsidR="00681CDB" w:rsidRDefault="00681CDB" w:rsidP="007F7EA3">
            <w:pPr>
              <w:ind w:left="0"/>
            </w:pPr>
            <w:r>
              <w:lastRenderedPageBreak/>
              <w:t>GARDIAN CGIAR</w:t>
            </w:r>
          </w:p>
        </w:tc>
        <w:tc>
          <w:tcPr>
            <w:tcW w:w="7465" w:type="dxa"/>
          </w:tcPr>
          <w:p w14:paraId="50335D36" w14:textId="77777777" w:rsidR="00681CDB" w:rsidRPr="00F21950" w:rsidRDefault="00681CDB" w:rsidP="007F7EA3">
            <w:pPr>
              <w:spacing w:before="120"/>
              <w:rPr>
                <w:sz w:val="18"/>
                <w:szCs w:val="18"/>
              </w:rPr>
            </w:pPr>
            <w:r w:rsidRPr="00F21950">
              <w:rPr>
                <w:sz w:val="18"/>
                <w:szCs w:val="18"/>
              </w:rPr>
              <w:t>household consumption and expenditure survey</w:t>
            </w:r>
          </w:p>
          <w:p w14:paraId="5D8BD3B5" w14:textId="77777777" w:rsidR="00681CDB" w:rsidRPr="00F21950" w:rsidRDefault="00681CDB" w:rsidP="007F7EA3">
            <w:pPr>
              <w:spacing w:before="120"/>
              <w:rPr>
                <w:sz w:val="18"/>
                <w:szCs w:val="18"/>
              </w:rPr>
            </w:pPr>
            <w:r w:rsidRPr="00F21950">
              <w:rPr>
                <w:sz w:val="18"/>
                <w:szCs w:val="18"/>
              </w:rPr>
              <w:t>living standards measurement study</w:t>
            </w:r>
          </w:p>
          <w:p w14:paraId="5845A097" w14:textId="77777777" w:rsidR="00681CDB" w:rsidRPr="00F21950" w:rsidRDefault="00681CDB" w:rsidP="007F7EA3">
            <w:pPr>
              <w:spacing w:before="120"/>
              <w:rPr>
                <w:sz w:val="18"/>
                <w:szCs w:val="18"/>
              </w:rPr>
            </w:pPr>
            <w:r>
              <w:rPr>
                <w:sz w:val="18"/>
                <w:szCs w:val="18"/>
              </w:rPr>
              <w:t>“</w:t>
            </w:r>
            <w:proofErr w:type="gramStart"/>
            <w:r w:rsidRPr="00F21950">
              <w:rPr>
                <w:sz w:val="18"/>
                <w:szCs w:val="18"/>
              </w:rPr>
              <w:t>integrated</w:t>
            </w:r>
            <w:proofErr w:type="gramEnd"/>
            <w:r w:rsidRPr="00F21950">
              <w:rPr>
                <w:sz w:val="18"/>
                <w:szCs w:val="18"/>
              </w:rPr>
              <w:t xml:space="preserve"> household survey</w:t>
            </w:r>
            <w:r>
              <w:rPr>
                <w:sz w:val="18"/>
                <w:szCs w:val="18"/>
              </w:rPr>
              <w:t xml:space="preserve">” AND </w:t>
            </w:r>
            <w:proofErr w:type="spellStart"/>
            <w:r>
              <w:rPr>
                <w:sz w:val="18"/>
                <w:szCs w:val="18"/>
              </w:rPr>
              <w:t>nutri</w:t>
            </w:r>
            <w:proofErr w:type="spellEnd"/>
            <w:r>
              <w:rPr>
                <w:sz w:val="18"/>
                <w:szCs w:val="18"/>
              </w:rPr>
              <w:t>*</w:t>
            </w:r>
          </w:p>
          <w:p w14:paraId="022EB8E5" w14:textId="77777777" w:rsidR="00681CDB" w:rsidRPr="00F21950" w:rsidRDefault="00681CDB" w:rsidP="007F7EA3">
            <w:pPr>
              <w:spacing w:before="120"/>
              <w:rPr>
                <w:sz w:val="18"/>
                <w:szCs w:val="18"/>
              </w:rPr>
            </w:pPr>
            <w:r w:rsidRPr="00F21950">
              <w:rPr>
                <w:sz w:val="18"/>
                <w:szCs w:val="18"/>
              </w:rPr>
              <w:t>living conditions monitoring survey</w:t>
            </w:r>
          </w:p>
          <w:p w14:paraId="5577DC37" w14:textId="77777777" w:rsidR="00681CDB" w:rsidRPr="001776FB" w:rsidRDefault="00681CDB" w:rsidP="007F7EA3">
            <w:pPr>
              <w:spacing w:before="120"/>
              <w:rPr>
                <w:sz w:val="18"/>
                <w:szCs w:val="18"/>
              </w:rPr>
            </w:pPr>
            <w:r w:rsidRPr="00F21950">
              <w:rPr>
                <w:sz w:val="18"/>
                <w:szCs w:val="18"/>
              </w:rPr>
              <w:t>household budget survey</w:t>
            </w:r>
          </w:p>
        </w:tc>
      </w:tr>
      <w:tr w:rsidR="00681CDB" w14:paraId="72751054" w14:textId="77777777" w:rsidTr="007F7EA3">
        <w:tc>
          <w:tcPr>
            <w:tcW w:w="1885" w:type="dxa"/>
          </w:tcPr>
          <w:p w14:paraId="53C9A9CB" w14:textId="77777777" w:rsidR="00681CDB" w:rsidRDefault="00681CDB" w:rsidP="007F7EA3">
            <w:pPr>
              <w:ind w:left="0"/>
            </w:pPr>
            <w:r>
              <w:t>AGRIS</w:t>
            </w:r>
          </w:p>
        </w:tc>
        <w:tc>
          <w:tcPr>
            <w:tcW w:w="7465" w:type="dxa"/>
          </w:tcPr>
          <w:p w14:paraId="7A83BA2B" w14:textId="77777777" w:rsidR="00681CDB" w:rsidRDefault="00681CDB" w:rsidP="007F7EA3">
            <w:pPr>
              <w:spacing w:before="120"/>
              <w:rPr>
                <w:sz w:val="18"/>
                <w:szCs w:val="18"/>
              </w:rPr>
            </w:pPr>
            <w:proofErr w:type="gramStart"/>
            <w:r w:rsidRPr="007949B3">
              <w:rPr>
                <w:sz w:val="18"/>
                <w:szCs w:val="18"/>
              </w:rPr>
              <w:t>Query :</w:t>
            </w:r>
            <w:proofErr w:type="gramEnd"/>
            <w:r w:rsidRPr="007949B3">
              <w:rPr>
                <w:sz w:val="18"/>
                <w:szCs w:val="18"/>
              </w:rPr>
              <w:t xml:space="preserve"> "household consumption and expenditure survey"</w:t>
            </w:r>
          </w:p>
          <w:p w14:paraId="2A89F344"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"living standards measurement study"</w:t>
            </w:r>
          </w:p>
          <w:p w14:paraId="0946440F"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 xml:space="preserve">“household budget survey” </w:t>
            </w:r>
            <w:r>
              <w:rPr>
                <w:sz w:val="18"/>
                <w:szCs w:val="18"/>
              </w:rPr>
              <w:t xml:space="preserve">AND </w:t>
            </w:r>
            <w:proofErr w:type="spellStart"/>
            <w:r w:rsidRPr="007949B3">
              <w:rPr>
                <w:sz w:val="18"/>
                <w:szCs w:val="18"/>
              </w:rPr>
              <w:t>nutr</w:t>
            </w:r>
            <w:r>
              <w:rPr>
                <w:sz w:val="18"/>
                <w:szCs w:val="18"/>
              </w:rPr>
              <w:t>i</w:t>
            </w:r>
            <w:proofErr w:type="spellEnd"/>
            <w:r>
              <w:rPr>
                <w:sz w:val="18"/>
                <w:szCs w:val="18"/>
              </w:rPr>
              <w:t>*</w:t>
            </w:r>
          </w:p>
          <w:p w14:paraId="67ADAA72"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 xml:space="preserve">“household budget survey” </w:t>
            </w:r>
            <w:r>
              <w:rPr>
                <w:sz w:val="18"/>
                <w:szCs w:val="18"/>
              </w:rPr>
              <w:t>AND energy</w:t>
            </w:r>
          </w:p>
          <w:p w14:paraId="0C70BDB2"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 xml:space="preserve">“household budget survey” </w:t>
            </w:r>
            <w:r>
              <w:rPr>
                <w:sz w:val="18"/>
                <w:szCs w:val="18"/>
              </w:rPr>
              <w:t>AND vitamin</w:t>
            </w:r>
          </w:p>
          <w:p w14:paraId="5C2A06D1"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 xml:space="preserve">“household budget survey” </w:t>
            </w:r>
            <w:r>
              <w:rPr>
                <w:sz w:val="18"/>
                <w:szCs w:val="18"/>
              </w:rPr>
              <w:t>AND mineral</w:t>
            </w:r>
          </w:p>
          <w:p w14:paraId="53545FC2"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 xml:space="preserve">“household budget survey” </w:t>
            </w:r>
            <w:r>
              <w:rPr>
                <w:sz w:val="18"/>
                <w:szCs w:val="18"/>
              </w:rPr>
              <w:t>AND micronutrient</w:t>
            </w:r>
          </w:p>
          <w:p w14:paraId="66EA7B87"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“income and expenditure survey”</w:t>
            </w:r>
            <w:r>
              <w:rPr>
                <w:sz w:val="18"/>
                <w:szCs w:val="18"/>
              </w:rPr>
              <w:t xml:space="preserve"> AND </w:t>
            </w:r>
            <w:proofErr w:type="spellStart"/>
            <w:r w:rsidRPr="007949B3">
              <w:rPr>
                <w:sz w:val="18"/>
                <w:szCs w:val="18"/>
              </w:rPr>
              <w:t>nutr</w:t>
            </w:r>
            <w:r>
              <w:rPr>
                <w:sz w:val="18"/>
                <w:szCs w:val="18"/>
              </w:rPr>
              <w:t>i</w:t>
            </w:r>
            <w:proofErr w:type="spellEnd"/>
            <w:r>
              <w:rPr>
                <w:sz w:val="18"/>
                <w:szCs w:val="18"/>
              </w:rPr>
              <w:t>*</w:t>
            </w:r>
          </w:p>
          <w:p w14:paraId="4C91D304"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“income and expenditure survey”</w:t>
            </w:r>
            <w:r>
              <w:rPr>
                <w:sz w:val="18"/>
                <w:szCs w:val="18"/>
              </w:rPr>
              <w:t xml:space="preserve"> AND energy</w:t>
            </w:r>
          </w:p>
          <w:p w14:paraId="11592CA7"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“income and expenditure survey”</w:t>
            </w:r>
            <w:r>
              <w:rPr>
                <w:sz w:val="18"/>
                <w:szCs w:val="18"/>
              </w:rPr>
              <w:t xml:space="preserve"> AND vitamin</w:t>
            </w:r>
          </w:p>
          <w:p w14:paraId="2512C13C"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“income and expenditure survey”</w:t>
            </w:r>
            <w:r>
              <w:rPr>
                <w:sz w:val="18"/>
                <w:szCs w:val="18"/>
              </w:rPr>
              <w:t xml:space="preserve"> AND mineral</w:t>
            </w:r>
          </w:p>
          <w:p w14:paraId="5B8BE7F9" w14:textId="77777777" w:rsidR="00681CDB" w:rsidRDefault="00681CDB" w:rsidP="007F7EA3">
            <w:pPr>
              <w:spacing w:before="120"/>
              <w:rPr>
                <w:sz w:val="18"/>
                <w:szCs w:val="18"/>
              </w:rPr>
            </w:pPr>
            <w:proofErr w:type="gramStart"/>
            <w:r w:rsidRPr="007949B3">
              <w:rPr>
                <w:sz w:val="18"/>
                <w:szCs w:val="18"/>
              </w:rPr>
              <w:t>Query :</w:t>
            </w:r>
            <w:proofErr w:type="gramEnd"/>
            <w:r>
              <w:rPr>
                <w:sz w:val="18"/>
                <w:szCs w:val="18"/>
              </w:rPr>
              <w:t xml:space="preserve"> </w:t>
            </w:r>
            <w:r w:rsidRPr="007949B3">
              <w:rPr>
                <w:sz w:val="18"/>
                <w:szCs w:val="18"/>
              </w:rPr>
              <w:t>“income and expenditure survey”</w:t>
            </w:r>
            <w:r>
              <w:rPr>
                <w:sz w:val="18"/>
                <w:szCs w:val="18"/>
              </w:rPr>
              <w:t xml:space="preserve"> AND micronutrient</w:t>
            </w:r>
          </w:p>
          <w:p w14:paraId="214F18BF" w14:textId="77777777" w:rsidR="00681CDB" w:rsidRPr="001776FB" w:rsidRDefault="00681CDB" w:rsidP="007F7EA3">
            <w:pPr>
              <w:spacing w:before="120"/>
              <w:rPr>
                <w:sz w:val="18"/>
                <w:szCs w:val="18"/>
              </w:rPr>
            </w:pPr>
            <w:proofErr w:type="gramStart"/>
            <w:r w:rsidRPr="007949B3">
              <w:rPr>
                <w:sz w:val="18"/>
                <w:szCs w:val="18"/>
              </w:rPr>
              <w:t>Query :</w:t>
            </w:r>
            <w:proofErr w:type="gramEnd"/>
            <w:r>
              <w:rPr>
                <w:sz w:val="18"/>
                <w:szCs w:val="18"/>
              </w:rPr>
              <w:t xml:space="preserve"> “integrated household survey”</w:t>
            </w:r>
          </w:p>
        </w:tc>
      </w:tr>
      <w:tr w:rsidR="00681CDB" w14:paraId="6C5F6652" w14:textId="77777777" w:rsidTr="007F7EA3">
        <w:tc>
          <w:tcPr>
            <w:tcW w:w="1885" w:type="dxa"/>
          </w:tcPr>
          <w:p w14:paraId="10006885" w14:textId="77777777" w:rsidR="00681CDB" w:rsidRDefault="00681CDB" w:rsidP="007F7EA3">
            <w:pPr>
              <w:ind w:left="0"/>
            </w:pPr>
            <w:r>
              <w:t>JSTOR</w:t>
            </w:r>
          </w:p>
        </w:tc>
        <w:tc>
          <w:tcPr>
            <w:tcW w:w="7465" w:type="dxa"/>
          </w:tcPr>
          <w:p w14:paraId="7AB66F7C" w14:textId="77777777" w:rsidR="00681CDB" w:rsidRPr="00F21950" w:rsidRDefault="00681CDB" w:rsidP="007F7EA3">
            <w:pPr>
              <w:spacing w:before="120"/>
              <w:rPr>
                <w:sz w:val="18"/>
                <w:szCs w:val="18"/>
              </w:rPr>
            </w:pPr>
            <w:r w:rsidRPr="00F21950">
              <w:rPr>
                <w:sz w:val="18"/>
                <w:szCs w:val="18"/>
              </w:rPr>
              <w:t>((“household consumption and expenditure survey”) AND (</w:t>
            </w:r>
            <w:proofErr w:type="spellStart"/>
            <w:r w:rsidRPr="00F21950">
              <w:rPr>
                <w:sz w:val="18"/>
                <w:szCs w:val="18"/>
              </w:rPr>
              <w:t>nutr</w:t>
            </w:r>
            <w:proofErr w:type="spellEnd"/>
            <w:r w:rsidRPr="00F21950">
              <w:rPr>
                <w:sz w:val="18"/>
                <w:szCs w:val="18"/>
              </w:rPr>
              <w:t>*))</w:t>
            </w:r>
          </w:p>
          <w:p w14:paraId="43DFD897" w14:textId="77777777" w:rsidR="00681CDB" w:rsidRPr="00F21950" w:rsidRDefault="00681CDB" w:rsidP="007F7EA3">
            <w:pPr>
              <w:spacing w:before="120"/>
              <w:rPr>
                <w:sz w:val="18"/>
                <w:szCs w:val="18"/>
              </w:rPr>
            </w:pPr>
            <w:r w:rsidRPr="00F21950">
              <w:rPr>
                <w:sz w:val="18"/>
                <w:szCs w:val="18"/>
              </w:rPr>
              <w:t>((("living standards measurement study") AND (food)) AND (consumption))</w:t>
            </w:r>
          </w:p>
          <w:p w14:paraId="7D84EC19" w14:textId="77777777" w:rsidR="00681CDB" w:rsidRPr="00F21950" w:rsidRDefault="00681CDB" w:rsidP="007F7EA3">
            <w:pPr>
              <w:spacing w:before="120"/>
              <w:rPr>
                <w:sz w:val="18"/>
                <w:szCs w:val="18"/>
              </w:rPr>
            </w:pPr>
            <w:r w:rsidRPr="00F21950">
              <w:rPr>
                <w:sz w:val="18"/>
                <w:szCs w:val="18"/>
              </w:rPr>
              <w:t>(("living standards measurement study") AND (</w:t>
            </w:r>
            <w:proofErr w:type="spellStart"/>
            <w:r w:rsidRPr="00F21950">
              <w:rPr>
                <w:sz w:val="18"/>
                <w:szCs w:val="18"/>
              </w:rPr>
              <w:t>nutr</w:t>
            </w:r>
            <w:proofErr w:type="spellEnd"/>
            <w:r w:rsidRPr="00F21950">
              <w:rPr>
                <w:sz w:val="18"/>
                <w:szCs w:val="18"/>
              </w:rPr>
              <w:t>*))</w:t>
            </w:r>
          </w:p>
          <w:p w14:paraId="6F6273B7" w14:textId="77777777" w:rsidR="00681CDB" w:rsidRPr="00F21950" w:rsidRDefault="00681CDB" w:rsidP="007F7EA3">
            <w:pPr>
              <w:spacing w:before="120"/>
              <w:rPr>
                <w:sz w:val="18"/>
                <w:szCs w:val="18"/>
              </w:rPr>
            </w:pPr>
            <w:r w:rsidRPr="00F21950">
              <w:rPr>
                <w:sz w:val="18"/>
                <w:szCs w:val="18"/>
              </w:rPr>
              <w:t>((("integrated household survey") AND (food)) AND (consumption))</w:t>
            </w:r>
          </w:p>
          <w:p w14:paraId="2EFE1E68" w14:textId="77777777" w:rsidR="00681CDB" w:rsidRPr="00F21950" w:rsidRDefault="00681CDB" w:rsidP="007F7EA3">
            <w:pPr>
              <w:spacing w:before="120"/>
              <w:rPr>
                <w:sz w:val="18"/>
                <w:szCs w:val="18"/>
              </w:rPr>
            </w:pPr>
            <w:r w:rsidRPr="00F21950">
              <w:rPr>
                <w:sz w:val="18"/>
                <w:szCs w:val="18"/>
              </w:rPr>
              <w:t>((("integrated household survey") AND (</w:t>
            </w:r>
            <w:proofErr w:type="spellStart"/>
            <w:r w:rsidRPr="00F21950">
              <w:rPr>
                <w:sz w:val="18"/>
                <w:szCs w:val="18"/>
              </w:rPr>
              <w:t>nutr</w:t>
            </w:r>
            <w:proofErr w:type="spellEnd"/>
            <w:r w:rsidRPr="00F21950">
              <w:rPr>
                <w:sz w:val="18"/>
                <w:szCs w:val="18"/>
              </w:rPr>
              <w:t>*)))</w:t>
            </w:r>
          </w:p>
          <w:p w14:paraId="65E1370C" w14:textId="77777777" w:rsidR="00681CDB" w:rsidRPr="00F21950" w:rsidRDefault="00681CDB" w:rsidP="007F7EA3">
            <w:pPr>
              <w:spacing w:before="120"/>
              <w:rPr>
                <w:sz w:val="18"/>
                <w:szCs w:val="18"/>
              </w:rPr>
            </w:pPr>
            <w:r w:rsidRPr="00F21950">
              <w:rPr>
                <w:sz w:val="18"/>
                <w:szCs w:val="18"/>
              </w:rPr>
              <w:t>((("integrated household survey") AND (micronutrient)))</w:t>
            </w:r>
          </w:p>
          <w:p w14:paraId="0C09BB34" w14:textId="77777777" w:rsidR="00681CDB" w:rsidRPr="00F21950" w:rsidRDefault="00681CDB" w:rsidP="007F7EA3">
            <w:pPr>
              <w:spacing w:before="120"/>
              <w:ind w:left="0"/>
              <w:rPr>
                <w:sz w:val="18"/>
                <w:szCs w:val="18"/>
              </w:rPr>
            </w:pPr>
            <w:r w:rsidRPr="00F21950">
              <w:rPr>
                <w:sz w:val="18"/>
                <w:szCs w:val="18"/>
              </w:rPr>
              <w:t>((“living conditions monitoring survey”) AND (</w:t>
            </w:r>
            <w:proofErr w:type="spellStart"/>
            <w:r w:rsidRPr="00F21950">
              <w:rPr>
                <w:sz w:val="18"/>
                <w:szCs w:val="18"/>
              </w:rPr>
              <w:t>nutr</w:t>
            </w:r>
            <w:proofErr w:type="spellEnd"/>
            <w:r w:rsidRPr="00F21950">
              <w:rPr>
                <w:sz w:val="18"/>
                <w:szCs w:val="18"/>
              </w:rPr>
              <w:t>*))</w:t>
            </w:r>
          </w:p>
        </w:tc>
      </w:tr>
      <w:tr w:rsidR="00681CDB" w14:paraId="3E7B76E3" w14:textId="77777777" w:rsidTr="007F7EA3">
        <w:tc>
          <w:tcPr>
            <w:tcW w:w="1885" w:type="dxa"/>
          </w:tcPr>
          <w:p w14:paraId="22E54CFB" w14:textId="77777777" w:rsidR="00681CDB" w:rsidRDefault="00681CDB" w:rsidP="007F7EA3">
            <w:pPr>
              <w:ind w:left="0"/>
            </w:pPr>
            <w:r>
              <w:lastRenderedPageBreak/>
              <w:t>IFPRI Publications &amp; Tools Database</w:t>
            </w:r>
          </w:p>
        </w:tc>
        <w:tc>
          <w:tcPr>
            <w:tcW w:w="7465" w:type="dxa"/>
          </w:tcPr>
          <w:p w14:paraId="51C6EFF5" w14:textId="77777777" w:rsidR="00681CDB" w:rsidRPr="00F21950" w:rsidRDefault="00681CDB" w:rsidP="007F7EA3">
            <w:pPr>
              <w:spacing w:before="120"/>
              <w:ind w:left="0"/>
              <w:rPr>
                <w:sz w:val="18"/>
                <w:szCs w:val="18"/>
              </w:rPr>
            </w:pPr>
            <w:r w:rsidRPr="00F21950">
              <w:rPr>
                <w:sz w:val="18"/>
                <w:szCs w:val="18"/>
              </w:rPr>
              <w:t>household consumption and expenditure survey</w:t>
            </w:r>
          </w:p>
          <w:p w14:paraId="57F05B60" w14:textId="77777777" w:rsidR="00681CDB" w:rsidRPr="00F21950" w:rsidRDefault="00681CDB" w:rsidP="007F7EA3">
            <w:pPr>
              <w:spacing w:before="120"/>
              <w:ind w:left="0"/>
              <w:rPr>
                <w:sz w:val="18"/>
                <w:szCs w:val="18"/>
              </w:rPr>
            </w:pPr>
            <w:r w:rsidRPr="00F21950">
              <w:rPr>
                <w:sz w:val="18"/>
                <w:szCs w:val="18"/>
              </w:rPr>
              <w:t>living standards measurement study</w:t>
            </w:r>
          </w:p>
          <w:p w14:paraId="3AEE55C1" w14:textId="77777777" w:rsidR="00681CDB" w:rsidRPr="00F21950" w:rsidRDefault="00681CDB" w:rsidP="007F7EA3">
            <w:pPr>
              <w:spacing w:before="120"/>
              <w:ind w:left="0"/>
              <w:rPr>
                <w:sz w:val="18"/>
                <w:szCs w:val="18"/>
              </w:rPr>
            </w:pPr>
            <w:r w:rsidRPr="00F21950">
              <w:rPr>
                <w:sz w:val="18"/>
                <w:szCs w:val="18"/>
              </w:rPr>
              <w:t>integrated household survey</w:t>
            </w:r>
          </w:p>
          <w:p w14:paraId="645CABD2" w14:textId="77777777" w:rsidR="00681CDB" w:rsidRPr="00F21950" w:rsidRDefault="00681CDB" w:rsidP="007F7EA3">
            <w:pPr>
              <w:spacing w:before="120"/>
              <w:ind w:left="0"/>
              <w:rPr>
                <w:sz w:val="18"/>
                <w:szCs w:val="18"/>
              </w:rPr>
            </w:pPr>
            <w:r w:rsidRPr="00F21950">
              <w:rPr>
                <w:sz w:val="18"/>
                <w:szCs w:val="18"/>
              </w:rPr>
              <w:t>living conditions monitoring survey</w:t>
            </w:r>
          </w:p>
          <w:p w14:paraId="523887E8" w14:textId="77777777" w:rsidR="00681CDB" w:rsidRPr="00F21950" w:rsidRDefault="00681CDB" w:rsidP="007F7EA3">
            <w:pPr>
              <w:spacing w:before="120"/>
              <w:ind w:left="0"/>
              <w:rPr>
                <w:sz w:val="18"/>
                <w:szCs w:val="18"/>
              </w:rPr>
            </w:pPr>
            <w:r w:rsidRPr="00F21950">
              <w:rPr>
                <w:sz w:val="18"/>
                <w:szCs w:val="18"/>
              </w:rPr>
              <w:t>household budget survey</w:t>
            </w:r>
          </w:p>
          <w:p w14:paraId="5DC2A958" w14:textId="77777777" w:rsidR="00681CDB" w:rsidRPr="00F21950" w:rsidRDefault="00681CDB" w:rsidP="007F7EA3">
            <w:pPr>
              <w:spacing w:before="120"/>
              <w:ind w:left="0"/>
              <w:rPr>
                <w:sz w:val="18"/>
                <w:szCs w:val="18"/>
              </w:rPr>
            </w:pPr>
            <w:r w:rsidRPr="00F21950">
              <w:rPr>
                <w:sz w:val="18"/>
                <w:szCs w:val="18"/>
              </w:rPr>
              <w:t>socioeconomic survey</w:t>
            </w:r>
          </w:p>
          <w:p w14:paraId="0FE77B8D" w14:textId="77777777" w:rsidR="00681CDB" w:rsidRPr="00F21950" w:rsidRDefault="00681CDB" w:rsidP="007F7EA3">
            <w:pPr>
              <w:spacing w:before="120"/>
              <w:ind w:left="0"/>
              <w:rPr>
                <w:sz w:val="18"/>
                <w:szCs w:val="18"/>
              </w:rPr>
            </w:pPr>
            <w:r w:rsidRPr="00F21950">
              <w:rPr>
                <w:sz w:val="18"/>
                <w:szCs w:val="18"/>
              </w:rPr>
              <w:t>national risk and vulnerability assessment</w:t>
            </w:r>
          </w:p>
        </w:tc>
      </w:tr>
      <w:tr w:rsidR="00681CDB" w14:paraId="0F4B8A9D" w14:textId="77777777" w:rsidTr="007F7EA3">
        <w:tc>
          <w:tcPr>
            <w:tcW w:w="1885" w:type="dxa"/>
          </w:tcPr>
          <w:p w14:paraId="218CB1D1" w14:textId="77777777" w:rsidR="00681CDB" w:rsidRDefault="00681CDB" w:rsidP="007F7EA3">
            <w:pPr>
              <w:ind w:left="0"/>
            </w:pPr>
            <w:r>
              <w:t>Academic Search Complete</w:t>
            </w:r>
          </w:p>
        </w:tc>
        <w:tc>
          <w:tcPr>
            <w:tcW w:w="7465" w:type="dxa"/>
          </w:tcPr>
          <w:p w14:paraId="2D8E601D" w14:textId="77777777" w:rsidR="00681CDB" w:rsidRDefault="00681CDB" w:rsidP="007F7EA3">
            <w:pPr>
              <w:spacing w:before="120"/>
              <w:ind w:left="0"/>
              <w:rPr>
                <w:sz w:val="18"/>
                <w:szCs w:val="18"/>
              </w:rPr>
            </w:pPr>
            <w:r w:rsidRPr="00AA56C2">
              <w:rPr>
                <w:sz w:val="18"/>
                <w:szCs w:val="18"/>
              </w:rPr>
              <w:t>household consum</w:t>
            </w:r>
            <w:r>
              <w:rPr>
                <w:sz w:val="18"/>
                <w:szCs w:val="18"/>
              </w:rPr>
              <w:t>ption and expenditure</w:t>
            </w:r>
            <w:r w:rsidRPr="00AA56C2">
              <w:rPr>
                <w:sz w:val="18"/>
                <w:szCs w:val="18"/>
              </w:rPr>
              <w:t xml:space="preserve"> survey</w:t>
            </w:r>
          </w:p>
          <w:p w14:paraId="4A0A136C" w14:textId="77777777" w:rsidR="00681CDB" w:rsidRDefault="00681CDB" w:rsidP="007F7EA3">
            <w:pPr>
              <w:spacing w:before="120"/>
              <w:ind w:left="0"/>
              <w:rPr>
                <w:sz w:val="18"/>
                <w:szCs w:val="18"/>
              </w:rPr>
            </w:pPr>
            <w:r w:rsidRPr="00AA56C2">
              <w:rPr>
                <w:sz w:val="18"/>
                <w:szCs w:val="18"/>
              </w:rPr>
              <w:t>integrated household survey</w:t>
            </w:r>
          </w:p>
          <w:p w14:paraId="7F97FCBC" w14:textId="77777777" w:rsidR="00681CDB" w:rsidRDefault="00681CDB" w:rsidP="007F7EA3">
            <w:pPr>
              <w:spacing w:before="120"/>
              <w:ind w:left="0"/>
              <w:rPr>
                <w:sz w:val="18"/>
                <w:szCs w:val="18"/>
              </w:rPr>
            </w:pPr>
            <w:r w:rsidRPr="00AA56C2">
              <w:rPr>
                <w:sz w:val="18"/>
                <w:szCs w:val="18"/>
              </w:rPr>
              <w:t>living standards measurement study</w:t>
            </w:r>
          </w:p>
          <w:p w14:paraId="04C7A4B9" w14:textId="77777777" w:rsidR="00681CDB" w:rsidRDefault="00681CDB" w:rsidP="007F7EA3">
            <w:pPr>
              <w:spacing w:before="120"/>
              <w:ind w:left="0"/>
              <w:rPr>
                <w:sz w:val="18"/>
                <w:szCs w:val="18"/>
              </w:rPr>
            </w:pPr>
            <w:r w:rsidRPr="00AA56C2">
              <w:rPr>
                <w:sz w:val="18"/>
                <w:szCs w:val="18"/>
              </w:rPr>
              <w:t>household budget survey</w:t>
            </w:r>
          </w:p>
          <w:p w14:paraId="7A06FA63" w14:textId="77777777" w:rsidR="00681CDB" w:rsidRDefault="00681CDB" w:rsidP="007F7EA3">
            <w:pPr>
              <w:spacing w:before="120"/>
              <w:ind w:left="0"/>
              <w:rPr>
                <w:sz w:val="18"/>
                <w:szCs w:val="18"/>
              </w:rPr>
            </w:pPr>
            <w:r w:rsidRPr="00AA56C2">
              <w:rPr>
                <w:sz w:val="18"/>
                <w:szCs w:val="18"/>
              </w:rPr>
              <w:t>living conditions monitoring survey</w:t>
            </w:r>
          </w:p>
          <w:p w14:paraId="78C0961B" w14:textId="77777777" w:rsidR="00681CDB" w:rsidRPr="00F21950" w:rsidRDefault="00681CDB" w:rsidP="007F7EA3">
            <w:pPr>
              <w:spacing w:before="120"/>
              <w:ind w:left="0"/>
              <w:rPr>
                <w:sz w:val="18"/>
                <w:szCs w:val="18"/>
              </w:rPr>
            </w:pPr>
            <w:r>
              <w:rPr>
                <w:sz w:val="18"/>
                <w:szCs w:val="18"/>
              </w:rPr>
              <w:t xml:space="preserve">household </w:t>
            </w:r>
            <w:r w:rsidRPr="00AA56C2">
              <w:rPr>
                <w:sz w:val="18"/>
                <w:szCs w:val="18"/>
              </w:rPr>
              <w:t>income and expenditure survey</w:t>
            </w:r>
          </w:p>
        </w:tc>
      </w:tr>
      <w:tr w:rsidR="00681CDB" w14:paraId="528EC9BE" w14:textId="77777777" w:rsidTr="007F7EA3">
        <w:tc>
          <w:tcPr>
            <w:tcW w:w="1885" w:type="dxa"/>
          </w:tcPr>
          <w:p w14:paraId="601165CD" w14:textId="77777777" w:rsidR="00681CDB" w:rsidRDefault="00681CDB" w:rsidP="007F7EA3">
            <w:pPr>
              <w:ind w:left="0"/>
            </w:pPr>
            <w:proofErr w:type="spellStart"/>
            <w:r>
              <w:t>EconLit</w:t>
            </w:r>
            <w:proofErr w:type="spellEnd"/>
          </w:p>
        </w:tc>
        <w:tc>
          <w:tcPr>
            <w:tcW w:w="7465" w:type="dxa"/>
          </w:tcPr>
          <w:p w14:paraId="167B4F3A" w14:textId="77777777" w:rsidR="00681CDB" w:rsidRDefault="00681CDB" w:rsidP="007F7EA3">
            <w:pPr>
              <w:spacing w:before="120"/>
              <w:ind w:left="0"/>
              <w:rPr>
                <w:sz w:val="18"/>
                <w:szCs w:val="18"/>
              </w:rPr>
            </w:pPr>
            <w:r w:rsidRPr="005058B3">
              <w:rPr>
                <w:sz w:val="18"/>
                <w:szCs w:val="18"/>
              </w:rPr>
              <w:t>(</w:t>
            </w:r>
            <w:proofErr w:type="gramStart"/>
            <w:r w:rsidRPr="005058B3">
              <w:rPr>
                <w:sz w:val="18"/>
                <w:szCs w:val="18"/>
              </w:rPr>
              <w:t>household</w:t>
            </w:r>
            <w:proofErr w:type="gramEnd"/>
            <w:r w:rsidRPr="005058B3">
              <w:rPr>
                <w:sz w:val="18"/>
                <w:szCs w:val="18"/>
              </w:rPr>
              <w:t xml:space="preserve"> consumption and expenditure survey).</w:t>
            </w:r>
            <w:proofErr w:type="spellStart"/>
            <w:r w:rsidRPr="005058B3">
              <w:rPr>
                <w:sz w:val="18"/>
                <w:szCs w:val="18"/>
              </w:rPr>
              <w:t>mp</w:t>
            </w:r>
            <w:proofErr w:type="spellEnd"/>
            <w:r w:rsidRPr="005058B3">
              <w:rPr>
                <w:sz w:val="18"/>
                <w:szCs w:val="18"/>
              </w:rPr>
              <w:t>. [</w:t>
            </w:r>
            <w:proofErr w:type="spellStart"/>
            <w:r w:rsidRPr="005058B3">
              <w:rPr>
                <w:sz w:val="18"/>
                <w:szCs w:val="18"/>
              </w:rPr>
              <w:t>mp</w:t>
            </w:r>
            <w:proofErr w:type="spellEnd"/>
            <w:r w:rsidRPr="005058B3">
              <w:rPr>
                <w:sz w:val="18"/>
                <w:szCs w:val="18"/>
              </w:rPr>
              <w:t>=heading words, abstract, title, country as subject]</w:t>
            </w:r>
          </w:p>
          <w:p w14:paraId="139B312D" w14:textId="77777777" w:rsidR="00681CDB" w:rsidRDefault="00681CDB" w:rsidP="007F7EA3">
            <w:pPr>
              <w:spacing w:before="120"/>
              <w:ind w:left="0"/>
              <w:rPr>
                <w:sz w:val="18"/>
                <w:szCs w:val="18"/>
              </w:rPr>
            </w:pPr>
            <w:r w:rsidRPr="005058B3">
              <w:rPr>
                <w:sz w:val="18"/>
                <w:szCs w:val="18"/>
              </w:rPr>
              <w:t>(</w:t>
            </w:r>
            <w:proofErr w:type="gramStart"/>
            <w:r w:rsidRPr="00AA56C2">
              <w:rPr>
                <w:sz w:val="18"/>
                <w:szCs w:val="18"/>
              </w:rPr>
              <w:t>living</w:t>
            </w:r>
            <w:proofErr w:type="gramEnd"/>
            <w:r w:rsidRPr="00AA56C2">
              <w:rPr>
                <w:sz w:val="18"/>
                <w:szCs w:val="18"/>
              </w:rPr>
              <w:t xml:space="preserve"> standards measurement study</w:t>
            </w:r>
            <w:r w:rsidRPr="005058B3">
              <w:rPr>
                <w:sz w:val="18"/>
                <w:szCs w:val="18"/>
              </w:rPr>
              <w:t>).</w:t>
            </w:r>
            <w:proofErr w:type="spellStart"/>
            <w:r w:rsidRPr="005058B3">
              <w:rPr>
                <w:sz w:val="18"/>
                <w:szCs w:val="18"/>
              </w:rPr>
              <w:t>mp</w:t>
            </w:r>
            <w:proofErr w:type="spellEnd"/>
            <w:r w:rsidRPr="005058B3">
              <w:rPr>
                <w:sz w:val="18"/>
                <w:szCs w:val="18"/>
              </w:rPr>
              <w:t>. [</w:t>
            </w:r>
            <w:proofErr w:type="spellStart"/>
            <w:r w:rsidRPr="005058B3">
              <w:rPr>
                <w:sz w:val="18"/>
                <w:szCs w:val="18"/>
              </w:rPr>
              <w:t>mp</w:t>
            </w:r>
            <w:proofErr w:type="spellEnd"/>
            <w:r w:rsidRPr="005058B3">
              <w:rPr>
                <w:sz w:val="18"/>
                <w:szCs w:val="18"/>
              </w:rPr>
              <w:t>=heading words, abstract, title, country as subject]</w:t>
            </w:r>
          </w:p>
          <w:p w14:paraId="43BA3B4D" w14:textId="77777777" w:rsidR="00681CDB" w:rsidRDefault="00681CDB" w:rsidP="007F7EA3">
            <w:pPr>
              <w:spacing w:before="120"/>
              <w:ind w:left="0"/>
              <w:rPr>
                <w:sz w:val="18"/>
                <w:szCs w:val="18"/>
              </w:rPr>
            </w:pPr>
            <w:r w:rsidRPr="005058B3">
              <w:rPr>
                <w:sz w:val="18"/>
                <w:szCs w:val="18"/>
              </w:rPr>
              <w:t>(</w:t>
            </w:r>
            <w:proofErr w:type="gramStart"/>
            <w:r w:rsidRPr="00AA56C2">
              <w:rPr>
                <w:sz w:val="18"/>
                <w:szCs w:val="18"/>
              </w:rPr>
              <w:t>integrated</w:t>
            </w:r>
            <w:proofErr w:type="gramEnd"/>
            <w:r w:rsidRPr="00AA56C2">
              <w:rPr>
                <w:sz w:val="18"/>
                <w:szCs w:val="18"/>
              </w:rPr>
              <w:t xml:space="preserve"> household survey</w:t>
            </w:r>
            <w:r w:rsidRPr="005058B3">
              <w:rPr>
                <w:sz w:val="18"/>
                <w:szCs w:val="18"/>
              </w:rPr>
              <w:t>).</w:t>
            </w:r>
            <w:proofErr w:type="spellStart"/>
            <w:r w:rsidRPr="005058B3">
              <w:rPr>
                <w:sz w:val="18"/>
                <w:szCs w:val="18"/>
              </w:rPr>
              <w:t>mp</w:t>
            </w:r>
            <w:proofErr w:type="spellEnd"/>
            <w:r w:rsidRPr="005058B3">
              <w:rPr>
                <w:sz w:val="18"/>
                <w:szCs w:val="18"/>
              </w:rPr>
              <w:t>. [</w:t>
            </w:r>
            <w:proofErr w:type="spellStart"/>
            <w:r w:rsidRPr="005058B3">
              <w:rPr>
                <w:sz w:val="18"/>
                <w:szCs w:val="18"/>
              </w:rPr>
              <w:t>mp</w:t>
            </w:r>
            <w:proofErr w:type="spellEnd"/>
            <w:r w:rsidRPr="005058B3">
              <w:rPr>
                <w:sz w:val="18"/>
                <w:szCs w:val="18"/>
              </w:rPr>
              <w:t>=heading words, abstract, title, country as subject]</w:t>
            </w:r>
          </w:p>
          <w:p w14:paraId="5A81DC67" w14:textId="77777777" w:rsidR="00681CDB" w:rsidRDefault="00681CDB" w:rsidP="007F7EA3">
            <w:pPr>
              <w:spacing w:before="120"/>
              <w:ind w:left="0"/>
              <w:rPr>
                <w:sz w:val="18"/>
                <w:szCs w:val="18"/>
              </w:rPr>
            </w:pPr>
            <w:r w:rsidRPr="005058B3">
              <w:rPr>
                <w:sz w:val="18"/>
                <w:szCs w:val="18"/>
              </w:rPr>
              <w:t>(</w:t>
            </w:r>
            <w:proofErr w:type="gramStart"/>
            <w:r w:rsidRPr="00AA56C2">
              <w:rPr>
                <w:sz w:val="18"/>
                <w:szCs w:val="18"/>
              </w:rPr>
              <w:t>living</w:t>
            </w:r>
            <w:proofErr w:type="gramEnd"/>
            <w:r w:rsidRPr="00AA56C2">
              <w:rPr>
                <w:sz w:val="18"/>
                <w:szCs w:val="18"/>
              </w:rPr>
              <w:t xml:space="preserve"> conditions monitoring survey</w:t>
            </w:r>
            <w:r w:rsidRPr="005058B3">
              <w:rPr>
                <w:sz w:val="18"/>
                <w:szCs w:val="18"/>
              </w:rPr>
              <w:t>).</w:t>
            </w:r>
            <w:proofErr w:type="spellStart"/>
            <w:r w:rsidRPr="005058B3">
              <w:rPr>
                <w:sz w:val="18"/>
                <w:szCs w:val="18"/>
              </w:rPr>
              <w:t>mp</w:t>
            </w:r>
            <w:proofErr w:type="spellEnd"/>
            <w:r w:rsidRPr="005058B3">
              <w:rPr>
                <w:sz w:val="18"/>
                <w:szCs w:val="18"/>
              </w:rPr>
              <w:t>. [</w:t>
            </w:r>
            <w:proofErr w:type="spellStart"/>
            <w:r w:rsidRPr="005058B3">
              <w:rPr>
                <w:sz w:val="18"/>
                <w:szCs w:val="18"/>
              </w:rPr>
              <w:t>mp</w:t>
            </w:r>
            <w:proofErr w:type="spellEnd"/>
            <w:r w:rsidRPr="005058B3">
              <w:rPr>
                <w:sz w:val="18"/>
                <w:szCs w:val="18"/>
              </w:rPr>
              <w:t>=heading words, abstract, title, country as subject]</w:t>
            </w:r>
          </w:p>
          <w:p w14:paraId="42F136AE" w14:textId="77777777" w:rsidR="00681CDB" w:rsidRDefault="00681CDB" w:rsidP="007F7EA3">
            <w:pPr>
              <w:spacing w:before="120"/>
              <w:ind w:left="0"/>
              <w:rPr>
                <w:sz w:val="18"/>
                <w:szCs w:val="18"/>
              </w:rPr>
            </w:pPr>
            <w:r w:rsidRPr="005058B3">
              <w:rPr>
                <w:sz w:val="18"/>
                <w:szCs w:val="18"/>
              </w:rPr>
              <w:t>(</w:t>
            </w:r>
            <w:proofErr w:type="gramStart"/>
            <w:r w:rsidRPr="00AA56C2">
              <w:rPr>
                <w:sz w:val="18"/>
                <w:szCs w:val="18"/>
              </w:rPr>
              <w:t>socioeconomic</w:t>
            </w:r>
            <w:proofErr w:type="gramEnd"/>
            <w:r w:rsidRPr="00AA56C2">
              <w:rPr>
                <w:sz w:val="18"/>
                <w:szCs w:val="18"/>
              </w:rPr>
              <w:t xml:space="preserve"> survey</w:t>
            </w:r>
            <w:r w:rsidRPr="005058B3">
              <w:rPr>
                <w:sz w:val="18"/>
                <w:szCs w:val="18"/>
              </w:rPr>
              <w:t>).</w:t>
            </w:r>
            <w:proofErr w:type="spellStart"/>
            <w:r w:rsidRPr="005058B3">
              <w:rPr>
                <w:sz w:val="18"/>
                <w:szCs w:val="18"/>
              </w:rPr>
              <w:t>mp</w:t>
            </w:r>
            <w:proofErr w:type="spellEnd"/>
            <w:r w:rsidRPr="005058B3">
              <w:rPr>
                <w:sz w:val="18"/>
                <w:szCs w:val="18"/>
              </w:rPr>
              <w:t>. [</w:t>
            </w:r>
            <w:proofErr w:type="spellStart"/>
            <w:r w:rsidRPr="005058B3">
              <w:rPr>
                <w:sz w:val="18"/>
                <w:szCs w:val="18"/>
              </w:rPr>
              <w:t>mp</w:t>
            </w:r>
            <w:proofErr w:type="spellEnd"/>
            <w:r w:rsidRPr="005058B3">
              <w:rPr>
                <w:sz w:val="18"/>
                <w:szCs w:val="18"/>
              </w:rPr>
              <w:t>=heading words, abstract, title, country as subject]</w:t>
            </w:r>
          </w:p>
          <w:p w14:paraId="3ACB9431" w14:textId="77777777" w:rsidR="00681CDB" w:rsidRDefault="00681CDB" w:rsidP="007F7EA3">
            <w:pPr>
              <w:spacing w:before="120"/>
              <w:ind w:left="0"/>
              <w:rPr>
                <w:sz w:val="18"/>
                <w:szCs w:val="18"/>
              </w:rPr>
            </w:pPr>
            <w:r w:rsidRPr="005058B3">
              <w:rPr>
                <w:sz w:val="18"/>
                <w:szCs w:val="18"/>
              </w:rPr>
              <w:t>(</w:t>
            </w:r>
            <w:proofErr w:type="gramStart"/>
            <w:r>
              <w:rPr>
                <w:sz w:val="18"/>
                <w:szCs w:val="18"/>
              </w:rPr>
              <w:t>n</w:t>
            </w:r>
            <w:r w:rsidRPr="001776FB">
              <w:rPr>
                <w:sz w:val="18"/>
                <w:szCs w:val="18"/>
              </w:rPr>
              <w:t>ational</w:t>
            </w:r>
            <w:proofErr w:type="gramEnd"/>
            <w:r w:rsidRPr="001776FB">
              <w:rPr>
                <w:sz w:val="18"/>
                <w:szCs w:val="18"/>
              </w:rPr>
              <w:t xml:space="preserve"> </w:t>
            </w:r>
            <w:r>
              <w:rPr>
                <w:sz w:val="18"/>
                <w:szCs w:val="18"/>
              </w:rPr>
              <w:t>r</w:t>
            </w:r>
            <w:r w:rsidRPr="001776FB">
              <w:rPr>
                <w:sz w:val="18"/>
                <w:szCs w:val="18"/>
              </w:rPr>
              <w:t xml:space="preserve">isk and </w:t>
            </w:r>
            <w:r>
              <w:rPr>
                <w:sz w:val="18"/>
                <w:szCs w:val="18"/>
              </w:rPr>
              <w:t>v</w:t>
            </w:r>
            <w:r w:rsidRPr="001776FB">
              <w:rPr>
                <w:sz w:val="18"/>
                <w:szCs w:val="18"/>
              </w:rPr>
              <w:t xml:space="preserve">ulnerability </w:t>
            </w:r>
            <w:r>
              <w:rPr>
                <w:sz w:val="18"/>
                <w:szCs w:val="18"/>
              </w:rPr>
              <w:t>a</w:t>
            </w:r>
            <w:r w:rsidRPr="001776FB">
              <w:rPr>
                <w:sz w:val="18"/>
                <w:szCs w:val="18"/>
              </w:rPr>
              <w:t>ssessment</w:t>
            </w:r>
            <w:r w:rsidRPr="005058B3">
              <w:rPr>
                <w:sz w:val="18"/>
                <w:szCs w:val="18"/>
              </w:rPr>
              <w:t>).</w:t>
            </w:r>
            <w:proofErr w:type="spellStart"/>
            <w:r w:rsidRPr="005058B3">
              <w:rPr>
                <w:sz w:val="18"/>
                <w:szCs w:val="18"/>
              </w:rPr>
              <w:t>mp</w:t>
            </w:r>
            <w:proofErr w:type="spellEnd"/>
            <w:r w:rsidRPr="005058B3">
              <w:rPr>
                <w:sz w:val="18"/>
                <w:szCs w:val="18"/>
              </w:rPr>
              <w:t>. [</w:t>
            </w:r>
            <w:proofErr w:type="spellStart"/>
            <w:r w:rsidRPr="005058B3">
              <w:rPr>
                <w:sz w:val="18"/>
                <w:szCs w:val="18"/>
              </w:rPr>
              <w:t>mp</w:t>
            </w:r>
            <w:proofErr w:type="spellEnd"/>
            <w:r w:rsidRPr="005058B3">
              <w:rPr>
                <w:sz w:val="18"/>
                <w:szCs w:val="18"/>
              </w:rPr>
              <w:t>=heading words, abstract, title, country as subject]</w:t>
            </w:r>
          </w:p>
          <w:p w14:paraId="2F00F39E" w14:textId="77777777" w:rsidR="00681CDB" w:rsidRPr="00F21950" w:rsidRDefault="00681CDB" w:rsidP="007F7EA3">
            <w:pPr>
              <w:spacing w:before="120"/>
              <w:ind w:left="0"/>
              <w:rPr>
                <w:sz w:val="18"/>
                <w:szCs w:val="18"/>
              </w:rPr>
            </w:pPr>
            <w:r w:rsidRPr="005058B3">
              <w:rPr>
                <w:sz w:val="18"/>
                <w:szCs w:val="18"/>
              </w:rPr>
              <w:t>(</w:t>
            </w:r>
            <w:proofErr w:type="gramStart"/>
            <w:r>
              <w:rPr>
                <w:sz w:val="18"/>
                <w:szCs w:val="18"/>
              </w:rPr>
              <w:t>c</w:t>
            </w:r>
            <w:r w:rsidRPr="001776FB">
              <w:rPr>
                <w:sz w:val="18"/>
                <w:szCs w:val="18"/>
              </w:rPr>
              <w:t>ore</w:t>
            </w:r>
            <w:proofErr w:type="gramEnd"/>
            <w:r w:rsidRPr="001776FB">
              <w:rPr>
                <w:sz w:val="18"/>
                <w:szCs w:val="18"/>
              </w:rPr>
              <w:t xml:space="preserve"> </w:t>
            </w:r>
            <w:r>
              <w:rPr>
                <w:sz w:val="18"/>
                <w:szCs w:val="18"/>
              </w:rPr>
              <w:t>w</w:t>
            </w:r>
            <w:r w:rsidRPr="001776FB">
              <w:rPr>
                <w:sz w:val="18"/>
                <w:szCs w:val="18"/>
              </w:rPr>
              <w:t xml:space="preserve">elfare </w:t>
            </w:r>
            <w:r>
              <w:rPr>
                <w:sz w:val="18"/>
                <w:szCs w:val="18"/>
              </w:rPr>
              <w:t>i</w:t>
            </w:r>
            <w:r w:rsidRPr="001776FB">
              <w:rPr>
                <w:sz w:val="18"/>
                <w:szCs w:val="18"/>
              </w:rPr>
              <w:t xml:space="preserve">ndicators </w:t>
            </w:r>
            <w:r>
              <w:rPr>
                <w:sz w:val="18"/>
                <w:szCs w:val="18"/>
              </w:rPr>
              <w:t>q</w:t>
            </w:r>
            <w:r w:rsidRPr="001776FB">
              <w:rPr>
                <w:sz w:val="18"/>
                <w:szCs w:val="18"/>
              </w:rPr>
              <w:t>uestionnaire</w:t>
            </w:r>
            <w:r w:rsidRPr="005058B3">
              <w:rPr>
                <w:sz w:val="18"/>
                <w:szCs w:val="18"/>
              </w:rPr>
              <w:t>).</w:t>
            </w:r>
            <w:proofErr w:type="spellStart"/>
            <w:r w:rsidRPr="005058B3">
              <w:rPr>
                <w:sz w:val="18"/>
                <w:szCs w:val="18"/>
              </w:rPr>
              <w:t>mp</w:t>
            </w:r>
            <w:proofErr w:type="spellEnd"/>
            <w:r w:rsidRPr="005058B3">
              <w:rPr>
                <w:sz w:val="18"/>
                <w:szCs w:val="18"/>
              </w:rPr>
              <w:t>. [</w:t>
            </w:r>
            <w:proofErr w:type="spellStart"/>
            <w:r w:rsidRPr="005058B3">
              <w:rPr>
                <w:sz w:val="18"/>
                <w:szCs w:val="18"/>
              </w:rPr>
              <w:t>mp</w:t>
            </w:r>
            <w:proofErr w:type="spellEnd"/>
            <w:r w:rsidRPr="005058B3">
              <w:rPr>
                <w:sz w:val="18"/>
                <w:szCs w:val="18"/>
              </w:rPr>
              <w:t>=heading words, abstract, title, country as subject]</w:t>
            </w:r>
          </w:p>
        </w:tc>
      </w:tr>
      <w:tr w:rsidR="00681CDB" w14:paraId="384D14EB" w14:textId="77777777" w:rsidTr="007F7EA3">
        <w:tc>
          <w:tcPr>
            <w:tcW w:w="1885" w:type="dxa"/>
          </w:tcPr>
          <w:p w14:paraId="4ADE5397" w14:textId="77777777" w:rsidR="00681CDB" w:rsidRDefault="00681CDB" w:rsidP="007F7EA3">
            <w:pPr>
              <w:ind w:left="0"/>
            </w:pPr>
            <w:r>
              <w:t>Global Health Database</w:t>
            </w:r>
          </w:p>
        </w:tc>
        <w:tc>
          <w:tcPr>
            <w:tcW w:w="7465" w:type="dxa"/>
          </w:tcPr>
          <w:p w14:paraId="4E39B254" w14:textId="77777777" w:rsidR="00681CDB" w:rsidRDefault="00681CDB" w:rsidP="007F7EA3">
            <w:pPr>
              <w:spacing w:before="120"/>
              <w:ind w:left="0"/>
              <w:rPr>
                <w:sz w:val="18"/>
                <w:szCs w:val="18"/>
              </w:rPr>
            </w:pPr>
            <w:r w:rsidRPr="00FC0761">
              <w:rPr>
                <w:sz w:val="18"/>
                <w:szCs w:val="18"/>
              </w:rPr>
              <w:t>(</w:t>
            </w:r>
            <w:proofErr w:type="gramStart"/>
            <w:r w:rsidRPr="00FC0761">
              <w:rPr>
                <w:sz w:val="18"/>
                <w:szCs w:val="18"/>
              </w:rPr>
              <w:t>household</w:t>
            </w:r>
            <w:proofErr w:type="gramEnd"/>
            <w:r w:rsidRPr="00FC0761">
              <w:rPr>
                <w:sz w:val="18"/>
                <w:szCs w:val="18"/>
              </w:rPr>
              <w:t xml:space="preserve"> consumption and expenditure survey).</w:t>
            </w:r>
            <w:proofErr w:type="spellStart"/>
            <w:r w:rsidRPr="00FC0761">
              <w:rPr>
                <w:sz w:val="18"/>
                <w:szCs w:val="18"/>
              </w:rPr>
              <w:t>mp</w:t>
            </w:r>
            <w:proofErr w:type="spellEnd"/>
            <w:r w:rsidRPr="00FC0761">
              <w:rPr>
                <w:sz w:val="18"/>
                <w:szCs w:val="18"/>
              </w:rPr>
              <w:t>. [</w:t>
            </w:r>
            <w:proofErr w:type="spellStart"/>
            <w:r w:rsidRPr="00FC0761">
              <w:rPr>
                <w:sz w:val="18"/>
                <w:szCs w:val="18"/>
              </w:rPr>
              <w:t>mp</w:t>
            </w:r>
            <w:proofErr w:type="spellEnd"/>
            <w:r w:rsidRPr="00FC0761">
              <w:rPr>
                <w:sz w:val="18"/>
                <w:szCs w:val="18"/>
              </w:rPr>
              <w:t xml:space="preserve">=abstract, title, original title, broad terms, heading words, identifiers, </w:t>
            </w:r>
            <w:proofErr w:type="spellStart"/>
            <w:r w:rsidRPr="00FC0761">
              <w:rPr>
                <w:sz w:val="18"/>
                <w:szCs w:val="18"/>
              </w:rPr>
              <w:t>cabicodes</w:t>
            </w:r>
            <w:proofErr w:type="spellEnd"/>
            <w:r w:rsidRPr="00FC0761">
              <w:rPr>
                <w:sz w:val="18"/>
                <w:szCs w:val="18"/>
              </w:rPr>
              <w:t>]</w:t>
            </w:r>
          </w:p>
          <w:p w14:paraId="167B1EA1" w14:textId="77777777" w:rsidR="00681CDB" w:rsidRDefault="00681CDB" w:rsidP="007F7EA3">
            <w:pPr>
              <w:spacing w:before="120"/>
              <w:ind w:left="0"/>
              <w:rPr>
                <w:sz w:val="18"/>
                <w:szCs w:val="18"/>
              </w:rPr>
            </w:pPr>
            <w:r w:rsidRPr="00FC0761">
              <w:rPr>
                <w:sz w:val="18"/>
                <w:szCs w:val="18"/>
              </w:rPr>
              <w:t>living standards measurement study.mp. [</w:t>
            </w:r>
            <w:proofErr w:type="spellStart"/>
            <w:r w:rsidRPr="00FC0761">
              <w:rPr>
                <w:sz w:val="18"/>
                <w:szCs w:val="18"/>
              </w:rPr>
              <w:t>mp</w:t>
            </w:r>
            <w:proofErr w:type="spellEnd"/>
            <w:r w:rsidRPr="00FC0761">
              <w:rPr>
                <w:sz w:val="18"/>
                <w:szCs w:val="18"/>
              </w:rPr>
              <w:t xml:space="preserve">=abstract, title, original title, broad terms, heading words, identifiers, </w:t>
            </w:r>
            <w:proofErr w:type="spellStart"/>
            <w:r w:rsidRPr="00FC0761">
              <w:rPr>
                <w:sz w:val="18"/>
                <w:szCs w:val="18"/>
              </w:rPr>
              <w:t>cabicodes</w:t>
            </w:r>
            <w:proofErr w:type="spellEnd"/>
            <w:r w:rsidRPr="00FC0761">
              <w:rPr>
                <w:sz w:val="18"/>
                <w:szCs w:val="18"/>
              </w:rPr>
              <w:t>]</w:t>
            </w:r>
          </w:p>
          <w:p w14:paraId="0C52BF5D" w14:textId="77777777" w:rsidR="00681CDB" w:rsidRDefault="00681CDB" w:rsidP="007F7EA3">
            <w:pPr>
              <w:spacing w:before="120"/>
              <w:ind w:left="0"/>
              <w:rPr>
                <w:sz w:val="18"/>
                <w:szCs w:val="18"/>
              </w:rPr>
            </w:pPr>
            <w:r w:rsidRPr="00FC0761">
              <w:rPr>
                <w:sz w:val="18"/>
                <w:szCs w:val="18"/>
              </w:rPr>
              <w:t>integrated household survey.mp. [</w:t>
            </w:r>
            <w:proofErr w:type="spellStart"/>
            <w:r w:rsidRPr="00FC0761">
              <w:rPr>
                <w:sz w:val="18"/>
                <w:szCs w:val="18"/>
              </w:rPr>
              <w:t>mp</w:t>
            </w:r>
            <w:proofErr w:type="spellEnd"/>
            <w:r w:rsidRPr="00FC0761">
              <w:rPr>
                <w:sz w:val="18"/>
                <w:szCs w:val="18"/>
              </w:rPr>
              <w:t xml:space="preserve">=abstract, title, original title, broad terms, heading words, identifiers, </w:t>
            </w:r>
            <w:proofErr w:type="spellStart"/>
            <w:r w:rsidRPr="00FC0761">
              <w:rPr>
                <w:sz w:val="18"/>
                <w:szCs w:val="18"/>
              </w:rPr>
              <w:t>cabicodes</w:t>
            </w:r>
            <w:proofErr w:type="spellEnd"/>
            <w:r w:rsidRPr="00FC0761">
              <w:rPr>
                <w:sz w:val="18"/>
                <w:szCs w:val="18"/>
              </w:rPr>
              <w:t>]</w:t>
            </w:r>
          </w:p>
          <w:p w14:paraId="5D840117" w14:textId="77777777" w:rsidR="00681CDB" w:rsidRDefault="00681CDB" w:rsidP="007F7EA3">
            <w:pPr>
              <w:spacing w:before="120"/>
              <w:ind w:left="0"/>
              <w:rPr>
                <w:sz w:val="18"/>
                <w:szCs w:val="18"/>
              </w:rPr>
            </w:pPr>
            <w:r w:rsidRPr="00FC0761">
              <w:rPr>
                <w:sz w:val="18"/>
                <w:szCs w:val="18"/>
              </w:rPr>
              <w:t>living conditions monitoring survey.mp. [</w:t>
            </w:r>
            <w:proofErr w:type="spellStart"/>
            <w:r w:rsidRPr="00FC0761">
              <w:rPr>
                <w:sz w:val="18"/>
                <w:szCs w:val="18"/>
              </w:rPr>
              <w:t>mp</w:t>
            </w:r>
            <w:proofErr w:type="spellEnd"/>
            <w:r w:rsidRPr="00FC0761">
              <w:rPr>
                <w:sz w:val="18"/>
                <w:szCs w:val="18"/>
              </w:rPr>
              <w:t xml:space="preserve">=abstract, title, original title, broad terms, heading words, identifiers, </w:t>
            </w:r>
            <w:proofErr w:type="spellStart"/>
            <w:r w:rsidRPr="00FC0761">
              <w:rPr>
                <w:sz w:val="18"/>
                <w:szCs w:val="18"/>
              </w:rPr>
              <w:t>cabicodes</w:t>
            </w:r>
            <w:proofErr w:type="spellEnd"/>
            <w:r w:rsidRPr="00FC0761">
              <w:rPr>
                <w:sz w:val="18"/>
                <w:szCs w:val="18"/>
              </w:rPr>
              <w:t>]</w:t>
            </w:r>
          </w:p>
          <w:p w14:paraId="2C2AB2F0" w14:textId="77777777" w:rsidR="00681CDB" w:rsidRDefault="00681CDB" w:rsidP="007F7EA3">
            <w:pPr>
              <w:spacing w:before="120"/>
              <w:ind w:left="0"/>
              <w:rPr>
                <w:sz w:val="18"/>
                <w:szCs w:val="18"/>
              </w:rPr>
            </w:pPr>
            <w:r>
              <w:rPr>
                <w:sz w:val="18"/>
                <w:szCs w:val="18"/>
              </w:rPr>
              <w:t>(</w:t>
            </w:r>
            <w:proofErr w:type="gramStart"/>
            <w:r w:rsidRPr="00FC0761">
              <w:rPr>
                <w:sz w:val="18"/>
                <w:szCs w:val="18"/>
              </w:rPr>
              <w:t>household</w:t>
            </w:r>
            <w:proofErr w:type="gramEnd"/>
            <w:r w:rsidRPr="00FC0761">
              <w:rPr>
                <w:sz w:val="18"/>
                <w:szCs w:val="18"/>
              </w:rPr>
              <w:t xml:space="preserve"> budget survey AND </w:t>
            </w:r>
            <w:proofErr w:type="spellStart"/>
            <w:r w:rsidRPr="00FC0761">
              <w:rPr>
                <w:sz w:val="18"/>
                <w:szCs w:val="18"/>
              </w:rPr>
              <w:t>nutri</w:t>
            </w:r>
            <w:proofErr w:type="spellEnd"/>
            <w:r w:rsidRPr="00FC0761">
              <w:rPr>
                <w:sz w:val="18"/>
                <w:szCs w:val="18"/>
              </w:rPr>
              <w:t>*</w:t>
            </w:r>
            <w:r>
              <w:rPr>
                <w:sz w:val="18"/>
                <w:szCs w:val="18"/>
              </w:rPr>
              <w:t>)</w:t>
            </w:r>
            <w:r w:rsidRPr="00FC0761">
              <w:rPr>
                <w:sz w:val="18"/>
                <w:szCs w:val="18"/>
              </w:rPr>
              <w:t>.</w:t>
            </w:r>
            <w:proofErr w:type="spellStart"/>
            <w:r w:rsidRPr="00FC0761">
              <w:rPr>
                <w:sz w:val="18"/>
                <w:szCs w:val="18"/>
              </w:rPr>
              <w:t>mp</w:t>
            </w:r>
            <w:proofErr w:type="spellEnd"/>
            <w:r w:rsidRPr="00FC0761">
              <w:rPr>
                <w:sz w:val="18"/>
                <w:szCs w:val="18"/>
              </w:rPr>
              <w:t>. [</w:t>
            </w:r>
            <w:proofErr w:type="spellStart"/>
            <w:r w:rsidRPr="00FC0761">
              <w:rPr>
                <w:sz w:val="18"/>
                <w:szCs w:val="18"/>
              </w:rPr>
              <w:t>mp</w:t>
            </w:r>
            <w:proofErr w:type="spellEnd"/>
            <w:r w:rsidRPr="00FC0761">
              <w:rPr>
                <w:sz w:val="18"/>
                <w:szCs w:val="18"/>
              </w:rPr>
              <w:t xml:space="preserve">=abstract, title, original title, broad terms, heading words, identifiers, </w:t>
            </w:r>
            <w:proofErr w:type="spellStart"/>
            <w:r w:rsidRPr="00FC0761">
              <w:rPr>
                <w:sz w:val="18"/>
                <w:szCs w:val="18"/>
              </w:rPr>
              <w:t>cabicodes</w:t>
            </w:r>
            <w:proofErr w:type="spellEnd"/>
            <w:r w:rsidRPr="00FC0761">
              <w:rPr>
                <w:sz w:val="18"/>
                <w:szCs w:val="18"/>
              </w:rPr>
              <w:t>]</w:t>
            </w:r>
          </w:p>
          <w:p w14:paraId="7D1F6405" w14:textId="77777777" w:rsidR="00681CDB" w:rsidRPr="00F21950" w:rsidRDefault="00681CDB" w:rsidP="007F7EA3">
            <w:pPr>
              <w:spacing w:before="120"/>
              <w:ind w:left="0"/>
              <w:rPr>
                <w:sz w:val="18"/>
                <w:szCs w:val="18"/>
              </w:rPr>
            </w:pPr>
            <w:r w:rsidRPr="00FC0761">
              <w:rPr>
                <w:sz w:val="18"/>
                <w:szCs w:val="18"/>
              </w:rPr>
              <w:t>socioeconomic survey.mp. [</w:t>
            </w:r>
            <w:proofErr w:type="spellStart"/>
            <w:r w:rsidRPr="00FC0761">
              <w:rPr>
                <w:sz w:val="18"/>
                <w:szCs w:val="18"/>
              </w:rPr>
              <w:t>mp</w:t>
            </w:r>
            <w:proofErr w:type="spellEnd"/>
            <w:r w:rsidRPr="00FC0761">
              <w:rPr>
                <w:sz w:val="18"/>
                <w:szCs w:val="18"/>
              </w:rPr>
              <w:t xml:space="preserve">=abstract, title, original title, broad terms, heading words, identifiers, </w:t>
            </w:r>
            <w:proofErr w:type="spellStart"/>
            <w:r w:rsidRPr="00FC0761">
              <w:rPr>
                <w:sz w:val="18"/>
                <w:szCs w:val="18"/>
              </w:rPr>
              <w:t>cabicodes</w:t>
            </w:r>
            <w:proofErr w:type="spellEnd"/>
            <w:r w:rsidRPr="00FC0761">
              <w:rPr>
                <w:sz w:val="18"/>
                <w:szCs w:val="18"/>
              </w:rPr>
              <w:t>]</w:t>
            </w:r>
          </w:p>
        </w:tc>
      </w:tr>
      <w:tr w:rsidR="00681CDB" w14:paraId="09FD5EFC" w14:textId="77777777" w:rsidTr="007F7EA3">
        <w:tc>
          <w:tcPr>
            <w:tcW w:w="1885" w:type="dxa"/>
          </w:tcPr>
          <w:p w14:paraId="00285404" w14:textId="77777777" w:rsidR="00681CDB" w:rsidRDefault="00681CDB" w:rsidP="007F7EA3">
            <w:pPr>
              <w:ind w:left="0"/>
            </w:pPr>
            <w:r>
              <w:t>Global Index Medicus</w:t>
            </w:r>
          </w:p>
        </w:tc>
        <w:tc>
          <w:tcPr>
            <w:tcW w:w="7465" w:type="dxa"/>
          </w:tcPr>
          <w:p w14:paraId="262BCC5C" w14:textId="77777777" w:rsidR="00681CDB" w:rsidRDefault="00681CDB" w:rsidP="007F7EA3">
            <w:pPr>
              <w:spacing w:before="120"/>
              <w:ind w:left="0"/>
              <w:rPr>
                <w:sz w:val="18"/>
                <w:szCs w:val="18"/>
              </w:rPr>
            </w:pPr>
            <w:r>
              <w:rPr>
                <w:sz w:val="18"/>
                <w:szCs w:val="18"/>
              </w:rPr>
              <w:t xml:space="preserve">search: </w:t>
            </w:r>
            <w:r w:rsidRPr="006433B7">
              <w:rPr>
                <w:sz w:val="18"/>
                <w:szCs w:val="18"/>
              </w:rPr>
              <w:t>household consumption AND expenditure survey</w:t>
            </w:r>
          </w:p>
          <w:p w14:paraId="794BB405" w14:textId="77777777" w:rsidR="00681CDB" w:rsidRDefault="00681CDB" w:rsidP="007F7EA3">
            <w:pPr>
              <w:spacing w:before="120"/>
              <w:ind w:left="0"/>
              <w:rPr>
                <w:sz w:val="18"/>
                <w:szCs w:val="18"/>
              </w:rPr>
            </w:pPr>
            <w:r>
              <w:rPr>
                <w:sz w:val="18"/>
                <w:szCs w:val="18"/>
              </w:rPr>
              <w:t xml:space="preserve">search: </w:t>
            </w:r>
            <w:proofErr w:type="spellStart"/>
            <w:r w:rsidRPr="006433B7">
              <w:rPr>
                <w:sz w:val="18"/>
                <w:szCs w:val="18"/>
              </w:rPr>
              <w:t>tw</w:t>
            </w:r>
            <w:proofErr w:type="spellEnd"/>
            <w:r w:rsidRPr="006433B7">
              <w:rPr>
                <w:sz w:val="18"/>
                <w:szCs w:val="18"/>
              </w:rPr>
              <w:t>:("living standards measurement study")</w:t>
            </w:r>
          </w:p>
          <w:p w14:paraId="684620CB" w14:textId="77777777" w:rsidR="00681CDB" w:rsidRDefault="00681CDB" w:rsidP="007F7EA3">
            <w:pPr>
              <w:spacing w:before="120"/>
              <w:ind w:left="0"/>
              <w:rPr>
                <w:sz w:val="18"/>
                <w:szCs w:val="18"/>
              </w:rPr>
            </w:pPr>
            <w:r>
              <w:rPr>
                <w:sz w:val="18"/>
                <w:szCs w:val="18"/>
              </w:rPr>
              <w:t xml:space="preserve">search: </w:t>
            </w:r>
            <w:r w:rsidRPr="006433B7">
              <w:rPr>
                <w:sz w:val="18"/>
                <w:szCs w:val="18"/>
              </w:rPr>
              <w:t>integrated household survey</w:t>
            </w:r>
          </w:p>
          <w:p w14:paraId="65650B0C" w14:textId="77777777" w:rsidR="00681CDB" w:rsidRDefault="00681CDB" w:rsidP="007F7EA3">
            <w:pPr>
              <w:spacing w:before="120"/>
              <w:ind w:left="0"/>
              <w:rPr>
                <w:sz w:val="18"/>
                <w:szCs w:val="18"/>
              </w:rPr>
            </w:pPr>
            <w:r>
              <w:rPr>
                <w:sz w:val="18"/>
                <w:szCs w:val="18"/>
              </w:rPr>
              <w:t xml:space="preserve">search: </w:t>
            </w:r>
            <w:r w:rsidRPr="006433B7">
              <w:rPr>
                <w:sz w:val="18"/>
                <w:szCs w:val="18"/>
              </w:rPr>
              <w:t>living conditions monitoring survey</w:t>
            </w:r>
          </w:p>
          <w:p w14:paraId="7065BC80" w14:textId="77777777" w:rsidR="00681CDB" w:rsidRPr="00F21950" w:rsidRDefault="00681CDB" w:rsidP="007F7EA3">
            <w:pPr>
              <w:spacing w:before="120"/>
              <w:ind w:left="0"/>
              <w:rPr>
                <w:sz w:val="18"/>
                <w:szCs w:val="18"/>
              </w:rPr>
            </w:pPr>
            <w:r>
              <w:rPr>
                <w:sz w:val="18"/>
                <w:szCs w:val="18"/>
              </w:rPr>
              <w:t xml:space="preserve">search: </w:t>
            </w:r>
            <w:proofErr w:type="spellStart"/>
            <w:r w:rsidRPr="006433B7">
              <w:rPr>
                <w:sz w:val="18"/>
                <w:szCs w:val="18"/>
              </w:rPr>
              <w:t>tw</w:t>
            </w:r>
            <w:proofErr w:type="spellEnd"/>
            <w:r w:rsidRPr="006433B7">
              <w:rPr>
                <w:sz w:val="18"/>
                <w:szCs w:val="18"/>
              </w:rPr>
              <w:t xml:space="preserve">:(socioeconomic survey AND (energy OR </w:t>
            </w:r>
            <w:proofErr w:type="spellStart"/>
            <w:r w:rsidRPr="006433B7">
              <w:rPr>
                <w:sz w:val="18"/>
                <w:szCs w:val="18"/>
              </w:rPr>
              <w:t>calor</w:t>
            </w:r>
            <w:proofErr w:type="spellEnd"/>
            <w:r w:rsidRPr="006433B7">
              <w:rPr>
                <w:sz w:val="18"/>
                <w:szCs w:val="18"/>
              </w:rPr>
              <w:t>*)) AND (la:("</w:t>
            </w:r>
            <w:proofErr w:type="spellStart"/>
            <w:r w:rsidRPr="006433B7">
              <w:rPr>
                <w:sz w:val="18"/>
                <w:szCs w:val="18"/>
              </w:rPr>
              <w:t>en</w:t>
            </w:r>
            <w:proofErr w:type="spellEnd"/>
            <w:r w:rsidRPr="006433B7">
              <w:rPr>
                <w:sz w:val="18"/>
                <w:szCs w:val="18"/>
              </w:rPr>
              <w:t>")) AND (</w:t>
            </w:r>
            <w:proofErr w:type="spellStart"/>
            <w:r w:rsidRPr="006433B7">
              <w:rPr>
                <w:sz w:val="18"/>
                <w:szCs w:val="18"/>
              </w:rPr>
              <w:t>year_</w:t>
            </w:r>
            <w:proofErr w:type="gramStart"/>
            <w:r w:rsidRPr="006433B7">
              <w:rPr>
                <w:sz w:val="18"/>
                <w:szCs w:val="18"/>
              </w:rPr>
              <w:t>cluster</w:t>
            </w:r>
            <w:proofErr w:type="spellEnd"/>
            <w:r w:rsidRPr="006433B7">
              <w:rPr>
                <w:sz w:val="18"/>
                <w:szCs w:val="18"/>
              </w:rPr>
              <w:t>:[</w:t>
            </w:r>
            <w:proofErr w:type="gramEnd"/>
            <w:r w:rsidRPr="006433B7">
              <w:rPr>
                <w:sz w:val="18"/>
                <w:szCs w:val="18"/>
              </w:rPr>
              <w:t>200</w:t>
            </w:r>
            <w:r>
              <w:rPr>
                <w:sz w:val="18"/>
                <w:szCs w:val="18"/>
              </w:rPr>
              <w:t>0</w:t>
            </w:r>
            <w:r w:rsidRPr="006433B7">
              <w:rPr>
                <w:sz w:val="18"/>
                <w:szCs w:val="18"/>
              </w:rPr>
              <w:t xml:space="preserve"> TO 2020])</w:t>
            </w:r>
          </w:p>
        </w:tc>
      </w:tr>
      <w:tr w:rsidR="00681CDB" w14:paraId="1451ECFC" w14:textId="77777777" w:rsidTr="007F7EA3">
        <w:tc>
          <w:tcPr>
            <w:tcW w:w="1885" w:type="dxa"/>
          </w:tcPr>
          <w:p w14:paraId="58318CFD" w14:textId="77777777" w:rsidR="00681CDB" w:rsidRDefault="00681CDB" w:rsidP="007F7EA3">
            <w:pPr>
              <w:ind w:left="0"/>
            </w:pPr>
            <w:r>
              <w:t>Scopus</w:t>
            </w:r>
          </w:p>
        </w:tc>
        <w:tc>
          <w:tcPr>
            <w:tcW w:w="7465" w:type="dxa"/>
          </w:tcPr>
          <w:p w14:paraId="7FFA9C86" w14:textId="77777777" w:rsidR="00681CDB" w:rsidRDefault="00681CDB" w:rsidP="007F7EA3">
            <w:pPr>
              <w:spacing w:before="120"/>
              <w:ind w:left="0"/>
              <w:rPr>
                <w:sz w:val="18"/>
                <w:szCs w:val="18"/>
              </w:rPr>
            </w:pPr>
            <w:r w:rsidRPr="006433B7">
              <w:rPr>
                <w:sz w:val="18"/>
                <w:szCs w:val="18"/>
              </w:rPr>
              <w:t xml:space="preserve">TITLE-ABS-KEY (household AND consumption AND expenditure AND survey AND </w:t>
            </w:r>
            <w:proofErr w:type="spellStart"/>
            <w:r w:rsidRPr="006433B7">
              <w:rPr>
                <w:sz w:val="18"/>
                <w:szCs w:val="18"/>
              </w:rPr>
              <w:t>nutri</w:t>
            </w:r>
            <w:proofErr w:type="spellEnd"/>
            <w:r w:rsidRPr="006433B7">
              <w:rPr>
                <w:sz w:val="18"/>
                <w:szCs w:val="18"/>
              </w:rPr>
              <w:t>*)</w:t>
            </w:r>
          </w:p>
          <w:p w14:paraId="4C53BFFC" w14:textId="77777777" w:rsidR="00681CDB" w:rsidRDefault="00681CDB" w:rsidP="007F7EA3">
            <w:pPr>
              <w:spacing w:before="120"/>
              <w:ind w:left="0"/>
              <w:rPr>
                <w:sz w:val="18"/>
                <w:szCs w:val="18"/>
              </w:rPr>
            </w:pPr>
            <w:r w:rsidRPr="006433B7">
              <w:rPr>
                <w:sz w:val="18"/>
                <w:szCs w:val="18"/>
              </w:rPr>
              <w:lastRenderedPageBreak/>
              <w:t>TITLE-ABS-KEY ("living standards measurement study")</w:t>
            </w:r>
          </w:p>
          <w:p w14:paraId="43F8F166" w14:textId="77777777" w:rsidR="00681CDB" w:rsidRDefault="00681CDB" w:rsidP="007F7EA3">
            <w:pPr>
              <w:spacing w:before="120"/>
              <w:ind w:left="0"/>
              <w:rPr>
                <w:sz w:val="18"/>
                <w:szCs w:val="18"/>
              </w:rPr>
            </w:pPr>
            <w:r w:rsidRPr="006433B7">
              <w:rPr>
                <w:sz w:val="18"/>
                <w:szCs w:val="18"/>
              </w:rPr>
              <w:t xml:space="preserve">TITLE-ABS-KEY (household AND budget AND survey AND </w:t>
            </w:r>
            <w:proofErr w:type="spellStart"/>
            <w:r w:rsidRPr="006433B7">
              <w:rPr>
                <w:sz w:val="18"/>
                <w:szCs w:val="18"/>
              </w:rPr>
              <w:t>nutri</w:t>
            </w:r>
            <w:proofErr w:type="spellEnd"/>
            <w:r w:rsidRPr="006433B7">
              <w:rPr>
                <w:sz w:val="18"/>
                <w:szCs w:val="18"/>
              </w:rPr>
              <w:t>*)</w:t>
            </w:r>
          </w:p>
          <w:p w14:paraId="4051C181" w14:textId="77777777" w:rsidR="00681CDB" w:rsidRDefault="00681CDB" w:rsidP="007F7EA3">
            <w:pPr>
              <w:spacing w:before="120"/>
              <w:ind w:left="0"/>
              <w:rPr>
                <w:sz w:val="18"/>
                <w:szCs w:val="18"/>
              </w:rPr>
            </w:pPr>
            <w:r w:rsidRPr="00C5578D">
              <w:rPr>
                <w:sz w:val="18"/>
                <w:szCs w:val="18"/>
              </w:rPr>
              <w:t>TITLE-ABS-KEY (living AND conditions AND monitoring AND survey)</w:t>
            </w:r>
          </w:p>
          <w:p w14:paraId="1B793779" w14:textId="77777777" w:rsidR="00681CDB" w:rsidRPr="00F21950" w:rsidRDefault="00681CDB" w:rsidP="007F7EA3">
            <w:pPr>
              <w:spacing w:before="120"/>
              <w:ind w:left="0"/>
              <w:rPr>
                <w:sz w:val="18"/>
                <w:szCs w:val="18"/>
              </w:rPr>
            </w:pPr>
            <w:r w:rsidRPr="006433B7">
              <w:rPr>
                <w:sz w:val="18"/>
                <w:szCs w:val="18"/>
              </w:rPr>
              <w:t>TITLE-ABS-KEY (</w:t>
            </w:r>
            <w:r>
              <w:rPr>
                <w:sz w:val="18"/>
                <w:szCs w:val="18"/>
              </w:rPr>
              <w:t>integrated AND household</w:t>
            </w:r>
            <w:r w:rsidRPr="006433B7">
              <w:rPr>
                <w:sz w:val="18"/>
                <w:szCs w:val="18"/>
              </w:rPr>
              <w:t xml:space="preserve"> AND survey AND </w:t>
            </w:r>
            <w:proofErr w:type="spellStart"/>
            <w:r w:rsidRPr="006433B7">
              <w:rPr>
                <w:sz w:val="18"/>
                <w:szCs w:val="18"/>
              </w:rPr>
              <w:t>nutri</w:t>
            </w:r>
            <w:proofErr w:type="spellEnd"/>
            <w:r w:rsidRPr="006433B7">
              <w:rPr>
                <w:sz w:val="18"/>
                <w:szCs w:val="18"/>
              </w:rPr>
              <w:t>*)</w:t>
            </w:r>
          </w:p>
        </w:tc>
      </w:tr>
      <w:tr w:rsidR="00681CDB" w14:paraId="6DD65AB9" w14:textId="77777777" w:rsidTr="007F7EA3">
        <w:tc>
          <w:tcPr>
            <w:tcW w:w="1885" w:type="dxa"/>
          </w:tcPr>
          <w:p w14:paraId="25FD32BA" w14:textId="77777777" w:rsidR="00681CDB" w:rsidRDefault="00681CDB" w:rsidP="007F7EA3">
            <w:pPr>
              <w:ind w:left="0"/>
            </w:pPr>
            <w:r>
              <w:lastRenderedPageBreak/>
              <w:t>BASE</w:t>
            </w:r>
          </w:p>
        </w:tc>
        <w:tc>
          <w:tcPr>
            <w:tcW w:w="7465" w:type="dxa"/>
          </w:tcPr>
          <w:p w14:paraId="7D8FBF5E" w14:textId="77777777" w:rsidR="00681CDB" w:rsidRDefault="00681CDB" w:rsidP="007F7EA3">
            <w:pPr>
              <w:spacing w:before="120"/>
              <w:ind w:left="0"/>
              <w:rPr>
                <w:sz w:val="18"/>
                <w:szCs w:val="18"/>
              </w:rPr>
            </w:pPr>
            <w:r>
              <w:rPr>
                <w:sz w:val="18"/>
                <w:szCs w:val="18"/>
              </w:rPr>
              <w:t xml:space="preserve">search: </w:t>
            </w:r>
            <w:r w:rsidRPr="00C5578D">
              <w:rPr>
                <w:sz w:val="18"/>
                <w:szCs w:val="18"/>
              </w:rPr>
              <w:t>"household consumption and expenditure survey"</w:t>
            </w:r>
          </w:p>
          <w:p w14:paraId="0EAD6307" w14:textId="77777777" w:rsidR="00681CDB" w:rsidRDefault="00681CDB" w:rsidP="007F7EA3">
            <w:pPr>
              <w:spacing w:before="120"/>
              <w:ind w:left="0"/>
              <w:rPr>
                <w:sz w:val="18"/>
                <w:szCs w:val="18"/>
              </w:rPr>
            </w:pPr>
            <w:r>
              <w:rPr>
                <w:sz w:val="18"/>
                <w:szCs w:val="18"/>
              </w:rPr>
              <w:t xml:space="preserve">search: </w:t>
            </w:r>
            <w:r w:rsidRPr="00C5578D">
              <w:rPr>
                <w:sz w:val="18"/>
                <w:szCs w:val="18"/>
              </w:rPr>
              <w:t xml:space="preserve">"living standards measurement study" </w:t>
            </w:r>
            <w:r>
              <w:rPr>
                <w:sz w:val="18"/>
                <w:szCs w:val="18"/>
              </w:rPr>
              <w:t xml:space="preserve">AND </w:t>
            </w:r>
            <w:r w:rsidRPr="00C5578D">
              <w:rPr>
                <w:sz w:val="18"/>
                <w:szCs w:val="18"/>
              </w:rPr>
              <w:t>*</w:t>
            </w:r>
            <w:proofErr w:type="spellStart"/>
            <w:r w:rsidRPr="00C5578D">
              <w:rPr>
                <w:sz w:val="18"/>
                <w:szCs w:val="18"/>
              </w:rPr>
              <w:t>nutri</w:t>
            </w:r>
            <w:proofErr w:type="spellEnd"/>
            <w:r w:rsidRPr="00C5578D">
              <w:rPr>
                <w:sz w:val="18"/>
                <w:szCs w:val="18"/>
              </w:rPr>
              <w:t>*</w:t>
            </w:r>
          </w:p>
          <w:p w14:paraId="2CBCA9FC" w14:textId="77777777" w:rsidR="00681CDB" w:rsidRDefault="00681CDB" w:rsidP="007F7EA3">
            <w:pPr>
              <w:spacing w:before="120"/>
              <w:ind w:left="0"/>
              <w:rPr>
                <w:sz w:val="18"/>
                <w:szCs w:val="18"/>
              </w:rPr>
            </w:pPr>
            <w:r>
              <w:rPr>
                <w:sz w:val="18"/>
                <w:szCs w:val="18"/>
              </w:rPr>
              <w:t xml:space="preserve">search: </w:t>
            </w:r>
            <w:r w:rsidRPr="00C5578D">
              <w:rPr>
                <w:sz w:val="18"/>
                <w:szCs w:val="18"/>
              </w:rPr>
              <w:t xml:space="preserve">"integrated household survey" </w:t>
            </w:r>
            <w:r>
              <w:rPr>
                <w:sz w:val="18"/>
                <w:szCs w:val="18"/>
              </w:rPr>
              <w:t xml:space="preserve">AND </w:t>
            </w:r>
            <w:r w:rsidRPr="00C5578D">
              <w:rPr>
                <w:sz w:val="18"/>
                <w:szCs w:val="18"/>
              </w:rPr>
              <w:t>*</w:t>
            </w:r>
            <w:proofErr w:type="spellStart"/>
            <w:r w:rsidRPr="00C5578D">
              <w:rPr>
                <w:sz w:val="18"/>
                <w:szCs w:val="18"/>
              </w:rPr>
              <w:t>nutri</w:t>
            </w:r>
            <w:proofErr w:type="spellEnd"/>
            <w:r w:rsidRPr="00C5578D">
              <w:rPr>
                <w:sz w:val="18"/>
                <w:szCs w:val="18"/>
              </w:rPr>
              <w:t>*</w:t>
            </w:r>
          </w:p>
          <w:p w14:paraId="5CD1E2FD" w14:textId="77777777" w:rsidR="00681CDB" w:rsidRDefault="00681CDB" w:rsidP="007F7EA3">
            <w:pPr>
              <w:spacing w:before="120"/>
              <w:ind w:left="0"/>
              <w:rPr>
                <w:sz w:val="18"/>
                <w:szCs w:val="18"/>
              </w:rPr>
            </w:pPr>
            <w:r>
              <w:rPr>
                <w:sz w:val="18"/>
                <w:szCs w:val="18"/>
              </w:rPr>
              <w:t xml:space="preserve">search: </w:t>
            </w:r>
            <w:r w:rsidRPr="00C5578D">
              <w:rPr>
                <w:sz w:val="18"/>
                <w:szCs w:val="18"/>
              </w:rPr>
              <w:t>"living conditions monitoring survey"</w:t>
            </w:r>
          </w:p>
          <w:p w14:paraId="7AFDF7D2" w14:textId="77777777" w:rsidR="00681CDB" w:rsidRDefault="00681CDB" w:rsidP="007F7EA3">
            <w:pPr>
              <w:spacing w:before="120"/>
              <w:ind w:left="0"/>
              <w:rPr>
                <w:sz w:val="18"/>
                <w:szCs w:val="18"/>
              </w:rPr>
            </w:pPr>
            <w:r>
              <w:rPr>
                <w:sz w:val="18"/>
                <w:szCs w:val="18"/>
              </w:rPr>
              <w:t xml:space="preserve">search: </w:t>
            </w:r>
            <w:r w:rsidRPr="00C5578D">
              <w:rPr>
                <w:sz w:val="18"/>
                <w:szCs w:val="18"/>
              </w:rPr>
              <w:t>household budget survey AND</w:t>
            </w:r>
            <w:r>
              <w:rPr>
                <w:sz w:val="18"/>
                <w:szCs w:val="18"/>
              </w:rPr>
              <w:t xml:space="preserve"> </w:t>
            </w:r>
            <w:r w:rsidRPr="00C5578D">
              <w:rPr>
                <w:sz w:val="18"/>
                <w:szCs w:val="18"/>
              </w:rPr>
              <w:t>*</w:t>
            </w:r>
            <w:proofErr w:type="spellStart"/>
            <w:r w:rsidRPr="00C5578D">
              <w:rPr>
                <w:sz w:val="18"/>
                <w:szCs w:val="18"/>
              </w:rPr>
              <w:t>nutri</w:t>
            </w:r>
            <w:proofErr w:type="spellEnd"/>
            <w:r w:rsidRPr="00C5578D">
              <w:rPr>
                <w:sz w:val="18"/>
                <w:szCs w:val="18"/>
              </w:rPr>
              <w:t>*</w:t>
            </w:r>
          </w:p>
          <w:p w14:paraId="7C19336A" w14:textId="77777777" w:rsidR="00681CDB" w:rsidRPr="00F21950" w:rsidRDefault="00681CDB" w:rsidP="007F7EA3">
            <w:pPr>
              <w:spacing w:before="120"/>
              <w:ind w:left="0"/>
              <w:rPr>
                <w:sz w:val="18"/>
                <w:szCs w:val="18"/>
              </w:rPr>
            </w:pPr>
            <w:r>
              <w:rPr>
                <w:sz w:val="18"/>
                <w:szCs w:val="18"/>
              </w:rPr>
              <w:t xml:space="preserve">search: </w:t>
            </w:r>
            <w:r w:rsidRPr="00C5578D">
              <w:rPr>
                <w:sz w:val="18"/>
                <w:szCs w:val="18"/>
              </w:rPr>
              <w:t xml:space="preserve">"socioeconomic survey" </w:t>
            </w:r>
            <w:r>
              <w:rPr>
                <w:sz w:val="18"/>
                <w:szCs w:val="18"/>
              </w:rPr>
              <w:t xml:space="preserve">AND </w:t>
            </w:r>
            <w:r w:rsidRPr="00C5578D">
              <w:rPr>
                <w:sz w:val="18"/>
                <w:szCs w:val="18"/>
              </w:rPr>
              <w:t>*</w:t>
            </w:r>
            <w:proofErr w:type="spellStart"/>
            <w:r w:rsidRPr="00C5578D">
              <w:rPr>
                <w:sz w:val="18"/>
                <w:szCs w:val="18"/>
              </w:rPr>
              <w:t>nutri</w:t>
            </w:r>
            <w:proofErr w:type="spellEnd"/>
            <w:r w:rsidRPr="00C5578D">
              <w:rPr>
                <w:sz w:val="18"/>
                <w:szCs w:val="18"/>
              </w:rPr>
              <w:t>*</w:t>
            </w:r>
          </w:p>
        </w:tc>
      </w:tr>
      <w:tr w:rsidR="00681CDB" w:rsidRPr="00151FCF" w14:paraId="291C99DC" w14:textId="77777777" w:rsidTr="007F7EA3">
        <w:tc>
          <w:tcPr>
            <w:tcW w:w="1885" w:type="dxa"/>
          </w:tcPr>
          <w:p w14:paraId="536356BA" w14:textId="77777777" w:rsidR="00681CDB" w:rsidRDefault="00681CDB" w:rsidP="007F7EA3">
            <w:pPr>
              <w:ind w:left="0"/>
            </w:pPr>
            <w:r>
              <w:t>Google Scholar</w:t>
            </w:r>
          </w:p>
        </w:tc>
        <w:tc>
          <w:tcPr>
            <w:tcW w:w="7465" w:type="dxa"/>
          </w:tcPr>
          <w:p w14:paraId="25031096" w14:textId="77777777" w:rsidR="00681CDB" w:rsidRDefault="00681CDB" w:rsidP="007F7EA3">
            <w:pPr>
              <w:spacing w:before="120"/>
              <w:ind w:left="0"/>
              <w:rPr>
                <w:sz w:val="18"/>
                <w:szCs w:val="18"/>
                <w:lang w:val="fr-FR"/>
              </w:rPr>
            </w:pPr>
            <w:proofErr w:type="spellStart"/>
            <w:proofErr w:type="gramStart"/>
            <w:r w:rsidRPr="003C1D93">
              <w:rPr>
                <w:sz w:val="18"/>
                <w:szCs w:val="18"/>
                <w:lang w:val="fr-FR"/>
              </w:rPr>
              <w:t>search</w:t>
            </w:r>
            <w:proofErr w:type="spellEnd"/>
            <w:r w:rsidRPr="003C1D93">
              <w:rPr>
                <w:sz w:val="18"/>
                <w:szCs w:val="18"/>
                <w:lang w:val="fr-FR"/>
              </w:rPr>
              <w:t>:</w:t>
            </w:r>
            <w:proofErr w:type="gramEnd"/>
            <w:r w:rsidRPr="003C1D93">
              <w:rPr>
                <w:sz w:val="18"/>
                <w:szCs w:val="18"/>
                <w:lang w:val="fr-FR"/>
              </w:rPr>
              <w:t xml:space="preserve"> "Enquête"  AND "nutrition" AND "auprès des ménages"</w:t>
            </w:r>
          </w:p>
          <w:p w14:paraId="01A01D5E" w14:textId="77777777" w:rsidR="00681CDB" w:rsidRDefault="00681CDB" w:rsidP="007F7EA3">
            <w:pPr>
              <w:spacing w:before="120"/>
              <w:ind w:left="0"/>
              <w:rPr>
                <w:sz w:val="18"/>
                <w:szCs w:val="18"/>
                <w:lang w:val="fr-FR"/>
              </w:rPr>
            </w:pPr>
            <w:proofErr w:type="spellStart"/>
            <w:proofErr w:type="gramStart"/>
            <w:r w:rsidRPr="003C1D93">
              <w:rPr>
                <w:sz w:val="18"/>
                <w:szCs w:val="18"/>
                <w:lang w:val="fr-FR"/>
              </w:rPr>
              <w:t>search</w:t>
            </w:r>
            <w:proofErr w:type="spellEnd"/>
            <w:r w:rsidRPr="003C1D93">
              <w:rPr>
                <w:sz w:val="18"/>
                <w:szCs w:val="18"/>
                <w:lang w:val="fr-FR"/>
              </w:rPr>
              <w:t>:</w:t>
            </w:r>
            <w:proofErr w:type="gramEnd"/>
            <w:r w:rsidRPr="003C1D93">
              <w:rPr>
                <w:sz w:val="18"/>
                <w:szCs w:val="18"/>
                <w:lang w:val="fr-FR"/>
              </w:rPr>
              <w:t xml:space="preserve"> "Enquête" AND "nutrition" AND "les conditions de vie" AND "auprès des ménages"</w:t>
            </w:r>
          </w:p>
          <w:p w14:paraId="76934E93" w14:textId="77777777" w:rsidR="00681CDB" w:rsidRDefault="00681CDB" w:rsidP="007F7EA3">
            <w:pPr>
              <w:spacing w:before="120"/>
              <w:ind w:left="0"/>
              <w:rPr>
                <w:sz w:val="18"/>
                <w:szCs w:val="18"/>
                <w:lang w:val="fr-FR"/>
              </w:rPr>
            </w:pPr>
            <w:proofErr w:type="spellStart"/>
            <w:proofErr w:type="gramStart"/>
            <w:r w:rsidRPr="003C1D93">
              <w:rPr>
                <w:sz w:val="18"/>
                <w:szCs w:val="18"/>
                <w:lang w:val="fr-FR"/>
              </w:rPr>
              <w:t>search</w:t>
            </w:r>
            <w:proofErr w:type="spellEnd"/>
            <w:r w:rsidRPr="003C1D93">
              <w:rPr>
                <w:sz w:val="18"/>
                <w:szCs w:val="18"/>
                <w:lang w:val="fr-FR"/>
              </w:rPr>
              <w:t>:</w:t>
            </w:r>
            <w:proofErr w:type="gramEnd"/>
            <w:r w:rsidRPr="003C1D93">
              <w:rPr>
                <w:sz w:val="18"/>
                <w:szCs w:val="18"/>
                <w:lang w:val="fr-FR"/>
              </w:rPr>
              <w:t xml:space="preserve"> "Enquête" AND "nutrition" AND "Suivi de la </w:t>
            </w:r>
            <w:proofErr w:type="spellStart"/>
            <w:r w:rsidRPr="003C1D93">
              <w:rPr>
                <w:sz w:val="18"/>
                <w:szCs w:val="18"/>
                <w:lang w:val="fr-FR"/>
              </w:rPr>
              <w:t>Pauvrete</w:t>
            </w:r>
            <w:proofErr w:type="spellEnd"/>
            <w:r w:rsidRPr="003C1D93">
              <w:rPr>
                <w:sz w:val="18"/>
                <w:szCs w:val="18"/>
                <w:lang w:val="fr-FR"/>
              </w:rPr>
              <w:t>"</w:t>
            </w:r>
          </w:p>
          <w:p w14:paraId="0C3A5CC9" w14:textId="77777777" w:rsidR="00681CDB" w:rsidRDefault="00681CDB" w:rsidP="007F7EA3">
            <w:pPr>
              <w:spacing w:before="120"/>
              <w:ind w:left="0"/>
              <w:rPr>
                <w:sz w:val="18"/>
                <w:szCs w:val="18"/>
                <w:lang w:val="fr-FR"/>
              </w:rPr>
            </w:pPr>
            <w:proofErr w:type="spellStart"/>
            <w:proofErr w:type="gramStart"/>
            <w:r w:rsidRPr="003C1D93">
              <w:rPr>
                <w:sz w:val="18"/>
                <w:szCs w:val="18"/>
                <w:lang w:val="fr-FR"/>
              </w:rPr>
              <w:t>search</w:t>
            </w:r>
            <w:proofErr w:type="spellEnd"/>
            <w:r w:rsidRPr="003C1D93">
              <w:rPr>
                <w:sz w:val="18"/>
                <w:szCs w:val="18"/>
                <w:lang w:val="fr-FR"/>
              </w:rPr>
              <w:t>:</w:t>
            </w:r>
            <w:proofErr w:type="gramEnd"/>
            <w:r w:rsidRPr="003C1D93">
              <w:rPr>
                <w:sz w:val="18"/>
                <w:szCs w:val="18"/>
                <w:lang w:val="fr-FR"/>
              </w:rPr>
              <w:t xml:space="preserve"> "Enquête" AND "nutrition" AND " la Consommation et le Secteur Informel"</w:t>
            </w:r>
          </w:p>
          <w:p w14:paraId="360641F1" w14:textId="77777777" w:rsidR="00681CDB" w:rsidRPr="003C1D93" w:rsidRDefault="00681CDB" w:rsidP="007F7EA3">
            <w:pPr>
              <w:spacing w:before="120"/>
              <w:ind w:left="0"/>
              <w:rPr>
                <w:sz w:val="18"/>
                <w:szCs w:val="18"/>
                <w:lang w:val="fr-FR"/>
              </w:rPr>
            </w:pPr>
            <w:proofErr w:type="spellStart"/>
            <w:proofErr w:type="gramStart"/>
            <w:r w:rsidRPr="003C1D93">
              <w:rPr>
                <w:sz w:val="18"/>
                <w:szCs w:val="18"/>
                <w:lang w:val="fr-FR"/>
              </w:rPr>
              <w:t>search</w:t>
            </w:r>
            <w:proofErr w:type="spellEnd"/>
            <w:r w:rsidRPr="003C1D93">
              <w:rPr>
                <w:sz w:val="18"/>
                <w:szCs w:val="18"/>
                <w:lang w:val="fr-FR"/>
              </w:rPr>
              <w:t>:</w:t>
            </w:r>
            <w:proofErr w:type="gramEnd"/>
            <w:r w:rsidRPr="003C1D93">
              <w:rPr>
                <w:sz w:val="18"/>
                <w:szCs w:val="18"/>
                <w:lang w:val="fr-FR"/>
              </w:rPr>
              <w:t xml:space="preserve"> "Enquête” AND "nutrition" AND "le Budget et la Consommation des </w:t>
            </w:r>
            <w:proofErr w:type="spellStart"/>
            <w:r w:rsidRPr="003C1D93">
              <w:rPr>
                <w:sz w:val="18"/>
                <w:szCs w:val="18"/>
                <w:lang w:val="fr-FR"/>
              </w:rPr>
              <w:t>Menages</w:t>
            </w:r>
            <w:proofErr w:type="spellEnd"/>
            <w:r w:rsidRPr="003C1D93">
              <w:rPr>
                <w:sz w:val="18"/>
                <w:szCs w:val="18"/>
                <w:lang w:val="fr-FR"/>
              </w:rPr>
              <w:t>"</w:t>
            </w:r>
          </w:p>
        </w:tc>
      </w:tr>
    </w:tbl>
    <w:p w14:paraId="4947688F" w14:textId="77777777" w:rsidR="00681CDB" w:rsidRPr="003C1D93" w:rsidRDefault="00681CDB" w:rsidP="00681CDB">
      <w:pPr>
        <w:rPr>
          <w:lang w:val="fr-FR"/>
        </w:rPr>
      </w:pPr>
    </w:p>
    <w:p w14:paraId="53831568" w14:textId="77777777" w:rsidR="00681CDB" w:rsidRDefault="00681CDB" w:rsidP="00681CDB">
      <w:pPr>
        <w:pStyle w:val="ListParagraph"/>
        <w:ind w:left="0"/>
        <w:rPr>
          <w:lang w:val="fr-FR"/>
        </w:rPr>
      </w:pPr>
      <w:r>
        <w:rPr>
          <w:lang w:val="fr-FR"/>
        </w:rPr>
        <w:br w:type="page"/>
      </w:r>
    </w:p>
    <w:p w14:paraId="66D9205A" w14:textId="77777777" w:rsidR="00681CDB" w:rsidRPr="00F3550D" w:rsidRDefault="00681CDB" w:rsidP="00FF3F99">
      <w:pPr>
        <w:pStyle w:val="Heading1"/>
      </w:pPr>
      <w:bookmarkStart w:id="11" w:name="_Toc44680603"/>
      <w:bookmarkStart w:id="12" w:name="_Toc76569022"/>
      <w:r w:rsidRPr="00F3550D">
        <w:rPr>
          <w:b/>
          <w:bCs/>
        </w:rPr>
        <w:lastRenderedPageBreak/>
        <w:t>Appendix 3.</w:t>
      </w:r>
      <w:r w:rsidRPr="00F3550D">
        <w:t xml:space="preserve"> Information extracted from the </w:t>
      </w:r>
      <w:bookmarkEnd w:id="11"/>
      <w:r w:rsidRPr="00F3550D">
        <w:t>included literature</w:t>
      </w:r>
      <w:bookmarkEnd w:id="12"/>
    </w:p>
    <w:tbl>
      <w:tblPr>
        <w:tblStyle w:val="TableGrid"/>
        <w:tblW w:w="10345" w:type="dxa"/>
        <w:tblLook w:val="04A0" w:firstRow="1" w:lastRow="0" w:firstColumn="1" w:lastColumn="0" w:noHBand="0" w:noVBand="1"/>
      </w:tblPr>
      <w:tblGrid>
        <w:gridCol w:w="3505"/>
        <w:gridCol w:w="6840"/>
      </w:tblGrid>
      <w:tr w:rsidR="00681CDB" w14:paraId="490D9149" w14:textId="77777777" w:rsidTr="007F7EA3">
        <w:trPr>
          <w:trHeight w:val="195"/>
        </w:trPr>
        <w:tc>
          <w:tcPr>
            <w:tcW w:w="3505" w:type="dxa"/>
          </w:tcPr>
          <w:p w14:paraId="32BB1A47" w14:textId="77777777" w:rsidR="00681CDB" w:rsidRPr="00F3550D" w:rsidRDefault="00681CDB" w:rsidP="007F7EA3">
            <w:pPr>
              <w:pStyle w:val="ListParagraph"/>
              <w:ind w:left="0"/>
              <w:rPr>
                <w:b/>
                <w:bCs/>
                <w:sz w:val="21"/>
                <w:szCs w:val="21"/>
              </w:rPr>
            </w:pPr>
            <w:r w:rsidRPr="00F3550D">
              <w:rPr>
                <w:b/>
                <w:bCs/>
                <w:sz w:val="21"/>
                <w:szCs w:val="21"/>
              </w:rPr>
              <w:t>Categories</w:t>
            </w:r>
          </w:p>
        </w:tc>
        <w:tc>
          <w:tcPr>
            <w:tcW w:w="6840" w:type="dxa"/>
          </w:tcPr>
          <w:p w14:paraId="4EEBD9C1" w14:textId="77777777" w:rsidR="00681CDB" w:rsidRPr="00F3550D" w:rsidRDefault="00681CDB" w:rsidP="007F7EA3">
            <w:pPr>
              <w:pStyle w:val="ListParagraph"/>
              <w:ind w:left="0"/>
              <w:rPr>
                <w:b/>
                <w:bCs/>
                <w:sz w:val="21"/>
                <w:szCs w:val="21"/>
              </w:rPr>
            </w:pPr>
            <w:r w:rsidRPr="00F3550D">
              <w:rPr>
                <w:b/>
                <w:bCs/>
                <w:sz w:val="21"/>
                <w:szCs w:val="21"/>
              </w:rPr>
              <w:t>Extracted information</w:t>
            </w:r>
          </w:p>
        </w:tc>
      </w:tr>
      <w:tr w:rsidR="00681CDB" w14:paraId="694D9B32" w14:textId="77777777" w:rsidTr="007F7EA3">
        <w:trPr>
          <w:trHeight w:val="589"/>
        </w:trPr>
        <w:tc>
          <w:tcPr>
            <w:tcW w:w="3505" w:type="dxa"/>
          </w:tcPr>
          <w:p w14:paraId="288B84FF" w14:textId="77777777" w:rsidR="00681CDB" w:rsidRPr="00A80B3E" w:rsidRDefault="00681CDB" w:rsidP="007F7EA3">
            <w:pPr>
              <w:pStyle w:val="ListParagraph"/>
              <w:ind w:left="0"/>
              <w:rPr>
                <w:sz w:val="21"/>
                <w:szCs w:val="21"/>
              </w:rPr>
            </w:pPr>
            <w:r w:rsidRPr="00A80B3E">
              <w:rPr>
                <w:sz w:val="21"/>
                <w:szCs w:val="21"/>
              </w:rPr>
              <w:t>General information</w:t>
            </w:r>
          </w:p>
        </w:tc>
        <w:tc>
          <w:tcPr>
            <w:tcW w:w="6840" w:type="dxa"/>
          </w:tcPr>
          <w:p w14:paraId="0B79FE8F" w14:textId="77777777" w:rsidR="00681CDB" w:rsidRPr="00F3550D" w:rsidRDefault="00681CDB" w:rsidP="007F7EA3">
            <w:pPr>
              <w:pStyle w:val="ListParagraph"/>
              <w:numPr>
                <w:ilvl w:val="0"/>
                <w:numId w:val="20"/>
              </w:numPr>
              <w:rPr>
                <w:sz w:val="21"/>
                <w:szCs w:val="21"/>
              </w:rPr>
            </w:pPr>
            <w:r w:rsidRPr="00F3550D">
              <w:rPr>
                <w:sz w:val="21"/>
                <w:szCs w:val="21"/>
              </w:rPr>
              <w:t>Title</w:t>
            </w:r>
          </w:p>
          <w:p w14:paraId="62277835" w14:textId="77777777" w:rsidR="00681CDB" w:rsidRDefault="00681CDB" w:rsidP="007F7EA3">
            <w:pPr>
              <w:pStyle w:val="ListParagraph"/>
              <w:numPr>
                <w:ilvl w:val="0"/>
                <w:numId w:val="20"/>
              </w:numPr>
              <w:rPr>
                <w:sz w:val="21"/>
                <w:szCs w:val="21"/>
              </w:rPr>
            </w:pPr>
            <w:r w:rsidRPr="00F3550D">
              <w:rPr>
                <w:sz w:val="21"/>
                <w:szCs w:val="21"/>
              </w:rPr>
              <w:t>Year published</w:t>
            </w:r>
          </w:p>
          <w:p w14:paraId="1F3B754E" w14:textId="77777777" w:rsidR="00681CDB" w:rsidRPr="00F3550D" w:rsidRDefault="00681CDB" w:rsidP="007F7EA3">
            <w:pPr>
              <w:pStyle w:val="ListParagraph"/>
              <w:numPr>
                <w:ilvl w:val="0"/>
                <w:numId w:val="20"/>
              </w:numPr>
              <w:rPr>
                <w:sz w:val="21"/>
                <w:szCs w:val="21"/>
              </w:rPr>
            </w:pPr>
            <w:r>
              <w:rPr>
                <w:sz w:val="21"/>
                <w:szCs w:val="21"/>
              </w:rPr>
              <w:t>Authors</w:t>
            </w:r>
          </w:p>
          <w:p w14:paraId="470FE1F7" w14:textId="77777777" w:rsidR="00681CDB" w:rsidRDefault="00681CDB" w:rsidP="007F7EA3">
            <w:pPr>
              <w:pStyle w:val="ListParagraph"/>
              <w:numPr>
                <w:ilvl w:val="0"/>
                <w:numId w:val="20"/>
              </w:numPr>
              <w:rPr>
                <w:sz w:val="21"/>
                <w:szCs w:val="21"/>
              </w:rPr>
            </w:pPr>
            <w:r w:rsidRPr="00F3550D">
              <w:rPr>
                <w:sz w:val="21"/>
                <w:szCs w:val="21"/>
              </w:rPr>
              <w:t>Journal/publication medium</w:t>
            </w:r>
          </w:p>
          <w:p w14:paraId="475C9626" w14:textId="77777777" w:rsidR="00681CDB" w:rsidRPr="00F3550D" w:rsidRDefault="00681CDB" w:rsidP="007F7EA3">
            <w:pPr>
              <w:pStyle w:val="ListParagraph"/>
              <w:numPr>
                <w:ilvl w:val="0"/>
                <w:numId w:val="20"/>
              </w:numPr>
              <w:rPr>
                <w:sz w:val="21"/>
                <w:szCs w:val="21"/>
              </w:rPr>
            </w:pPr>
            <w:r>
              <w:rPr>
                <w:sz w:val="21"/>
                <w:szCs w:val="21"/>
              </w:rPr>
              <w:t>Peer review (Y/N)</w:t>
            </w:r>
          </w:p>
          <w:p w14:paraId="45F90C57" w14:textId="77777777" w:rsidR="00681CDB" w:rsidRPr="00F3550D" w:rsidRDefault="00681CDB" w:rsidP="007F7EA3">
            <w:pPr>
              <w:pStyle w:val="ListParagraph"/>
              <w:numPr>
                <w:ilvl w:val="0"/>
                <w:numId w:val="20"/>
              </w:numPr>
              <w:rPr>
                <w:sz w:val="21"/>
                <w:szCs w:val="21"/>
              </w:rPr>
            </w:pPr>
            <w:r w:rsidRPr="00F3550D">
              <w:rPr>
                <w:sz w:val="21"/>
                <w:szCs w:val="21"/>
              </w:rPr>
              <w:t>Objective</w:t>
            </w:r>
          </w:p>
          <w:p w14:paraId="7E5B4BF4" w14:textId="4D1181F2" w:rsidR="00681CDB" w:rsidRPr="00F3550D" w:rsidRDefault="00681CDB" w:rsidP="007F7EA3">
            <w:pPr>
              <w:pStyle w:val="ListParagraph"/>
              <w:numPr>
                <w:ilvl w:val="0"/>
                <w:numId w:val="20"/>
              </w:numPr>
              <w:rPr>
                <w:sz w:val="21"/>
                <w:szCs w:val="21"/>
              </w:rPr>
            </w:pPr>
            <w:r w:rsidRPr="00F3550D">
              <w:rPr>
                <w:sz w:val="21"/>
                <w:szCs w:val="21"/>
              </w:rPr>
              <w:t xml:space="preserve">Reported </w:t>
            </w:r>
            <w:r w:rsidR="00FF3F99" w:rsidRPr="00F3550D">
              <w:rPr>
                <w:sz w:val="21"/>
                <w:szCs w:val="21"/>
              </w:rPr>
              <w:t>principal</w:t>
            </w:r>
            <w:r w:rsidRPr="00F3550D">
              <w:rPr>
                <w:sz w:val="21"/>
                <w:szCs w:val="21"/>
              </w:rPr>
              <w:t xml:space="preserve"> findings</w:t>
            </w:r>
          </w:p>
          <w:p w14:paraId="0F7DD47E" w14:textId="77777777" w:rsidR="00681CDB" w:rsidRPr="00F3550D" w:rsidRDefault="00681CDB" w:rsidP="007F7EA3">
            <w:pPr>
              <w:pStyle w:val="ListParagraph"/>
              <w:numPr>
                <w:ilvl w:val="0"/>
                <w:numId w:val="20"/>
              </w:numPr>
              <w:rPr>
                <w:sz w:val="21"/>
                <w:szCs w:val="21"/>
              </w:rPr>
            </w:pPr>
            <w:r w:rsidRPr="00F3550D">
              <w:rPr>
                <w:sz w:val="21"/>
                <w:szCs w:val="21"/>
              </w:rPr>
              <w:t>Reported limitations of analysis</w:t>
            </w:r>
          </w:p>
        </w:tc>
      </w:tr>
      <w:tr w:rsidR="00681CDB" w14:paraId="61B86E94" w14:textId="77777777" w:rsidTr="007F7EA3">
        <w:trPr>
          <w:trHeight w:val="1376"/>
        </w:trPr>
        <w:tc>
          <w:tcPr>
            <w:tcW w:w="3505" w:type="dxa"/>
          </w:tcPr>
          <w:p w14:paraId="6147BA8F" w14:textId="77777777" w:rsidR="00681CDB" w:rsidRPr="00001D0E" w:rsidRDefault="00681CDB" w:rsidP="007F7EA3">
            <w:pPr>
              <w:ind w:left="0"/>
              <w:rPr>
                <w:sz w:val="21"/>
                <w:szCs w:val="21"/>
              </w:rPr>
            </w:pPr>
            <w:r w:rsidRPr="00001D0E">
              <w:rPr>
                <w:sz w:val="21"/>
                <w:szCs w:val="21"/>
              </w:rPr>
              <w:t>Question 1: What is the scope of the existing literature?</w:t>
            </w:r>
          </w:p>
          <w:p w14:paraId="17CCE149" w14:textId="77777777" w:rsidR="00681CDB" w:rsidRPr="00001D0E" w:rsidRDefault="00681CDB" w:rsidP="007F7EA3">
            <w:pPr>
              <w:pStyle w:val="ListParagraph"/>
              <w:ind w:left="0"/>
              <w:rPr>
                <w:sz w:val="21"/>
                <w:szCs w:val="21"/>
              </w:rPr>
            </w:pPr>
          </w:p>
          <w:p w14:paraId="29EB5F20" w14:textId="77777777" w:rsidR="00681CDB" w:rsidRPr="00001D0E" w:rsidRDefault="00681CDB" w:rsidP="007F7EA3">
            <w:pPr>
              <w:pStyle w:val="ListParagraph"/>
              <w:ind w:left="0"/>
              <w:rPr>
                <w:sz w:val="21"/>
                <w:szCs w:val="21"/>
              </w:rPr>
            </w:pPr>
          </w:p>
        </w:tc>
        <w:tc>
          <w:tcPr>
            <w:tcW w:w="6840" w:type="dxa"/>
          </w:tcPr>
          <w:p w14:paraId="45AD0B8B" w14:textId="77777777" w:rsidR="00681CDB" w:rsidRPr="00C51F1E" w:rsidRDefault="00681CDB" w:rsidP="007F7EA3">
            <w:pPr>
              <w:pStyle w:val="ListParagraph"/>
              <w:ind w:left="0"/>
              <w:rPr>
                <w:sz w:val="21"/>
                <w:szCs w:val="21"/>
                <w:u w:val="single"/>
              </w:rPr>
            </w:pPr>
            <w:r w:rsidRPr="00C51F1E">
              <w:rPr>
                <w:sz w:val="21"/>
                <w:szCs w:val="21"/>
                <w:u w:val="single"/>
              </w:rPr>
              <w:t>Scope</w:t>
            </w:r>
          </w:p>
          <w:p w14:paraId="1AA0A0D3" w14:textId="77777777" w:rsidR="00681CDB" w:rsidRPr="00F3550D" w:rsidRDefault="00681CDB" w:rsidP="007F7EA3">
            <w:pPr>
              <w:pStyle w:val="ListParagraph"/>
              <w:numPr>
                <w:ilvl w:val="0"/>
                <w:numId w:val="20"/>
              </w:numPr>
              <w:rPr>
                <w:sz w:val="21"/>
                <w:szCs w:val="21"/>
              </w:rPr>
            </w:pPr>
            <w:r w:rsidRPr="00F3550D">
              <w:rPr>
                <w:sz w:val="21"/>
                <w:szCs w:val="21"/>
              </w:rPr>
              <w:t>Country(s) of study</w:t>
            </w:r>
          </w:p>
          <w:p w14:paraId="1F468384" w14:textId="77777777" w:rsidR="00681CDB" w:rsidRPr="00F3550D" w:rsidRDefault="00681CDB" w:rsidP="007F7EA3">
            <w:pPr>
              <w:pStyle w:val="ListParagraph"/>
              <w:numPr>
                <w:ilvl w:val="0"/>
                <w:numId w:val="20"/>
              </w:numPr>
              <w:rPr>
                <w:sz w:val="21"/>
                <w:szCs w:val="21"/>
              </w:rPr>
            </w:pPr>
            <w:r w:rsidRPr="00F3550D">
              <w:rPr>
                <w:sz w:val="21"/>
                <w:szCs w:val="21"/>
              </w:rPr>
              <w:t>Name of survey</w:t>
            </w:r>
          </w:p>
          <w:p w14:paraId="6F300FA7" w14:textId="77777777" w:rsidR="00681CDB" w:rsidRPr="00F3550D" w:rsidRDefault="00681CDB" w:rsidP="007F7EA3">
            <w:pPr>
              <w:pStyle w:val="ListParagraph"/>
              <w:numPr>
                <w:ilvl w:val="0"/>
                <w:numId w:val="20"/>
              </w:numPr>
              <w:rPr>
                <w:sz w:val="21"/>
                <w:szCs w:val="21"/>
              </w:rPr>
            </w:pPr>
            <w:r w:rsidRPr="00F3550D">
              <w:rPr>
                <w:sz w:val="21"/>
                <w:szCs w:val="21"/>
              </w:rPr>
              <w:t xml:space="preserve">Data collection </w:t>
            </w:r>
            <w:proofErr w:type="gramStart"/>
            <w:r w:rsidRPr="00F3550D">
              <w:rPr>
                <w:sz w:val="21"/>
                <w:szCs w:val="21"/>
              </w:rPr>
              <w:t>time period</w:t>
            </w:r>
            <w:proofErr w:type="gramEnd"/>
          </w:p>
          <w:p w14:paraId="21D57C6C" w14:textId="77777777" w:rsidR="00681CDB" w:rsidRPr="00F3550D" w:rsidRDefault="00681CDB" w:rsidP="007F7EA3">
            <w:pPr>
              <w:pStyle w:val="ListParagraph"/>
              <w:numPr>
                <w:ilvl w:val="0"/>
                <w:numId w:val="20"/>
              </w:numPr>
              <w:rPr>
                <w:sz w:val="21"/>
                <w:szCs w:val="21"/>
              </w:rPr>
            </w:pPr>
            <w:r w:rsidRPr="00F3550D">
              <w:rPr>
                <w:sz w:val="21"/>
                <w:szCs w:val="21"/>
              </w:rPr>
              <w:t>Households, N</w:t>
            </w:r>
          </w:p>
          <w:p w14:paraId="1612ED5D" w14:textId="77777777" w:rsidR="00681CDB" w:rsidRDefault="00681CDB" w:rsidP="007F7EA3">
            <w:pPr>
              <w:pStyle w:val="ListParagraph"/>
              <w:numPr>
                <w:ilvl w:val="0"/>
                <w:numId w:val="20"/>
              </w:numPr>
              <w:rPr>
                <w:sz w:val="21"/>
                <w:szCs w:val="21"/>
              </w:rPr>
            </w:pPr>
            <w:r w:rsidRPr="00F3550D">
              <w:rPr>
                <w:sz w:val="21"/>
                <w:szCs w:val="21"/>
              </w:rPr>
              <w:t>Dietary data collection method</w:t>
            </w:r>
          </w:p>
          <w:p w14:paraId="6F28D01D" w14:textId="77777777" w:rsidR="00681CDB" w:rsidRDefault="00681CDB" w:rsidP="007F7EA3">
            <w:pPr>
              <w:pStyle w:val="ListParagraph"/>
              <w:numPr>
                <w:ilvl w:val="0"/>
                <w:numId w:val="20"/>
              </w:numPr>
              <w:rPr>
                <w:sz w:val="21"/>
                <w:szCs w:val="21"/>
              </w:rPr>
            </w:pPr>
            <w:r w:rsidRPr="00F3550D">
              <w:rPr>
                <w:sz w:val="21"/>
                <w:szCs w:val="21"/>
              </w:rPr>
              <w:t>Which nutrients were measured</w:t>
            </w:r>
            <w:r>
              <w:rPr>
                <w:sz w:val="21"/>
                <w:szCs w:val="21"/>
              </w:rPr>
              <w:t xml:space="preserve"> (or energy)</w:t>
            </w:r>
            <w:r w:rsidRPr="00F3550D">
              <w:rPr>
                <w:sz w:val="21"/>
                <w:szCs w:val="21"/>
              </w:rPr>
              <w:t>?</w:t>
            </w:r>
          </w:p>
          <w:p w14:paraId="0BC4E5BE" w14:textId="77777777" w:rsidR="00681CDB" w:rsidRPr="00C51F1E" w:rsidRDefault="00681CDB" w:rsidP="007F7EA3">
            <w:pPr>
              <w:pStyle w:val="ListParagraph"/>
              <w:ind w:left="0"/>
              <w:rPr>
                <w:sz w:val="21"/>
                <w:szCs w:val="21"/>
                <w:u w:val="single"/>
              </w:rPr>
            </w:pPr>
            <w:r w:rsidRPr="00C51F1E">
              <w:rPr>
                <w:sz w:val="21"/>
                <w:szCs w:val="21"/>
                <w:u w:val="single"/>
              </w:rPr>
              <w:t>Quality</w:t>
            </w:r>
          </w:p>
          <w:p w14:paraId="1BAE7195" w14:textId="77777777" w:rsidR="00681CDB" w:rsidRPr="00F3550D" w:rsidRDefault="00681CDB" w:rsidP="007F7EA3">
            <w:pPr>
              <w:pStyle w:val="ListParagraph"/>
              <w:numPr>
                <w:ilvl w:val="0"/>
                <w:numId w:val="20"/>
              </w:numPr>
              <w:rPr>
                <w:sz w:val="21"/>
                <w:szCs w:val="21"/>
              </w:rPr>
            </w:pPr>
            <w:r>
              <w:rPr>
                <w:sz w:val="21"/>
                <w:szCs w:val="21"/>
              </w:rPr>
              <w:t>Recall period</w:t>
            </w:r>
          </w:p>
          <w:p w14:paraId="0E482684" w14:textId="77777777" w:rsidR="00681CDB" w:rsidRPr="00F3550D" w:rsidRDefault="00681CDB" w:rsidP="007F7EA3">
            <w:pPr>
              <w:pStyle w:val="ListParagraph"/>
              <w:numPr>
                <w:ilvl w:val="0"/>
                <w:numId w:val="20"/>
              </w:numPr>
              <w:rPr>
                <w:sz w:val="21"/>
                <w:szCs w:val="21"/>
              </w:rPr>
            </w:pPr>
            <w:r w:rsidRPr="00F3550D">
              <w:rPr>
                <w:sz w:val="21"/>
                <w:szCs w:val="21"/>
              </w:rPr>
              <w:t>Food item list, n</w:t>
            </w:r>
          </w:p>
          <w:p w14:paraId="00FA5113" w14:textId="77777777" w:rsidR="00681CDB" w:rsidRDefault="00681CDB" w:rsidP="007F7EA3">
            <w:pPr>
              <w:pStyle w:val="ListParagraph"/>
              <w:numPr>
                <w:ilvl w:val="0"/>
                <w:numId w:val="20"/>
              </w:numPr>
              <w:rPr>
                <w:sz w:val="21"/>
                <w:szCs w:val="21"/>
              </w:rPr>
            </w:pPr>
            <w:r w:rsidRPr="00F3550D">
              <w:rPr>
                <w:sz w:val="21"/>
                <w:szCs w:val="21"/>
              </w:rPr>
              <w:t>Survey question verb</w:t>
            </w:r>
          </w:p>
          <w:p w14:paraId="1E050572" w14:textId="77777777" w:rsidR="00681CDB" w:rsidRPr="00F3550D" w:rsidRDefault="00681CDB" w:rsidP="007F7EA3">
            <w:pPr>
              <w:pStyle w:val="ListParagraph"/>
              <w:numPr>
                <w:ilvl w:val="0"/>
                <w:numId w:val="20"/>
              </w:numPr>
              <w:rPr>
                <w:sz w:val="21"/>
                <w:szCs w:val="21"/>
              </w:rPr>
            </w:pPr>
            <w:r>
              <w:rPr>
                <w:sz w:val="21"/>
                <w:szCs w:val="21"/>
              </w:rPr>
              <w:t>C</w:t>
            </w:r>
            <w:r w:rsidRPr="00F3550D">
              <w:rPr>
                <w:sz w:val="21"/>
                <w:szCs w:val="21"/>
              </w:rPr>
              <w:t>onver</w:t>
            </w:r>
            <w:r>
              <w:rPr>
                <w:sz w:val="21"/>
                <w:szCs w:val="21"/>
              </w:rPr>
              <w:t>sion</w:t>
            </w:r>
            <w:r w:rsidRPr="00F3550D">
              <w:rPr>
                <w:sz w:val="21"/>
                <w:szCs w:val="21"/>
              </w:rPr>
              <w:t xml:space="preserve"> to standard units?</w:t>
            </w:r>
          </w:p>
          <w:p w14:paraId="41AE9B17" w14:textId="77777777" w:rsidR="00681CDB" w:rsidRPr="00F3550D" w:rsidRDefault="00681CDB" w:rsidP="007F7EA3">
            <w:pPr>
              <w:pStyle w:val="ListParagraph"/>
              <w:numPr>
                <w:ilvl w:val="0"/>
                <w:numId w:val="20"/>
              </w:numPr>
              <w:rPr>
                <w:sz w:val="21"/>
                <w:szCs w:val="21"/>
              </w:rPr>
            </w:pPr>
            <w:r>
              <w:rPr>
                <w:sz w:val="21"/>
                <w:szCs w:val="21"/>
              </w:rPr>
              <w:t>E</w:t>
            </w:r>
            <w:r w:rsidRPr="00F3550D">
              <w:rPr>
                <w:sz w:val="21"/>
                <w:szCs w:val="21"/>
              </w:rPr>
              <w:t>dible portions of foods?</w:t>
            </w:r>
            <w:r>
              <w:rPr>
                <w:sz w:val="21"/>
                <w:szCs w:val="21"/>
              </w:rPr>
              <w:t xml:space="preserve"> How?</w:t>
            </w:r>
          </w:p>
          <w:p w14:paraId="62809AEE" w14:textId="77777777" w:rsidR="00681CDB" w:rsidRPr="00F3550D" w:rsidRDefault="00681CDB" w:rsidP="007F7EA3">
            <w:pPr>
              <w:pStyle w:val="ListParagraph"/>
              <w:numPr>
                <w:ilvl w:val="0"/>
                <w:numId w:val="20"/>
              </w:numPr>
              <w:rPr>
                <w:sz w:val="21"/>
                <w:szCs w:val="21"/>
              </w:rPr>
            </w:pPr>
            <w:r>
              <w:rPr>
                <w:sz w:val="21"/>
                <w:szCs w:val="21"/>
              </w:rPr>
              <w:t>O</w:t>
            </w:r>
            <w:r w:rsidRPr="00F3550D">
              <w:rPr>
                <w:sz w:val="21"/>
                <w:szCs w:val="21"/>
              </w:rPr>
              <w:t>utliers identified?</w:t>
            </w:r>
            <w:r>
              <w:rPr>
                <w:sz w:val="21"/>
                <w:szCs w:val="21"/>
              </w:rPr>
              <w:t xml:space="preserve"> How?</w:t>
            </w:r>
          </w:p>
          <w:p w14:paraId="7AC48F3F" w14:textId="77777777" w:rsidR="00681CDB" w:rsidRPr="00C51F1E" w:rsidRDefault="00681CDB" w:rsidP="007F7EA3">
            <w:pPr>
              <w:pStyle w:val="ListParagraph"/>
              <w:numPr>
                <w:ilvl w:val="0"/>
                <w:numId w:val="20"/>
              </w:numPr>
              <w:rPr>
                <w:sz w:val="21"/>
                <w:szCs w:val="21"/>
              </w:rPr>
            </w:pPr>
            <w:r w:rsidRPr="00F3550D">
              <w:rPr>
                <w:sz w:val="21"/>
                <w:szCs w:val="21"/>
              </w:rPr>
              <w:t xml:space="preserve">Which food composition tables were used and in what </w:t>
            </w:r>
            <w:r>
              <w:rPr>
                <w:sz w:val="21"/>
                <w:szCs w:val="21"/>
              </w:rPr>
              <w:t>priority</w:t>
            </w:r>
            <w:r w:rsidRPr="00F3550D">
              <w:rPr>
                <w:sz w:val="21"/>
                <w:szCs w:val="21"/>
              </w:rPr>
              <w:t>?</w:t>
            </w:r>
          </w:p>
        </w:tc>
      </w:tr>
      <w:tr w:rsidR="00681CDB" w14:paraId="296F5BCF" w14:textId="77777777" w:rsidTr="007F7EA3">
        <w:trPr>
          <w:trHeight w:val="787"/>
        </w:trPr>
        <w:tc>
          <w:tcPr>
            <w:tcW w:w="3505" w:type="dxa"/>
          </w:tcPr>
          <w:p w14:paraId="7B7705FE" w14:textId="77777777" w:rsidR="00681CDB" w:rsidRPr="00001D0E" w:rsidRDefault="00681CDB" w:rsidP="007F7EA3">
            <w:pPr>
              <w:ind w:left="0"/>
              <w:rPr>
                <w:sz w:val="21"/>
                <w:szCs w:val="21"/>
              </w:rPr>
            </w:pPr>
            <w:r w:rsidRPr="00001D0E">
              <w:rPr>
                <w:sz w:val="21"/>
                <w:szCs w:val="21"/>
              </w:rPr>
              <w:t>Question 2: What metrics have been used to estimate nutrient and energy supply/apparent intake and nutrient adequacy from HCES data, and how those estimates compare across metrics?</w:t>
            </w:r>
          </w:p>
          <w:p w14:paraId="202DE680" w14:textId="77777777" w:rsidR="00681CDB" w:rsidRPr="00001D0E" w:rsidRDefault="00681CDB" w:rsidP="007F7EA3">
            <w:pPr>
              <w:rPr>
                <w:sz w:val="21"/>
                <w:szCs w:val="21"/>
              </w:rPr>
            </w:pPr>
          </w:p>
        </w:tc>
        <w:tc>
          <w:tcPr>
            <w:tcW w:w="6840" w:type="dxa"/>
          </w:tcPr>
          <w:p w14:paraId="1BF06E7B" w14:textId="77777777" w:rsidR="00681CDB" w:rsidRDefault="00681CDB" w:rsidP="007F7EA3">
            <w:pPr>
              <w:pStyle w:val="ListParagraph"/>
              <w:numPr>
                <w:ilvl w:val="0"/>
                <w:numId w:val="20"/>
              </w:numPr>
              <w:rPr>
                <w:sz w:val="21"/>
                <w:szCs w:val="21"/>
              </w:rPr>
            </w:pPr>
            <w:r w:rsidRPr="00F3550D">
              <w:rPr>
                <w:sz w:val="21"/>
                <w:szCs w:val="21"/>
              </w:rPr>
              <w:t>What nutrition metric was used?</w:t>
            </w:r>
          </w:p>
          <w:p w14:paraId="71CB1E13" w14:textId="77777777" w:rsidR="00681CDB" w:rsidRPr="00C868BA" w:rsidRDefault="00681CDB" w:rsidP="007F7EA3">
            <w:pPr>
              <w:pStyle w:val="ListParagraph"/>
              <w:numPr>
                <w:ilvl w:val="0"/>
                <w:numId w:val="20"/>
              </w:numPr>
              <w:rPr>
                <w:sz w:val="21"/>
                <w:szCs w:val="21"/>
              </w:rPr>
            </w:pPr>
            <w:r>
              <w:rPr>
                <w:sz w:val="21"/>
                <w:szCs w:val="21"/>
              </w:rPr>
              <w:t>Household or individual level?</w:t>
            </w:r>
          </w:p>
          <w:p w14:paraId="184DC45A" w14:textId="77777777" w:rsidR="00681CDB" w:rsidRDefault="00681CDB" w:rsidP="007F7EA3">
            <w:pPr>
              <w:pStyle w:val="ListParagraph"/>
              <w:numPr>
                <w:ilvl w:val="0"/>
                <w:numId w:val="20"/>
              </w:numPr>
              <w:rPr>
                <w:sz w:val="21"/>
                <w:szCs w:val="21"/>
              </w:rPr>
            </w:pPr>
            <w:r>
              <w:rPr>
                <w:sz w:val="21"/>
                <w:szCs w:val="21"/>
              </w:rPr>
              <w:t>Was energy requirement calculation necessary for metric? If yes:</w:t>
            </w:r>
          </w:p>
          <w:p w14:paraId="7A727780" w14:textId="77777777" w:rsidR="00681CDB" w:rsidRPr="004E78EB" w:rsidRDefault="00681CDB" w:rsidP="007F7EA3">
            <w:pPr>
              <w:pStyle w:val="ListParagraph"/>
              <w:numPr>
                <w:ilvl w:val="1"/>
                <w:numId w:val="20"/>
              </w:numPr>
              <w:rPr>
                <w:sz w:val="21"/>
                <w:szCs w:val="21"/>
              </w:rPr>
            </w:pPr>
            <w:r>
              <w:rPr>
                <w:sz w:val="21"/>
                <w:szCs w:val="21"/>
              </w:rPr>
              <w:t>What was the p</w:t>
            </w:r>
            <w:r w:rsidRPr="004E78EB">
              <w:rPr>
                <w:sz w:val="21"/>
                <w:szCs w:val="21"/>
              </w:rPr>
              <w:t>hysical activity level parameter?</w:t>
            </w:r>
          </w:p>
          <w:p w14:paraId="145F5C4B" w14:textId="77777777" w:rsidR="00681CDB" w:rsidRDefault="00681CDB" w:rsidP="007F7EA3">
            <w:pPr>
              <w:pStyle w:val="ListParagraph"/>
              <w:numPr>
                <w:ilvl w:val="1"/>
                <w:numId w:val="20"/>
              </w:numPr>
              <w:rPr>
                <w:sz w:val="21"/>
                <w:szCs w:val="21"/>
              </w:rPr>
            </w:pPr>
            <w:r>
              <w:rPr>
                <w:sz w:val="21"/>
                <w:szCs w:val="21"/>
              </w:rPr>
              <w:t>What was the body weight parameter?</w:t>
            </w:r>
          </w:p>
          <w:p w14:paraId="29646737" w14:textId="77777777" w:rsidR="00681CDB" w:rsidRDefault="00681CDB" w:rsidP="007F7EA3">
            <w:pPr>
              <w:pStyle w:val="ListParagraph"/>
              <w:numPr>
                <w:ilvl w:val="1"/>
                <w:numId w:val="20"/>
              </w:numPr>
              <w:rPr>
                <w:sz w:val="21"/>
                <w:szCs w:val="21"/>
              </w:rPr>
            </w:pPr>
            <w:r>
              <w:rPr>
                <w:sz w:val="21"/>
                <w:szCs w:val="21"/>
              </w:rPr>
              <w:t>Account for pregnancy? How?</w:t>
            </w:r>
          </w:p>
          <w:p w14:paraId="0BD864C7" w14:textId="77777777" w:rsidR="00681CDB" w:rsidRPr="00F3550D" w:rsidRDefault="00681CDB" w:rsidP="007F7EA3">
            <w:pPr>
              <w:pStyle w:val="ListParagraph"/>
              <w:numPr>
                <w:ilvl w:val="1"/>
                <w:numId w:val="20"/>
              </w:numPr>
              <w:rPr>
                <w:sz w:val="21"/>
                <w:szCs w:val="21"/>
              </w:rPr>
            </w:pPr>
            <w:r>
              <w:rPr>
                <w:sz w:val="21"/>
                <w:szCs w:val="21"/>
              </w:rPr>
              <w:t>Account for lactation? How?</w:t>
            </w:r>
          </w:p>
          <w:p w14:paraId="079ED7D3" w14:textId="77777777" w:rsidR="00681CDB" w:rsidRDefault="00681CDB" w:rsidP="007F7EA3">
            <w:pPr>
              <w:pStyle w:val="ListParagraph"/>
              <w:numPr>
                <w:ilvl w:val="0"/>
                <w:numId w:val="20"/>
              </w:numPr>
              <w:rPr>
                <w:sz w:val="21"/>
                <w:szCs w:val="21"/>
              </w:rPr>
            </w:pPr>
            <w:r>
              <w:rPr>
                <w:sz w:val="21"/>
                <w:szCs w:val="21"/>
              </w:rPr>
              <w:t>Did analysis measure inadequacy?</w:t>
            </w:r>
          </w:p>
          <w:p w14:paraId="73CA6F99" w14:textId="77777777" w:rsidR="00681CDB" w:rsidRDefault="00681CDB" w:rsidP="007F7EA3">
            <w:pPr>
              <w:pStyle w:val="ListParagraph"/>
              <w:numPr>
                <w:ilvl w:val="1"/>
                <w:numId w:val="20"/>
              </w:numPr>
              <w:rPr>
                <w:sz w:val="21"/>
                <w:szCs w:val="21"/>
              </w:rPr>
            </w:pPr>
            <w:r>
              <w:rPr>
                <w:sz w:val="21"/>
                <w:szCs w:val="21"/>
              </w:rPr>
              <w:t>What method was used to determine</w:t>
            </w:r>
            <w:r w:rsidRPr="004E78EB">
              <w:rPr>
                <w:sz w:val="21"/>
                <w:szCs w:val="21"/>
              </w:rPr>
              <w:t xml:space="preserve"> inadequacy?</w:t>
            </w:r>
            <w:r>
              <w:rPr>
                <w:sz w:val="21"/>
                <w:szCs w:val="21"/>
              </w:rPr>
              <w:t xml:space="preserve"> </w:t>
            </w:r>
          </w:p>
          <w:p w14:paraId="38283865" w14:textId="77777777" w:rsidR="00681CDB" w:rsidRPr="006C3BF7" w:rsidRDefault="00681CDB" w:rsidP="007F7EA3">
            <w:pPr>
              <w:pStyle w:val="ListParagraph"/>
              <w:numPr>
                <w:ilvl w:val="1"/>
                <w:numId w:val="20"/>
              </w:numPr>
              <w:rPr>
                <w:sz w:val="21"/>
                <w:szCs w:val="21"/>
              </w:rPr>
            </w:pPr>
            <w:r w:rsidRPr="00F3550D">
              <w:rPr>
                <w:sz w:val="21"/>
                <w:szCs w:val="21"/>
              </w:rPr>
              <w:t>W</w:t>
            </w:r>
            <w:r>
              <w:rPr>
                <w:sz w:val="21"/>
                <w:szCs w:val="21"/>
              </w:rPr>
              <w:t>as</w:t>
            </w:r>
            <w:r w:rsidRPr="00F3550D">
              <w:rPr>
                <w:sz w:val="21"/>
                <w:szCs w:val="21"/>
              </w:rPr>
              <w:t xml:space="preserve"> dietary reference value </w:t>
            </w:r>
            <w:r>
              <w:rPr>
                <w:sz w:val="21"/>
                <w:szCs w:val="21"/>
              </w:rPr>
              <w:t xml:space="preserve">necessary? Which </w:t>
            </w:r>
            <w:r w:rsidRPr="00F3550D">
              <w:rPr>
                <w:sz w:val="21"/>
                <w:szCs w:val="21"/>
              </w:rPr>
              <w:t xml:space="preserve">was </w:t>
            </w:r>
            <w:r>
              <w:rPr>
                <w:sz w:val="21"/>
                <w:szCs w:val="21"/>
              </w:rPr>
              <w:t>used</w:t>
            </w:r>
            <w:r w:rsidRPr="00F3550D">
              <w:rPr>
                <w:sz w:val="21"/>
                <w:szCs w:val="21"/>
              </w:rPr>
              <w:t>?</w:t>
            </w:r>
          </w:p>
          <w:p w14:paraId="7A083F3F" w14:textId="77777777" w:rsidR="00681CDB" w:rsidRPr="00F3550D" w:rsidRDefault="00681CDB" w:rsidP="007F7EA3">
            <w:pPr>
              <w:pStyle w:val="ListParagraph"/>
              <w:numPr>
                <w:ilvl w:val="0"/>
                <w:numId w:val="20"/>
              </w:numPr>
              <w:rPr>
                <w:sz w:val="21"/>
                <w:szCs w:val="21"/>
              </w:rPr>
            </w:pPr>
            <w:r>
              <w:rPr>
                <w:sz w:val="21"/>
                <w:szCs w:val="21"/>
              </w:rPr>
              <w:t>For certain nutrients, account for bioavailability?</w:t>
            </w:r>
          </w:p>
        </w:tc>
      </w:tr>
      <w:tr w:rsidR="00681CDB" w14:paraId="08A6E642" w14:textId="77777777" w:rsidTr="007F7EA3">
        <w:trPr>
          <w:trHeight w:val="184"/>
        </w:trPr>
        <w:tc>
          <w:tcPr>
            <w:tcW w:w="3505" w:type="dxa"/>
          </w:tcPr>
          <w:p w14:paraId="3021DADC" w14:textId="77777777" w:rsidR="00681CDB" w:rsidRPr="00001D0E" w:rsidRDefault="00681CDB" w:rsidP="007F7EA3">
            <w:pPr>
              <w:ind w:left="0"/>
              <w:rPr>
                <w:sz w:val="21"/>
                <w:szCs w:val="21"/>
              </w:rPr>
            </w:pPr>
            <w:r w:rsidRPr="00001D0E">
              <w:rPr>
                <w:sz w:val="21"/>
                <w:szCs w:val="21"/>
              </w:rPr>
              <w:t xml:space="preserve">Question 3: How do HCES-derived estimates of apparent nutrient and energy intake </w:t>
            </w:r>
            <w:proofErr w:type="gramStart"/>
            <w:r w:rsidRPr="00001D0E">
              <w:rPr>
                <w:sz w:val="21"/>
                <w:szCs w:val="21"/>
              </w:rPr>
              <w:t>compare</w:t>
            </w:r>
            <w:proofErr w:type="gramEnd"/>
            <w:r w:rsidRPr="00001D0E">
              <w:rPr>
                <w:sz w:val="21"/>
                <w:szCs w:val="21"/>
              </w:rPr>
              <w:t xml:space="preserve"> to those estimated using individual-level dietary assessment methods? Do results differ by age group (</w:t>
            </w:r>
            <w:proofErr w:type="gramStart"/>
            <w:r w:rsidRPr="00001D0E">
              <w:rPr>
                <w:sz w:val="21"/>
                <w:szCs w:val="21"/>
              </w:rPr>
              <w:t>i.e.</w:t>
            </w:r>
            <w:proofErr w:type="gramEnd"/>
            <w:r w:rsidRPr="00001D0E">
              <w:rPr>
                <w:sz w:val="21"/>
                <w:szCs w:val="21"/>
              </w:rPr>
              <w:t xml:space="preserve"> adults, adolescents, children, infants)?</w:t>
            </w:r>
          </w:p>
          <w:p w14:paraId="1DD5E86A" w14:textId="77777777" w:rsidR="00681CDB" w:rsidRPr="00001D0E" w:rsidRDefault="00681CDB" w:rsidP="007F7EA3">
            <w:pPr>
              <w:pStyle w:val="ListParagraph"/>
              <w:ind w:left="0"/>
              <w:rPr>
                <w:sz w:val="21"/>
                <w:szCs w:val="21"/>
              </w:rPr>
            </w:pPr>
          </w:p>
          <w:p w14:paraId="3241F0B7" w14:textId="77777777" w:rsidR="00681CDB" w:rsidRPr="00001D0E" w:rsidRDefault="00681CDB" w:rsidP="007F7EA3">
            <w:pPr>
              <w:rPr>
                <w:sz w:val="21"/>
                <w:szCs w:val="21"/>
              </w:rPr>
            </w:pPr>
          </w:p>
          <w:p w14:paraId="26BC7DE4" w14:textId="77777777" w:rsidR="00681CDB" w:rsidRPr="00001D0E" w:rsidRDefault="00681CDB" w:rsidP="007F7EA3">
            <w:pPr>
              <w:pStyle w:val="ListParagraph"/>
              <w:ind w:left="0"/>
              <w:rPr>
                <w:sz w:val="21"/>
                <w:szCs w:val="21"/>
              </w:rPr>
            </w:pPr>
          </w:p>
        </w:tc>
        <w:tc>
          <w:tcPr>
            <w:tcW w:w="6840" w:type="dxa"/>
          </w:tcPr>
          <w:p w14:paraId="28364C67" w14:textId="77777777" w:rsidR="00681CDB" w:rsidRPr="00F3550D" w:rsidRDefault="00681CDB" w:rsidP="007F7EA3">
            <w:pPr>
              <w:pStyle w:val="ListParagraph"/>
              <w:numPr>
                <w:ilvl w:val="0"/>
                <w:numId w:val="20"/>
              </w:numPr>
              <w:rPr>
                <w:sz w:val="21"/>
                <w:szCs w:val="21"/>
              </w:rPr>
            </w:pPr>
            <w:r w:rsidRPr="00F3550D">
              <w:rPr>
                <w:sz w:val="21"/>
                <w:szCs w:val="21"/>
              </w:rPr>
              <w:t xml:space="preserve">Name of </w:t>
            </w:r>
            <w:r>
              <w:rPr>
                <w:sz w:val="21"/>
                <w:szCs w:val="21"/>
              </w:rPr>
              <w:t>HCES</w:t>
            </w:r>
          </w:p>
          <w:p w14:paraId="461DC437" w14:textId="77777777" w:rsidR="00681CDB" w:rsidRPr="00F3550D" w:rsidRDefault="00681CDB" w:rsidP="007F7EA3">
            <w:pPr>
              <w:pStyle w:val="ListParagraph"/>
              <w:numPr>
                <w:ilvl w:val="0"/>
                <w:numId w:val="20"/>
              </w:numPr>
              <w:rPr>
                <w:sz w:val="21"/>
                <w:szCs w:val="21"/>
              </w:rPr>
            </w:pPr>
            <w:r w:rsidRPr="00F3550D">
              <w:rPr>
                <w:sz w:val="21"/>
                <w:szCs w:val="21"/>
              </w:rPr>
              <w:t xml:space="preserve">Data collection </w:t>
            </w:r>
            <w:proofErr w:type="gramStart"/>
            <w:r w:rsidRPr="00F3550D">
              <w:rPr>
                <w:sz w:val="21"/>
                <w:szCs w:val="21"/>
              </w:rPr>
              <w:t>time period</w:t>
            </w:r>
            <w:proofErr w:type="gramEnd"/>
          </w:p>
          <w:p w14:paraId="7EFD3FAD" w14:textId="77777777" w:rsidR="00681CDB" w:rsidRPr="00F3550D" w:rsidRDefault="00681CDB" w:rsidP="007F7EA3">
            <w:pPr>
              <w:pStyle w:val="ListParagraph"/>
              <w:numPr>
                <w:ilvl w:val="0"/>
                <w:numId w:val="20"/>
              </w:numPr>
              <w:rPr>
                <w:sz w:val="21"/>
                <w:szCs w:val="21"/>
              </w:rPr>
            </w:pPr>
            <w:r w:rsidRPr="00F3550D">
              <w:rPr>
                <w:sz w:val="21"/>
                <w:szCs w:val="21"/>
              </w:rPr>
              <w:t>Households, N</w:t>
            </w:r>
          </w:p>
          <w:p w14:paraId="5480DDE9" w14:textId="77777777" w:rsidR="00681CDB" w:rsidRDefault="00681CDB" w:rsidP="007F7EA3">
            <w:pPr>
              <w:pStyle w:val="ListParagraph"/>
              <w:numPr>
                <w:ilvl w:val="0"/>
                <w:numId w:val="20"/>
              </w:numPr>
              <w:rPr>
                <w:sz w:val="21"/>
                <w:szCs w:val="21"/>
              </w:rPr>
            </w:pPr>
            <w:r>
              <w:rPr>
                <w:sz w:val="21"/>
                <w:szCs w:val="21"/>
              </w:rPr>
              <w:t>Individual d</w:t>
            </w:r>
            <w:r w:rsidRPr="00F3550D">
              <w:rPr>
                <w:sz w:val="21"/>
                <w:szCs w:val="21"/>
              </w:rPr>
              <w:t xml:space="preserve">ietary </w:t>
            </w:r>
            <w:r>
              <w:rPr>
                <w:sz w:val="21"/>
                <w:szCs w:val="21"/>
              </w:rPr>
              <w:t>assessment</w:t>
            </w:r>
            <w:r w:rsidRPr="00F3550D">
              <w:rPr>
                <w:sz w:val="21"/>
                <w:szCs w:val="21"/>
              </w:rPr>
              <w:t xml:space="preserve"> methods</w:t>
            </w:r>
          </w:p>
          <w:p w14:paraId="6ECE1C77" w14:textId="77777777" w:rsidR="00681CDB" w:rsidRDefault="00681CDB" w:rsidP="007F7EA3">
            <w:pPr>
              <w:pStyle w:val="ListParagraph"/>
              <w:numPr>
                <w:ilvl w:val="1"/>
                <w:numId w:val="20"/>
              </w:numPr>
              <w:rPr>
                <w:sz w:val="21"/>
                <w:szCs w:val="21"/>
              </w:rPr>
            </w:pPr>
            <w:r>
              <w:rPr>
                <w:sz w:val="21"/>
                <w:szCs w:val="21"/>
              </w:rPr>
              <w:t>Participants, n</w:t>
            </w:r>
          </w:p>
          <w:p w14:paraId="742705DA" w14:textId="77777777" w:rsidR="00681CDB" w:rsidRDefault="00681CDB" w:rsidP="007F7EA3">
            <w:pPr>
              <w:pStyle w:val="ListParagraph"/>
              <w:numPr>
                <w:ilvl w:val="1"/>
                <w:numId w:val="20"/>
              </w:numPr>
              <w:rPr>
                <w:sz w:val="21"/>
                <w:szCs w:val="21"/>
              </w:rPr>
            </w:pPr>
            <w:r>
              <w:rPr>
                <w:sz w:val="21"/>
                <w:szCs w:val="21"/>
              </w:rPr>
              <w:t>Members of households?</w:t>
            </w:r>
          </w:p>
          <w:p w14:paraId="18186985" w14:textId="77777777" w:rsidR="00681CDB" w:rsidRDefault="00681CDB" w:rsidP="007F7EA3">
            <w:pPr>
              <w:pStyle w:val="ListParagraph"/>
              <w:numPr>
                <w:ilvl w:val="1"/>
                <w:numId w:val="20"/>
              </w:numPr>
              <w:rPr>
                <w:sz w:val="21"/>
                <w:szCs w:val="21"/>
              </w:rPr>
            </w:pPr>
            <w:r>
              <w:rPr>
                <w:sz w:val="21"/>
                <w:szCs w:val="21"/>
              </w:rPr>
              <w:t>Retrospective or prospective?</w:t>
            </w:r>
          </w:p>
          <w:p w14:paraId="7B94C763" w14:textId="77777777" w:rsidR="00681CDB" w:rsidRPr="00216835" w:rsidRDefault="00681CDB" w:rsidP="007F7EA3">
            <w:pPr>
              <w:pStyle w:val="ListParagraph"/>
              <w:numPr>
                <w:ilvl w:val="1"/>
                <w:numId w:val="20"/>
              </w:numPr>
              <w:rPr>
                <w:sz w:val="21"/>
                <w:szCs w:val="21"/>
              </w:rPr>
            </w:pPr>
            <w:r>
              <w:rPr>
                <w:sz w:val="21"/>
                <w:szCs w:val="21"/>
              </w:rPr>
              <w:t>Number of visits</w:t>
            </w:r>
          </w:p>
          <w:p w14:paraId="15B22A63" w14:textId="77777777" w:rsidR="00681CDB" w:rsidRDefault="00681CDB" w:rsidP="007F7EA3">
            <w:pPr>
              <w:pStyle w:val="ListParagraph"/>
              <w:numPr>
                <w:ilvl w:val="0"/>
                <w:numId w:val="20"/>
              </w:numPr>
              <w:rPr>
                <w:sz w:val="21"/>
                <w:szCs w:val="21"/>
              </w:rPr>
            </w:pPr>
            <w:r>
              <w:rPr>
                <w:sz w:val="21"/>
                <w:szCs w:val="21"/>
              </w:rPr>
              <w:t>Apparent nutrient/energy intake estimate from HCES</w:t>
            </w:r>
          </w:p>
          <w:p w14:paraId="6F10D088" w14:textId="77777777" w:rsidR="00681CDB" w:rsidRPr="00216835" w:rsidRDefault="00681CDB" w:rsidP="007F7EA3">
            <w:pPr>
              <w:pStyle w:val="ListParagraph"/>
              <w:numPr>
                <w:ilvl w:val="0"/>
                <w:numId w:val="20"/>
              </w:numPr>
              <w:rPr>
                <w:sz w:val="21"/>
                <w:szCs w:val="21"/>
              </w:rPr>
            </w:pPr>
            <w:r>
              <w:rPr>
                <w:sz w:val="21"/>
                <w:szCs w:val="21"/>
              </w:rPr>
              <w:t>Nutrient/energy intake estimate from individual dietary assessment</w:t>
            </w:r>
          </w:p>
          <w:p w14:paraId="731CF6ED" w14:textId="77777777" w:rsidR="00681CDB" w:rsidRDefault="00681CDB" w:rsidP="007F7EA3">
            <w:pPr>
              <w:pStyle w:val="ListParagraph"/>
              <w:numPr>
                <w:ilvl w:val="0"/>
                <w:numId w:val="20"/>
              </w:numPr>
              <w:rPr>
                <w:sz w:val="21"/>
                <w:szCs w:val="21"/>
              </w:rPr>
            </w:pPr>
            <w:r>
              <w:rPr>
                <w:sz w:val="21"/>
                <w:szCs w:val="21"/>
              </w:rPr>
              <w:t>Difference in nutrient/energy intake vs. apparent nutrient/energy intake</w:t>
            </w:r>
          </w:p>
          <w:p w14:paraId="3939D650" w14:textId="77777777" w:rsidR="00681CDB" w:rsidRDefault="00681CDB" w:rsidP="007F7EA3">
            <w:pPr>
              <w:pStyle w:val="ListParagraph"/>
              <w:numPr>
                <w:ilvl w:val="0"/>
                <w:numId w:val="20"/>
              </w:numPr>
              <w:rPr>
                <w:sz w:val="21"/>
                <w:szCs w:val="21"/>
              </w:rPr>
            </w:pPr>
            <w:r>
              <w:rPr>
                <w:sz w:val="21"/>
                <w:szCs w:val="21"/>
              </w:rPr>
              <w:t>Measured inadequacy?</w:t>
            </w:r>
          </w:p>
          <w:p w14:paraId="7ADF8A69" w14:textId="77777777" w:rsidR="00681CDB" w:rsidRPr="00F3550D" w:rsidRDefault="00681CDB" w:rsidP="007F7EA3">
            <w:pPr>
              <w:pStyle w:val="ListParagraph"/>
              <w:numPr>
                <w:ilvl w:val="0"/>
                <w:numId w:val="20"/>
              </w:numPr>
              <w:rPr>
                <w:sz w:val="21"/>
                <w:szCs w:val="21"/>
              </w:rPr>
            </w:pPr>
            <w:r>
              <w:rPr>
                <w:sz w:val="21"/>
                <w:szCs w:val="21"/>
              </w:rPr>
              <w:lastRenderedPageBreak/>
              <w:t>Difference in inadequacy prevalence between HCES and individual assessments</w:t>
            </w:r>
          </w:p>
          <w:p w14:paraId="6CCDC5B1" w14:textId="77777777" w:rsidR="00681CDB" w:rsidRDefault="00681CDB" w:rsidP="007F7EA3">
            <w:pPr>
              <w:pStyle w:val="ListParagraph"/>
              <w:numPr>
                <w:ilvl w:val="0"/>
                <w:numId w:val="20"/>
              </w:numPr>
              <w:rPr>
                <w:sz w:val="21"/>
                <w:szCs w:val="21"/>
              </w:rPr>
            </w:pPr>
            <w:r>
              <w:rPr>
                <w:sz w:val="21"/>
                <w:szCs w:val="21"/>
              </w:rPr>
              <w:t>Disaggregated by age groups?</w:t>
            </w:r>
          </w:p>
          <w:p w14:paraId="2D2618B4" w14:textId="77777777" w:rsidR="00681CDB" w:rsidRDefault="00681CDB" w:rsidP="007F7EA3">
            <w:pPr>
              <w:pStyle w:val="ListParagraph"/>
              <w:numPr>
                <w:ilvl w:val="1"/>
                <w:numId w:val="20"/>
              </w:numPr>
              <w:rPr>
                <w:sz w:val="21"/>
                <w:szCs w:val="21"/>
              </w:rPr>
            </w:pPr>
            <w:r>
              <w:rPr>
                <w:sz w:val="21"/>
                <w:szCs w:val="21"/>
              </w:rPr>
              <w:t>Difference in nutrient/energy intake vs. apparent nutrient/energy intake by age group</w:t>
            </w:r>
          </w:p>
          <w:p w14:paraId="298E7F8B" w14:textId="77777777" w:rsidR="00681CDB" w:rsidRDefault="00681CDB" w:rsidP="007F7EA3">
            <w:pPr>
              <w:pStyle w:val="ListParagraph"/>
              <w:numPr>
                <w:ilvl w:val="0"/>
                <w:numId w:val="20"/>
              </w:numPr>
              <w:rPr>
                <w:sz w:val="21"/>
                <w:szCs w:val="21"/>
              </w:rPr>
            </w:pPr>
            <w:r>
              <w:rPr>
                <w:sz w:val="21"/>
                <w:szCs w:val="21"/>
              </w:rPr>
              <w:t>Disaggregated by gender?</w:t>
            </w:r>
          </w:p>
          <w:p w14:paraId="5ABFBC47" w14:textId="77777777" w:rsidR="00681CDB" w:rsidRPr="00216835" w:rsidRDefault="00681CDB" w:rsidP="007F7EA3">
            <w:pPr>
              <w:pStyle w:val="ListParagraph"/>
              <w:numPr>
                <w:ilvl w:val="1"/>
                <w:numId w:val="20"/>
              </w:numPr>
              <w:rPr>
                <w:sz w:val="21"/>
                <w:szCs w:val="21"/>
              </w:rPr>
            </w:pPr>
            <w:r>
              <w:rPr>
                <w:sz w:val="21"/>
                <w:szCs w:val="21"/>
              </w:rPr>
              <w:t>Difference in nutrient/energy intake vs. apparent nutrient/energy intake by sex</w:t>
            </w:r>
          </w:p>
        </w:tc>
      </w:tr>
      <w:tr w:rsidR="00681CDB" w14:paraId="66D54C7E" w14:textId="77777777" w:rsidTr="007F7EA3">
        <w:trPr>
          <w:trHeight w:val="184"/>
        </w:trPr>
        <w:tc>
          <w:tcPr>
            <w:tcW w:w="3505" w:type="dxa"/>
          </w:tcPr>
          <w:p w14:paraId="05DC2C20" w14:textId="77777777" w:rsidR="00681CDB" w:rsidRPr="00001D0E" w:rsidRDefault="00681CDB" w:rsidP="007F7EA3">
            <w:pPr>
              <w:pStyle w:val="ListParagraph"/>
              <w:ind w:left="0"/>
              <w:rPr>
                <w:sz w:val="21"/>
                <w:szCs w:val="21"/>
              </w:rPr>
            </w:pPr>
            <w:r w:rsidRPr="00001D0E">
              <w:rPr>
                <w:sz w:val="21"/>
                <w:szCs w:val="21"/>
              </w:rPr>
              <w:lastRenderedPageBreak/>
              <w:t>Question 4: What types of sub-group comparative analyses have been conducted using nutrient and energy supply/apparent intake estimates from HCES data? (PROGRESS+ framework)</w:t>
            </w:r>
          </w:p>
          <w:p w14:paraId="6A95794D" w14:textId="77777777" w:rsidR="00681CDB" w:rsidRPr="00001D0E" w:rsidRDefault="00681CDB" w:rsidP="007F7EA3">
            <w:pPr>
              <w:pStyle w:val="ListParagraph"/>
              <w:ind w:left="0"/>
              <w:rPr>
                <w:sz w:val="21"/>
                <w:szCs w:val="21"/>
              </w:rPr>
            </w:pPr>
          </w:p>
        </w:tc>
        <w:tc>
          <w:tcPr>
            <w:tcW w:w="6840" w:type="dxa"/>
          </w:tcPr>
          <w:p w14:paraId="035B693A" w14:textId="77777777" w:rsidR="00681CDB" w:rsidRPr="00C07F6B" w:rsidRDefault="00681CDB" w:rsidP="007F7EA3">
            <w:pPr>
              <w:ind w:left="0"/>
              <w:rPr>
                <w:sz w:val="21"/>
                <w:szCs w:val="21"/>
              </w:rPr>
            </w:pPr>
            <w:r>
              <w:rPr>
                <w:sz w:val="21"/>
                <w:szCs w:val="21"/>
              </w:rPr>
              <w:t>Disaggregation of results by:</w:t>
            </w:r>
          </w:p>
          <w:p w14:paraId="64E078E9" w14:textId="77777777" w:rsidR="00681CDB" w:rsidRPr="00F3550D" w:rsidRDefault="00681CDB" w:rsidP="007F7EA3">
            <w:pPr>
              <w:pStyle w:val="ListParagraph"/>
              <w:numPr>
                <w:ilvl w:val="0"/>
                <w:numId w:val="20"/>
              </w:numPr>
              <w:rPr>
                <w:sz w:val="21"/>
                <w:szCs w:val="21"/>
              </w:rPr>
            </w:pPr>
            <w:r w:rsidRPr="00F3550D">
              <w:rPr>
                <w:sz w:val="21"/>
                <w:szCs w:val="21"/>
              </w:rPr>
              <w:t>Place of residence</w:t>
            </w:r>
          </w:p>
          <w:p w14:paraId="128B6E3F" w14:textId="77777777" w:rsidR="00681CDB" w:rsidRPr="00F3550D" w:rsidRDefault="00681CDB" w:rsidP="007F7EA3">
            <w:pPr>
              <w:pStyle w:val="ListParagraph"/>
              <w:numPr>
                <w:ilvl w:val="0"/>
                <w:numId w:val="20"/>
              </w:numPr>
              <w:rPr>
                <w:sz w:val="21"/>
                <w:szCs w:val="21"/>
              </w:rPr>
            </w:pPr>
            <w:r w:rsidRPr="00F3550D">
              <w:rPr>
                <w:sz w:val="21"/>
                <w:szCs w:val="21"/>
              </w:rPr>
              <w:t>Race/ethnicity</w:t>
            </w:r>
          </w:p>
          <w:p w14:paraId="0A111412" w14:textId="77777777" w:rsidR="00681CDB" w:rsidRPr="00F3550D" w:rsidRDefault="00681CDB" w:rsidP="007F7EA3">
            <w:pPr>
              <w:pStyle w:val="ListParagraph"/>
              <w:numPr>
                <w:ilvl w:val="0"/>
                <w:numId w:val="20"/>
              </w:numPr>
              <w:rPr>
                <w:sz w:val="21"/>
                <w:szCs w:val="21"/>
              </w:rPr>
            </w:pPr>
            <w:r w:rsidRPr="00F3550D">
              <w:rPr>
                <w:sz w:val="21"/>
                <w:szCs w:val="21"/>
              </w:rPr>
              <w:t>Occupation</w:t>
            </w:r>
          </w:p>
          <w:p w14:paraId="4C3BBE52" w14:textId="77777777" w:rsidR="00681CDB" w:rsidRPr="00F3550D" w:rsidRDefault="00681CDB" w:rsidP="007F7EA3">
            <w:pPr>
              <w:pStyle w:val="ListParagraph"/>
              <w:numPr>
                <w:ilvl w:val="0"/>
                <w:numId w:val="20"/>
              </w:numPr>
              <w:rPr>
                <w:sz w:val="21"/>
                <w:szCs w:val="21"/>
              </w:rPr>
            </w:pPr>
            <w:r w:rsidRPr="00F3550D">
              <w:rPr>
                <w:sz w:val="21"/>
                <w:szCs w:val="21"/>
              </w:rPr>
              <w:t>Gender</w:t>
            </w:r>
          </w:p>
          <w:p w14:paraId="2B012A14" w14:textId="77777777" w:rsidR="00681CDB" w:rsidRPr="00F3550D" w:rsidRDefault="00681CDB" w:rsidP="007F7EA3">
            <w:pPr>
              <w:pStyle w:val="ListParagraph"/>
              <w:numPr>
                <w:ilvl w:val="0"/>
                <w:numId w:val="20"/>
              </w:numPr>
              <w:rPr>
                <w:sz w:val="21"/>
                <w:szCs w:val="21"/>
              </w:rPr>
            </w:pPr>
            <w:r w:rsidRPr="00F3550D">
              <w:rPr>
                <w:sz w:val="21"/>
                <w:szCs w:val="21"/>
              </w:rPr>
              <w:t>Religion</w:t>
            </w:r>
          </w:p>
          <w:p w14:paraId="66B81662" w14:textId="77777777" w:rsidR="00681CDB" w:rsidRPr="00F3550D" w:rsidRDefault="00681CDB" w:rsidP="007F7EA3">
            <w:pPr>
              <w:pStyle w:val="ListParagraph"/>
              <w:numPr>
                <w:ilvl w:val="0"/>
                <w:numId w:val="20"/>
              </w:numPr>
              <w:rPr>
                <w:sz w:val="21"/>
                <w:szCs w:val="21"/>
              </w:rPr>
            </w:pPr>
            <w:r w:rsidRPr="00F3550D">
              <w:rPr>
                <w:sz w:val="21"/>
                <w:szCs w:val="21"/>
              </w:rPr>
              <w:t>Education</w:t>
            </w:r>
          </w:p>
          <w:p w14:paraId="3F3F94A1" w14:textId="77777777" w:rsidR="00681CDB" w:rsidRPr="00F3550D" w:rsidRDefault="00681CDB" w:rsidP="007F7EA3">
            <w:pPr>
              <w:pStyle w:val="ListParagraph"/>
              <w:numPr>
                <w:ilvl w:val="0"/>
                <w:numId w:val="20"/>
              </w:numPr>
              <w:rPr>
                <w:sz w:val="21"/>
                <w:szCs w:val="21"/>
              </w:rPr>
            </w:pPr>
            <w:r w:rsidRPr="00F3550D">
              <w:rPr>
                <w:sz w:val="21"/>
                <w:szCs w:val="21"/>
              </w:rPr>
              <w:t>Socioeconomic status</w:t>
            </w:r>
          </w:p>
          <w:p w14:paraId="0535B4F7" w14:textId="77777777" w:rsidR="00681CDB" w:rsidRPr="00F3550D" w:rsidRDefault="00681CDB" w:rsidP="007F7EA3">
            <w:pPr>
              <w:pStyle w:val="ListParagraph"/>
              <w:numPr>
                <w:ilvl w:val="0"/>
                <w:numId w:val="20"/>
              </w:numPr>
              <w:rPr>
                <w:sz w:val="21"/>
                <w:szCs w:val="21"/>
              </w:rPr>
            </w:pPr>
            <w:r>
              <w:rPr>
                <w:sz w:val="21"/>
                <w:szCs w:val="21"/>
              </w:rPr>
              <w:t>Social c</w:t>
            </w:r>
            <w:r w:rsidRPr="00F3550D">
              <w:rPr>
                <w:sz w:val="21"/>
                <w:szCs w:val="21"/>
              </w:rPr>
              <w:t>apital</w:t>
            </w:r>
          </w:p>
          <w:p w14:paraId="786C1E5A" w14:textId="77777777" w:rsidR="00681CDB" w:rsidRPr="00C868BA" w:rsidRDefault="00681CDB" w:rsidP="007F7EA3">
            <w:pPr>
              <w:pStyle w:val="ListParagraph"/>
              <w:numPr>
                <w:ilvl w:val="0"/>
                <w:numId w:val="20"/>
              </w:numPr>
              <w:rPr>
                <w:sz w:val="21"/>
                <w:szCs w:val="21"/>
              </w:rPr>
            </w:pPr>
            <w:r>
              <w:rPr>
                <w:sz w:val="21"/>
                <w:szCs w:val="21"/>
              </w:rPr>
              <w:t>+ (personal characteristics)</w:t>
            </w:r>
          </w:p>
        </w:tc>
      </w:tr>
    </w:tbl>
    <w:p w14:paraId="1FE469E6" w14:textId="77777777" w:rsidR="00681CDB" w:rsidRPr="007874D8" w:rsidRDefault="00681CDB" w:rsidP="00681CDB">
      <w:pPr>
        <w:pStyle w:val="ListParagraph"/>
        <w:ind w:left="0"/>
      </w:pPr>
    </w:p>
    <w:p w14:paraId="237D3974" w14:textId="7D859975" w:rsidR="005B0D26" w:rsidRDefault="005B0D26">
      <w:r>
        <w:br w:type="page"/>
      </w:r>
    </w:p>
    <w:p w14:paraId="095D0A27" w14:textId="5AF117EB" w:rsidR="00990DAE" w:rsidRDefault="005B0D26">
      <w:r>
        <w:lastRenderedPageBreak/>
        <w:t>References</w:t>
      </w:r>
    </w:p>
    <w:p w14:paraId="14B1A548" w14:textId="5B4DAE96" w:rsidR="005B0D26" w:rsidRPr="00151FCF" w:rsidRDefault="005B0D26" w:rsidP="005B0D26">
      <w:pPr>
        <w:widowControl w:val="0"/>
        <w:autoSpaceDE w:val="0"/>
        <w:autoSpaceDN w:val="0"/>
        <w:adjustRightInd w:val="0"/>
        <w:ind w:left="640" w:hanging="640"/>
        <w:rPr>
          <w:rFonts w:ascii="Calibri" w:hAnsi="Calibri" w:cs="Calibri"/>
          <w:noProof/>
          <w:lang w:val="fr-FR"/>
        </w:rPr>
      </w:pPr>
      <w:r>
        <w:fldChar w:fldCharType="begin" w:fldLock="1"/>
      </w:r>
      <w:r w:rsidRPr="00151FCF">
        <w:rPr>
          <w:lang w:val="fr-FR"/>
        </w:rPr>
        <w:instrText xml:space="preserve">ADDIN Mendeley Bibliography CSL_BIBLIOGRAPHY </w:instrText>
      </w:r>
      <w:r>
        <w:fldChar w:fldCharType="separate"/>
      </w:r>
      <w:r w:rsidRPr="00151FCF">
        <w:rPr>
          <w:rFonts w:ascii="Calibri" w:hAnsi="Calibri" w:cs="Calibri"/>
          <w:noProof/>
          <w:lang w:val="fr-FR"/>
        </w:rPr>
        <w:t xml:space="preserve">1. </w:t>
      </w:r>
      <w:r w:rsidRPr="00151FCF">
        <w:rPr>
          <w:rFonts w:ascii="Calibri" w:hAnsi="Calibri" w:cs="Calibri"/>
          <w:noProof/>
          <w:lang w:val="fr-FR"/>
        </w:rPr>
        <w:tab/>
        <w:t xml:space="preserve">Ambagna JJ &amp; Dury S (2016) De la disponibilité à la consommation alimentaire: analyse des évolutions de la consommation alimentaire à l’échelle nationale et des ménages au Cameroun. </w:t>
      </w:r>
      <w:r w:rsidRPr="00151FCF">
        <w:rPr>
          <w:rFonts w:ascii="Calibri" w:hAnsi="Calibri" w:cs="Calibri"/>
          <w:i/>
          <w:iCs/>
          <w:noProof/>
          <w:lang w:val="fr-FR"/>
        </w:rPr>
        <w:t>10 èmes Journées Rech. en Sci. Soc.</w:t>
      </w:r>
    </w:p>
    <w:p w14:paraId="7E1E7BF7"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151FCF">
        <w:rPr>
          <w:rFonts w:ascii="Calibri" w:hAnsi="Calibri" w:cs="Calibri"/>
          <w:noProof/>
          <w:lang w:val="fr-FR"/>
        </w:rPr>
        <w:t xml:space="preserve">2. </w:t>
      </w:r>
      <w:r w:rsidRPr="00151FCF">
        <w:rPr>
          <w:rFonts w:ascii="Calibri" w:hAnsi="Calibri" w:cs="Calibri"/>
          <w:noProof/>
          <w:lang w:val="fr-FR"/>
        </w:rPr>
        <w:tab/>
        <w:t xml:space="preserve">Beegle K, De Weerdt J, Friedman J, et al. </w:t>
      </w:r>
      <w:r w:rsidRPr="005B0D26">
        <w:rPr>
          <w:rFonts w:ascii="Calibri" w:hAnsi="Calibri" w:cs="Calibri"/>
          <w:noProof/>
        </w:rPr>
        <w:t xml:space="preserve">(2012) Methods of household consumption measurement through surveys: Experimental results from Tanzania. </w:t>
      </w:r>
      <w:r w:rsidRPr="005B0D26">
        <w:rPr>
          <w:rFonts w:ascii="Calibri" w:hAnsi="Calibri" w:cs="Calibri"/>
          <w:i/>
          <w:iCs/>
          <w:noProof/>
        </w:rPr>
        <w:t>J. Dev. Econ.</w:t>
      </w:r>
      <w:r w:rsidRPr="005B0D26">
        <w:rPr>
          <w:rFonts w:ascii="Calibri" w:hAnsi="Calibri" w:cs="Calibri"/>
          <w:noProof/>
        </w:rPr>
        <w:t xml:space="preserve"> </w:t>
      </w:r>
      <w:r w:rsidRPr="005B0D26">
        <w:rPr>
          <w:rFonts w:ascii="Calibri" w:hAnsi="Calibri" w:cs="Calibri"/>
          <w:b/>
          <w:bCs/>
          <w:noProof/>
        </w:rPr>
        <w:t>98</w:t>
      </w:r>
      <w:r w:rsidRPr="005B0D26">
        <w:rPr>
          <w:rFonts w:ascii="Calibri" w:hAnsi="Calibri" w:cs="Calibri"/>
          <w:noProof/>
        </w:rPr>
        <w:t>, 3–18.</w:t>
      </w:r>
    </w:p>
    <w:p w14:paraId="7286B780"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 </w:t>
      </w:r>
      <w:r w:rsidRPr="005B0D26">
        <w:rPr>
          <w:rFonts w:ascii="Calibri" w:hAnsi="Calibri" w:cs="Calibri"/>
          <w:noProof/>
        </w:rPr>
        <w:tab/>
        <w:t xml:space="preserve">Bell W, Coates JC, Rogers BL, et al. (2019) Getting the food list ‘right’: An approach for the development of nutrition-relevant food lists for household consumption and expenditure surveys. </w:t>
      </w:r>
      <w:r w:rsidRPr="005B0D26">
        <w:rPr>
          <w:rFonts w:ascii="Calibri" w:hAnsi="Calibri" w:cs="Calibri"/>
          <w:i/>
          <w:iCs/>
          <w:noProof/>
        </w:rPr>
        <w:t>Public Health Nutr.</w:t>
      </w:r>
      <w:r w:rsidRPr="005B0D26">
        <w:rPr>
          <w:rFonts w:ascii="Calibri" w:hAnsi="Calibri" w:cs="Calibri"/>
          <w:noProof/>
        </w:rPr>
        <w:t xml:space="preserve"> </w:t>
      </w:r>
      <w:r w:rsidRPr="005B0D26">
        <w:rPr>
          <w:rFonts w:ascii="Calibri" w:hAnsi="Calibri" w:cs="Calibri"/>
          <w:b/>
          <w:bCs/>
          <w:noProof/>
        </w:rPr>
        <w:t>22</w:t>
      </w:r>
      <w:r w:rsidRPr="005B0D26">
        <w:rPr>
          <w:rFonts w:ascii="Calibri" w:hAnsi="Calibri" w:cs="Calibri"/>
          <w:noProof/>
        </w:rPr>
        <w:t>, 246–256.</w:t>
      </w:r>
    </w:p>
    <w:p w14:paraId="353AA49C"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 </w:t>
      </w:r>
      <w:r w:rsidRPr="005B0D26">
        <w:rPr>
          <w:rFonts w:ascii="Calibri" w:hAnsi="Calibri" w:cs="Calibri"/>
          <w:noProof/>
        </w:rPr>
        <w:tab/>
        <w:t xml:space="preserve">Bermudez OI, Lividini K, Smitz MF, et al. (2012) Estimating micronutrient intakes from Household Consumption and Expenditures Surveys (HCES): an example from Bangladesh.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33</w:t>
      </w:r>
      <w:r w:rsidRPr="005B0D26">
        <w:rPr>
          <w:rFonts w:ascii="Calibri" w:hAnsi="Calibri" w:cs="Calibri"/>
          <w:noProof/>
        </w:rPr>
        <w:t>, S208-13.</w:t>
      </w:r>
    </w:p>
    <w:p w14:paraId="25C9B8EF"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 </w:t>
      </w:r>
      <w:r w:rsidRPr="005B0D26">
        <w:rPr>
          <w:rFonts w:ascii="Calibri" w:hAnsi="Calibri" w:cs="Calibri"/>
          <w:noProof/>
        </w:rPr>
        <w:tab/>
        <w:t xml:space="preserve">Bogard JR, Marks GC, Mamun A, et al. (2017) Non-farmed fish contribute to greater micronutrient intakes than farmed fish: Results from an intra-household survey in rural Bangladesh. </w:t>
      </w:r>
      <w:r w:rsidRPr="005B0D26">
        <w:rPr>
          <w:rFonts w:ascii="Calibri" w:hAnsi="Calibri" w:cs="Calibri"/>
          <w:i/>
          <w:iCs/>
          <w:noProof/>
        </w:rPr>
        <w:t>Public Health Nutr.</w:t>
      </w:r>
      <w:r w:rsidRPr="005B0D26">
        <w:rPr>
          <w:rFonts w:ascii="Calibri" w:hAnsi="Calibri" w:cs="Calibri"/>
          <w:noProof/>
        </w:rPr>
        <w:t xml:space="preserve"> </w:t>
      </w:r>
      <w:r w:rsidRPr="005B0D26">
        <w:rPr>
          <w:rFonts w:ascii="Calibri" w:hAnsi="Calibri" w:cs="Calibri"/>
          <w:b/>
          <w:bCs/>
          <w:noProof/>
        </w:rPr>
        <w:t>20</w:t>
      </w:r>
      <w:r w:rsidRPr="005B0D26">
        <w:rPr>
          <w:rFonts w:ascii="Calibri" w:hAnsi="Calibri" w:cs="Calibri"/>
          <w:noProof/>
        </w:rPr>
        <w:t>, 702–711.</w:t>
      </w:r>
    </w:p>
    <w:p w14:paraId="46C86E82"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6. </w:t>
      </w:r>
      <w:r w:rsidRPr="005B0D26">
        <w:rPr>
          <w:rFonts w:ascii="Calibri" w:hAnsi="Calibri" w:cs="Calibri"/>
          <w:noProof/>
        </w:rPr>
        <w:tab/>
        <w:t xml:space="preserve">Bogard JR, Farook S, Marks GC, et al. (2017) Higher fish but lower micronutrient intakes: Temporal changes in fish consumption from capture fisheries and aquaculture in Bangladesh. </w:t>
      </w:r>
      <w:r w:rsidRPr="005B0D26">
        <w:rPr>
          <w:rFonts w:ascii="Calibri" w:hAnsi="Calibri" w:cs="Calibri"/>
          <w:i/>
          <w:iCs/>
          <w:noProof/>
        </w:rPr>
        <w:t>PLoS One</w:t>
      </w:r>
      <w:r w:rsidRPr="005B0D26">
        <w:rPr>
          <w:rFonts w:ascii="Calibri" w:hAnsi="Calibri" w:cs="Calibri"/>
          <w:noProof/>
        </w:rPr>
        <w:t xml:space="preserve"> </w:t>
      </w:r>
      <w:r w:rsidRPr="005B0D26">
        <w:rPr>
          <w:rFonts w:ascii="Calibri" w:hAnsi="Calibri" w:cs="Calibri"/>
          <w:b/>
          <w:bCs/>
          <w:noProof/>
        </w:rPr>
        <w:t>12</w:t>
      </w:r>
      <w:r w:rsidRPr="005B0D26">
        <w:rPr>
          <w:rFonts w:ascii="Calibri" w:hAnsi="Calibri" w:cs="Calibri"/>
          <w:noProof/>
        </w:rPr>
        <w:t>, e0175098.</w:t>
      </w:r>
    </w:p>
    <w:p w14:paraId="12444839"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7. </w:t>
      </w:r>
      <w:r w:rsidRPr="005B0D26">
        <w:rPr>
          <w:rFonts w:ascii="Calibri" w:hAnsi="Calibri" w:cs="Calibri"/>
          <w:noProof/>
        </w:rPr>
        <w:tab/>
        <w:t xml:space="preserve">Bromage S, Rosner B, Rich-Edwards JW, et al. (2018) Comparison of methods for estimating dietary food and nutrient intakes and intake densities from household consumption and expenditure data in Mongolia. </w:t>
      </w:r>
      <w:r w:rsidRPr="005B0D26">
        <w:rPr>
          <w:rFonts w:ascii="Calibri" w:hAnsi="Calibri" w:cs="Calibri"/>
          <w:i/>
          <w:iCs/>
          <w:noProof/>
        </w:rPr>
        <w:t>Nutrients</w:t>
      </w:r>
      <w:r w:rsidRPr="005B0D26">
        <w:rPr>
          <w:rFonts w:ascii="Calibri" w:hAnsi="Calibri" w:cs="Calibri"/>
          <w:noProof/>
        </w:rPr>
        <w:t xml:space="preserve"> </w:t>
      </w:r>
      <w:r w:rsidRPr="005B0D26">
        <w:rPr>
          <w:rFonts w:ascii="Calibri" w:hAnsi="Calibri" w:cs="Calibri"/>
          <w:b/>
          <w:bCs/>
          <w:noProof/>
        </w:rPr>
        <w:t>10</w:t>
      </w:r>
      <w:r w:rsidRPr="005B0D26">
        <w:rPr>
          <w:rFonts w:ascii="Calibri" w:hAnsi="Calibri" w:cs="Calibri"/>
          <w:noProof/>
        </w:rPr>
        <w:t>, 703.</w:t>
      </w:r>
    </w:p>
    <w:p w14:paraId="609361C3"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8. </w:t>
      </w:r>
      <w:r w:rsidRPr="005B0D26">
        <w:rPr>
          <w:rFonts w:ascii="Calibri" w:hAnsi="Calibri" w:cs="Calibri"/>
          <w:noProof/>
        </w:rPr>
        <w:tab/>
        <w:t xml:space="preserve">Chakrabarti S, George N, Majumder M, et al. (2018) Identifying sociodemographic, programmatic and dietary drivers of anaemia reduction in pregnant Indian women over 10 years. </w:t>
      </w:r>
      <w:r w:rsidRPr="005B0D26">
        <w:rPr>
          <w:rFonts w:ascii="Calibri" w:hAnsi="Calibri" w:cs="Calibri"/>
          <w:i/>
          <w:iCs/>
          <w:noProof/>
        </w:rPr>
        <w:t>Public Health Nutr.</w:t>
      </w:r>
      <w:r w:rsidRPr="005B0D26">
        <w:rPr>
          <w:rFonts w:ascii="Calibri" w:hAnsi="Calibri" w:cs="Calibri"/>
          <w:noProof/>
        </w:rPr>
        <w:t xml:space="preserve"> </w:t>
      </w:r>
      <w:r w:rsidRPr="005B0D26">
        <w:rPr>
          <w:rFonts w:ascii="Calibri" w:hAnsi="Calibri" w:cs="Calibri"/>
          <w:b/>
          <w:bCs/>
          <w:noProof/>
        </w:rPr>
        <w:t>21</w:t>
      </w:r>
      <w:r w:rsidRPr="005B0D26">
        <w:rPr>
          <w:rFonts w:ascii="Calibri" w:hAnsi="Calibri" w:cs="Calibri"/>
          <w:noProof/>
        </w:rPr>
        <w:t>, 2424–2433.</w:t>
      </w:r>
    </w:p>
    <w:p w14:paraId="111A5261"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9. </w:t>
      </w:r>
      <w:r w:rsidRPr="005B0D26">
        <w:rPr>
          <w:rFonts w:ascii="Calibri" w:hAnsi="Calibri" w:cs="Calibri"/>
          <w:noProof/>
        </w:rPr>
        <w:tab/>
        <w:t xml:space="preserve">Chege CGK, Andersson CIM &amp; Qaim M (2015) Impacts of Supermarkets on Farm Household Nutrition in Kenya. </w:t>
      </w:r>
      <w:r w:rsidRPr="005B0D26">
        <w:rPr>
          <w:rFonts w:ascii="Calibri" w:hAnsi="Calibri" w:cs="Calibri"/>
          <w:i/>
          <w:iCs/>
          <w:noProof/>
        </w:rPr>
        <w:t>World Dev.</w:t>
      </w:r>
      <w:r w:rsidRPr="005B0D26">
        <w:rPr>
          <w:rFonts w:ascii="Calibri" w:hAnsi="Calibri" w:cs="Calibri"/>
          <w:noProof/>
        </w:rPr>
        <w:t xml:space="preserve"> </w:t>
      </w:r>
      <w:r w:rsidRPr="005B0D26">
        <w:rPr>
          <w:rFonts w:ascii="Calibri" w:hAnsi="Calibri" w:cs="Calibri"/>
          <w:b/>
          <w:bCs/>
          <w:noProof/>
        </w:rPr>
        <w:t>72</w:t>
      </w:r>
      <w:r w:rsidRPr="005B0D26">
        <w:rPr>
          <w:rFonts w:ascii="Calibri" w:hAnsi="Calibri" w:cs="Calibri"/>
          <w:noProof/>
        </w:rPr>
        <w:t>, 394–407.</w:t>
      </w:r>
    </w:p>
    <w:p w14:paraId="39D7133A" w14:textId="5D8A15E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10. </w:t>
      </w:r>
      <w:r w:rsidRPr="005B0D26">
        <w:rPr>
          <w:rFonts w:ascii="Calibri" w:hAnsi="Calibri" w:cs="Calibri"/>
          <w:noProof/>
        </w:rPr>
        <w:tab/>
        <w:t xml:space="preserve">D’Souza A &amp; Tandon S (2015) </w:t>
      </w:r>
      <w:r w:rsidRPr="005B0D26">
        <w:rPr>
          <w:rFonts w:ascii="Calibri" w:hAnsi="Calibri" w:cs="Calibri"/>
          <w:i/>
          <w:iCs/>
          <w:noProof/>
        </w:rPr>
        <w:t>Using Household and Intrahousehold Data To Assess Food Insecurity: Evidence From Bangladesh</w:t>
      </w:r>
      <w:r w:rsidRPr="005B0D26">
        <w:rPr>
          <w:rFonts w:ascii="Calibri" w:hAnsi="Calibri" w:cs="Calibri"/>
          <w:noProof/>
        </w:rPr>
        <w:t xml:space="preserve">. </w:t>
      </w:r>
      <w:r w:rsidRPr="005B0D26">
        <w:rPr>
          <w:rFonts w:ascii="Calibri" w:hAnsi="Calibri" w:cs="Calibri"/>
          <w:i/>
          <w:iCs/>
          <w:noProof/>
        </w:rPr>
        <w:t>ERR-190</w:t>
      </w:r>
      <w:r w:rsidRPr="005B0D26">
        <w:rPr>
          <w:rFonts w:ascii="Calibri" w:hAnsi="Calibri" w:cs="Calibri"/>
          <w:noProof/>
        </w:rPr>
        <w:t>. Washington, D.C..</w:t>
      </w:r>
    </w:p>
    <w:p w14:paraId="0B09768F"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11. </w:t>
      </w:r>
      <w:r w:rsidRPr="005B0D26">
        <w:rPr>
          <w:rFonts w:ascii="Calibri" w:hAnsi="Calibri" w:cs="Calibri"/>
          <w:noProof/>
        </w:rPr>
        <w:tab/>
        <w:t xml:space="preserve">Dary O &amp; Jariseta ZR (2012) Validation of dietary applications of Household Consumption and Expenditures Surveys (HCES) against a 24-hour recall method in Uganda.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33</w:t>
      </w:r>
      <w:r w:rsidRPr="005B0D26">
        <w:rPr>
          <w:rFonts w:ascii="Calibri" w:hAnsi="Calibri" w:cs="Calibri"/>
          <w:noProof/>
        </w:rPr>
        <w:t>, S190-8.</w:t>
      </w:r>
    </w:p>
    <w:p w14:paraId="0516014D" w14:textId="51636A1C"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12. </w:t>
      </w:r>
      <w:r w:rsidRPr="005B0D26">
        <w:rPr>
          <w:rFonts w:ascii="Calibri" w:hAnsi="Calibri" w:cs="Calibri"/>
          <w:noProof/>
        </w:rPr>
        <w:tab/>
        <w:t xml:space="preserve">De Weerdt J, Beegle K, Friedman J, et al. (2014) </w:t>
      </w:r>
      <w:r w:rsidRPr="005B0D26">
        <w:rPr>
          <w:rFonts w:ascii="Calibri" w:hAnsi="Calibri" w:cs="Calibri"/>
          <w:i/>
          <w:iCs/>
          <w:noProof/>
        </w:rPr>
        <w:t>The Challenge of Measuring Hunger</w:t>
      </w:r>
      <w:r w:rsidRPr="005B0D26">
        <w:rPr>
          <w:rFonts w:ascii="Calibri" w:hAnsi="Calibri" w:cs="Calibri"/>
          <w:noProof/>
        </w:rPr>
        <w:t xml:space="preserve">. </w:t>
      </w:r>
      <w:r w:rsidRPr="005B0D26">
        <w:rPr>
          <w:rFonts w:ascii="Calibri" w:hAnsi="Calibri" w:cs="Calibri"/>
          <w:i/>
          <w:iCs/>
          <w:noProof/>
        </w:rPr>
        <w:t>Policy Res. Work. Pap.</w:t>
      </w:r>
      <w:r w:rsidRPr="005B0D26">
        <w:rPr>
          <w:rFonts w:ascii="Calibri" w:hAnsi="Calibri" w:cs="Calibri"/>
          <w:noProof/>
        </w:rPr>
        <w:t xml:space="preserve"> Washington, DC.</w:t>
      </w:r>
    </w:p>
    <w:p w14:paraId="383CA70A"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13. </w:t>
      </w:r>
      <w:r w:rsidRPr="005B0D26">
        <w:rPr>
          <w:rFonts w:ascii="Calibri" w:hAnsi="Calibri" w:cs="Calibri"/>
          <w:noProof/>
        </w:rPr>
        <w:tab/>
        <w:t xml:space="preserve">DeFries R, Chhatre A, Davis KF, et al. (2018) Impact of Historical Changes in Coarse Cereals Consumption in India on Micronutrient Intake and Anemia Prevalence.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39</w:t>
      </w:r>
      <w:r w:rsidRPr="005B0D26">
        <w:rPr>
          <w:rFonts w:ascii="Calibri" w:hAnsi="Calibri" w:cs="Calibri"/>
          <w:noProof/>
        </w:rPr>
        <w:t>, 377–392.</w:t>
      </w:r>
    </w:p>
    <w:p w14:paraId="09E0E9BA"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14. </w:t>
      </w:r>
      <w:r w:rsidRPr="005B0D26">
        <w:rPr>
          <w:rFonts w:ascii="Calibri" w:hAnsi="Calibri" w:cs="Calibri"/>
          <w:noProof/>
        </w:rPr>
        <w:tab/>
        <w:t xml:space="preserve">Donovan C &amp; Massingue J (2007) Illness, death, and macronutrients: Adequacy of rural Mozambican household production of macronutrients in the face of HIV/AIDS.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28</w:t>
      </w:r>
      <w:r w:rsidRPr="005B0D26">
        <w:rPr>
          <w:rFonts w:ascii="Calibri" w:hAnsi="Calibri" w:cs="Calibri"/>
          <w:noProof/>
        </w:rPr>
        <w:t>, S331-8.</w:t>
      </w:r>
    </w:p>
    <w:p w14:paraId="147335CD"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15. </w:t>
      </w:r>
      <w:r w:rsidRPr="005B0D26">
        <w:rPr>
          <w:rFonts w:ascii="Calibri" w:hAnsi="Calibri" w:cs="Calibri"/>
          <w:noProof/>
        </w:rPr>
        <w:tab/>
        <w:t xml:space="preserve">Dop MC, Pereira C, Mistura L, et al. (2012) Using Household Consumption and Expenditures Survey (HCES) data to assess dietary intake in relation to the nutrition transition: a case study from Cape Verde.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33</w:t>
      </w:r>
      <w:r w:rsidRPr="005B0D26">
        <w:rPr>
          <w:rFonts w:ascii="Calibri" w:hAnsi="Calibri" w:cs="Calibri"/>
          <w:noProof/>
        </w:rPr>
        <w:t>, S221-7.</w:t>
      </w:r>
    </w:p>
    <w:p w14:paraId="22E3B9EA"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16. </w:t>
      </w:r>
      <w:r w:rsidRPr="005B0D26">
        <w:rPr>
          <w:rFonts w:ascii="Calibri" w:hAnsi="Calibri" w:cs="Calibri"/>
          <w:noProof/>
        </w:rPr>
        <w:tab/>
        <w:t xml:space="preserve">Ecker O &amp; Qaim M (2011) Analyzing Nutritional Impacts of Policies: An Empirical Study </w:t>
      </w:r>
      <w:r w:rsidRPr="005B0D26">
        <w:rPr>
          <w:rFonts w:ascii="Calibri" w:hAnsi="Calibri" w:cs="Calibri"/>
          <w:noProof/>
        </w:rPr>
        <w:lastRenderedPageBreak/>
        <w:t xml:space="preserve">for Malawi. </w:t>
      </w:r>
      <w:r w:rsidRPr="005B0D26">
        <w:rPr>
          <w:rFonts w:ascii="Calibri" w:hAnsi="Calibri" w:cs="Calibri"/>
          <w:i/>
          <w:iCs/>
          <w:noProof/>
        </w:rPr>
        <w:t>World Dev.</w:t>
      </w:r>
      <w:r w:rsidRPr="005B0D26">
        <w:rPr>
          <w:rFonts w:ascii="Calibri" w:hAnsi="Calibri" w:cs="Calibri"/>
          <w:noProof/>
        </w:rPr>
        <w:t xml:space="preserve"> </w:t>
      </w:r>
      <w:r w:rsidRPr="005B0D26">
        <w:rPr>
          <w:rFonts w:ascii="Calibri" w:hAnsi="Calibri" w:cs="Calibri"/>
          <w:b/>
          <w:bCs/>
          <w:noProof/>
        </w:rPr>
        <w:t>39</w:t>
      </w:r>
      <w:r w:rsidRPr="005B0D26">
        <w:rPr>
          <w:rFonts w:ascii="Calibri" w:hAnsi="Calibri" w:cs="Calibri"/>
          <w:noProof/>
        </w:rPr>
        <w:t>, 412–428.</w:t>
      </w:r>
    </w:p>
    <w:p w14:paraId="15600194"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17. </w:t>
      </w:r>
      <w:r w:rsidRPr="005B0D26">
        <w:rPr>
          <w:rFonts w:ascii="Calibri" w:hAnsi="Calibri" w:cs="Calibri"/>
          <w:noProof/>
        </w:rPr>
        <w:tab/>
        <w:t xml:space="preserve">Ecker O &amp; Qaim M (2008) Income and Price Elasticities of Food Demand and Nutrient Consumption in Malawi. In </w:t>
      </w:r>
      <w:r w:rsidRPr="005B0D26">
        <w:rPr>
          <w:rFonts w:ascii="Calibri" w:hAnsi="Calibri" w:cs="Calibri"/>
          <w:i/>
          <w:iCs/>
          <w:noProof/>
        </w:rPr>
        <w:t>Am. Agric. Econ. Assoc. Annu. Meet.</w:t>
      </w:r>
      <w:r w:rsidRPr="005B0D26">
        <w:rPr>
          <w:rFonts w:ascii="Calibri" w:hAnsi="Calibri" w:cs="Calibri"/>
          <w:noProof/>
        </w:rPr>
        <w:t>, p. 6349. Orlando, Florida: American Agricultural Economics Association.</w:t>
      </w:r>
    </w:p>
    <w:p w14:paraId="1F294DC1"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18. </w:t>
      </w:r>
      <w:r w:rsidRPr="005B0D26">
        <w:rPr>
          <w:rFonts w:ascii="Calibri" w:hAnsi="Calibri" w:cs="Calibri"/>
          <w:noProof/>
        </w:rPr>
        <w:tab/>
        <w:t xml:space="preserve">Engle-Stone R &amp; Brown KH (2015) Comparison of a household consumption and expenditures survey with nationally representative food frequency questionnaire and 24-hour dietary recall data for assessing consumption of fortifiable foods by women and young children in Cameroon.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36</w:t>
      </w:r>
      <w:r w:rsidRPr="005B0D26">
        <w:rPr>
          <w:rFonts w:ascii="Calibri" w:hAnsi="Calibri" w:cs="Calibri"/>
          <w:noProof/>
        </w:rPr>
        <w:t>, 211–30.</w:t>
      </w:r>
    </w:p>
    <w:p w14:paraId="0E98A76E"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19. </w:t>
      </w:r>
      <w:r w:rsidRPr="005B0D26">
        <w:rPr>
          <w:rFonts w:ascii="Calibri" w:hAnsi="Calibri" w:cs="Calibri"/>
          <w:noProof/>
        </w:rPr>
        <w:tab/>
        <w:t xml:space="preserve">Engle-Stone R, Sununtnasuk C &amp; Fiedler JL (2017) Investigating the significance of the data collection period of household consumption and expenditures surveys for food and nutrition policymaking: Analysis of the 2010 Bangladesh household income and expenditure survey. </w:t>
      </w:r>
      <w:r w:rsidRPr="005B0D26">
        <w:rPr>
          <w:rFonts w:ascii="Calibri" w:hAnsi="Calibri" w:cs="Calibri"/>
          <w:i/>
          <w:iCs/>
          <w:noProof/>
        </w:rPr>
        <w:t>Food Policy</w:t>
      </w:r>
      <w:r w:rsidRPr="005B0D26">
        <w:rPr>
          <w:rFonts w:ascii="Calibri" w:hAnsi="Calibri" w:cs="Calibri"/>
          <w:noProof/>
        </w:rPr>
        <w:t xml:space="preserve"> </w:t>
      </w:r>
      <w:r w:rsidRPr="005B0D26">
        <w:rPr>
          <w:rFonts w:ascii="Calibri" w:hAnsi="Calibri" w:cs="Calibri"/>
          <w:b/>
          <w:bCs/>
          <w:noProof/>
        </w:rPr>
        <w:t>72</w:t>
      </w:r>
      <w:r w:rsidRPr="005B0D26">
        <w:rPr>
          <w:rFonts w:ascii="Calibri" w:hAnsi="Calibri" w:cs="Calibri"/>
          <w:noProof/>
        </w:rPr>
        <w:t>, 72–80.</w:t>
      </w:r>
    </w:p>
    <w:p w14:paraId="115BD0ED"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20. </w:t>
      </w:r>
      <w:r w:rsidRPr="005B0D26">
        <w:rPr>
          <w:rFonts w:ascii="Calibri" w:hAnsi="Calibri" w:cs="Calibri"/>
          <w:noProof/>
        </w:rPr>
        <w:tab/>
        <w:t xml:space="preserve">Euler M, Krishna V, Schwarze S, et al. (2017) Oil Palm Adoption, Household Welfare, and Nutrition Among Smallholder Farmers in Indonesia. </w:t>
      </w:r>
      <w:r w:rsidRPr="005B0D26">
        <w:rPr>
          <w:rFonts w:ascii="Calibri" w:hAnsi="Calibri" w:cs="Calibri"/>
          <w:i/>
          <w:iCs/>
          <w:noProof/>
        </w:rPr>
        <w:t>World Dev.</w:t>
      </w:r>
      <w:r w:rsidRPr="005B0D26">
        <w:rPr>
          <w:rFonts w:ascii="Calibri" w:hAnsi="Calibri" w:cs="Calibri"/>
          <w:noProof/>
        </w:rPr>
        <w:t xml:space="preserve"> </w:t>
      </w:r>
      <w:r w:rsidRPr="005B0D26">
        <w:rPr>
          <w:rFonts w:ascii="Calibri" w:hAnsi="Calibri" w:cs="Calibri"/>
          <w:b/>
          <w:bCs/>
          <w:noProof/>
        </w:rPr>
        <w:t>93</w:t>
      </w:r>
      <w:r w:rsidRPr="005B0D26">
        <w:rPr>
          <w:rFonts w:ascii="Calibri" w:hAnsi="Calibri" w:cs="Calibri"/>
          <w:noProof/>
        </w:rPr>
        <w:t>, 219–235.</w:t>
      </w:r>
    </w:p>
    <w:p w14:paraId="0A6ABCCA"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21. </w:t>
      </w:r>
      <w:r w:rsidRPr="005B0D26">
        <w:rPr>
          <w:rFonts w:ascii="Calibri" w:hAnsi="Calibri" w:cs="Calibri"/>
          <w:noProof/>
        </w:rPr>
        <w:tab/>
        <w:t xml:space="preserve">Fiedler JL (2014) Food crop production, nutrient availability, and nutrient intakes in Bangladesh: Exploring the agriculture-nutrition nexus with the 2010 Household Income and Expenditure Survey.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35</w:t>
      </w:r>
      <w:r w:rsidRPr="005B0D26">
        <w:rPr>
          <w:rFonts w:ascii="Calibri" w:hAnsi="Calibri" w:cs="Calibri"/>
          <w:noProof/>
        </w:rPr>
        <w:t>, 487–508.</w:t>
      </w:r>
    </w:p>
    <w:p w14:paraId="3BD936B3"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22. </w:t>
      </w:r>
      <w:r w:rsidRPr="005B0D26">
        <w:rPr>
          <w:rFonts w:ascii="Calibri" w:hAnsi="Calibri" w:cs="Calibri"/>
          <w:noProof/>
        </w:rPr>
        <w:tab/>
        <w:t xml:space="preserve">Fiedler JL, Babu S, Smitz MF, et al. (2012) Indian social safety net programs as platforms for introducing wheat flour fortification: A case study of Gujarat, India.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33</w:t>
      </w:r>
      <w:r w:rsidRPr="005B0D26">
        <w:rPr>
          <w:rFonts w:ascii="Calibri" w:hAnsi="Calibri" w:cs="Calibri"/>
          <w:noProof/>
        </w:rPr>
        <w:t>, 11–30.</w:t>
      </w:r>
    </w:p>
    <w:p w14:paraId="1714360A"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23. </w:t>
      </w:r>
      <w:r w:rsidRPr="005B0D26">
        <w:rPr>
          <w:rFonts w:ascii="Calibri" w:hAnsi="Calibri" w:cs="Calibri"/>
          <w:noProof/>
        </w:rPr>
        <w:tab/>
        <w:t xml:space="preserve">Fiedler JL &amp; Lividini K (2014) Managing the vitamin A program portfolio: A case study of Zambia, 2013-2042.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35</w:t>
      </w:r>
      <w:r w:rsidRPr="005B0D26">
        <w:rPr>
          <w:rFonts w:ascii="Calibri" w:hAnsi="Calibri" w:cs="Calibri"/>
          <w:noProof/>
        </w:rPr>
        <w:t>, 105–25.</w:t>
      </w:r>
    </w:p>
    <w:p w14:paraId="7D69DC45"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24. </w:t>
      </w:r>
      <w:r w:rsidRPr="005B0D26">
        <w:rPr>
          <w:rFonts w:ascii="Calibri" w:hAnsi="Calibri" w:cs="Calibri"/>
          <w:noProof/>
        </w:rPr>
        <w:tab/>
        <w:t xml:space="preserve">Fiedler JL, Lividini K &amp; Bermudez OI (2015) Estimating the impact of vitamin A-fortified vegetable oil in Bangladesh in the absence of dietary assessment data. </w:t>
      </w:r>
      <w:r w:rsidRPr="005B0D26">
        <w:rPr>
          <w:rFonts w:ascii="Calibri" w:hAnsi="Calibri" w:cs="Calibri"/>
          <w:i/>
          <w:iCs/>
          <w:noProof/>
        </w:rPr>
        <w:t>Public Health Nutr.</w:t>
      </w:r>
      <w:r w:rsidRPr="005B0D26">
        <w:rPr>
          <w:rFonts w:ascii="Calibri" w:hAnsi="Calibri" w:cs="Calibri"/>
          <w:noProof/>
        </w:rPr>
        <w:t xml:space="preserve"> </w:t>
      </w:r>
      <w:r w:rsidRPr="005B0D26">
        <w:rPr>
          <w:rFonts w:ascii="Calibri" w:hAnsi="Calibri" w:cs="Calibri"/>
          <w:b/>
          <w:bCs/>
          <w:noProof/>
        </w:rPr>
        <w:t>18</w:t>
      </w:r>
      <w:r w:rsidRPr="005B0D26">
        <w:rPr>
          <w:rFonts w:ascii="Calibri" w:hAnsi="Calibri" w:cs="Calibri"/>
          <w:noProof/>
        </w:rPr>
        <w:t>, 414–20.</w:t>
      </w:r>
    </w:p>
    <w:p w14:paraId="61343D93"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25. </w:t>
      </w:r>
      <w:r w:rsidRPr="005B0D26">
        <w:rPr>
          <w:rFonts w:ascii="Calibri" w:hAnsi="Calibri" w:cs="Calibri"/>
          <w:noProof/>
        </w:rPr>
        <w:tab/>
        <w:t xml:space="preserve">Fiedler JL, Lividini K, Drummond E, et al. (2016) Strengthening the contribution of aquaculture to food and nutrition security: The potential of a vitamin A-rich, small fish in Bangladesh. </w:t>
      </w:r>
      <w:r w:rsidRPr="005B0D26">
        <w:rPr>
          <w:rFonts w:ascii="Calibri" w:hAnsi="Calibri" w:cs="Calibri"/>
          <w:i/>
          <w:iCs/>
          <w:noProof/>
        </w:rPr>
        <w:t>Aquaculture</w:t>
      </w:r>
      <w:r w:rsidRPr="005B0D26">
        <w:rPr>
          <w:rFonts w:ascii="Calibri" w:hAnsi="Calibri" w:cs="Calibri"/>
          <w:noProof/>
        </w:rPr>
        <w:t xml:space="preserve"> </w:t>
      </w:r>
      <w:r w:rsidRPr="005B0D26">
        <w:rPr>
          <w:rFonts w:ascii="Calibri" w:hAnsi="Calibri" w:cs="Calibri"/>
          <w:b/>
          <w:bCs/>
          <w:noProof/>
        </w:rPr>
        <w:t>452</w:t>
      </w:r>
      <w:r w:rsidRPr="005B0D26">
        <w:rPr>
          <w:rFonts w:ascii="Calibri" w:hAnsi="Calibri" w:cs="Calibri"/>
          <w:noProof/>
        </w:rPr>
        <w:t>, 291–303.</w:t>
      </w:r>
    </w:p>
    <w:p w14:paraId="2C2B09A5"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26. </w:t>
      </w:r>
      <w:r w:rsidRPr="005B0D26">
        <w:rPr>
          <w:rFonts w:ascii="Calibri" w:hAnsi="Calibri" w:cs="Calibri"/>
          <w:noProof/>
        </w:rPr>
        <w:tab/>
        <w:t xml:space="preserve">Fiedler JL, Lividini K, Kabaghe G, et al. (2013) Assessing Zambia’s industrial fortification options: Getting beyond changes in prevalence and cost-effectiveness.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34</w:t>
      </w:r>
      <w:r w:rsidRPr="005B0D26">
        <w:rPr>
          <w:rFonts w:ascii="Calibri" w:hAnsi="Calibri" w:cs="Calibri"/>
          <w:noProof/>
        </w:rPr>
        <w:t>, 501–19.</w:t>
      </w:r>
    </w:p>
    <w:p w14:paraId="0A1DBF3C"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27. </w:t>
      </w:r>
      <w:r w:rsidRPr="005B0D26">
        <w:rPr>
          <w:rFonts w:ascii="Calibri" w:hAnsi="Calibri" w:cs="Calibri"/>
          <w:noProof/>
        </w:rPr>
        <w:tab/>
        <w:t xml:space="preserve">Fiedler JL, Lividini K, Zulu R, et al. (2013) Identifying Zambia’s industrial fortification options: Toward overcoming the food and nutrition information gap-induced impasse.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34</w:t>
      </w:r>
      <w:r w:rsidRPr="005B0D26">
        <w:rPr>
          <w:rFonts w:ascii="Calibri" w:hAnsi="Calibri" w:cs="Calibri"/>
          <w:noProof/>
        </w:rPr>
        <w:t>, 480–500.</w:t>
      </w:r>
    </w:p>
    <w:p w14:paraId="323E0E6E" w14:textId="21AD0494"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28. </w:t>
      </w:r>
      <w:r w:rsidRPr="005B0D26">
        <w:rPr>
          <w:rFonts w:ascii="Calibri" w:hAnsi="Calibri" w:cs="Calibri"/>
          <w:noProof/>
        </w:rPr>
        <w:tab/>
        <w:t xml:space="preserve">Gilbert R, Benson T &amp; Ecker O (2019) </w:t>
      </w:r>
      <w:r w:rsidRPr="005B0D26">
        <w:rPr>
          <w:rFonts w:ascii="Calibri" w:hAnsi="Calibri" w:cs="Calibri"/>
          <w:i/>
          <w:iCs/>
          <w:noProof/>
        </w:rPr>
        <w:t>Are Malawian diets changing? An assessment of nutrient consumption and dietary patterns using household-level evidence from 2010/11 and 2016/17</w:t>
      </w:r>
      <w:r w:rsidRPr="005B0D26">
        <w:rPr>
          <w:rFonts w:ascii="Calibri" w:hAnsi="Calibri" w:cs="Calibri"/>
          <w:noProof/>
        </w:rPr>
        <w:t xml:space="preserve">. </w:t>
      </w:r>
      <w:r w:rsidRPr="005B0D26">
        <w:rPr>
          <w:rFonts w:ascii="Calibri" w:hAnsi="Calibri" w:cs="Calibri"/>
          <w:i/>
          <w:iCs/>
          <w:noProof/>
        </w:rPr>
        <w:t>MaSSP Work. Pap. 30</w:t>
      </w:r>
      <w:r w:rsidRPr="005B0D26">
        <w:rPr>
          <w:rFonts w:ascii="Calibri" w:hAnsi="Calibri" w:cs="Calibri"/>
          <w:noProof/>
        </w:rPr>
        <w:t>. Washington, DC.</w:t>
      </w:r>
    </w:p>
    <w:p w14:paraId="11BC5D31"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29. </w:t>
      </w:r>
      <w:r w:rsidRPr="005B0D26">
        <w:rPr>
          <w:rFonts w:ascii="Calibri" w:hAnsi="Calibri" w:cs="Calibri"/>
          <w:noProof/>
        </w:rPr>
        <w:tab/>
        <w:t xml:space="preserve">Hall C, Macdiarmid JI, Matthews RB, et al. (2019) The relationship between forest cover and diet quality: a case study of rural southern Malawi. </w:t>
      </w:r>
      <w:r w:rsidRPr="005B0D26">
        <w:rPr>
          <w:rFonts w:ascii="Calibri" w:hAnsi="Calibri" w:cs="Calibri"/>
          <w:i/>
          <w:iCs/>
          <w:noProof/>
        </w:rPr>
        <w:t>Food Secur.</w:t>
      </w:r>
      <w:r w:rsidRPr="005B0D26">
        <w:rPr>
          <w:rFonts w:ascii="Calibri" w:hAnsi="Calibri" w:cs="Calibri"/>
          <w:noProof/>
        </w:rPr>
        <w:t xml:space="preserve"> </w:t>
      </w:r>
      <w:r w:rsidRPr="005B0D26">
        <w:rPr>
          <w:rFonts w:ascii="Calibri" w:hAnsi="Calibri" w:cs="Calibri"/>
          <w:b/>
          <w:bCs/>
          <w:noProof/>
        </w:rPr>
        <w:t>11</w:t>
      </w:r>
      <w:r w:rsidRPr="005B0D26">
        <w:rPr>
          <w:rFonts w:ascii="Calibri" w:hAnsi="Calibri" w:cs="Calibri"/>
          <w:noProof/>
        </w:rPr>
        <w:t>, 635–650.</w:t>
      </w:r>
    </w:p>
    <w:p w14:paraId="024FE25E"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30. </w:t>
      </w:r>
      <w:r w:rsidRPr="005B0D26">
        <w:rPr>
          <w:rFonts w:ascii="Calibri" w:hAnsi="Calibri" w:cs="Calibri"/>
          <w:noProof/>
        </w:rPr>
        <w:tab/>
        <w:t xml:space="preserve">Hirvonen K, Taffesse AS &amp; Worku Hassen I (2016) Seasonality and household diets in Ethiopia. </w:t>
      </w:r>
      <w:r w:rsidRPr="005B0D26">
        <w:rPr>
          <w:rFonts w:ascii="Calibri" w:hAnsi="Calibri" w:cs="Calibri"/>
          <w:i/>
          <w:iCs/>
          <w:noProof/>
        </w:rPr>
        <w:t>Public Health Nutr.</w:t>
      </w:r>
      <w:r w:rsidRPr="005B0D26">
        <w:rPr>
          <w:rFonts w:ascii="Calibri" w:hAnsi="Calibri" w:cs="Calibri"/>
          <w:noProof/>
        </w:rPr>
        <w:t xml:space="preserve"> </w:t>
      </w:r>
      <w:r w:rsidRPr="005B0D26">
        <w:rPr>
          <w:rFonts w:ascii="Calibri" w:hAnsi="Calibri" w:cs="Calibri"/>
          <w:b/>
          <w:bCs/>
          <w:noProof/>
        </w:rPr>
        <w:t>19</w:t>
      </w:r>
      <w:r w:rsidRPr="005B0D26">
        <w:rPr>
          <w:rFonts w:ascii="Calibri" w:hAnsi="Calibri" w:cs="Calibri"/>
          <w:noProof/>
        </w:rPr>
        <w:t>, 1723–1730.</w:t>
      </w:r>
    </w:p>
    <w:p w14:paraId="4DABE127"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31. </w:t>
      </w:r>
      <w:r w:rsidRPr="005B0D26">
        <w:rPr>
          <w:rFonts w:ascii="Calibri" w:hAnsi="Calibri" w:cs="Calibri"/>
          <w:noProof/>
        </w:rPr>
        <w:tab/>
        <w:t xml:space="preserve">Hjelm L, Mathiassen A &amp; Wadhwa A (2016) Measuring Poverty for Food Security Analysis: Consumption-Versus Asset-Based Approaches.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37</w:t>
      </w:r>
      <w:r w:rsidRPr="005B0D26">
        <w:rPr>
          <w:rFonts w:ascii="Calibri" w:hAnsi="Calibri" w:cs="Calibri"/>
          <w:noProof/>
        </w:rPr>
        <w:t>, 275–289.</w:t>
      </w:r>
    </w:p>
    <w:p w14:paraId="55E96711"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32. </w:t>
      </w:r>
      <w:r w:rsidRPr="005B0D26">
        <w:rPr>
          <w:rFonts w:ascii="Calibri" w:hAnsi="Calibri" w:cs="Calibri"/>
          <w:noProof/>
        </w:rPr>
        <w:tab/>
        <w:t xml:space="preserve">Imhoff-Kunsch B, Flores R, Dary O, et al. (2012) Methods of using household </w:t>
      </w:r>
      <w:r w:rsidRPr="005B0D26">
        <w:rPr>
          <w:rFonts w:ascii="Calibri" w:hAnsi="Calibri" w:cs="Calibri"/>
          <w:noProof/>
        </w:rPr>
        <w:lastRenderedPageBreak/>
        <w:t xml:space="preserve">consumption and expenditures survey (HCES) data to estimate the potential nutritional impact of fortified staple foods.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33</w:t>
      </w:r>
      <w:r w:rsidRPr="005B0D26">
        <w:rPr>
          <w:rFonts w:ascii="Calibri" w:hAnsi="Calibri" w:cs="Calibri"/>
          <w:noProof/>
        </w:rPr>
        <w:t>, S185-9.</w:t>
      </w:r>
    </w:p>
    <w:p w14:paraId="7623D61B"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33. </w:t>
      </w:r>
      <w:r w:rsidRPr="005B0D26">
        <w:rPr>
          <w:rFonts w:ascii="Calibri" w:hAnsi="Calibri" w:cs="Calibri"/>
          <w:noProof/>
        </w:rPr>
        <w:tab/>
        <w:t xml:space="preserve">Jariseta ZR, Dary O, Fiedler JL, et al. (2012) Comparison of estimates of the nutrient density of the diet of women and children in Uganda by Household Consumption and Expenditures Surveys (HCES) and 24-hour recall.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33</w:t>
      </w:r>
      <w:r w:rsidRPr="005B0D26">
        <w:rPr>
          <w:rFonts w:ascii="Calibri" w:hAnsi="Calibri" w:cs="Calibri"/>
          <w:noProof/>
        </w:rPr>
        <w:t>, S199-207.</w:t>
      </w:r>
    </w:p>
    <w:p w14:paraId="57D9CF54"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34. </w:t>
      </w:r>
      <w:r w:rsidRPr="005B0D26">
        <w:rPr>
          <w:rFonts w:ascii="Calibri" w:hAnsi="Calibri" w:cs="Calibri"/>
          <w:noProof/>
        </w:rPr>
        <w:tab/>
        <w:t xml:space="preserve">Jati IRAP, Vadivel V, Nöhr D, et al. (2012) Nutrient density score of typical Indonesian foods and dietary formulation using linear programming. </w:t>
      </w:r>
      <w:r w:rsidRPr="005B0D26">
        <w:rPr>
          <w:rFonts w:ascii="Calibri" w:hAnsi="Calibri" w:cs="Calibri"/>
          <w:i/>
          <w:iCs/>
          <w:noProof/>
        </w:rPr>
        <w:t>Public Health Nutr.</w:t>
      </w:r>
      <w:r w:rsidRPr="005B0D26">
        <w:rPr>
          <w:rFonts w:ascii="Calibri" w:hAnsi="Calibri" w:cs="Calibri"/>
          <w:noProof/>
        </w:rPr>
        <w:t xml:space="preserve"> </w:t>
      </w:r>
      <w:r w:rsidRPr="005B0D26">
        <w:rPr>
          <w:rFonts w:ascii="Calibri" w:hAnsi="Calibri" w:cs="Calibri"/>
          <w:b/>
          <w:bCs/>
          <w:noProof/>
        </w:rPr>
        <w:t>15</w:t>
      </w:r>
      <w:r w:rsidRPr="005B0D26">
        <w:rPr>
          <w:rFonts w:ascii="Calibri" w:hAnsi="Calibri" w:cs="Calibri"/>
          <w:noProof/>
        </w:rPr>
        <w:t>, 2185–92.</w:t>
      </w:r>
    </w:p>
    <w:p w14:paraId="59F3BDBA"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35. </w:t>
      </w:r>
      <w:r w:rsidRPr="005B0D26">
        <w:rPr>
          <w:rFonts w:ascii="Calibri" w:hAnsi="Calibri" w:cs="Calibri"/>
          <w:noProof/>
        </w:rPr>
        <w:tab/>
        <w:t xml:space="preserve">Johnecheck WA &amp; Holland DE (2007) Nutritional status in postconflict Afghanistan: Evidence from the National Surveillance System Pilot and National Risk and Vulnerability Assessment.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28</w:t>
      </w:r>
      <w:r w:rsidRPr="005B0D26">
        <w:rPr>
          <w:rFonts w:ascii="Calibri" w:hAnsi="Calibri" w:cs="Calibri"/>
          <w:noProof/>
        </w:rPr>
        <w:t>, 3–17.</w:t>
      </w:r>
    </w:p>
    <w:p w14:paraId="76C27E34"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36. </w:t>
      </w:r>
      <w:r w:rsidRPr="005B0D26">
        <w:rPr>
          <w:rFonts w:ascii="Calibri" w:hAnsi="Calibri" w:cs="Calibri"/>
          <w:noProof/>
        </w:rPr>
        <w:tab/>
        <w:t xml:space="preserve">Joy EJM, Kumssa DB, Broadley MR, et al. (2015) Dietary mineral supplies in Malawi: spatial and socioeconomic assessment. </w:t>
      </w:r>
      <w:r w:rsidRPr="005B0D26">
        <w:rPr>
          <w:rFonts w:ascii="Calibri" w:hAnsi="Calibri" w:cs="Calibri"/>
          <w:i/>
          <w:iCs/>
          <w:noProof/>
        </w:rPr>
        <w:t>BMC Nutr.</w:t>
      </w:r>
      <w:r w:rsidRPr="005B0D26">
        <w:rPr>
          <w:rFonts w:ascii="Calibri" w:hAnsi="Calibri" w:cs="Calibri"/>
          <w:noProof/>
        </w:rPr>
        <w:t xml:space="preserve"> </w:t>
      </w:r>
      <w:r w:rsidRPr="005B0D26">
        <w:rPr>
          <w:rFonts w:ascii="Calibri" w:hAnsi="Calibri" w:cs="Calibri"/>
          <w:b/>
          <w:bCs/>
          <w:noProof/>
        </w:rPr>
        <w:t>1</w:t>
      </w:r>
      <w:r w:rsidRPr="005B0D26">
        <w:rPr>
          <w:rFonts w:ascii="Calibri" w:hAnsi="Calibri" w:cs="Calibri"/>
          <w:noProof/>
        </w:rPr>
        <w:t>, 42.</w:t>
      </w:r>
    </w:p>
    <w:p w14:paraId="1E7097D7"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37. </w:t>
      </w:r>
      <w:r w:rsidRPr="005B0D26">
        <w:rPr>
          <w:rFonts w:ascii="Calibri" w:hAnsi="Calibri" w:cs="Calibri"/>
          <w:noProof/>
        </w:rPr>
        <w:tab/>
        <w:t xml:space="preserve">Kankwamba H &amp; Kornher L (2019) Household shocks, infrastructural investments, food and nutrition security linkages in Malawi. In </w:t>
      </w:r>
      <w:r w:rsidRPr="005B0D26">
        <w:rPr>
          <w:rFonts w:ascii="Calibri" w:hAnsi="Calibri" w:cs="Calibri"/>
          <w:i/>
          <w:iCs/>
          <w:noProof/>
        </w:rPr>
        <w:t>93rd Annu. Conf. Agric. Econ. Soc.</w:t>
      </w:r>
      <w:r w:rsidRPr="005B0D26">
        <w:rPr>
          <w:rFonts w:ascii="Calibri" w:hAnsi="Calibri" w:cs="Calibri"/>
          <w:noProof/>
        </w:rPr>
        <w:t xml:space="preserve"> Coventry, UK: Agricultural Economics Society.</w:t>
      </w:r>
    </w:p>
    <w:p w14:paraId="607DCBD3"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151FCF">
        <w:rPr>
          <w:rFonts w:ascii="Calibri" w:hAnsi="Calibri" w:cs="Calibri"/>
          <w:noProof/>
          <w:lang w:val="fr-FR"/>
        </w:rPr>
        <w:t xml:space="preserve">38. </w:t>
      </w:r>
      <w:r w:rsidRPr="00151FCF">
        <w:rPr>
          <w:rFonts w:ascii="Calibri" w:hAnsi="Calibri" w:cs="Calibri"/>
          <w:noProof/>
          <w:lang w:val="fr-FR"/>
        </w:rPr>
        <w:tab/>
        <w:t xml:space="preserve">Karageorgou D, Imamura F, Zhang J, et al. </w:t>
      </w:r>
      <w:r w:rsidRPr="005B0D26">
        <w:rPr>
          <w:rFonts w:ascii="Calibri" w:hAnsi="Calibri" w:cs="Calibri"/>
          <w:noProof/>
        </w:rPr>
        <w:t xml:space="preserve">(2018) Assessing dietary intakes from household budget surveys: A national analysis in Bangladesh. </w:t>
      </w:r>
      <w:r w:rsidRPr="005B0D26">
        <w:rPr>
          <w:rFonts w:ascii="Calibri" w:hAnsi="Calibri" w:cs="Calibri"/>
          <w:i/>
          <w:iCs/>
          <w:noProof/>
        </w:rPr>
        <w:t>PLoS One</w:t>
      </w:r>
      <w:r w:rsidRPr="005B0D26">
        <w:rPr>
          <w:rFonts w:ascii="Calibri" w:hAnsi="Calibri" w:cs="Calibri"/>
          <w:noProof/>
        </w:rPr>
        <w:t xml:space="preserve"> </w:t>
      </w:r>
      <w:r w:rsidRPr="005B0D26">
        <w:rPr>
          <w:rFonts w:ascii="Calibri" w:hAnsi="Calibri" w:cs="Calibri"/>
          <w:b/>
          <w:bCs/>
          <w:noProof/>
        </w:rPr>
        <w:t>13</w:t>
      </w:r>
      <w:r w:rsidRPr="005B0D26">
        <w:rPr>
          <w:rFonts w:ascii="Calibri" w:hAnsi="Calibri" w:cs="Calibri"/>
          <w:noProof/>
        </w:rPr>
        <w:t>, e0202831.</w:t>
      </w:r>
    </w:p>
    <w:p w14:paraId="55014ABF"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39. </w:t>
      </w:r>
      <w:r w:rsidRPr="005B0D26">
        <w:rPr>
          <w:rFonts w:ascii="Calibri" w:hAnsi="Calibri" w:cs="Calibri"/>
          <w:noProof/>
        </w:rPr>
        <w:tab/>
        <w:t xml:space="preserve">Lividini K &amp; Fiedler JL (2015) Assessing the promise of biofortification: A case study of high provitamin A maize in Zambia. </w:t>
      </w:r>
      <w:r w:rsidRPr="005B0D26">
        <w:rPr>
          <w:rFonts w:ascii="Calibri" w:hAnsi="Calibri" w:cs="Calibri"/>
          <w:i/>
          <w:iCs/>
          <w:noProof/>
        </w:rPr>
        <w:t>Food Policy</w:t>
      </w:r>
      <w:r w:rsidRPr="005B0D26">
        <w:rPr>
          <w:rFonts w:ascii="Calibri" w:hAnsi="Calibri" w:cs="Calibri"/>
          <w:noProof/>
        </w:rPr>
        <w:t xml:space="preserve"> </w:t>
      </w:r>
      <w:r w:rsidRPr="005B0D26">
        <w:rPr>
          <w:rFonts w:ascii="Calibri" w:hAnsi="Calibri" w:cs="Calibri"/>
          <w:b/>
          <w:bCs/>
          <w:noProof/>
        </w:rPr>
        <w:t>54</w:t>
      </w:r>
      <w:r w:rsidRPr="005B0D26">
        <w:rPr>
          <w:rFonts w:ascii="Calibri" w:hAnsi="Calibri" w:cs="Calibri"/>
          <w:noProof/>
        </w:rPr>
        <w:t>, 65–77.</w:t>
      </w:r>
    </w:p>
    <w:p w14:paraId="2D9D6D36" w14:textId="77777777" w:rsidR="005B0D26" w:rsidRPr="00151FCF" w:rsidRDefault="005B0D26" w:rsidP="005B0D26">
      <w:pPr>
        <w:widowControl w:val="0"/>
        <w:autoSpaceDE w:val="0"/>
        <w:autoSpaceDN w:val="0"/>
        <w:adjustRightInd w:val="0"/>
        <w:ind w:left="640" w:hanging="640"/>
        <w:rPr>
          <w:rFonts w:ascii="Calibri" w:hAnsi="Calibri" w:cs="Calibri"/>
          <w:noProof/>
          <w:lang w:val="fr-FR"/>
        </w:rPr>
      </w:pPr>
      <w:r w:rsidRPr="005B0D26">
        <w:rPr>
          <w:rFonts w:ascii="Calibri" w:hAnsi="Calibri" w:cs="Calibri"/>
          <w:noProof/>
        </w:rPr>
        <w:t xml:space="preserve">40. </w:t>
      </w:r>
      <w:r w:rsidRPr="005B0D26">
        <w:rPr>
          <w:rFonts w:ascii="Calibri" w:hAnsi="Calibri" w:cs="Calibri"/>
          <w:noProof/>
        </w:rPr>
        <w:tab/>
        <w:t xml:space="preserve">Lividini K, Fiedler JL &amp; Bermudez OI (2013) Policy implications of using a Household Consumption and Expenditures Survey versus an Observed-Weighed Food Record Survey to design a food fortification program. </w:t>
      </w:r>
      <w:r w:rsidRPr="00151FCF">
        <w:rPr>
          <w:rFonts w:ascii="Calibri" w:hAnsi="Calibri" w:cs="Calibri"/>
          <w:i/>
          <w:iCs/>
          <w:noProof/>
          <w:lang w:val="fr-FR"/>
        </w:rPr>
        <w:t>Food Nutr. Bull.</w:t>
      </w:r>
      <w:r w:rsidRPr="00151FCF">
        <w:rPr>
          <w:rFonts w:ascii="Calibri" w:hAnsi="Calibri" w:cs="Calibri"/>
          <w:noProof/>
          <w:lang w:val="fr-FR"/>
        </w:rPr>
        <w:t xml:space="preserve"> </w:t>
      </w:r>
      <w:r w:rsidRPr="00151FCF">
        <w:rPr>
          <w:rFonts w:ascii="Calibri" w:hAnsi="Calibri" w:cs="Calibri"/>
          <w:b/>
          <w:bCs/>
          <w:noProof/>
          <w:lang w:val="fr-FR"/>
        </w:rPr>
        <w:t>34</w:t>
      </w:r>
      <w:r w:rsidRPr="00151FCF">
        <w:rPr>
          <w:rFonts w:ascii="Calibri" w:hAnsi="Calibri" w:cs="Calibri"/>
          <w:noProof/>
          <w:lang w:val="fr-FR"/>
        </w:rPr>
        <w:t>, 520–32.</w:t>
      </w:r>
    </w:p>
    <w:p w14:paraId="0B7372B5" w14:textId="778F92B1" w:rsidR="005B0D26" w:rsidRPr="005B0D26" w:rsidRDefault="005B0D26" w:rsidP="005B0D26">
      <w:pPr>
        <w:widowControl w:val="0"/>
        <w:autoSpaceDE w:val="0"/>
        <w:autoSpaceDN w:val="0"/>
        <w:adjustRightInd w:val="0"/>
        <w:ind w:left="640" w:hanging="640"/>
        <w:rPr>
          <w:rFonts w:ascii="Calibri" w:hAnsi="Calibri" w:cs="Calibri"/>
          <w:noProof/>
        </w:rPr>
      </w:pPr>
      <w:r w:rsidRPr="00151FCF">
        <w:rPr>
          <w:rFonts w:ascii="Calibri" w:hAnsi="Calibri" w:cs="Calibri"/>
          <w:noProof/>
          <w:lang w:val="fr-FR"/>
        </w:rPr>
        <w:t xml:space="preserve">41. </w:t>
      </w:r>
      <w:r w:rsidRPr="00151FCF">
        <w:rPr>
          <w:rFonts w:ascii="Calibri" w:hAnsi="Calibri" w:cs="Calibri"/>
          <w:noProof/>
          <w:lang w:val="fr-FR"/>
        </w:rPr>
        <w:tab/>
        <w:t xml:space="preserve">Marivoet W, De Herdt T &amp; Ulimwengu J (2018) </w:t>
      </w:r>
      <w:r w:rsidRPr="00151FCF">
        <w:rPr>
          <w:rFonts w:ascii="Calibri" w:hAnsi="Calibri" w:cs="Calibri"/>
          <w:i/>
          <w:iCs/>
          <w:noProof/>
          <w:lang w:val="fr-FR"/>
        </w:rPr>
        <w:t>Eviter les écueils statistiques de la RDC – nouvelles estimations sur les tendances du bien-être et de la pauvreté (2005-2012) selon une approche de désagrégation spatiale</w:t>
      </w:r>
      <w:r w:rsidRPr="00151FCF">
        <w:rPr>
          <w:rFonts w:ascii="Calibri" w:hAnsi="Calibri" w:cs="Calibri"/>
          <w:noProof/>
          <w:lang w:val="fr-FR"/>
        </w:rPr>
        <w:t xml:space="preserve">. </w:t>
      </w:r>
      <w:r w:rsidRPr="005B0D26">
        <w:rPr>
          <w:rFonts w:ascii="Calibri" w:hAnsi="Calibri" w:cs="Calibri"/>
          <w:i/>
          <w:iCs/>
          <w:noProof/>
        </w:rPr>
        <w:t>Univ. Antwerp- Inst. Dev. Policy Work. Pap.</w:t>
      </w:r>
      <w:r w:rsidRPr="005B0D26">
        <w:rPr>
          <w:rFonts w:ascii="Calibri" w:hAnsi="Calibri" w:cs="Calibri"/>
          <w:noProof/>
        </w:rPr>
        <w:t xml:space="preserve"> Antwerp.</w:t>
      </w:r>
    </w:p>
    <w:p w14:paraId="6704452C"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42. </w:t>
      </w:r>
      <w:r w:rsidRPr="005B0D26">
        <w:rPr>
          <w:rFonts w:ascii="Calibri" w:hAnsi="Calibri" w:cs="Calibri"/>
          <w:noProof/>
        </w:rPr>
        <w:tab/>
        <w:t xml:space="preserve">Mathiassen A &amp; Hollema S (2014) What is the effect of physical activity level on food consumption, energy deficiency, and dietary diversity?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35</w:t>
      </w:r>
      <w:r w:rsidRPr="005B0D26">
        <w:rPr>
          <w:rFonts w:ascii="Calibri" w:hAnsi="Calibri" w:cs="Calibri"/>
          <w:noProof/>
        </w:rPr>
        <w:t>, 351–360.</w:t>
      </w:r>
    </w:p>
    <w:p w14:paraId="29DE8466"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43. </w:t>
      </w:r>
      <w:r w:rsidRPr="005B0D26">
        <w:rPr>
          <w:rFonts w:ascii="Calibri" w:hAnsi="Calibri" w:cs="Calibri"/>
          <w:noProof/>
        </w:rPr>
        <w:tab/>
        <w:t xml:space="preserve">Mishra V &amp; Ray R (2009) Dietary diversity, food security and undernourishment: The vietnamese evidence. </w:t>
      </w:r>
      <w:r w:rsidRPr="005B0D26">
        <w:rPr>
          <w:rFonts w:ascii="Calibri" w:hAnsi="Calibri" w:cs="Calibri"/>
          <w:i/>
          <w:iCs/>
          <w:noProof/>
        </w:rPr>
        <w:t>Asian Econ. J.</w:t>
      </w:r>
      <w:r w:rsidRPr="005B0D26">
        <w:rPr>
          <w:rFonts w:ascii="Calibri" w:hAnsi="Calibri" w:cs="Calibri"/>
          <w:noProof/>
        </w:rPr>
        <w:t xml:space="preserve"> </w:t>
      </w:r>
      <w:r w:rsidRPr="005B0D26">
        <w:rPr>
          <w:rFonts w:ascii="Calibri" w:hAnsi="Calibri" w:cs="Calibri"/>
          <w:b/>
          <w:bCs/>
          <w:noProof/>
        </w:rPr>
        <w:t>23</w:t>
      </w:r>
      <w:r w:rsidRPr="005B0D26">
        <w:rPr>
          <w:rFonts w:ascii="Calibri" w:hAnsi="Calibri" w:cs="Calibri"/>
          <w:noProof/>
        </w:rPr>
        <w:t>, 225–247.</w:t>
      </w:r>
    </w:p>
    <w:p w14:paraId="588A079B" w14:textId="5E87E9AA"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44. </w:t>
      </w:r>
      <w:r w:rsidRPr="005B0D26">
        <w:rPr>
          <w:rFonts w:ascii="Calibri" w:hAnsi="Calibri" w:cs="Calibri"/>
          <w:noProof/>
        </w:rPr>
        <w:tab/>
        <w:t xml:space="preserve">Molini V (2006) </w:t>
      </w:r>
      <w:r w:rsidRPr="005B0D26">
        <w:rPr>
          <w:rFonts w:ascii="Calibri" w:hAnsi="Calibri" w:cs="Calibri"/>
          <w:i/>
          <w:iCs/>
          <w:noProof/>
        </w:rPr>
        <w:t>Food Security in Vietnam During the 1990s: The Empirical Evidence</w:t>
      </w:r>
      <w:r w:rsidRPr="005B0D26">
        <w:rPr>
          <w:rFonts w:ascii="Calibri" w:hAnsi="Calibri" w:cs="Calibri"/>
          <w:noProof/>
        </w:rPr>
        <w:t xml:space="preserve">. </w:t>
      </w:r>
      <w:r w:rsidRPr="005B0D26">
        <w:rPr>
          <w:rFonts w:ascii="Calibri" w:hAnsi="Calibri" w:cs="Calibri"/>
          <w:i/>
          <w:iCs/>
          <w:noProof/>
        </w:rPr>
        <w:t>Hunger Food Secur. New Challenges New Oppor.</w:t>
      </w:r>
      <w:r w:rsidRPr="005B0D26">
        <w:rPr>
          <w:rFonts w:ascii="Calibri" w:hAnsi="Calibri" w:cs="Calibri"/>
          <w:noProof/>
        </w:rPr>
        <w:t xml:space="preserve"> Amsterdam.</w:t>
      </w:r>
    </w:p>
    <w:p w14:paraId="4252BB3F" w14:textId="4BE2B99D"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45. </w:t>
      </w:r>
      <w:r w:rsidRPr="005B0D26">
        <w:rPr>
          <w:rFonts w:ascii="Calibri" w:hAnsi="Calibri" w:cs="Calibri"/>
          <w:noProof/>
        </w:rPr>
        <w:tab/>
        <w:t xml:space="preserve">Mwangi DM, Fiedler JL &amp; Sununtnasuk C (2016) </w:t>
      </w:r>
      <w:r w:rsidRPr="005B0D26">
        <w:rPr>
          <w:rFonts w:ascii="Calibri" w:hAnsi="Calibri" w:cs="Calibri"/>
          <w:i/>
          <w:iCs/>
          <w:noProof/>
        </w:rPr>
        <w:t>Imputing nutrient intake from foods prepared and consumed away from home and other composite foods: Exploring extensions of the Subramanian–Deaton cost per calorie approach</w:t>
      </w:r>
      <w:r w:rsidRPr="005B0D26">
        <w:rPr>
          <w:rFonts w:ascii="Calibri" w:hAnsi="Calibri" w:cs="Calibri"/>
          <w:noProof/>
        </w:rPr>
        <w:t xml:space="preserve">. </w:t>
      </w:r>
      <w:r w:rsidRPr="005B0D26">
        <w:rPr>
          <w:rFonts w:ascii="Calibri" w:hAnsi="Calibri" w:cs="Calibri"/>
          <w:i/>
          <w:iCs/>
          <w:noProof/>
        </w:rPr>
        <w:t>IFPRI Discuss. Pap.</w:t>
      </w:r>
      <w:r w:rsidRPr="005B0D26">
        <w:rPr>
          <w:rFonts w:ascii="Calibri" w:hAnsi="Calibri" w:cs="Calibri"/>
          <w:noProof/>
        </w:rPr>
        <w:t xml:space="preserve"> Washington, D.C..</w:t>
      </w:r>
    </w:p>
    <w:p w14:paraId="7AE635FA"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46. </w:t>
      </w:r>
      <w:r w:rsidRPr="005B0D26">
        <w:rPr>
          <w:rFonts w:ascii="Calibri" w:hAnsi="Calibri" w:cs="Calibri"/>
          <w:noProof/>
        </w:rPr>
        <w:tab/>
        <w:t xml:space="preserve">Nguyen MC &amp; Winters P (2011) The impact of migration on food consumption patterns: The case of Vietnam. </w:t>
      </w:r>
      <w:r w:rsidRPr="005B0D26">
        <w:rPr>
          <w:rFonts w:ascii="Calibri" w:hAnsi="Calibri" w:cs="Calibri"/>
          <w:i/>
          <w:iCs/>
          <w:noProof/>
        </w:rPr>
        <w:t>Food Policy</w:t>
      </w:r>
      <w:r w:rsidRPr="005B0D26">
        <w:rPr>
          <w:rFonts w:ascii="Calibri" w:hAnsi="Calibri" w:cs="Calibri"/>
          <w:noProof/>
        </w:rPr>
        <w:t xml:space="preserve"> </w:t>
      </w:r>
      <w:r w:rsidRPr="005B0D26">
        <w:rPr>
          <w:rFonts w:ascii="Calibri" w:hAnsi="Calibri" w:cs="Calibri"/>
          <w:b/>
          <w:bCs/>
          <w:noProof/>
        </w:rPr>
        <w:t>36</w:t>
      </w:r>
      <w:r w:rsidRPr="005B0D26">
        <w:rPr>
          <w:rFonts w:ascii="Calibri" w:hAnsi="Calibri" w:cs="Calibri"/>
          <w:noProof/>
        </w:rPr>
        <w:t>, 71–87.</w:t>
      </w:r>
    </w:p>
    <w:p w14:paraId="6CB1ACB5"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47. </w:t>
      </w:r>
      <w:r w:rsidRPr="005B0D26">
        <w:rPr>
          <w:rFonts w:ascii="Calibri" w:hAnsi="Calibri" w:cs="Calibri"/>
          <w:noProof/>
        </w:rPr>
        <w:tab/>
        <w:t xml:space="preserve">Rahman M (2012) Estimating the Effects of Social Safety Net Programmes in Bangladesh on Calorie Consumption of Poor Households. </w:t>
      </w:r>
      <w:r w:rsidRPr="005B0D26">
        <w:rPr>
          <w:rFonts w:ascii="Calibri" w:hAnsi="Calibri" w:cs="Calibri"/>
          <w:i/>
          <w:iCs/>
          <w:noProof/>
        </w:rPr>
        <w:t>Bangladesh Dev. Stud.</w:t>
      </w:r>
      <w:r w:rsidRPr="005B0D26">
        <w:rPr>
          <w:rFonts w:ascii="Calibri" w:hAnsi="Calibri" w:cs="Calibri"/>
          <w:noProof/>
        </w:rPr>
        <w:t xml:space="preserve"> </w:t>
      </w:r>
      <w:r w:rsidRPr="005B0D26">
        <w:rPr>
          <w:rFonts w:ascii="Calibri" w:hAnsi="Calibri" w:cs="Calibri"/>
          <w:b/>
          <w:bCs/>
          <w:noProof/>
        </w:rPr>
        <w:t>35</w:t>
      </w:r>
      <w:r w:rsidRPr="005B0D26">
        <w:rPr>
          <w:rFonts w:ascii="Calibri" w:hAnsi="Calibri" w:cs="Calibri"/>
          <w:noProof/>
        </w:rPr>
        <w:t>, 67–85.</w:t>
      </w:r>
    </w:p>
    <w:p w14:paraId="773B8360"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48. </w:t>
      </w:r>
      <w:r w:rsidRPr="005B0D26">
        <w:rPr>
          <w:rFonts w:ascii="Calibri" w:hAnsi="Calibri" w:cs="Calibri"/>
          <w:noProof/>
        </w:rPr>
        <w:tab/>
        <w:t xml:space="preserve">Rose D &amp; Charlton KE (2002) Quantitative Indicators from a Food Expenditure Survey Can Be Used to Target the Food Insecure in South Africa. </w:t>
      </w:r>
      <w:r w:rsidRPr="005B0D26">
        <w:rPr>
          <w:rFonts w:ascii="Calibri" w:hAnsi="Calibri" w:cs="Calibri"/>
          <w:i/>
          <w:iCs/>
          <w:noProof/>
        </w:rPr>
        <w:t>J. Nutr.</w:t>
      </w:r>
      <w:r w:rsidRPr="005B0D26">
        <w:rPr>
          <w:rFonts w:ascii="Calibri" w:hAnsi="Calibri" w:cs="Calibri"/>
          <w:noProof/>
        </w:rPr>
        <w:t xml:space="preserve"> </w:t>
      </w:r>
      <w:r w:rsidRPr="005B0D26">
        <w:rPr>
          <w:rFonts w:ascii="Calibri" w:hAnsi="Calibri" w:cs="Calibri"/>
          <w:b/>
          <w:bCs/>
          <w:noProof/>
        </w:rPr>
        <w:t>132</w:t>
      </w:r>
      <w:r w:rsidRPr="005B0D26">
        <w:rPr>
          <w:rFonts w:ascii="Calibri" w:hAnsi="Calibri" w:cs="Calibri"/>
          <w:noProof/>
        </w:rPr>
        <w:t>, 3235–3242.</w:t>
      </w:r>
    </w:p>
    <w:p w14:paraId="412C022B" w14:textId="153169E6"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49. </w:t>
      </w:r>
      <w:r w:rsidRPr="005B0D26">
        <w:rPr>
          <w:rFonts w:ascii="Calibri" w:hAnsi="Calibri" w:cs="Calibri"/>
          <w:noProof/>
        </w:rPr>
        <w:tab/>
        <w:t xml:space="preserve">Tiwari S, Skoufias E &amp; Sherpa M (2013) </w:t>
      </w:r>
      <w:r w:rsidRPr="005B0D26">
        <w:rPr>
          <w:rFonts w:ascii="Calibri" w:hAnsi="Calibri" w:cs="Calibri"/>
          <w:i/>
          <w:iCs/>
          <w:noProof/>
        </w:rPr>
        <w:t xml:space="preserve">Shorter, Cheaper, Quicker, Better: Linking </w:t>
      </w:r>
      <w:r w:rsidRPr="005B0D26">
        <w:rPr>
          <w:rFonts w:ascii="Calibri" w:hAnsi="Calibri" w:cs="Calibri"/>
          <w:i/>
          <w:iCs/>
          <w:noProof/>
        </w:rPr>
        <w:lastRenderedPageBreak/>
        <w:t>Measures of Household Food Security to Nutritional Outcomes in Bangladesh, Nepal, Pakistan, Uganda, and Tanzania</w:t>
      </w:r>
      <w:r w:rsidRPr="005B0D26">
        <w:rPr>
          <w:rFonts w:ascii="Calibri" w:hAnsi="Calibri" w:cs="Calibri"/>
          <w:noProof/>
        </w:rPr>
        <w:t xml:space="preserve">. </w:t>
      </w:r>
      <w:r w:rsidRPr="005B0D26">
        <w:rPr>
          <w:rFonts w:ascii="Calibri" w:hAnsi="Calibri" w:cs="Calibri"/>
          <w:i/>
          <w:iCs/>
          <w:noProof/>
        </w:rPr>
        <w:t>Policy Res. Work. Pap. Ser.</w:t>
      </w:r>
      <w:r w:rsidRPr="005B0D26">
        <w:rPr>
          <w:rFonts w:ascii="Calibri" w:hAnsi="Calibri" w:cs="Calibri"/>
          <w:noProof/>
        </w:rPr>
        <w:t xml:space="preserve"> Washington, D.C..</w:t>
      </w:r>
    </w:p>
    <w:p w14:paraId="505C150B" w14:textId="56F7A73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50. </w:t>
      </w:r>
      <w:r w:rsidRPr="005B0D26">
        <w:rPr>
          <w:rFonts w:ascii="Calibri" w:hAnsi="Calibri" w:cs="Calibri"/>
          <w:noProof/>
        </w:rPr>
        <w:tab/>
        <w:t xml:space="preserve">Smith LC, Alderman H &amp; Aduayom D (2006) </w:t>
      </w:r>
      <w:r w:rsidRPr="005B0D26">
        <w:rPr>
          <w:rFonts w:ascii="Calibri" w:hAnsi="Calibri" w:cs="Calibri"/>
          <w:i/>
          <w:iCs/>
          <w:noProof/>
        </w:rPr>
        <w:t>Food insecurity in Sub-Saharan Africa: New estimates from household expenditure surveys</w:t>
      </w:r>
      <w:r w:rsidRPr="005B0D26">
        <w:rPr>
          <w:rFonts w:ascii="Calibri" w:hAnsi="Calibri" w:cs="Calibri"/>
          <w:noProof/>
        </w:rPr>
        <w:t xml:space="preserve">. </w:t>
      </w:r>
      <w:r w:rsidRPr="005B0D26">
        <w:rPr>
          <w:rFonts w:ascii="Calibri" w:hAnsi="Calibri" w:cs="Calibri"/>
          <w:i/>
          <w:iCs/>
          <w:noProof/>
        </w:rPr>
        <w:t>Res. Rep.</w:t>
      </w:r>
      <w:r w:rsidRPr="005B0D26">
        <w:rPr>
          <w:rFonts w:ascii="Calibri" w:hAnsi="Calibri" w:cs="Calibri"/>
          <w:noProof/>
        </w:rPr>
        <w:t xml:space="preserve"> Washington, D.C..</w:t>
      </w:r>
    </w:p>
    <w:p w14:paraId="77A036A3"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51. </w:t>
      </w:r>
      <w:r w:rsidRPr="005B0D26">
        <w:rPr>
          <w:rFonts w:ascii="Calibri" w:hAnsi="Calibri" w:cs="Calibri"/>
          <w:noProof/>
        </w:rPr>
        <w:tab/>
        <w:t xml:space="preserve">Smith MR, DeFries R, Chhatre A, et al. (2019) Inadequate Zinc Intake in India: Past, Present, and Future. </w:t>
      </w:r>
      <w:r w:rsidRPr="005B0D26">
        <w:rPr>
          <w:rFonts w:ascii="Calibri" w:hAnsi="Calibri" w:cs="Calibri"/>
          <w:i/>
          <w:iCs/>
          <w:noProof/>
        </w:rPr>
        <w:t>Food Nutr. Bull.</w:t>
      </w:r>
      <w:r w:rsidRPr="005B0D26">
        <w:rPr>
          <w:rFonts w:ascii="Calibri" w:hAnsi="Calibri" w:cs="Calibri"/>
          <w:noProof/>
        </w:rPr>
        <w:t xml:space="preserve"> </w:t>
      </w:r>
      <w:r w:rsidRPr="005B0D26">
        <w:rPr>
          <w:rFonts w:ascii="Calibri" w:hAnsi="Calibri" w:cs="Calibri"/>
          <w:b/>
          <w:bCs/>
          <w:noProof/>
        </w:rPr>
        <w:t>40</w:t>
      </w:r>
      <w:r w:rsidRPr="005B0D26">
        <w:rPr>
          <w:rFonts w:ascii="Calibri" w:hAnsi="Calibri" w:cs="Calibri"/>
          <w:noProof/>
        </w:rPr>
        <w:t>, 26–40.</w:t>
      </w:r>
    </w:p>
    <w:p w14:paraId="585CFDC7"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52. </w:t>
      </w:r>
      <w:r w:rsidRPr="005B0D26">
        <w:rPr>
          <w:rFonts w:ascii="Calibri" w:hAnsi="Calibri" w:cs="Calibri"/>
          <w:noProof/>
        </w:rPr>
        <w:tab/>
        <w:t xml:space="preserve">Tandon S &amp; Landes R (2010) The Sensitivity of Food Security in India. </w:t>
      </w:r>
      <w:r w:rsidRPr="005B0D26">
        <w:rPr>
          <w:rFonts w:ascii="Calibri" w:hAnsi="Calibri" w:cs="Calibri"/>
          <w:i/>
          <w:iCs/>
          <w:noProof/>
        </w:rPr>
        <w:t>Econ. Polit. Wkly.</w:t>
      </w:r>
      <w:r w:rsidRPr="005B0D26">
        <w:rPr>
          <w:rFonts w:ascii="Calibri" w:hAnsi="Calibri" w:cs="Calibri"/>
          <w:noProof/>
        </w:rPr>
        <w:t xml:space="preserve"> </w:t>
      </w:r>
      <w:r w:rsidRPr="005B0D26">
        <w:rPr>
          <w:rFonts w:ascii="Calibri" w:hAnsi="Calibri" w:cs="Calibri"/>
          <w:b/>
          <w:bCs/>
          <w:noProof/>
        </w:rPr>
        <w:t>46</w:t>
      </w:r>
      <w:r w:rsidRPr="005B0D26">
        <w:rPr>
          <w:rFonts w:ascii="Calibri" w:hAnsi="Calibri" w:cs="Calibri"/>
          <w:noProof/>
        </w:rPr>
        <w:t>, 92–99.</w:t>
      </w:r>
    </w:p>
    <w:p w14:paraId="0280B129"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53. </w:t>
      </w:r>
      <w:r w:rsidRPr="005B0D26">
        <w:rPr>
          <w:rFonts w:ascii="Calibri" w:hAnsi="Calibri" w:cs="Calibri"/>
          <w:noProof/>
        </w:rPr>
        <w:tab/>
        <w:t xml:space="preserve">Trinh Thi H, Simioni M &amp; Thomas-Agnan C (2018) Decomposition of changes in the consumption of macronutrients in Vietnam between 2004 and 2014. </w:t>
      </w:r>
      <w:r w:rsidRPr="005B0D26">
        <w:rPr>
          <w:rFonts w:ascii="Calibri" w:hAnsi="Calibri" w:cs="Calibri"/>
          <w:i/>
          <w:iCs/>
          <w:noProof/>
        </w:rPr>
        <w:t>Econ. Hum. Biol.</w:t>
      </w:r>
      <w:r w:rsidRPr="005B0D26">
        <w:rPr>
          <w:rFonts w:ascii="Calibri" w:hAnsi="Calibri" w:cs="Calibri"/>
          <w:noProof/>
        </w:rPr>
        <w:t xml:space="preserve"> </w:t>
      </w:r>
      <w:r w:rsidRPr="005B0D26">
        <w:rPr>
          <w:rFonts w:ascii="Calibri" w:hAnsi="Calibri" w:cs="Calibri"/>
          <w:b/>
          <w:bCs/>
          <w:noProof/>
        </w:rPr>
        <w:t>31</w:t>
      </w:r>
      <w:r w:rsidRPr="005B0D26">
        <w:rPr>
          <w:rFonts w:ascii="Calibri" w:hAnsi="Calibri" w:cs="Calibri"/>
          <w:noProof/>
        </w:rPr>
        <w:t>, 259–275.</w:t>
      </w:r>
    </w:p>
    <w:p w14:paraId="1E191AA8"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54. </w:t>
      </w:r>
      <w:r w:rsidRPr="005B0D26">
        <w:rPr>
          <w:rFonts w:ascii="Calibri" w:hAnsi="Calibri" w:cs="Calibri"/>
          <w:noProof/>
        </w:rPr>
        <w:tab/>
        <w:t xml:space="preserve">Troubat N &amp; Grünberger K (2017) Impact of survey design in the estimation of habitual food consumption: A study based on urban households of Mongolia. </w:t>
      </w:r>
      <w:r w:rsidRPr="005B0D26">
        <w:rPr>
          <w:rFonts w:ascii="Calibri" w:hAnsi="Calibri" w:cs="Calibri"/>
          <w:i/>
          <w:iCs/>
          <w:noProof/>
        </w:rPr>
        <w:t>Food Policy</w:t>
      </w:r>
      <w:r w:rsidRPr="005B0D26">
        <w:rPr>
          <w:rFonts w:ascii="Calibri" w:hAnsi="Calibri" w:cs="Calibri"/>
          <w:noProof/>
        </w:rPr>
        <w:t xml:space="preserve"> </w:t>
      </w:r>
      <w:r w:rsidRPr="005B0D26">
        <w:rPr>
          <w:rFonts w:ascii="Calibri" w:hAnsi="Calibri" w:cs="Calibri"/>
          <w:b/>
          <w:bCs/>
          <w:noProof/>
        </w:rPr>
        <w:t>72</w:t>
      </w:r>
      <w:r w:rsidRPr="005B0D26">
        <w:rPr>
          <w:rFonts w:ascii="Calibri" w:hAnsi="Calibri" w:cs="Calibri"/>
          <w:noProof/>
        </w:rPr>
        <w:t>, 132–145.</w:t>
      </w:r>
    </w:p>
    <w:p w14:paraId="442071AE" w14:textId="7EB4F531"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55. </w:t>
      </w:r>
      <w:r w:rsidRPr="005B0D26">
        <w:rPr>
          <w:rFonts w:ascii="Calibri" w:hAnsi="Calibri" w:cs="Calibri"/>
          <w:noProof/>
        </w:rPr>
        <w:tab/>
        <w:t xml:space="preserve">Ulimwengu J, Liverpool-Tasie S, Randriamamonjy J, et al. (2011) </w:t>
      </w:r>
      <w:r w:rsidRPr="005B0D26">
        <w:rPr>
          <w:rFonts w:ascii="Calibri" w:hAnsi="Calibri" w:cs="Calibri"/>
          <w:i/>
          <w:iCs/>
          <w:noProof/>
        </w:rPr>
        <w:t>Understanding the linkage between agricultural productivity and nutrient consumption: evidence from Uganda.</w:t>
      </w:r>
      <w:r w:rsidRPr="005B0D26">
        <w:rPr>
          <w:rFonts w:ascii="Calibri" w:hAnsi="Calibri" w:cs="Calibri"/>
          <w:noProof/>
        </w:rPr>
        <w:t xml:space="preserve"> </w:t>
      </w:r>
      <w:r w:rsidRPr="005B0D26">
        <w:rPr>
          <w:rFonts w:ascii="Calibri" w:hAnsi="Calibri" w:cs="Calibri"/>
          <w:i/>
          <w:iCs/>
          <w:noProof/>
        </w:rPr>
        <w:t>IFPRI - Discuss. Pap.</w:t>
      </w:r>
      <w:r w:rsidRPr="005B0D26">
        <w:rPr>
          <w:rFonts w:ascii="Calibri" w:hAnsi="Calibri" w:cs="Calibri"/>
          <w:noProof/>
        </w:rPr>
        <w:t xml:space="preserve"> Washington, D.C..</w:t>
      </w:r>
    </w:p>
    <w:p w14:paraId="2BB5F81A" w14:textId="732D7A31"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56. </w:t>
      </w:r>
      <w:r w:rsidRPr="005B0D26">
        <w:rPr>
          <w:rFonts w:ascii="Calibri" w:hAnsi="Calibri" w:cs="Calibri"/>
          <w:noProof/>
        </w:rPr>
        <w:tab/>
        <w:t xml:space="preserve">Verduzco-Gallo I, Ecker O &amp; Pauw K (2014) </w:t>
      </w:r>
      <w:r w:rsidRPr="005B0D26">
        <w:rPr>
          <w:rFonts w:ascii="Calibri" w:hAnsi="Calibri" w:cs="Calibri"/>
          <w:i/>
          <w:iCs/>
          <w:noProof/>
        </w:rPr>
        <w:t>Changes in Food and Nutrition Security in Malawi Analysis of Recent Survey Evidence</w:t>
      </w:r>
      <w:r w:rsidRPr="005B0D26">
        <w:rPr>
          <w:rFonts w:ascii="Calibri" w:hAnsi="Calibri" w:cs="Calibri"/>
          <w:noProof/>
        </w:rPr>
        <w:t xml:space="preserve">. </w:t>
      </w:r>
      <w:r w:rsidRPr="005B0D26">
        <w:rPr>
          <w:rFonts w:ascii="Calibri" w:hAnsi="Calibri" w:cs="Calibri"/>
          <w:i/>
          <w:iCs/>
          <w:noProof/>
        </w:rPr>
        <w:t>MaSSP Work. Pap. 6</w:t>
      </w:r>
      <w:r w:rsidRPr="005B0D26">
        <w:rPr>
          <w:rFonts w:ascii="Calibri" w:hAnsi="Calibri" w:cs="Calibri"/>
          <w:noProof/>
        </w:rPr>
        <w:t>. Washington, D.C..</w:t>
      </w:r>
    </w:p>
    <w:p w14:paraId="7EFBD9C1"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57. </w:t>
      </w:r>
      <w:r w:rsidRPr="005B0D26">
        <w:rPr>
          <w:rFonts w:ascii="Calibri" w:hAnsi="Calibri" w:cs="Calibri"/>
          <w:noProof/>
        </w:rPr>
        <w:tab/>
        <w:t xml:space="preserve">Weinberger K (2003) The impact of micronutrients on labor productivity: Evidence from rural India. In </w:t>
      </w:r>
      <w:r w:rsidRPr="005B0D26">
        <w:rPr>
          <w:rFonts w:ascii="Calibri" w:hAnsi="Calibri" w:cs="Calibri"/>
          <w:i/>
          <w:iCs/>
          <w:noProof/>
        </w:rPr>
        <w:t>25th Int. Conf. Agric. Econ.</w:t>
      </w:r>
      <w:r w:rsidRPr="005B0D26">
        <w:rPr>
          <w:rFonts w:ascii="Calibri" w:hAnsi="Calibri" w:cs="Calibri"/>
          <w:noProof/>
        </w:rPr>
        <w:t xml:space="preserve"> Durban, South Africa: International Association of Agricultural Economists.</w:t>
      </w:r>
    </w:p>
    <w:p w14:paraId="1EDDB8ED" w14:textId="77777777" w:rsidR="005B0D26" w:rsidRPr="005B0D26" w:rsidRDefault="005B0D26" w:rsidP="005B0D26">
      <w:pPr>
        <w:widowControl w:val="0"/>
        <w:autoSpaceDE w:val="0"/>
        <w:autoSpaceDN w:val="0"/>
        <w:adjustRightInd w:val="0"/>
        <w:ind w:left="640" w:hanging="640"/>
        <w:rPr>
          <w:rFonts w:ascii="Calibri" w:hAnsi="Calibri" w:cs="Calibri"/>
          <w:noProof/>
        </w:rPr>
      </w:pPr>
      <w:r w:rsidRPr="005B0D26">
        <w:rPr>
          <w:rFonts w:ascii="Calibri" w:hAnsi="Calibri" w:cs="Calibri"/>
          <w:noProof/>
        </w:rPr>
        <w:t xml:space="preserve">58. </w:t>
      </w:r>
      <w:r w:rsidRPr="005B0D26">
        <w:rPr>
          <w:rFonts w:ascii="Calibri" w:hAnsi="Calibri" w:cs="Calibri"/>
          <w:noProof/>
        </w:rPr>
        <w:tab/>
        <w:t xml:space="preserve">Worku IH, Dereje M, Minten B, et al. (2017) Diet transformation in Africa: the case of Ethiopia. </w:t>
      </w:r>
      <w:r w:rsidRPr="005B0D26">
        <w:rPr>
          <w:rFonts w:ascii="Calibri" w:hAnsi="Calibri" w:cs="Calibri"/>
          <w:i/>
          <w:iCs/>
          <w:noProof/>
        </w:rPr>
        <w:t>Agric. Econ.</w:t>
      </w:r>
      <w:r w:rsidRPr="005B0D26">
        <w:rPr>
          <w:rFonts w:ascii="Calibri" w:hAnsi="Calibri" w:cs="Calibri"/>
          <w:noProof/>
        </w:rPr>
        <w:t xml:space="preserve"> </w:t>
      </w:r>
      <w:r w:rsidRPr="005B0D26">
        <w:rPr>
          <w:rFonts w:ascii="Calibri" w:hAnsi="Calibri" w:cs="Calibri"/>
          <w:b/>
          <w:bCs/>
          <w:noProof/>
        </w:rPr>
        <w:t>48</w:t>
      </w:r>
      <w:r w:rsidRPr="005B0D26">
        <w:rPr>
          <w:rFonts w:ascii="Calibri" w:hAnsi="Calibri" w:cs="Calibri"/>
          <w:noProof/>
        </w:rPr>
        <w:t>, 73–86.</w:t>
      </w:r>
    </w:p>
    <w:p w14:paraId="6E2F74C0" w14:textId="3B0C20A8" w:rsidR="005B0D26" w:rsidRDefault="005B0D26" w:rsidP="005B0D26">
      <w:pPr>
        <w:widowControl w:val="0"/>
        <w:autoSpaceDE w:val="0"/>
        <w:autoSpaceDN w:val="0"/>
        <w:adjustRightInd w:val="0"/>
        <w:ind w:left="640" w:hanging="640"/>
      </w:pPr>
      <w:r>
        <w:fldChar w:fldCharType="end"/>
      </w:r>
    </w:p>
    <w:sectPr w:rsidR="005B0D26" w:rsidSect="00386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18A8" w14:textId="77777777" w:rsidR="004110BC" w:rsidRDefault="004110BC" w:rsidP="00CC5DE9">
      <w:r>
        <w:separator/>
      </w:r>
    </w:p>
  </w:endnote>
  <w:endnote w:type="continuationSeparator" w:id="0">
    <w:p w14:paraId="66268A20" w14:textId="77777777" w:rsidR="004110BC" w:rsidRDefault="004110BC" w:rsidP="00CC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984545"/>
      <w:docPartObj>
        <w:docPartGallery w:val="Page Numbers (Bottom of Page)"/>
        <w:docPartUnique/>
      </w:docPartObj>
    </w:sdtPr>
    <w:sdtEndPr>
      <w:rPr>
        <w:rStyle w:val="PageNumber"/>
      </w:rPr>
    </w:sdtEndPr>
    <w:sdtContent>
      <w:p w14:paraId="5302CD56" w14:textId="79B85621" w:rsidR="00CC5DE9" w:rsidRDefault="00CC5DE9" w:rsidP="00B80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D1246" w14:textId="77777777" w:rsidR="00CC5DE9" w:rsidRDefault="00CC5DE9" w:rsidP="00CC5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565656"/>
      <w:docPartObj>
        <w:docPartGallery w:val="Page Numbers (Bottom of Page)"/>
        <w:docPartUnique/>
      </w:docPartObj>
    </w:sdtPr>
    <w:sdtEndPr>
      <w:rPr>
        <w:rStyle w:val="PageNumber"/>
      </w:rPr>
    </w:sdtEndPr>
    <w:sdtContent>
      <w:p w14:paraId="4000FB20" w14:textId="164E76DC" w:rsidR="00CC5DE9" w:rsidRDefault="00CC5DE9" w:rsidP="00B80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31651D" w14:textId="77777777" w:rsidR="00CC5DE9" w:rsidRDefault="00CC5DE9" w:rsidP="00CC5D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65DE" w14:textId="77777777" w:rsidR="004110BC" w:rsidRDefault="004110BC" w:rsidP="00CC5DE9">
      <w:r>
        <w:separator/>
      </w:r>
    </w:p>
  </w:footnote>
  <w:footnote w:type="continuationSeparator" w:id="0">
    <w:p w14:paraId="17728E41" w14:textId="77777777" w:rsidR="004110BC" w:rsidRDefault="004110BC" w:rsidP="00CC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1F7"/>
    <w:multiLevelType w:val="hybridMultilevel"/>
    <w:tmpl w:val="CB4E198C"/>
    <w:lvl w:ilvl="0" w:tplc="7E982A9C">
      <w:start w:val="1"/>
      <w:numFmt w:val="decimal"/>
      <w:lvlText w:val="%1."/>
      <w:lvlJc w:val="left"/>
      <w:pPr>
        <w:tabs>
          <w:tab w:val="num" w:pos="720"/>
        </w:tabs>
        <w:ind w:left="720" w:hanging="360"/>
      </w:pPr>
    </w:lvl>
    <w:lvl w:ilvl="1" w:tplc="1FAE9690" w:tentative="1">
      <w:start w:val="1"/>
      <w:numFmt w:val="decimal"/>
      <w:lvlText w:val="%2."/>
      <w:lvlJc w:val="left"/>
      <w:pPr>
        <w:tabs>
          <w:tab w:val="num" w:pos="1440"/>
        </w:tabs>
        <w:ind w:left="1440" w:hanging="360"/>
      </w:pPr>
    </w:lvl>
    <w:lvl w:ilvl="2" w:tplc="B1CC60E0" w:tentative="1">
      <w:start w:val="1"/>
      <w:numFmt w:val="decimal"/>
      <w:lvlText w:val="%3."/>
      <w:lvlJc w:val="left"/>
      <w:pPr>
        <w:tabs>
          <w:tab w:val="num" w:pos="2160"/>
        </w:tabs>
        <w:ind w:left="2160" w:hanging="360"/>
      </w:pPr>
    </w:lvl>
    <w:lvl w:ilvl="3" w:tplc="E7867B64" w:tentative="1">
      <w:start w:val="1"/>
      <w:numFmt w:val="decimal"/>
      <w:lvlText w:val="%4."/>
      <w:lvlJc w:val="left"/>
      <w:pPr>
        <w:tabs>
          <w:tab w:val="num" w:pos="2880"/>
        </w:tabs>
        <w:ind w:left="2880" w:hanging="360"/>
      </w:pPr>
    </w:lvl>
    <w:lvl w:ilvl="4" w:tplc="2B40BF86" w:tentative="1">
      <w:start w:val="1"/>
      <w:numFmt w:val="decimal"/>
      <w:lvlText w:val="%5."/>
      <w:lvlJc w:val="left"/>
      <w:pPr>
        <w:tabs>
          <w:tab w:val="num" w:pos="3600"/>
        </w:tabs>
        <w:ind w:left="3600" w:hanging="360"/>
      </w:pPr>
    </w:lvl>
    <w:lvl w:ilvl="5" w:tplc="FF40F374" w:tentative="1">
      <w:start w:val="1"/>
      <w:numFmt w:val="decimal"/>
      <w:lvlText w:val="%6."/>
      <w:lvlJc w:val="left"/>
      <w:pPr>
        <w:tabs>
          <w:tab w:val="num" w:pos="4320"/>
        </w:tabs>
        <w:ind w:left="4320" w:hanging="360"/>
      </w:pPr>
    </w:lvl>
    <w:lvl w:ilvl="6" w:tplc="2AC40642" w:tentative="1">
      <w:start w:val="1"/>
      <w:numFmt w:val="decimal"/>
      <w:lvlText w:val="%7."/>
      <w:lvlJc w:val="left"/>
      <w:pPr>
        <w:tabs>
          <w:tab w:val="num" w:pos="5040"/>
        </w:tabs>
        <w:ind w:left="5040" w:hanging="360"/>
      </w:pPr>
    </w:lvl>
    <w:lvl w:ilvl="7" w:tplc="8A1002B2" w:tentative="1">
      <w:start w:val="1"/>
      <w:numFmt w:val="decimal"/>
      <w:lvlText w:val="%8."/>
      <w:lvlJc w:val="left"/>
      <w:pPr>
        <w:tabs>
          <w:tab w:val="num" w:pos="5760"/>
        </w:tabs>
        <w:ind w:left="5760" w:hanging="360"/>
      </w:pPr>
    </w:lvl>
    <w:lvl w:ilvl="8" w:tplc="E46C93B4" w:tentative="1">
      <w:start w:val="1"/>
      <w:numFmt w:val="decimal"/>
      <w:lvlText w:val="%9."/>
      <w:lvlJc w:val="left"/>
      <w:pPr>
        <w:tabs>
          <w:tab w:val="num" w:pos="6480"/>
        </w:tabs>
        <w:ind w:left="6480" w:hanging="360"/>
      </w:pPr>
    </w:lvl>
  </w:abstractNum>
  <w:abstractNum w:abstractNumId="1" w15:restartNumberingAfterBreak="0">
    <w:nsid w:val="09941789"/>
    <w:multiLevelType w:val="hybridMultilevel"/>
    <w:tmpl w:val="2CA8AA9A"/>
    <w:lvl w:ilvl="0" w:tplc="116233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11C98"/>
    <w:multiLevelType w:val="hybridMultilevel"/>
    <w:tmpl w:val="9E5221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03DD2"/>
    <w:multiLevelType w:val="hybridMultilevel"/>
    <w:tmpl w:val="E034EB8C"/>
    <w:lvl w:ilvl="0" w:tplc="F5C660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47CB"/>
    <w:multiLevelType w:val="hybridMultilevel"/>
    <w:tmpl w:val="FD86A254"/>
    <w:lvl w:ilvl="0" w:tplc="11623344">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A33757"/>
    <w:multiLevelType w:val="hybridMultilevel"/>
    <w:tmpl w:val="340A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789C"/>
    <w:multiLevelType w:val="hybridMultilevel"/>
    <w:tmpl w:val="A3DCA642"/>
    <w:lvl w:ilvl="0" w:tplc="1162334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07DDB"/>
    <w:multiLevelType w:val="hybridMultilevel"/>
    <w:tmpl w:val="0B56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C7D24"/>
    <w:multiLevelType w:val="hybridMultilevel"/>
    <w:tmpl w:val="B5A6427E"/>
    <w:lvl w:ilvl="0" w:tplc="11623344">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E6E0F"/>
    <w:multiLevelType w:val="hybridMultilevel"/>
    <w:tmpl w:val="7EFA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313C8"/>
    <w:multiLevelType w:val="hybridMultilevel"/>
    <w:tmpl w:val="1B6689B8"/>
    <w:lvl w:ilvl="0" w:tplc="11623344">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671926"/>
    <w:multiLevelType w:val="hybridMultilevel"/>
    <w:tmpl w:val="BDE2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6BA"/>
    <w:multiLevelType w:val="hybridMultilevel"/>
    <w:tmpl w:val="822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02CDC"/>
    <w:multiLevelType w:val="hybridMultilevel"/>
    <w:tmpl w:val="5A025222"/>
    <w:lvl w:ilvl="0" w:tplc="11623344">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9D5CF9"/>
    <w:multiLevelType w:val="hybridMultilevel"/>
    <w:tmpl w:val="7AC4327A"/>
    <w:lvl w:ilvl="0" w:tplc="11623344">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AA3709"/>
    <w:multiLevelType w:val="hybridMultilevel"/>
    <w:tmpl w:val="139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F322A"/>
    <w:multiLevelType w:val="hybridMultilevel"/>
    <w:tmpl w:val="BDC49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B65E0"/>
    <w:multiLevelType w:val="hybridMultilevel"/>
    <w:tmpl w:val="BB0E9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02B3F"/>
    <w:multiLevelType w:val="hybridMultilevel"/>
    <w:tmpl w:val="9FA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5613C"/>
    <w:multiLevelType w:val="hybridMultilevel"/>
    <w:tmpl w:val="4296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44D9E"/>
    <w:multiLevelType w:val="hybridMultilevel"/>
    <w:tmpl w:val="F0DCB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C963CD"/>
    <w:multiLevelType w:val="hybridMultilevel"/>
    <w:tmpl w:val="210E869A"/>
    <w:lvl w:ilvl="0" w:tplc="116233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321FC"/>
    <w:multiLevelType w:val="hybridMultilevel"/>
    <w:tmpl w:val="11261CA8"/>
    <w:lvl w:ilvl="0" w:tplc="11623344">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7E5831"/>
    <w:multiLevelType w:val="hybridMultilevel"/>
    <w:tmpl w:val="86FE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900ED"/>
    <w:multiLevelType w:val="hybridMultilevel"/>
    <w:tmpl w:val="58807996"/>
    <w:lvl w:ilvl="0" w:tplc="0360FB30">
      <w:start w:val="1"/>
      <w:numFmt w:val="bullet"/>
      <w:lvlText w:val="-"/>
      <w:lvlJc w:val="left"/>
      <w:pPr>
        <w:tabs>
          <w:tab w:val="num" w:pos="360"/>
        </w:tabs>
        <w:ind w:left="360" w:hanging="360"/>
      </w:pPr>
      <w:rPr>
        <w:rFonts w:ascii="Times New Roman" w:hAnsi="Times New Roman" w:hint="default"/>
      </w:rPr>
    </w:lvl>
    <w:lvl w:ilvl="1" w:tplc="00DAEFD2" w:tentative="1">
      <w:start w:val="1"/>
      <w:numFmt w:val="bullet"/>
      <w:lvlText w:val="-"/>
      <w:lvlJc w:val="left"/>
      <w:pPr>
        <w:tabs>
          <w:tab w:val="num" w:pos="1080"/>
        </w:tabs>
        <w:ind w:left="1080" w:hanging="360"/>
      </w:pPr>
      <w:rPr>
        <w:rFonts w:ascii="Times New Roman" w:hAnsi="Times New Roman" w:hint="default"/>
      </w:rPr>
    </w:lvl>
    <w:lvl w:ilvl="2" w:tplc="E3B65516" w:tentative="1">
      <w:start w:val="1"/>
      <w:numFmt w:val="bullet"/>
      <w:lvlText w:val="-"/>
      <w:lvlJc w:val="left"/>
      <w:pPr>
        <w:tabs>
          <w:tab w:val="num" w:pos="1800"/>
        </w:tabs>
        <w:ind w:left="1800" w:hanging="360"/>
      </w:pPr>
      <w:rPr>
        <w:rFonts w:ascii="Times New Roman" w:hAnsi="Times New Roman" w:hint="default"/>
      </w:rPr>
    </w:lvl>
    <w:lvl w:ilvl="3" w:tplc="AA74CA96" w:tentative="1">
      <w:start w:val="1"/>
      <w:numFmt w:val="bullet"/>
      <w:lvlText w:val="-"/>
      <w:lvlJc w:val="left"/>
      <w:pPr>
        <w:tabs>
          <w:tab w:val="num" w:pos="2520"/>
        </w:tabs>
        <w:ind w:left="2520" w:hanging="360"/>
      </w:pPr>
      <w:rPr>
        <w:rFonts w:ascii="Times New Roman" w:hAnsi="Times New Roman" w:hint="default"/>
      </w:rPr>
    </w:lvl>
    <w:lvl w:ilvl="4" w:tplc="79BA3918" w:tentative="1">
      <w:start w:val="1"/>
      <w:numFmt w:val="bullet"/>
      <w:lvlText w:val="-"/>
      <w:lvlJc w:val="left"/>
      <w:pPr>
        <w:tabs>
          <w:tab w:val="num" w:pos="3240"/>
        </w:tabs>
        <w:ind w:left="3240" w:hanging="360"/>
      </w:pPr>
      <w:rPr>
        <w:rFonts w:ascii="Times New Roman" w:hAnsi="Times New Roman" w:hint="default"/>
      </w:rPr>
    </w:lvl>
    <w:lvl w:ilvl="5" w:tplc="CD082CF0" w:tentative="1">
      <w:start w:val="1"/>
      <w:numFmt w:val="bullet"/>
      <w:lvlText w:val="-"/>
      <w:lvlJc w:val="left"/>
      <w:pPr>
        <w:tabs>
          <w:tab w:val="num" w:pos="3960"/>
        </w:tabs>
        <w:ind w:left="3960" w:hanging="360"/>
      </w:pPr>
      <w:rPr>
        <w:rFonts w:ascii="Times New Roman" w:hAnsi="Times New Roman" w:hint="default"/>
      </w:rPr>
    </w:lvl>
    <w:lvl w:ilvl="6" w:tplc="593E2CEE" w:tentative="1">
      <w:start w:val="1"/>
      <w:numFmt w:val="bullet"/>
      <w:lvlText w:val="-"/>
      <w:lvlJc w:val="left"/>
      <w:pPr>
        <w:tabs>
          <w:tab w:val="num" w:pos="4680"/>
        </w:tabs>
        <w:ind w:left="4680" w:hanging="360"/>
      </w:pPr>
      <w:rPr>
        <w:rFonts w:ascii="Times New Roman" w:hAnsi="Times New Roman" w:hint="default"/>
      </w:rPr>
    </w:lvl>
    <w:lvl w:ilvl="7" w:tplc="EEF01C40" w:tentative="1">
      <w:start w:val="1"/>
      <w:numFmt w:val="bullet"/>
      <w:lvlText w:val="-"/>
      <w:lvlJc w:val="left"/>
      <w:pPr>
        <w:tabs>
          <w:tab w:val="num" w:pos="5400"/>
        </w:tabs>
        <w:ind w:left="5400" w:hanging="360"/>
      </w:pPr>
      <w:rPr>
        <w:rFonts w:ascii="Times New Roman" w:hAnsi="Times New Roman" w:hint="default"/>
      </w:rPr>
    </w:lvl>
    <w:lvl w:ilvl="8" w:tplc="3A9E2A08"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53CD2FC0"/>
    <w:multiLevelType w:val="hybridMultilevel"/>
    <w:tmpl w:val="22080C4C"/>
    <w:lvl w:ilvl="0" w:tplc="669E54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9E51B4"/>
    <w:multiLevelType w:val="hybridMultilevel"/>
    <w:tmpl w:val="360CD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F6349B"/>
    <w:multiLevelType w:val="hybridMultilevel"/>
    <w:tmpl w:val="6B3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F60E2"/>
    <w:multiLevelType w:val="hybridMultilevel"/>
    <w:tmpl w:val="D934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EB6D6E"/>
    <w:multiLevelType w:val="hybridMultilevel"/>
    <w:tmpl w:val="83E21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C6C13"/>
    <w:multiLevelType w:val="hybridMultilevel"/>
    <w:tmpl w:val="3D6CE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75E112B"/>
    <w:multiLevelType w:val="hybridMultilevel"/>
    <w:tmpl w:val="D21E3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802F9"/>
    <w:multiLevelType w:val="hybridMultilevel"/>
    <w:tmpl w:val="91144BB4"/>
    <w:lvl w:ilvl="0" w:tplc="962C8C8A">
      <w:start w:val="1"/>
      <w:numFmt w:val="bullet"/>
      <w:lvlText w:val="-"/>
      <w:lvlJc w:val="left"/>
      <w:pPr>
        <w:tabs>
          <w:tab w:val="num" w:pos="360"/>
        </w:tabs>
        <w:ind w:left="360" w:hanging="360"/>
      </w:pPr>
      <w:rPr>
        <w:rFonts w:ascii="Times New Roman" w:hAnsi="Times New Roman" w:hint="default"/>
      </w:rPr>
    </w:lvl>
    <w:lvl w:ilvl="1" w:tplc="1CE26BB8" w:tentative="1">
      <w:start w:val="1"/>
      <w:numFmt w:val="bullet"/>
      <w:lvlText w:val="-"/>
      <w:lvlJc w:val="left"/>
      <w:pPr>
        <w:tabs>
          <w:tab w:val="num" w:pos="1080"/>
        </w:tabs>
        <w:ind w:left="1080" w:hanging="360"/>
      </w:pPr>
      <w:rPr>
        <w:rFonts w:ascii="Times New Roman" w:hAnsi="Times New Roman" w:hint="default"/>
      </w:rPr>
    </w:lvl>
    <w:lvl w:ilvl="2" w:tplc="02826DC2" w:tentative="1">
      <w:start w:val="1"/>
      <w:numFmt w:val="bullet"/>
      <w:lvlText w:val="-"/>
      <w:lvlJc w:val="left"/>
      <w:pPr>
        <w:tabs>
          <w:tab w:val="num" w:pos="1800"/>
        </w:tabs>
        <w:ind w:left="1800" w:hanging="360"/>
      </w:pPr>
      <w:rPr>
        <w:rFonts w:ascii="Times New Roman" w:hAnsi="Times New Roman" w:hint="default"/>
      </w:rPr>
    </w:lvl>
    <w:lvl w:ilvl="3" w:tplc="16EE0EC0" w:tentative="1">
      <w:start w:val="1"/>
      <w:numFmt w:val="bullet"/>
      <w:lvlText w:val="-"/>
      <w:lvlJc w:val="left"/>
      <w:pPr>
        <w:tabs>
          <w:tab w:val="num" w:pos="2520"/>
        </w:tabs>
        <w:ind w:left="2520" w:hanging="360"/>
      </w:pPr>
      <w:rPr>
        <w:rFonts w:ascii="Times New Roman" w:hAnsi="Times New Roman" w:hint="default"/>
      </w:rPr>
    </w:lvl>
    <w:lvl w:ilvl="4" w:tplc="2EBE96E4" w:tentative="1">
      <w:start w:val="1"/>
      <w:numFmt w:val="bullet"/>
      <w:lvlText w:val="-"/>
      <w:lvlJc w:val="left"/>
      <w:pPr>
        <w:tabs>
          <w:tab w:val="num" w:pos="3240"/>
        </w:tabs>
        <w:ind w:left="3240" w:hanging="360"/>
      </w:pPr>
      <w:rPr>
        <w:rFonts w:ascii="Times New Roman" w:hAnsi="Times New Roman" w:hint="default"/>
      </w:rPr>
    </w:lvl>
    <w:lvl w:ilvl="5" w:tplc="52F86698" w:tentative="1">
      <w:start w:val="1"/>
      <w:numFmt w:val="bullet"/>
      <w:lvlText w:val="-"/>
      <w:lvlJc w:val="left"/>
      <w:pPr>
        <w:tabs>
          <w:tab w:val="num" w:pos="3960"/>
        </w:tabs>
        <w:ind w:left="3960" w:hanging="360"/>
      </w:pPr>
      <w:rPr>
        <w:rFonts w:ascii="Times New Roman" w:hAnsi="Times New Roman" w:hint="default"/>
      </w:rPr>
    </w:lvl>
    <w:lvl w:ilvl="6" w:tplc="352EB238" w:tentative="1">
      <w:start w:val="1"/>
      <w:numFmt w:val="bullet"/>
      <w:lvlText w:val="-"/>
      <w:lvlJc w:val="left"/>
      <w:pPr>
        <w:tabs>
          <w:tab w:val="num" w:pos="4680"/>
        </w:tabs>
        <w:ind w:left="4680" w:hanging="360"/>
      </w:pPr>
      <w:rPr>
        <w:rFonts w:ascii="Times New Roman" w:hAnsi="Times New Roman" w:hint="default"/>
      </w:rPr>
    </w:lvl>
    <w:lvl w:ilvl="7" w:tplc="93EEA2F8" w:tentative="1">
      <w:start w:val="1"/>
      <w:numFmt w:val="bullet"/>
      <w:lvlText w:val="-"/>
      <w:lvlJc w:val="left"/>
      <w:pPr>
        <w:tabs>
          <w:tab w:val="num" w:pos="5400"/>
        </w:tabs>
        <w:ind w:left="5400" w:hanging="360"/>
      </w:pPr>
      <w:rPr>
        <w:rFonts w:ascii="Times New Roman" w:hAnsi="Times New Roman" w:hint="default"/>
      </w:rPr>
    </w:lvl>
    <w:lvl w:ilvl="8" w:tplc="9C68BBA4"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10"/>
  </w:num>
  <w:num w:numId="3">
    <w:abstractNumId w:val="13"/>
  </w:num>
  <w:num w:numId="4">
    <w:abstractNumId w:val="8"/>
  </w:num>
  <w:num w:numId="5">
    <w:abstractNumId w:val="28"/>
  </w:num>
  <w:num w:numId="6">
    <w:abstractNumId w:val="24"/>
  </w:num>
  <w:num w:numId="7">
    <w:abstractNumId w:val="32"/>
  </w:num>
  <w:num w:numId="8">
    <w:abstractNumId w:val="21"/>
  </w:num>
  <w:num w:numId="9">
    <w:abstractNumId w:val="17"/>
  </w:num>
  <w:num w:numId="10">
    <w:abstractNumId w:val="20"/>
  </w:num>
  <w:num w:numId="11">
    <w:abstractNumId w:val="30"/>
  </w:num>
  <w:num w:numId="12">
    <w:abstractNumId w:val="23"/>
  </w:num>
  <w:num w:numId="13">
    <w:abstractNumId w:val="12"/>
  </w:num>
  <w:num w:numId="14">
    <w:abstractNumId w:val="11"/>
  </w:num>
  <w:num w:numId="15">
    <w:abstractNumId w:val="2"/>
  </w:num>
  <w:num w:numId="16">
    <w:abstractNumId w:val="14"/>
  </w:num>
  <w:num w:numId="17">
    <w:abstractNumId w:val="22"/>
  </w:num>
  <w:num w:numId="18">
    <w:abstractNumId w:val="26"/>
  </w:num>
  <w:num w:numId="19">
    <w:abstractNumId w:val="1"/>
  </w:num>
  <w:num w:numId="20">
    <w:abstractNumId w:val="4"/>
  </w:num>
  <w:num w:numId="21">
    <w:abstractNumId w:val="27"/>
  </w:num>
  <w:num w:numId="22">
    <w:abstractNumId w:val="9"/>
  </w:num>
  <w:num w:numId="23">
    <w:abstractNumId w:val="0"/>
  </w:num>
  <w:num w:numId="24">
    <w:abstractNumId w:val="3"/>
  </w:num>
  <w:num w:numId="25">
    <w:abstractNumId w:val="5"/>
  </w:num>
  <w:num w:numId="26">
    <w:abstractNumId w:val="16"/>
  </w:num>
  <w:num w:numId="27">
    <w:abstractNumId w:val="19"/>
  </w:num>
  <w:num w:numId="28">
    <w:abstractNumId w:val="7"/>
  </w:num>
  <w:num w:numId="29">
    <w:abstractNumId w:val="29"/>
  </w:num>
  <w:num w:numId="30">
    <w:abstractNumId w:val="31"/>
  </w:num>
  <w:num w:numId="31">
    <w:abstractNumId w:val="15"/>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DB"/>
    <w:rsid w:val="00151FCF"/>
    <w:rsid w:val="001837F8"/>
    <w:rsid w:val="001F3A78"/>
    <w:rsid w:val="00224BBA"/>
    <w:rsid w:val="00274F83"/>
    <w:rsid w:val="00292310"/>
    <w:rsid w:val="003863B6"/>
    <w:rsid w:val="004110BC"/>
    <w:rsid w:val="00477DCB"/>
    <w:rsid w:val="004E4AA7"/>
    <w:rsid w:val="005B0D26"/>
    <w:rsid w:val="005E26C0"/>
    <w:rsid w:val="00610F7F"/>
    <w:rsid w:val="00681CDB"/>
    <w:rsid w:val="006F6225"/>
    <w:rsid w:val="007D0A25"/>
    <w:rsid w:val="007D4C7E"/>
    <w:rsid w:val="007F4EDE"/>
    <w:rsid w:val="00800A64"/>
    <w:rsid w:val="00990DAE"/>
    <w:rsid w:val="00A65469"/>
    <w:rsid w:val="00B45ED2"/>
    <w:rsid w:val="00C00C36"/>
    <w:rsid w:val="00CB7D5E"/>
    <w:rsid w:val="00CC5DE9"/>
    <w:rsid w:val="00DA7562"/>
    <w:rsid w:val="00E56FFE"/>
    <w:rsid w:val="00E663ED"/>
    <w:rsid w:val="00EB1C1A"/>
    <w:rsid w:val="00EC3718"/>
    <w:rsid w:val="00F41059"/>
    <w:rsid w:val="00F61282"/>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3F0A5"/>
  <w15:chartTrackingRefBased/>
  <w15:docId w15:val="{EB9EFCFD-8ABE-0847-872E-79B4FD3A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DB"/>
  </w:style>
  <w:style w:type="paragraph" w:styleId="Heading1">
    <w:name w:val="heading 1"/>
    <w:basedOn w:val="Heading2"/>
    <w:next w:val="Normal"/>
    <w:link w:val="Heading1Char"/>
    <w:uiPriority w:val="9"/>
    <w:qFormat/>
    <w:rsid w:val="00FF3F99"/>
    <w:pPr>
      <w:spacing w:line="240" w:lineRule="auto"/>
      <w:outlineLvl w:val="0"/>
    </w:pPr>
  </w:style>
  <w:style w:type="paragraph" w:styleId="Heading2">
    <w:name w:val="heading 2"/>
    <w:basedOn w:val="ListParagraph"/>
    <w:next w:val="Normal"/>
    <w:link w:val="Heading2Char"/>
    <w:uiPriority w:val="9"/>
    <w:unhideWhenUsed/>
    <w:qFormat/>
    <w:rsid w:val="00681CDB"/>
    <w:pPr>
      <w:spacing w:line="480" w:lineRule="auto"/>
      <w:ind w:left="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F99"/>
    <w:rPr>
      <w:i/>
      <w:iCs/>
    </w:rPr>
  </w:style>
  <w:style w:type="character" w:customStyle="1" w:styleId="Heading2Char">
    <w:name w:val="Heading 2 Char"/>
    <w:basedOn w:val="DefaultParagraphFont"/>
    <w:link w:val="Heading2"/>
    <w:uiPriority w:val="9"/>
    <w:rsid w:val="00681CDB"/>
    <w:rPr>
      <w:i/>
      <w:iCs/>
    </w:rPr>
  </w:style>
  <w:style w:type="paragraph" w:styleId="ListParagraph">
    <w:name w:val="List Paragraph"/>
    <w:basedOn w:val="Normal"/>
    <w:uiPriority w:val="34"/>
    <w:qFormat/>
    <w:rsid w:val="00681CDB"/>
    <w:pPr>
      <w:ind w:left="720"/>
      <w:contextualSpacing/>
    </w:pPr>
  </w:style>
  <w:style w:type="table" w:styleId="TableGrid">
    <w:name w:val="Table Grid"/>
    <w:basedOn w:val="TableNormal"/>
    <w:uiPriority w:val="39"/>
    <w:rsid w:val="00681CDB"/>
    <w:pPr>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CDB"/>
    <w:pPr>
      <w:ind w:left="36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C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1CDB"/>
    <w:rPr>
      <w:sz w:val="16"/>
      <w:szCs w:val="16"/>
    </w:rPr>
  </w:style>
  <w:style w:type="paragraph" w:styleId="CommentText">
    <w:name w:val="annotation text"/>
    <w:basedOn w:val="Normal"/>
    <w:link w:val="CommentTextChar"/>
    <w:uiPriority w:val="99"/>
    <w:unhideWhenUsed/>
    <w:rsid w:val="00681CDB"/>
    <w:rPr>
      <w:sz w:val="20"/>
      <w:szCs w:val="20"/>
    </w:rPr>
  </w:style>
  <w:style w:type="character" w:customStyle="1" w:styleId="CommentTextChar">
    <w:name w:val="Comment Text Char"/>
    <w:basedOn w:val="DefaultParagraphFont"/>
    <w:link w:val="CommentText"/>
    <w:uiPriority w:val="99"/>
    <w:rsid w:val="00681CDB"/>
    <w:rPr>
      <w:sz w:val="20"/>
      <w:szCs w:val="20"/>
    </w:rPr>
  </w:style>
  <w:style w:type="paragraph" w:styleId="CommentSubject">
    <w:name w:val="annotation subject"/>
    <w:basedOn w:val="CommentText"/>
    <w:next w:val="CommentText"/>
    <w:link w:val="CommentSubjectChar"/>
    <w:uiPriority w:val="99"/>
    <w:semiHidden/>
    <w:unhideWhenUsed/>
    <w:rsid w:val="00681CDB"/>
    <w:rPr>
      <w:b/>
      <w:bCs/>
    </w:rPr>
  </w:style>
  <w:style w:type="character" w:customStyle="1" w:styleId="CommentSubjectChar">
    <w:name w:val="Comment Subject Char"/>
    <w:basedOn w:val="CommentTextChar"/>
    <w:link w:val="CommentSubject"/>
    <w:uiPriority w:val="99"/>
    <w:semiHidden/>
    <w:rsid w:val="00681CDB"/>
    <w:rPr>
      <w:b/>
      <w:bCs/>
      <w:sz w:val="20"/>
      <w:szCs w:val="20"/>
    </w:rPr>
  </w:style>
  <w:style w:type="paragraph" w:styleId="Revision">
    <w:name w:val="Revision"/>
    <w:hidden/>
    <w:uiPriority w:val="99"/>
    <w:semiHidden/>
    <w:rsid w:val="00681CDB"/>
  </w:style>
  <w:style w:type="character" w:styleId="LineNumber">
    <w:name w:val="line number"/>
    <w:basedOn w:val="DefaultParagraphFont"/>
    <w:uiPriority w:val="99"/>
    <w:semiHidden/>
    <w:unhideWhenUsed/>
    <w:rsid w:val="00681CDB"/>
  </w:style>
  <w:style w:type="paragraph" w:styleId="TOCHeading">
    <w:name w:val="TOC Heading"/>
    <w:basedOn w:val="Heading1"/>
    <w:next w:val="Normal"/>
    <w:uiPriority w:val="39"/>
    <w:unhideWhenUsed/>
    <w:qFormat/>
    <w:rsid w:val="00681CDB"/>
    <w:pPr>
      <w:keepNext/>
      <w:keepLines/>
      <w:spacing w:before="480" w:line="276" w:lineRule="auto"/>
      <w:contextualSpacing w:val="0"/>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681CDB"/>
    <w:pPr>
      <w:spacing w:before="120"/>
    </w:pPr>
    <w:rPr>
      <w:rFonts w:cstheme="minorHAnsi"/>
      <w:b/>
      <w:bCs/>
      <w:i/>
      <w:iCs/>
    </w:rPr>
  </w:style>
  <w:style w:type="paragraph" w:styleId="TOC2">
    <w:name w:val="toc 2"/>
    <w:basedOn w:val="Normal"/>
    <w:next w:val="Normal"/>
    <w:autoRedefine/>
    <w:uiPriority w:val="39"/>
    <w:unhideWhenUsed/>
    <w:rsid w:val="00681CDB"/>
    <w:pPr>
      <w:spacing w:before="120"/>
      <w:ind w:left="240"/>
    </w:pPr>
    <w:rPr>
      <w:rFonts w:cstheme="minorHAnsi"/>
      <w:b/>
      <w:bCs/>
      <w:sz w:val="22"/>
      <w:szCs w:val="22"/>
    </w:rPr>
  </w:style>
  <w:style w:type="character" w:styleId="Hyperlink">
    <w:name w:val="Hyperlink"/>
    <w:basedOn w:val="DefaultParagraphFont"/>
    <w:uiPriority w:val="99"/>
    <w:unhideWhenUsed/>
    <w:rsid w:val="00681CDB"/>
    <w:rPr>
      <w:color w:val="0563C1" w:themeColor="hyperlink"/>
      <w:u w:val="single"/>
    </w:rPr>
  </w:style>
  <w:style w:type="paragraph" w:styleId="TOC3">
    <w:name w:val="toc 3"/>
    <w:basedOn w:val="Normal"/>
    <w:next w:val="Normal"/>
    <w:autoRedefine/>
    <w:uiPriority w:val="39"/>
    <w:semiHidden/>
    <w:unhideWhenUsed/>
    <w:rsid w:val="00681CDB"/>
    <w:pPr>
      <w:ind w:left="480"/>
    </w:pPr>
    <w:rPr>
      <w:rFonts w:cstheme="minorHAnsi"/>
      <w:sz w:val="20"/>
      <w:szCs w:val="20"/>
    </w:rPr>
  </w:style>
  <w:style w:type="paragraph" w:styleId="TOC4">
    <w:name w:val="toc 4"/>
    <w:basedOn w:val="Normal"/>
    <w:next w:val="Normal"/>
    <w:autoRedefine/>
    <w:uiPriority w:val="39"/>
    <w:semiHidden/>
    <w:unhideWhenUsed/>
    <w:rsid w:val="00681CDB"/>
    <w:pPr>
      <w:ind w:left="720"/>
    </w:pPr>
    <w:rPr>
      <w:rFonts w:cstheme="minorHAnsi"/>
      <w:sz w:val="20"/>
      <w:szCs w:val="20"/>
    </w:rPr>
  </w:style>
  <w:style w:type="paragraph" w:styleId="TOC5">
    <w:name w:val="toc 5"/>
    <w:basedOn w:val="Normal"/>
    <w:next w:val="Normal"/>
    <w:autoRedefine/>
    <w:uiPriority w:val="39"/>
    <w:semiHidden/>
    <w:unhideWhenUsed/>
    <w:rsid w:val="00681CDB"/>
    <w:pPr>
      <w:ind w:left="960"/>
    </w:pPr>
    <w:rPr>
      <w:rFonts w:cstheme="minorHAnsi"/>
      <w:sz w:val="20"/>
      <w:szCs w:val="20"/>
    </w:rPr>
  </w:style>
  <w:style w:type="paragraph" w:styleId="TOC6">
    <w:name w:val="toc 6"/>
    <w:basedOn w:val="Normal"/>
    <w:next w:val="Normal"/>
    <w:autoRedefine/>
    <w:uiPriority w:val="39"/>
    <w:semiHidden/>
    <w:unhideWhenUsed/>
    <w:rsid w:val="00681CDB"/>
    <w:pPr>
      <w:ind w:left="1200"/>
    </w:pPr>
    <w:rPr>
      <w:rFonts w:cstheme="minorHAnsi"/>
      <w:sz w:val="20"/>
      <w:szCs w:val="20"/>
    </w:rPr>
  </w:style>
  <w:style w:type="paragraph" w:styleId="TOC7">
    <w:name w:val="toc 7"/>
    <w:basedOn w:val="Normal"/>
    <w:next w:val="Normal"/>
    <w:autoRedefine/>
    <w:uiPriority w:val="39"/>
    <w:semiHidden/>
    <w:unhideWhenUsed/>
    <w:rsid w:val="00681CDB"/>
    <w:pPr>
      <w:ind w:left="1440"/>
    </w:pPr>
    <w:rPr>
      <w:rFonts w:cstheme="minorHAnsi"/>
      <w:sz w:val="20"/>
      <w:szCs w:val="20"/>
    </w:rPr>
  </w:style>
  <w:style w:type="paragraph" w:styleId="TOC8">
    <w:name w:val="toc 8"/>
    <w:basedOn w:val="Normal"/>
    <w:next w:val="Normal"/>
    <w:autoRedefine/>
    <w:uiPriority w:val="39"/>
    <w:semiHidden/>
    <w:unhideWhenUsed/>
    <w:rsid w:val="00681CDB"/>
    <w:pPr>
      <w:ind w:left="1680"/>
    </w:pPr>
    <w:rPr>
      <w:rFonts w:cstheme="minorHAnsi"/>
      <w:sz w:val="20"/>
      <w:szCs w:val="20"/>
    </w:rPr>
  </w:style>
  <w:style w:type="paragraph" w:styleId="TOC9">
    <w:name w:val="toc 9"/>
    <w:basedOn w:val="Normal"/>
    <w:next w:val="Normal"/>
    <w:autoRedefine/>
    <w:uiPriority w:val="39"/>
    <w:semiHidden/>
    <w:unhideWhenUsed/>
    <w:rsid w:val="00681CDB"/>
    <w:pPr>
      <w:ind w:left="1920"/>
    </w:pPr>
    <w:rPr>
      <w:rFonts w:cstheme="minorHAnsi"/>
      <w:sz w:val="20"/>
      <w:szCs w:val="20"/>
    </w:rPr>
  </w:style>
  <w:style w:type="paragraph" w:styleId="Footer">
    <w:name w:val="footer"/>
    <w:basedOn w:val="Normal"/>
    <w:link w:val="FooterChar"/>
    <w:uiPriority w:val="99"/>
    <w:unhideWhenUsed/>
    <w:rsid w:val="00681CDB"/>
    <w:pPr>
      <w:tabs>
        <w:tab w:val="center" w:pos="4680"/>
        <w:tab w:val="right" w:pos="9360"/>
      </w:tabs>
    </w:pPr>
  </w:style>
  <w:style w:type="character" w:customStyle="1" w:styleId="FooterChar">
    <w:name w:val="Footer Char"/>
    <w:basedOn w:val="DefaultParagraphFont"/>
    <w:link w:val="Footer"/>
    <w:uiPriority w:val="99"/>
    <w:rsid w:val="00681CDB"/>
  </w:style>
  <w:style w:type="character" w:styleId="PageNumber">
    <w:name w:val="page number"/>
    <w:basedOn w:val="DefaultParagraphFont"/>
    <w:uiPriority w:val="99"/>
    <w:semiHidden/>
    <w:unhideWhenUsed/>
    <w:rsid w:val="00681CDB"/>
  </w:style>
  <w:style w:type="character" w:customStyle="1" w:styleId="UnresolvedMention1">
    <w:name w:val="Unresolved Mention1"/>
    <w:basedOn w:val="DefaultParagraphFont"/>
    <w:uiPriority w:val="99"/>
    <w:semiHidden/>
    <w:unhideWhenUsed/>
    <w:rsid w:val="00681CDB"/>
    <w:rPr>
      <w:color w:val="605E5C"/>
      <w:shd w:val="clear" w:color="auto" w:fill="E1DFDD"/>
    </w:rPr>
  </w:style>
  <w:style w:type="paragraph" w:styleId="Header">
    <w:name w:val="header"/>
    <w:basedOn w:val="Normal"/>
    <w:link w:val="HeaderChar"/>
    <w:uiPriority w:val="99"/>
    <w:unhideWhenUsed/>
    <w:rsid w:val="00681CDB"/>
    <w:pPr>
      <w:tabs>
        <w:tab w:val="center" w:pos="4680"/>
        <w:tab w:val="right" w:pos="9360"/>
      </w:tabs>
    </w:pPr>
  </w:style>
  <w:style w:type="character" w:customStyle="1" w:styleId="HeaderChar">
    <w:name w:val="Header Char"/>
    <w:basedOn w:val="DefaultParagraphFont"/>
    <w:link w:val="Header"/>
    <w:uiPriority w:val="99"/>
    <w:rsid w:val="00681CDB"/>
  </w:style>
  <w:style w:type="character" w:styleId="UnresolvedMention">
    <w:name w:val="Unresolved Mention"/>
    <w:basedOn w:val="DefaultParagraphFont"/>
    <w:uiPriority w:val="99"/>
    <w:semiHidden/>
    <w:unhideWhenUsed/>
    <w:rsid w:val="00681CDB"/>
    <w:rPr>
      <w:color w:val="605E5C"/>
      <w:shd w:val="clear" w:color="auto" w:fill="E1DFDD"/>
    </w:rPr>
  </w:style>
  <w:style w:type="character" w:customStyle="1" w:styleId="apple-converted-space">
    <w:name w:val="apple-converted-space"/>
    <w:basedOn w:val="DefaultParagraphFont"/>
    <w:rsid w:val="00681CDB"/>
  </w:style>
  <w:style w:type="character" w:styleId="FollowedHyperlink">
    <w:name w:val="FollowedHyperlink"/>
    <w:basedOn w:val="DefaultParagraphFont"/>
    <w:uiPriority w:val="99"/>
    <w:semiHidden/>
    <w:unhideWhenUsed/>
    <w:rsid w:val="00681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77DA-ACC1-FC40-9F72-8CDDB6E3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64075</Words>
  <Characters>365234</Characters>
  <Application>Microsoft Office Word</Application>
  <DocSecurity>0</DocSecurity>
  <Lines>3043</Lines>
  <Paragraphs>856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Tang</dc:creator>
  <cp:keywords/>
  <dc:description/>
  <cp:lastModifiedBy>Kevin  Tang</cp:lastModifiedBy>
  <cp:revision>2</cp:revision>
  <dcterms:created xsi:type="dcterms:W3CDTF">2021-11-17T16:19:00Z</dcterms:created>
  <dcterms:modified xsi:type="dcterms:W3CDTF">2021-11-17T16:19:00Z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http://www.zotero.org/styles/public-health-nutrition</vt:lpwstr>
  </property>
  <property fmtid="{D5CDD505-2E9C-101B-9397-08002B2CF9AE}" pid="21" name="Mendeley Recent Style Name 9_1">
    <vt:lpwstr>Public Health Nutrition</vt:lpwstr>
  </property>
  <property fmtid="{D5CDD505-2E9C-101B-9397-08002B2CF9AE}" pid="22" name="Mendeley Document_1">
    <vt:lpwstr>True</vt:lpwstr>
  </property>
  <property fmtid="{D5CDD505-2E9C-101B-9397-08002B2CF9AE}" pid="23" name="Mendeley Unique User Id_1">
    <vt:lpwstr>759db135-5fad-3fb9-9dbd-05960c036efd</vt:lpwstr>
  </property>
  <property fmtid="{D5CDD505-2E9C-101B-9397-08002B2CF9AE}" pid="24" name="Mendeley Citation Style_1">
    <vt:lpwstr>http://www.zotero.org/styles/public-health-nutrition</vt:lpwstr>
  </property>
</Properties>
</file>