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7D2C" w14:textId="77777777" w:rsidR="003A133A" w:rsidRPr="008F65DF" w:rsidRDefault="003A133A" w:rsidP="003A133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b/>
        </w:rPr>
      </w:pPr>
      <w:r w:rsidRPr="008F65DF">
        <w:rPr>
          <w:b/>
        </w:rPr>
        <w:t xml:space="preserve">Supplementary Table 1: Food outlet descriptions and Food Retail Environment Score for healthiness. </w:t>
      </w:r>
    </w:p>
    <w:p w14:paraId="6217C1F2" w14:textId="77777777" w:rsidR="003A133A" w:rsidRPr="008F65DF" w:rsidRDefault="003A133A" w:rsidP="003A133A">
      <w:pPr>
        <w:rPr>
          <w:b/>
        </w:rPr>
      </w:pPr>
    </w:p>
    <w:tbl>
      <w:tblPr>
        <w:tblStyle w:val="6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10519"/>
        <w:gridCol w:w="850"/>
      </w:tblGrid>
      <w:tr w:rsidR="008F65DF" w:rsidRPr="008F65DF" w14:paraId="42218B74" w14:textId="77777777" w:rsidTr="00B37BFF">
        <w:tc>
          <w:tcPr>
            <w:tcW w:w="2660" w:type="dxa"/>
          </w:tcPr>
          <w:p w14:paraId="44784D43" w14:textId="77777777" w:rsidR="003A133A" w:rsidRPr="008F65DF" w:rsidRDefault="003A133A" w:rsidP="00B37BFF">
            <w:r w:rsidRPr="008F65DF">
              <w:t>Food outlet type</w:t>
            </w:r>
          </w:p>
        </w:tc>
        <w:tc>
          <w:tcPr>
            <w:tcW w:w="10519" w:type="dxa"/>
          </w:tcPr>
          <w:p w14:paraId="5638CFD7" w14:textId="77777777" w:rsidR="003A133A" w:rsidRPr="008F65DF" w:rsidRDefault="003A133A" w:rsidP="00B37BFF">
            <w:r w:rsidRPr="008F65DF">
              <w:t>Description</w:t>
            </w:r>
          </w:p>
        </w:tc>
        <w:tc>
          <w:tcPr>
            <w:tcW w:w="850" w:type="dxa"/>
          </w:tcPr>
          <w:p w14:paraId="5C8A5667" w14:textId="77777777" w:rsidR="003A133A" w:rsidRPr="008F65DF" w:rsidRDefault="003A133A" w:rsidP="00B37BFF">
            <w:r w:rsidRPr="008F65DF">
              <w:t>Health Score</w:t>
            </w:r>
          </w:p>
        </w:tc>
      </w:tr>
      <w:tr w:rsidR="008F65DF" w:rsidRPr="008F65DF" w14:paraId="478E663F" w14:textId="77777777" w:rsidTr="00B37BFF">
        <w:tc>
          <w:tcPr>
            <w:tcW w:w="2660" w:type="dxa"/>
          </w:tcPr>
          <w:p w14:paraId="1BEFB969" w14:textId="77777777" w:rsidR="003A133A" w:rsidRPr="008F65DF" w:rsidRDefault="003A133A" w:rsidP="00B37BFF">
            <w:r w:rsidRPr="008F65DF">
              <w:t>Fruiterer &amp; greengrocer</w:t>
            </w:r>
          </w:p>
        </w:tc>
        <w:tc>
          <w:tcPr>
            <w:tcW w:w="10519" w:type="dxa"/>
          </w:tcPr>
          <w:p w14:paraId="56A8A392" w14:textId="77777777" w:rsidR="003A133A" w:rsidRPr="008F65DF" w:rsidRDefault="003A133A" w:rsidP="00B37BFF">
            <w:r w:rsidRPr="008F65DF">
              <w:t xml:space="preserve">Mainly engaged in the sale of fresh fruit and </w:t>
            </w:r>
            <w:proofErr w:type="gramStart"/>
            <w:r w:rsidRPr="008F65DF">
              <w:t>vegetables;</w:t>
            </w:r>
            <w:proofErr w:type="gramEnd"/>
            <w:r w:rsidRPr="008F65DF">
              <w:t xml:space="preserve"> including wholesale stores with direct to public sales</w:t>
            </w:r>
          </w:p>
        </w:tc>
        <w:tc>
          <w:tcPr>
            <w:tcW w:w="850" w:type="dxa"/>
          </w:tcPr>
          <w:p w14:paraId="1E97FB3F" w14:textId="77777777" w:rsidR="003A133A" w:rsidRPr="008F65DF" w:rsidRDefault="003A133A" w:rsidP="00B37BFF">
            <w:r w:rsidRPr="008F65DF">
              <w:t>10</w:t>
            </w:r>
          </w:p>
        </w:tc>
      </w:tr>
      <w:tr w:rsidR="008F65DF" w:rsidRPr="008F65DF" w14:paraId="2784C99D" w14:textId="77777777" w:rsidTr="00B37BFF">
        <w:tc>
          <w:tcPr>
            <w:tcW w:w="2660" w:type="dxa"/>
          </w:tcPr>
          <w:p w14:paraId="3CF547DE" w14:textId="77777777" w:rsidR="003A133A" w:rsidRPr="008F65DF" w:rsidRDefault="003A133A" w:rsidP="00B37BFF">
            <w:r w:rsidRPr="008F65DF">
              <w:t>Fish shop</w:t>
            </w:r>
          </w:p>
        </w:tc>
        <w:tc>
          <w:tcPr>
            <w:tcW w:w="10519" w:type="dxa"/>
          </w:tcPr>
          <w:p w14:paraId="28D2E658" w14:textId="77777777" w:rsidR="003A133A" w:rsidRPr="008F65DF" w:rsidRDefault="003A133A" w:rsidP="00B37BFF">
            <w:r w:rsidRPr="008F65DF">
              <w:t xml:space="preserve">Mainly engaged in the sale of fresh </w:t>
            </w:r>
            <w:proofErr w:type="gramStart"/>
            <w:r w:rsidRPr="008F65DF">
              <w:t>seafood;</w:t>
            </w:r>
            <w:proofErr w:type="gramEnd"/>
            <w:r w:rsidRPr="008F65DF">
              <w:t xml:space="preserve"> including wholesale stores with direct to public sales and takeaway stores also providing a range of fresh seafood. </w:t>
            </w:r>
          </w:p>
        </w:tc>
        <w:tc>
          <w:tcPr>
            <w:tcW w:w="850" w:type="dxa"/>
          </w:tcPr>
          <w:p w14:paraId="3DDB7784" w14:textId="77777777" w:rsidR="003A133A" w:rsidRPr="008F65DF" w:rsidRDefault="003A133A" w:rsidP="00B37BFF">
            <w:r w:rsidRPr="008F65DF">
              <w:t>9</w:t>
            </w:r>
          </w:p>
        </w:tc>
      </w:tr>
      <w:tr w:rsidR="008F65DF" w:rsidRPr="008F65DF" w14:paraId="3EAADEF7" w14:textId="77777777" w:rsidTr="00B37BFF">
        <w:tc>
          <w:tcPr>
            <w:tcW w:w="2660" w:type="dxa"/>
          </w:tcPr>
          <w:p w14:paraId="2C374A87" w14:textId="77777777" w:rsidR="003A133A" w:rsidRPr="008F65DF" w:rsidRDefault="003A133A" w:rsidP="00B37BFF">
            <w:r w:rsidRPr="008F65DF">
              <w:t>Poultry shop</w:t>
            </w:r>
          </w:p>
        </w:tc>
        <w:tc>
          <w:tcPr>
            <w:tcW w:w="10519" w:type="dxa"/>
          </w:tcPr>
          <w:p w14:paraId="6032E340" w14:textId="7568602D" w:rsidR="003A133A" w:rsidRPr="008F65DF" w:rsidRDefault="003A133A" w:rsidP="00B37BFF">
            <w:r w:rsidRPr="008F65DF">
              <w:t>Mainly engaged in the sale of fresh poul</w:t>
            </w:r>
            <w:r w:rsidR="008F65DF" w:rsidRPr="008F65DF">
              <w:t>try; including wholesale stores</w:t>
            </w:r>
            <w:r w:rsidRPr="008F65DF">
              <w:t xml:space="preserve"> with direct to public sales.</w:t>
            </w:r>
          </w:p>
        </w:tc>
        <w:tc>
          <w:tcPr>
            <w:tcW w:w="850" w:type="dxa"/>
          </w:tcPr>
          <w:p w14:paraId="1B44EFA9" w14:textId="77777777" w:rsidR="003A133A" w:rsidRPr="008F65DF" w:rsidRDefault="003A133A" w:rsidP="00B37BFF">
            <w:r w:rsidRPr="008F65DF">
              <w:t>9</w:t>
            </w:r>
          </w:p>
        </w:tc>
      </w:tr>
      <w:tr w:rsidR="008F65DF" w:rsidRPr="008F65DF" w14:paraId="5D921BD9" w14:textId="77777777" w:rsidTr="00B37BFF">
        <w:tc>
          <w:tcPr>
            <w:tcW w:w="2660" w:type="dxa"/>
          </w:tcPr>
          <w:p w14:paraId="3C3888E4" w14:textId="77777777" w:rsidR="003A133A" w:rsidRPr="008F65DF" w:rsidRDefault="003A133A" w:rsidP="00B37BFF">
            <w:r w:rsidRPr="008F65DF">
              <w:t>Butchery</w:t>
            </w:r>
          </w:p>
        </w:tc>
        <w:tc>
          <w:tcPr>
            <w:tcW w:w="10519" w:type="dxa"/>
          </w:tcPr>
          <w:p w14:paraId="5FE86087" w14:textId="77777777" w:rsidR="003A133A" w:rsidRPr="008F65DF" w:rsidRDefault="003A133A" w:rsidP="00B37BFF">
            <w:r w:rsidRPr="008F65DF">
              <w:t>Mainly engaged in the sale of fresh meat; including wholesale stores with direct to public sales.</w:t>
            </w:r>
          </w:p>
        </w:tc>
        <w:tc>
          <w:tcPr>
            <w:tcW w:w="850" w:type="dxa"/>
          </w:tcPr>
          <w:p w14:paraId="70CC02BE" w14:textId="77777777" w:rsidR="003A133A" w:rsidRPr="008F65DF" w:rsidRDefault="003A133A" w:rsidP="00B37BFF">
            <w:r w:rsidRPr="008F65DF">
              <w:t>9</w:t>
            </w:r>
          </w:p>
        </w:tc>
      </w:tr>
      <w:tr w:rsidR="008F65DF" w:rsidRPr="008F65DF" w14:paraId="3AD24C20" w14:textId="77777777" w:rsidTr="00B37BFF">
        <w:tc>
          <w:tcPr>
            <w:tcW w:w="2660" w:type="dxa"/>
          </w:tcPr>
          <w:p w14:paraId="4943322B" w14:textId="77777777" w:rsidR="003A133A" w:rsidRPr="008F65DF" w:rsidRDefault="003A133A" w:rsidP="00B37BFF">
            <w:r w:rsidRPr="008F65DF">
              <w:t>Major Supermarket</w:t>
            </w:r>
          </w:p>
        </w:tc>
        <w:tc>
          <w:tcPr>
            <w:tcW w:w="10519" w:type="dxa"/>
          </w:tcPr>
          <w:p w14:paraId="31E86966" w14:textId="77777777" w:rsidR="003A133A" w:rsidRPr="008F65DF" w:rsidRDefault="003A133A" w:rsidP="00B37BFF">
            <w:r w:rsidRPr="008F65DF">
              <w:t xml:space="preserve">Mainly engaged in the sale of groceries (fresh foods, canned and packaged foods, dry goods) of non-specialised (conventional) food lines. May contain a butcher or baker. Usually have 5 or more checkouts and a floor area over 1000 square meters. </w:t>
            </w:r>
            <w:proofErr w:type="gramStart"/>
            <w:r w:rsidRPr="008F65DF">
              <w:t>I.e.</w:t>
            </w:r>
            <w:proofErr w:type="gramEnd"/>
            <w:r w:rsidRPr="008F65DF">
              <w:t xml:space="preserve"> Woolworths, Coles, BI-LO, Franklins (no frills), ALDI.</w:t>
            </w:r>
          </w:p>
        </w:tc>
        <w:tc>
          <w:tcPr>
            <w:tcW w:w="850" w:type="dxa"/>
          </w:tcPr>
          <w:p w14:paraId="3C20365C" w14:textId="77777777" w:rsidR="003A133A" w:rsidRPr="008F65DF" w:rsidRDefault="003A133A" w:rsidP="00B37BFF">
            <w:r w:rsidRPr="008F65DF">
              <w:t>5</w:t>
            </w:r>
          </w:p>
        </w:tc>
      </w:tr>
      <w:tr w:rsidR="008F65DF" w:rsidRPr="008F65DF" w14:paraId="113787E8" w14:textId="77777777" w:rsidTr="00B37BFF">
        <w:trPr>
          <w:trHeight w:val="60"/>
        </w:trPr>
        <w:tc>
          <w:tcPr>
            <w:tcW w:w="2660" w:type="dxa"/>
          </w:tcPr>
          <w:p w14:paraId="30BF4643" w14:textId="77777777" w:rsidR="003A133A" w:rsidRPr="008F65DF" w:rsidRDefault="003A133A" w:rsidP="00B37BFF">
            <w:r w:rsidRPr="008F65DF">
              <w:t>Minor Supermarket</w:t>
            </w:r>
          </w:p>
        </w:tc>
        <w:tc>
          <w:tcPr>
            <w:tcW w:w="10519" w:type="dxa"/>
          </w:tcPr>
          <w:p w14:paraId="34F73BA0" w14:textId="77777777" w:rsidR="003A133A" w:rsidRPr="008F65DF" w:rsidRDefault="003A133A" w:rsidP="00B37BFF">
            <w:r w:rsidRPr="008F65DF">
              <w:t xml:space="preserve">Mainly engaged in the sale of groceries (fresh foods, canned and packaged food, dry goods) of non-specialised (conventional) food lines. Usually have 4 or fewer checkouts and a floor area under 1000 square meters. </w:t>
            </w:r>
            <w:proofErr w:type="gramStart"/>
            <w:r w:rsidRPr="008F65DF">
              <w:t>E.g.</w:t>
            </w:r>
            <w:proofErr w:type="gramEnd"/>
            <w:r w:rsidRPr="008F65DF">
              <w:t xml:space="preserve"> Independent grocer or supermarket.</w:t>
            </w:r>
          </w:p>
        </w:tc>
        <w:tc>
          <w:tcPr>
            <w:tcW w:w="850" w:type="dxa"/>
          </w:tcPr>
          <w:p w14:paraId="0BB74750" w14:textId="77777777" w:rsidR="003A133A" w:rsidRPr="008F65DF" w:rsidRDefault="003A133A" w:rsidP="00B37BFF">
            <w:r w:rsidRPr="008F65DF">
              <w:t>5</w:t>
            </w:r>
          </w:p>
        </w:tc>
      </w:tr>
      <w:tr w:rsidR="008F65DF" w:rsidRPr="008F65DF" w14:paraId="6D3F803E" w14:textId="77777777" w:rsidTr="00B37BFF">
        <w:tc>
          <w:tcPr>
            <w:tcW w:w="2660" w:type="dxa"/>
          </w:tcPr>
          <w:p w14:paraId="1A657978" w14:textId="77777777" w:rsidR="003A133A" w:rsidRPr="008F65DF" w:rsidRDefault="003A133A" w:rsidP="00B37BFF">
            <w:r w:rsidRPr="008F65DF">
              <w:t>Specialty food stores – core foods</w:t>
            </w:r>
          </w:p>
        </w:tc>
        <w:tc>
          <w:tcPr>
            <w:tcW w:w="10519" w:type="dxa"/>
          </w:tcPr>
          <w:p w14:paraId="41F1AE2F" w14:textId="77777777" w:rsidR="003A133A" w:rsidRPr="008F65DF" w:rsidRDefault="003A133A" w:rsidP="00B37BFF">
            <w:r w:rsidRPr="008F65DF">
              <w:t>Mainly engaged in the sale of a limited line of specialised food such as a particular gourmet food that can be defined under core food.</w:t>
            </w:r>
          </w:p>
        </w:tc>
        <w:tc>
          <w:tcPr>
            <w:tcW w:w="850" w:type="dxa"/>
          </w:tcPr>
          <w:p w14:paraId="6FB426C0" w14:textId="77777777" w:rsidR="003A133A" w:rsidRPr="008F65DF" w:rsidRDefault="003A133A" w:rsidP="00B37BFF">
            <w:r w:rsidRPr="008F65DF">
              <w:t>5</w:t>
            </w:r>
          </w:p>
        </w:tc>
      </w:tr>
      <w:tr w:rsidR="008F65DF" w:rsidRPr="008F65DF" w14:paraId="5D4C6CBF" w14:textId="77777777" w:rsidTr="00B37BFF">
        <w:tc>
          <w:tcPr>
            <w:tcW w:w="2660" w:type="dxa"/>
          </w:tcPr>
          <w:p w14:paraId="3827CB53" w14:textId="77777777" w:rsidR="003A133A" w:rsidRPr="008F65DF" w:rsidRDefault="003A133A" w:rsidP="00B37BFF">
            <w:r w:rsidRPr="008F65DF">
              <w:t>Restaurant/café – franchise</w:t>
            </w:r>
          </w:p>
        </w:tc>
        <w:tc>
          <w:tcPr>
            <w:tcW w:w="10519" w:type="dxa"/>
          </w:tcPr>
          <w:p w14:paraId="69B01248" w14:textId="77777777" w:rsidR="003A133A" w:rsidRPr="008F65DF" w:rsidRDefault="003A133A" w:rsidP="00B37BFF">
            <w:proofErr w:type="gramStart"/>
            <w:r w:rsidRPr="008F65DF">
              <w:t>E.g.</w:t>
            </w:r>
            <w:proofErr w:type="gramEnd"/>
            <w:r w:rsidRPr="008F65DF">
              <w:t xml:space="preserve"> franchise restaurants and cafes; mainly engaged in the preparation and sale of meals/snacks for consumption on the premises; table service provided; may sell alcohol with food; may provide takeaway services. </w:t>
            </w:r>
          </w:p>
        </w:tc>
        <w:tc>
          <w:tcPr>
            <w:tcW w:w="850" w:type="dxa"/>
          </w:tcPr>
          <w:p w14:paraId="22BA39E9" w14:textId="77777777" w:rsidR="003A133A" w:rsidRPr="008F65DF" w:rsidRDefault="003A133A" w:rsidP="00B37BFF">
            <w:r w:rsidRPr="008F65DF">
              <w:t>0</w:t>
            </w:r>
          </w:p>
        </w:tc>
      </w:tr>
      <w:tr w:rsidR="008F65DF" w:rsidRPr="008F65DF" w14:paraId="37555C34" w14:textId="77777777" w:rsidTr="00B37BFF">
        <w:tc>
          <w:tcPr>
            <w:tcW w:w="2660" w:type="dxa"/>
          </w:tcPr>
          <w:p w14:paraId="57F4B1B4" w14:textId="77777777" w:rsidR="003A133A" w:rsidRPr="008F65DF" w:rsidRDefault="003A133A" w:rsidP="00B37BFF">
            <w:r w:rsidRPr="008F65DF">
              <w:t>Restaurant/café – local independent</w:t>
            </w:r>
          </w:p>
        </w:tc>
        <w:tc>
          <w:tcPr>
            <w:tcW w:w="10519" w:type="dxa"/>
          </w:tcPr>
          <w:p w14:paraId="615229D2" w14:textId="77777777" w:rsidR="003A133A" w:rsidRPr="008F65DF" w:rsidRDefault="003A133A" w:rsidP="00B37BFF">
            <w:r w:rsidRPr="008F65DF">
              <w:t xml:space="preserve">E.g. restaurant in a golf club, culture-based restaurant/café which is not a take-away such </w:t>
            </w:r>
            <w:proofErr w:type="gramStart"/>
            <w:r w:rsidRPr="008F65DF">
              <w:t>as  Mexican</w:t>
            </w:r>
            <w:proofErr w:type="gramEnd"/>
            <w:r w:rsidRPr="008F65DF">
              <w:t>, Thai, Chinese etc. ; mainly engaged in the preparation and sale of meals/snacks for consumption on the premises; table service provided; may also sell alcohol with food, may provide takeaway services.</w:t>
            </w:r>
          </w:p>
        </w:tc>
        <w:tc>
          <w:tcPr>
            <w:tcW w:w="850" w:type="dxa"/>
          </w:tcPr>
          <w:p w14:paraId="281B388E" w14:textId="77777777" w:rsidR="003A133A" w:rsidRPr="008F65DF" w:rsidRDefault="003A133A" w:rsidP="00B37BFF">
            <w:r w:rsidRPr="008F65DF">
              <w:t>0</w:t>
            </w:r>
          </w:p>
        </w:tc>
      </w:tr>
      <w:tr w:rsidR="008F65DF" w:rsidRPr="008F65DF" w14:paraId="340F31C7" w14:textId="77777777" w:rsidTr="00B37BFF">
        <w:tc>
          <w:tcPr>
            <w:tcW w:w="2660" w:type="dxa"/>
          </w:tcPr>
          <w:p w14:paraId="60BF0EB4" w14:textId="77777777" w:rsidR="003A133A" w:rsidRPr="008F65DF" w:rsidRDefault="003A133A" w:rsidP="00B37BFF">
            <w:r w:rsidRPr="008F65DF">
              <w:t>Sandwich shop</w:t>
            </w:r>
          </w:p>
        </w:tc>
        <w:tc>
          <w:tcPr>
            <w:tcW w:w="10519" w:type="dxa"/>
          </w:tcPr>
          <w:p w14:paraId="1CA40B1A" w14:textId="77777777" w:rsidR="003A133A" w:rsidRPr="008F65DF" w:rsidRDefault="003A133A" w:rsidP="00B37BFF">
            <w:r w:rsidRPr="008F65DF">
              <w:t>Mainly engaged in the preparation of filled bread products like sandwiches or rolls.</w:t>
            </w:r>
          </w:p>
        </w:tc>
        <w:tc>
          <w:tcPr>
            <w:tcW w:w="850" w:type="dxa"/>
          </w:tcPr>
          <w:p w14:paraId="5C4A93A6" w14:textId="77777777" w:rsidR="003A133A" w:rsidRPr="008F65DF" w:rsidRDefault="003A133A" w:rsidP="00B37BFF">
            <w:r w:rsidRPr="008F65DF">
              <w:t>5</w:t>
            </w:r>
          </w:p>
        </w:tc>
      </w:tr>
      <w:tr w:rsidR="008F65DF" w:rsidRPr="008F65DF" w14:paraId="259F04F9" w14:textId="77777777" w:rsidTr="00B37BFF">
        <w:tc>
          <w:tcPr>
            <w:tcW w:w="2660" w:type="dxa"/>
          </w:tcPr>
          <w:p w14:paraId="45F57D67" w14:textId="77777777" w:rsidR="003A133A" w:rsidRPr="008F65DF" w:rsidRDefault="003A133A" w:rsidP="00B37BFF">
            <w:r w:rsidRPr="008F65DF">
              <w:t>Salad/sushi bar</w:t>
            </w:r>
          </w:p>
        </w:tc>
        <w:tc>
          <w:tcPr>
            <w:tcW w:w="10519" w:type="dxa"/>
          </w:tcPr>
          <w:p w14:paraId="75D8B7A6" w14:textId="77777777" w:rsidR="003A133A" w:rsidRPr="008F65DF" w:rsidRDefault="003A133A" w:rsidP="00B37BFF">
            <w:r w:rsidRPr="008F65DF">
              <w:t>Mainly engaged in the preparation of salads and sushi.</w:t>
            </w:r>
          </w:p>
        </w:tc>
        <w:tc>
          <w:tcPr>
            <w:tcW w:w="850" w:type="dxa"/>
          </w:tcPr>
          <w:p w14:paraId="160A5657" w14:textId="77777777" w:rsidR="003A133A" w:rsidRPr="008F65DF" w:rsidRDefault="003A133A" w:rsidP="00B37BFF">
            <w:r w:rsidRPr="008F65DF">
              <w:t>5</w:t>
            </w:r>
          </w:p>
        </w:tc>
      </w:tr>
      <w:tr w:rsidR="008F65DF" w:rsidRPr="008F65DF" w14:paraId="1E33CA8D" w14:textId="77777777" w:rsidTr="00B37BFF">
        <w:tc>
          <w:tcPr>
            <w:tcW w:w="2660" w:type="dxa"/>
          </w:tcPr>
          <w:p w14:paraId="608E953A" w14:textId="77777777" w:rsidR="003A133A" w:rsidRPr="008F65DF" w:rsidRDefault="003A133A" w:rsidP="00B37BFF">
            <w:r w:rsidRPr="008F65DF">
              <w:t>Delicatessen</w:t>
            </w:r>
          </w:p>
        </w:tc>
        <w:tc>
          <w:tcPr>
            <w:tcW w:w="10519" w:type="dxa"/>
          </w:tcPr>
          <w:p w14:paraId="58FFCAEE" w14:textId="77777777" w:rsidR="003A133A" w:rsidRPr="008F65DF" w:rsidRDefault="003A133A" w:rsidP="00B37BFF">
            <w:r w:rsidRPr="008F65DF">
              <w:t xml:space="preserve">Mainly engaged in the sale of specialty packaged or fresh products such as cured meats and sausage, pickled vegetables, dips, </w:t>
            </w:r>
            <w:proofErr w:type="gramStart"/>
            <w:r w:rsidRPr="008F65DF">
              <w:t>bread</w:t>
            </w:r>
            <w:proofErr w:type="gramEnd"/>
            <w:r w:rsidRPr="008F65DF">
              <w:t xml:space="preserve"> and olives; may also provide dine in meals. </w:t>
            </w:r>
          </w:p>
        </w:tc>
        <w:tc>
          <w:tcPr>
            <w:tcW w:w="850" w:type="dxa"/>
          </w:tcPr>
          <w:p w14:paraId="6818E5C6" w14:textId="77777777" w:rsidR="003A133A" w:rsidRPr="008F65DF" w:rsidRDefault="003A133A" w:rsidP="00B37BFF">
            <w:r w:rsidRPr="008F65DF">
              <w:t>0</w:t>
            </w:r>
          </w:p>
        </w:tc>
      </w:tr>
      <w:tr w:rsidR="008F65DF" w:rsidRPr="008F65DF" w14:paraId="2013E1F2" w14:textId="77777777" w:rsidTr="00B37BFF">
        <w:tc>
          <w:tcPr>
            <w:tcW w:w="2660" w:type="dxa"/>
          </w:tcPr>
          <w:p w14:paraId="43EE5319" w14:textId="77777777" w:rsidR="003A133A" w:rsidRPr="008F65DF" w:rsidRDefault="003A133A" w:rsidP="00B37BFF">
            <w:r w:rsidRPr="008F65DF">
              <w:t>Bakery</w:t>
            </w:r>
          </w:p>
        </w:tc>
        <w:tc>
          <w:tcPr>
            <w:tcW w:w="10519" w:type="dxa"/>
          </w:tcPr>
          <w:p w14:paraId="28F6B1B0" w14:textId="77777777" w:rsidR="003A133A" w:rsidRPr="008F65DF" w:rsidRDefault="003A133A" w:rsidP="00B37BFF">
            <w:r w:rsidRPr="008F65DF">
              <w:t xml:space="preserve">Mainly oriented towards bread, biscuits, </w:t>
            </w:r>
            <w:proofErr w:type="gramStart"/>
            <w:r w:rsidRPr="008F65DF">
              <w:t>pastries</w:t>
            </w:r>
            <w:proofErr w:type="gramEnd"/>
            <w:r w:rsidRPr="008F65DF">
              <w:t xml:space="preserve"> or other flour products with or without packaging. </w:t>
            </w:r>
          </w:p>
        </w:tc>
        <w:tc>
          <w:tcPr>
            <w:tcW w:w="850" w:type="dxa"/>
          </w:tcPr>
          <w:p w14:paraId="1B0B6AFB" w14:textId="77777777" w:rsidR="003A133A" w:rsidRPr="008F65DF" w:rsidRDefault="003A133A" w:rsidP="00B37BFF">
            <w:r w:rsidRPr="008F65DF">
              <w:t>0</w:t>
            </w:r>
          </w:p>
        </w:tc>
      </w:tr>
      <w:tr w:rsidR="008F65DF" w:rsidRPr="008F65DF" w14:paraId="1410E8F3" w14:textId="77777777" w:rsidTr="00B37BFF">
        <w:tc>
          <w:tcPr>
            <w:tcW w:w="2660" w:type="dxa"/>
          </w:tcPr>
          <w:p w14:paraId="35CFD4AF" w14:textId="77777777" w:rsidR="003A133A" w:rsidRPr="008F65DF" w:rsidRDefault="003A133A" w:rsidP="00B37BFF">
            <w:r w:rsidRPr="008F65DF">
              <w:t>General store</w:t>
            </w:r>
          </w:p>
        </w:tc>
        <w:tc>
          <w:tcPr>
            <w:tcW w:w="10519" w:type="dxa"/>
          </w:tcPr>
          <w:p w14:paraId="011F1A44" w14:textId="77777777" w:rsidR="003A133A" w:rsidRPr="008F65DF" w:rsidRDefault="003A133A" w:rsidP="00B37BFF">
            <w:r w:rsidRPr="008F65DF">
              <w:t xml:space="preserve">Mainly engaged in the sale of a limited line of groceries generally includes milk, </w:t>
            </w:r>
            <w:proofErr w:type="gramStart"/>
            <w:r w:rsidRPr="008F65DF">
              <w:t>bread</w:t>
            </w:r>
            <w:proofErr w:type="gramEnd"/>
            <w:r w:rsidRPr="008F65DF">
              <w:t xml:space="preserve"> and canned and packaged foods.</w:t>
            </w:r>
          </w:p>
        </w:tc>
        <w:tc>
          <w:tcPr>
            <w:tcW w:w="850" w:type="dxa"/>
          </w:tcPr>
          <w:p w14:paraId="213F4A44" w14:textId="77777777" w:rsidR="003A133A" w:rsidRPr="008F65DF" w:rsidRDefault="003A133A" w:rsidP="00B37BFF">
            <w:r w:rsidRPr="008F65DF">
              <w:t>-5</w:t>
            </w:r>
          </w:p>
        </w:tc>
      </w:tr>
      <w:tr w:rsidR="008F65DF" w:rsidRPr="008F65DF" w14:paraId="2C4C7E87" w14:textId="77777777" w:rsidTr="00B37BFF">
        <w:tc>
          <w:tcPr>
            <w:tcW w:w="2660" w:type="dxa"/>
          </w:tcPr>
          <w:p w14:paraId="67C573E0" w14:textId="77777777" w:rsidR="003A133A" w:rsidRPr="008F65DF" w:rsidRDefault="003A133A" w:rsidP="00B37BFF">
            <w:r w:rsidRPr="008F65DF">
              <w:t>Specialty food store – extra foods</w:t>
            </w:r>
          </w:p>
        </w:tc>
        <w:tc>
          <w:tcPr>
            <w:tcW w:w="10519" w:type="dxa"/>
          </w:tcPr>
          <w:p w14:paraId="1CFB4669" w14:textId="77777777" w:rsidR="003A133A" w:rsidRPr="008F65DF" w:rsidRDefault="003A133A" w:rsidP="00B37BFF">
            <w:r w:rsidRPr="008F65DF">
              <w:t xml:space="preserve">Mainly engaged in the sale of foods such as ice-creams, donuts, waffles, cakes etc. than can be defined under extra food. </w:t>
            </w:r>
          </w:p>
        </w:tc>
        <w:tc>
          <w:tcPr>
            <w:tcW w:w="850" w:type="dxa"/>
          </w:tcPr>
          <w:p w14:paraId="6EC8E6D5" w14:textId="77777777" w:rsidR="003A133A" w:rsidRPr="008F65DF" w:rsidRDefault="003A133A" w:rsidP="00B37BFF">
            <w:r w:rsidRPr="008F65DF">
              <w:t>-8</w:t>
            </w:r>
          </w:p>
        </w:tc>
      </w:tr>
      <w:tr w:rsidR="008F65DF" w:rsidRPr="008F65DF" w14:paraId="3D925AE6" w14:textId="77777777" w:rsidTr="00B37BFF">
        <w:tc>
          <w:tcPr>
            <w:tcW w:w="2660" w:type="dxa"/>
          </w:tcPr>
          <w:p w14:paraId="0D9ED258" w14:textId="77777777" w:rsidR="003A133A" w:rsidRPr="008F65DF" w:rsidRDefault="003A133A" w:rsidP="00B37BFF">
            <w:r w:rsidRPr="008F65DF">
              <w:lastRenderedPageBreak/>
              <w:t>Pub</w:t>
            </w:r>
          </w:p>
        </w:tc>
        <w:tc>
          <w:tcPr>
            <w:tcW w:w="10519" w:type="dxa"/>
          </w:tcPr>
          <w:p w14:paraId="20F83085" w14:textId="1773F388" w:rsidR="003A133A" w:rsidRPr="008F65DF" w:rsidRDefault="003A133A" w:rsidP="00B37BFF">
            <w:proofErr w:type="gramStart"/>
            <w:r w:rsidRPr="008F65DF">
              <w:t>E.g.</w:t>
            </w:r>
            <w:proofErr w:type="gramEnd"/>
            <w:r w:rsidRPr="008F65DF">
              <w:t xml:space="preserve"> pub within a bowling or lawn bowls park, pub inside a private gambling club; primarily engaged in selling alcoholic beverages where consumers can order and consume the alcoholic drinks and food on premises; can also be part of park or private club. </w:t>
            </w:r>
          </w:p>
        </w:tc>
        <w:tc>
          <w:tcPr>
            <w:tcW w:w="850" w:type="dxa"/>
          </w:tcPr>
          <w:p w14:paraId="6C6A1AC8" w14:textId="77777777" w:rsidR="003A133A" w:rsidRPr="008F65DF" w:rsidRDefault="003A133A" w:rsidP="00B37BFF">
            <w:r w:rsidRPr="008F65DF">
              <w:t>-5</w:t>
            </w:r>
          </w:p>
        </w:tc>
      </w:tr>
      <w:tr w:rsidR="008F65DF" w:rsidRPr="008F65DF" w14:paraId="3A217F1E" w14:textId="77777777" w:rsidTr="00B37BFF">
        <w:tc>
          <w:tcPr>
            <w:tcW w:w="2660" w:type="dxa"/>
          </w:tcPr>
          <w:p w14:paraId="32B6074B" w14:textId="77777777" w:rsidR="003A133A" w:rsidRPr="008F65DF" w:rsidRDefault="003A133A" w:rsidP="00B37BFF">
            <w:r w:rsidRPr="008F65DF">
              <w:t>Take-away local independent</w:t>
            </w:r>
          </w:p>
        </w:tc>
        <w:tc>
          <w:tcPr>
            <w:tcW w:w="10519" w:type="dxa"/>
          </w:tcPr>
          <w:p w14:paraId="0C4284A4" w14:textId="77777777" w:rsidR="003A133A" w:rsidRPr="008F65DF" w:rsidRDefault="003A133A" w:rsidP="00B37BFF">
            <w:proofErr w:type="gramStart"/>
            <w:r w:rsidRPr="008F65DF">
              <w:t>E.g.</w:t>
            </w:r>
            <w:proofErr w:type="gramEnd"/>
            <w:r w:rsidRPr="008F65DF">
              <w:t xml:space="preserve"> kebab, fish &amp; chips, burger, chicken shops, local pizza, mainly engaged in the preparation and sale of meals/snacks that are ready for immediate consumption; table service not provided; meals can be eaten on site; taken away or delivered; shop is not a franchise. </w:t>
            </w:r>
          </w:p>
        </w:tc>
        <w:tc>
          <w:tcPr>
            <w:tcW w:w="850" w:type="dxa"/>
          </w:tcPr>
          <w:p w14:paraId="6EE74A7D" w14:textId="77777777" w:rsidR="003A133A" w:rsidRPr="008F65DF" w:rsidRDefault="003A133A" w:rsidP="00B37BFF">
            <w:r w:rsidRPr="008F65DF">
              <w:t>-8</w:t>
            </w:r>
          </w:p>
        </w:tc>
      </w:tr>
      <w:tr w:rsidR="003A133A" w:rsidRPr="008F65DF" w14:paraId="4C99BFB1" w14:textId="77777777" w:rsidTr="00B37BFF">
        <w:tc>
          <w:tcPr>
            <w:tcW w:w="2660" w:type="dxa"/>
          </w:tcPr>
          <w:p w14:paraId="32167658" w14:textId="77777777" w:rsidR="003A133A" w:rsidRPr="008F65DF" w:rsidRDefault="003A133A" w:rsidP="00B37BFF">
            <w:r w:rsidRPr="008F65DF">
              <w:t>Take-away franchise store</w:t>
            </w:r>
          </w:p>
        </w:tc>
        <w:tc>
          <w:tcPr>
            <w:tcW w:w="10519" w:type="dxa"/>
          </w:tcPr>
          <w:p w14:paraId="22C6DCA5" w14:textId="77777777" w:rsidR="003A133A" w:rsidRPr="008F65DF" w:rsidRDefault="003A133A" w:rsidP="00B37BFF">
            <w:proofErr w:type="gramStart"/>
            <w:r w:rsidRPr="008F65DF">
              <w:t>E.g.</w:t>
            </w:r>
            <w:proofErr w:type="gramEnd"/>
            <w:r w:rsidRPr="008F65DF">
              <w:t xml:space="preserve"> McDonalds, KFC, Subway; mainly engaged in the preparation and sale of meals (excludes donuts, drinks, ice-cream etc.)/snacks that area ready for immediate consumption; table service not provided; meal can be eaten on site, taken away or delivered; the food shop is a franchise/chain store with food being sold in specialised packaging. </w:t>
            </w:r>
          </w:p>
        </w:tc>
        <w:tc>
          <w:tcPr>
            <w:tcW w:w="850" w:type="dxa"/>
          </w:tcPr>
          <w:p w14:paraId="420B7524" w14:textId="77777777" w:rsidR="003A133A" w:rsidRPr="008F65DF" w:rsidRDefault="003A133A" w:rsidP="00B37BFF">
            <w:r w:rsidRPr="008F65DF">
              <w:t>-10</w:t>
            </w:r>
          </w:p>
        </w:tc>
      </w:tr>
    </w:tbl>
    <w:p w14:paraId="415BCC6E" w14:textId="77777777" w:rsidR="003A133A" w:rsidRPr="008F65DF" w:rsidRDefault="003A133A" w:rsidP="003A133A"/>
    <w:p w14:paraId="79BE7DB6" w14:textId="77777777" w:rsidR="003A133A" w:rsidRDefault="003A133A" w:rsidP="003A133A">
      <w:pPr>
        <w:rPr>
          <w:b/>
        </w:rPr>
      </w:pPr>
      <w:r w:rsidRPr="008F65DF">
        <w:rPr>
          <w:i/>
        </w:rPr>
        <w:t xml:space="preserve">Source: adapted from </w:t>
      </w:r>
      <w:proofErr w:type="spellStart"/>
      <w:r w:rsidRPr="008F65DF">
        <w:rPr>
          <w:i/>
        </w:rPr>
        <w:t>Moayyed</w:t>
      </w:r>
      <w:proofErr w:type="spellEnd"/>
      <w:r w:rsidRPr="008F65DF">
        <w:rPr>
          <w:i/>
        </w:rPr>
        <w:t xml:space="preserve"> et al. 2017</w:t>
      </w:r>
      <w:r w:rsidRPr="008F65DF">
        <w:rPr>
          <w:i/>
          <w:vertAlign w:val="superscript"/>
        </w:rPr>
        <w:t>(22)</w:t>
      </w:r>
      <w:r w:rsidRPr="008F65DF">
        <w:rPr>
          <w:rFonts w:ascii="Segoe UI" w:hAnsi="Segoe UI" w:cs="Segoe UI"/>
          <w:sz w:val="18"/>
          <w:szCs w:val="18"/>
        </w:rPr>
        <w:t xml:space="preserve">; </w:t>
      </w:r>
      <w:hyperlink r:id="rId8" w:history="1">
        <w:r w:rsidRPr="008F65DF">
          <w:rPr>
            <w:rFonts w:ascii="Segoe UI" w:hAnsi="Segoe UI" w:cs="Segoe UI"/>
            <w:sz w:val="18"/>
            <w:szCs w:val="18"/>
          </w:rPr>
          <w:t>https://onlinelibrary.wiley.com/doi/pdf/10.1111/1747-0080.12286</w:t>
        </w:r>
      </w:hyperlink>
      <w:r w:rsidRPr="008F65DF">
        <w:rPr>
          <w:rFonts w:ascii="Segoe UI" w:hAnsi="Segoe UI" w:cs="Segoe UI"/>
          <w:sz w:val="18"/>
          <w:szCs w:val="18"/>
        </w:rPr>
        <w:t xml:space="preserve">  </w:t>
      </w:r>
      <w:r>
        <w:br w:type="page"/>
      </w:r>
    </w:p>
    <w:p w14:paraId="1BE9A296" w14:textId="77777777" w:rsidR="003A133A" w:rsidRPr="00C40ACB" w:rsidRDefault="003A133A" w:rsidP="003A133A">
      <w:pPr>
        <w:rPr>
          <w:b/>
        </w:rPr>
      </w:pPr>
      <w:r>
        <w:rPr>
          <w:b/>
        </w:rPr>
        <w:lastRenderedPageBreak/>
        <w:t>Supplementary File 2</w:t>
      </w:r>
      <w:r w:rsidRPr="003027F4">
        <w:rPr>
          <w:b/>
        </w:rPr>
        <w:t>.</w:t>
      </w:r>
      <w:r>
        <w:rPr>
          <w:b/>
        </w:rPr>
        <w:t xml:space="preserve"> Supporting information for Food Retail Environment Measures and the Relative Healthy Food Availability</w:t>
      </w:r>
    </w:p>
    <w:p w14:paraId="6D0F0485" w14:textId="4EC527B3" w:rsidR="003A133A" w:rsidRDefault="003A133A" w:rsidP="003A133A">
      <w:pPr>
        <w:pStyle w:val="EndNoteBibliography"/>
      </w:pPr>
      <w:r w:rsidRPr="001005F9">
        <w:rPr>
          <w:i/>
        </w:rPr>
        <w:t xml:space="preserve">Healthiness of the </w:t>
      </w:r>
      <w:r w:rsidRPr="008F65DF">
        <w:rPr>
          <w:i/>
        </w:rPr>
        <w:t>food retail environment (measured as RHFA):</w:t>
      </w:r>
      <w:r w:rsidRPr="008F65DF">
        <w:t xml:space="preserve"> Research indicates that people living in areas of Melbourne with RHFA &gt;10%, have higher odds of purchasing healthier foods (fruit and vegetables), compared to households in areas with a RHFA &lt;10%</w:t>
      </w:r>
      <w:r w:rsidRPr="008F65DF">
        <w:rPr>
          <w:vertAlign w:val="superscript"/>
        </w:rPr>
        <w:fldChar w:fldCharType="begin">
          <w:fldData xml:space="preserve">PEVuZE5vdGU+PENpdGU+PEF1dGhvcj5NYXNvbjwvQXV0aG9yPjxZZWFyPjIwMTM8L1llYXI+PFJl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</w:fldData>
        </w:fldChar>
      </w:r>
      <w:r w:rsidR="00D62B59" w:rsidRPr="008F65DF">
        <w:rPr>
          <w:vertAlign w:val="superscript"/>
        </w:rPr>
        <w:instrText xml:space="preserve"> ADDIN EN.CITE </w:instrText>
      </w:r>
      <w:r w:rsidR="00D62B59" w:rsidRPr="008F65DF">
        <w:rPr>
          <w:vertAlign w:val="superscript"/>
        </w:rPr>
        <w:fldChar w:fldCharType="begin">
          <w:fldData xml:space="preserve">PEVuZE5vdGU+PENpdGU+PEF1dGhvcj5NYXNvbjwvQXV0aG9yPjxZZWFyPjIwMTM8L1llYXI+PFJl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</w:fldData>
        </w:fldChar>
      </w:r>
      <w:r w:rsidR="00D62B59" w:rsidRPr="008F65DF">
        <w:rPr>
          <w:vertAlign w:val="superscript"/>
        </w:rPr>
        <w:instrText xml:space="preserve"> ADDIN EN.CITE.DATA </w:instrText>
      </w:r>
      <w:r w:rsidR="00D62B59" w:rsidRPr="008F65DF">
        <w:rPr>
          <w:vertAlign w:val="superscript"/>
        </w:rPr>
      </w:r>
      <w:r w:rsidR="00D62B59" w:rsidRPr="008F65DF">
        <w:rPr>
          <w:vertAlign w:val="superscript"/>
        </w:rPr>
        <w:fldChar w:fldCharType="end"/>
      </w:r>
      <w:r w:rsidRPr="008F65DF">
        <w:rPr>
          <w:vertAlign w:val="superscript"/>
        </w:rPr>
      </w:r>
      <w:r w:rsidRPr="008F65DF">
        <w:rPr>
          <w:vertAlign w:val="superscript"/>
        </w:rPr>
        <w:fldChar w:fldCharType="separate"/>
      </w:r>
      <w:r w:rsidR="00D62B59" w:rsidRPr="008F65DF">
        <w:rPr>
          <w:vertAlign w:val="superscript"/>
        </w:rPr>
        <w:t>(1)</w:t>
      </w:r>
      <w:r w:rsidRPr="008F65DF">
        <w:rPr>
          <w:vertAlign w:val="superscript"/>
        </w:rPr>
        <w:fldChar w:fldCharType="end"/>
      </w:r>
      <w:r w:rsidRPr="008F65DF">
        <w:t>. Another Australian study in the state of New South Wales, measured the proportion of unhealthy food outlets (fast-food and takeaway) relative to healthy outlets (grocery stores) within a road network buffer from participants home</w:t>
      </w:r>
      <w:r w:rsidRPr="008F65DF">
        <w:fldChar w:fldCharType="begin">
          <w:fldData xml:space="preserve">PEVuZE5vdGU+PENpdGU+PEF1dGhvcj5GZW5nPC9BdXRob3I+PFllYXI+MjAxODwvWWVhcj48UmVj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</w:fldData>
        </w:fldChar>
      </w:r>
      <w:r w:rsidR="00D62B59" w:rsidRPr="008F65DF">
        <w:instrText xml:space="preserve"> ADDIN EN.CITE </w:instrText>
      </w:r>
      <w:r w:rsidR="00D62B59" w:rsidRPr="008F65DF">
        <w:fldChar w:fldCharType="begin">
          <w:fldData xml:space="preserve">PEVuZE5vdGU+PENpdGU+PEF1dGhvcj5GZW5nPC9BdXRob3I+PFllYXI+MjAxODwvWWVhcj48UmVj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</w:fldData>
        </w:fldChar>
      </w:r>
      <w:r w:rsidR="00D62B59" w:rsidRPr="008F65DF">
        <w:instrText xml:space="preserve"> ADDIN EN.CITE.DATA </w:instrText>
      </w:r>
      <w:r w:rsidR="00D62B59" w:rsidRPr="008F65DF">
        <w:fldChar w:fldCharType="end"/>
      </w:r>
      <w:r w:rsidRPr="008F65DF">
        <w:fldChar w:fldCharType="separate"/>
      </w:r>
      <w:r w:rsidR="00D62B59" w:rsidRPr="008F65DF">
        <w:rPr>
          <w:vertAlign w:val="superscript"/>
        </w:rPr>
        <w:t>(2)</w:t>
      </w:r>
      <w:r w:rsidRPr="008F65DF">
        <w:fldChar w:fldCharType="end"/>
      </w:r>
      <w:r w:rsidRPr="008F65DF">
        <w:t>. For analysis, in this study measures of the proporiton of unhealthy outlets were divided into quartiles (i.e., 1-25%; 25-50%; 50-75%; 75-99%) and three additional categories including zero food retail, 0% percent unhealthy and 100% unhealthy food outlets. Results indicated that compared to having no unhealthy outlets but having healthy food outlets within 3.2km from home, food retail environments comprising &gt;25% unhealthy outlets within a 3.2km distance from home was associated with a BMI 1.37-1.19kg/m</w:t>
      </w:r>
      <w:r w:rsidRPr="008F65DF">
        <w:rPr>
          <w:vertAlign w:val="superscript"/>
        </w:rPr>
        <w:t xml:space="preserve">2 </w:t>
      </w:r>
      <w:r w:rsidRPr="008F65DF">
        <w:t>higher among adults</w:t>
      </w:r>
      <w:r w:rsidRPr="008F65DF">
        <w:fldChar w:fldCharType="begin">
          <w:fldData xml:space="preserve">PEVuZE5vdGU+PENpdGU+PEF1dGhvcj5GZW5nPC9BdXRob3I+PFllYXI+MjAxODwvWWVhcj48UmVj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</w:fldData>
        </w:fldChar>
      </w:r>
      <w:r w:rsidR="00D62B59" w:rsidRPr="008F65DF">
        <w:instrText xml:space="preserve"> ADDIN EN.CITE </w:instrText>
      </w:r>
      <w:r w:rsidR="00D62B59" w:rsidRPr="008F65DF">
        <w:fldChar w:fldCharType="begin">
          <w:fldData xml:space="preserve">PEVuZE5vdGU+PENpdGU+PEF1dGhvcj5GZW5nPC9BdXRob3I+PFllYXI+MjAxODwvWWVhcj48UmVj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</w:fldData>
        </w:fldChar>
      </w:r>
      <w:r w:rsidR="00D62B59" w:rsidRPr="008F65DF">
        <w:instrText xml:space="preserve"> ADDIN EN.CITE.DATA </w:instrText>
      </w:r>
      <w:r w:rsidR="00D62B59" w:rsidRPr="008F65DF">
        <w:fldChar w:fldCharType="end"/>
      </w:r>
      <w:r w:rsidRPr="008F65DF">
        <w:fldChar w:fldCharType="separate"/>
      </w:r>
      <w:r w:rsidR="00D62B59" w:rsidRPr="008F65DF">
        <w:rPr>
          <w:vertAlign w:val="superscript"/>
        </w:rPr>
        <w:t>(2)</w:t>
      </w:r>
      <w:r w:rsidRPr="008F65DF">
        <w:fldChar w:fldCharType="end"/>
      </w:r>
      <w:r w:rsidRPr="008F65DF">
        <w:t xml:space="preserve">. Predicted mean BMI with 95% confidence intervals across quartiles illustrated that lower mean BMI among adults corresponded with lower </w:t>
      </w:r>
      <w:r>
        <w:t>levels of exposure to fast-food outlets both at 1.6km and particularly 3.2km</w:t>
      </w:r>
      <w:r w:rsidRPr="00F735CF">
        <w:fldChar w:fldCharType="begin">
          <w:fldData xml:space="preserve">PEVuZE5vdGU+PENpdGU+PEF1dGhvcj5GZW5nPC9BdXRob3I+PFllYXI+MjAxODwvWWVhcj48UmVj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</w:fldData>
        </w:fldChar>
      </w:r>
      <w:r w:rsidR="00D62B59">
        <w:instrText xml:space="preserve"> ADDIN EN.CITE </w:instrText>
      </w:r>
      <w:r w:rsidR="00D62B59">
        <w:fldChar w:fldCharType="begin">
          <w:fldData xml:space="preserve">PEVuZE5vdGU+PENpdGU+PEF1dGhvcj5GZW5nPC9BdXRob3I+PFllYXI+MjAxODwvWWVhcj48UmVj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</w:fldData>
        </w:fldChar>
      </w:r>
      <w:r w:rsidR="00D62B59">
        <w:instrText xml:space="preserve"> ADDIN EN.CITE.DATA </w:instrText>
      </w:r>
      <w:r w:rsidR="00D62B59">
        <w:fldChar w:fldCharType="end"/>
      </w:r>
      <w:r w:rsidRPr="00F735CF">
        <w:fldChar w:fldCharType="separate"/>
      </w:r>
      <w:r w:rsidR="00D62B59" w:rsidRPr="00D62B59">
        <w:rPr>
          <w:vertAlign w:val="superscript"/>
        </w:rPr>
        <w:t>(2)</w:t>
      </w:r>
      <w:r w:rsidRPr="00F735CF">
        <w:fldChar w:fldCharType="end"/>
      </w:r>
      <w:r>
        <w:t xml:space="preserve">. </w:t>
      </w:r>
    </w:p>
    <w:p w14:paraId="742D4CB6" w14:textId="77777777" w:rsidR="003A133A" w:rsidRDefault="003A133A" w:rsidP="003A133A">
      <w:pPr>
        <w:pStyle w:val="EndNoteBibliography"/>
      </w:pPr>
      <w:r>
        <w:t xml:space="preserve">Guided by the evidence and earlier classification techniques, we proposed increasing healthiness is reflected in an increasing percentage of healthy outlets, with a RHFA measure of ≤25% representing the most unhealthy measure. </w:t>
      </w:r>
    </w:p>
    <w:p w14:paraId="08E4DFA0" w14:textId="57944B19" w:rsidR="003A133A" w:rsidRDefault="003A133A" w:rsidP="003A133A">
      <w:pPr>
        <w:pStyle w:val="EndNoteBibliography"/>
      </w:pPr>
      <w:r w:rsidRPr="005F39DD">
        <w:rPr>
          <w:i/>
        </w:rPr>
        <w:t>Access and availability</w:t>
      </w:r>
      <w:r>
        <w:t>. In the absence of a clear definition, good access to food resources in urban areas is considered to be a short driving distance (e.g. 5 minutes or 4km), or walking distance (e.g. 500m) from the residential home</w:t>
      </w:r>
      <w:r w:rsidRPr="00F735CF">
        <w:fldChar w:fldCharType="begin">
          <w:fldData xml:space="preserve">PEVuZE5vdGU+PENpdGU+PEF1dGhvcj5MdWFuPC9BdXRob3I+PFllYXI+MjAxNTwvWWVhcj48UmVj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</w:fldData>
        </w:fldChar>
      </w:r>
      <w:r w:rsidR="00D62B59">
        <w:instrText xml:space="preserve"> ADDIN EN.CITE </w:instrText>
      </w:r>
      <w:r w:rsidR="00D62B59">
        <w:fldChar w:fldCharType="begin">
          <w:fldData xml:space="preserve">PEVuZE5vdGU+PENpdGU+PEF1dGhvcj5MdWFuPC9BdXRob3I+PFllYXI+MjAxNTwvWWVhcj48UmVj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</w:fldData>
        </w:fldChar>
      </w:r>
      <w:r w:rsidR="00D62B59">
        <w:instrText xml:space="preserve"> ADDIN EN.CITE.DATA </w:instrText>
      </w:r>
      <w:r w:rsidR="00D62B59">
        <w:fldChar w:fldCharType="end"/>
      </w:r>
      <w:r w:rsidRPr="00F735CF">
        <w:fldChar w:fldCharType="separate"/>
      </w:r>
      <w:r w:rsidR="00D62B59" w:rsidRPr="00D62B59">
        <w:rPr>
          <w:vertAlign w:val="superscript"/>
        </w:rPr>
        <w:t>(3-5)</w:t>
      </w:r>
      <w:r w:rsidRPr="00F735CF">
        <w:fldChar w:fldCharType="end"/>
      </w:r>
      <w:r>
        <w:t xml:space="preserve">. In Melbourne, planning standards for urban Growth Areas recommend the majority (at least 80%) of households be within 1km of a town centre, defined as an important community focal point with a mix of uses to meet the needs </w:t>
      </w:r>
      <w:r w:rsidRPr="003473DF">
        <w:t>of the local community</w:t>
      </w:r>
      <w:r w:rsidRPr="00F735CF">
        <w:fldChar w:fldCharType="begin"/>
      </w:r>
      <w:r w:rsidR="00D62B59">
        <w:instrText xml:space="preserve"> ADDIN EN.CITE &lt;EndNote&gt;&lt;Cite&gt;&lt;Author&gt;GAA&lt;/Author&gt;&lt;Year&gt;2013&lt;/Year&gt;&lt;RecNum&gt;715&lt;/RecNum&gt;&lt;DisplayText&gt;&lt;style face="superscript"&gt;(6)&lt;/style&gt;&lt;/DisplayText&gt;&lt;record&gt;&lt;rec-number&gt;715&lt;/rec-number&gt;&lt;foreign-keys&gt;&lt;key app="EN" db-id="wa9v2rtr0d5pdzedaeu5es530aw9925advpv" timestamp="1575590579"&gt;715&lt;/key&gt;&lt;/foreign-keys&gt;&lt;ref-type name="Government Document"&gt;46&lt;/ref-type&gt;&lt;contributors&gt;&lt;authors&gt;&lt;author&gt;GAA &lt;/author&gt;&lt;/authors&gt;&lt;secondary-authors&gt;&lt;author&gt;Growth Areas Authority,&lt;/author&gt;&lt;/secondary-authors&gt;&lt;/contributors&gt;&lt;titles&gt;&lt;title&gt;Precinct Structure Planning Guidelines Part Two: Preparing the pricnct strucutre plan&lt;/title&gt;&lt;/titles&gt;&lt;dates&gt;&lt;year&gt;2013&lt;/year&gt;&lt;/dates&gt;&lt;pub-location&gt;Melbourne, Australia&lt;/pub-location&gt;&lt;publisher&gt;Victorian State Government&lt;/publisher&gt;&lt;urls&gt;&lt;/urls&gt;&lt;/record&gt;&lt;/Cite&gt;&lt;/EndNote&gt;</w:instrText>
      </w:r>
      <w:r w:rsidRPr="00F735CF">
        <w:fldChar w:fldCharType="separate"/>
      </w:r>
      <w:r w:rsidR="00D62B59" w:rsidRPr="00D62B59">
        <w:rPr>
          <w:vertAlign w:val="superscript"/>
        </w:rPr>
        <w:t>(6)</w:t>
      </w:r>
      <w:r w:rsidRPr="00F735CF">
        <w:fldChar w:fldCharType="end"/>
      </w:r>
      <w:r w:rsidRPr="003473DF">
        <w:t xml:space="preserve">. Guided by this recommendation, in this study we </w:t>
      </w:r>
      <w:r>
        <w:t xml:space="preserve">assumed </w:t>
      </w:r>
      <w:r w:rsidRPr="003473DF">
        <w:t xml:space="preserve">a town centre </w:t>
      </w:r>
      <w:r>
        <w:t xml:space="preserve">with mixed use </w:t>
      </w:r>
      <w:r w:rsidRPr="003473DF">
        <w:t>woul</w:t>
      </w:r>
      <w:r>
        <w:t xml:space="preserve">d likely house at least one each of ‘healthy’, </w:t>
      </w:r>
      <w:r w:rsidRPr="003473DF">
        <w:t xml:space="preserve">‘less healthy’ </w:t>
      </w:r>
      <w:r>
        <w:t>and</w:t>
      </w:r>
      <w:r w:rsidRPr="003473DF">
        <w:t xml:space="preserve"> ‘unhealthy’ food outlet</w:t>
      </w:r>
      <w:r>
        <w:t>s</w:t>
      </w:r>
      <w:r w:rsidRPr="003473DF">
        <w:t>. If the population is evenly located around the town centre on average there would be one of each type</w:t>
      </w:r>
      <w:r>
        <w:t xml:space="preserve"> of outlet within 1km of</w:t>
      </w:r>
      <w:r w:rsidRPr="003473DF">
        <w:t xml:space="preserve"> most households. Therefore, access </w:t>
      </w:r>
      <w:r>
        <w:t xml:space="preserve">(as a measure of distance to travel) </w:t>
      </w:r>
      <w:r w:rsidRPr="003473DF">
        <w:t xml:space="preserve">to outlets was considered </w:t>
      </w:r>
      <w:r>
        <w:t>‘</w:t>
      </w:r>
      <w:r w:rsidRPr="002244D3">
        <w:rPr>
          <w:i/>
        </w:rPr>
        <w:t>low</w:t>
      </w:r>
      <w:r>
        <w:t xml:space="preserve">’ </w:t>
      </w:r>
      <w:r w:rsidRPr="003473DF">
        <w:t xml:space="preserve">when the average density of each type of store (healthy, unhealthy and less healthy) </w:t>
      </w:r>
      <w:r>
        <w:t>was less than one</w:t>
      </w:r>
      <w:r w:rsidRPr="003473DF">
        <w:t xml:space="preserve"> </w:t>
      </w:r>
      <w:r>
        <w:t>store per km</w:t>
      </w:r>
      <w:r>
        <w:rPr>
          <w:vertAlign w:val="superscript"/>
        </w:rPr>
        <w:t>2</w:t>
      </w:r>
      <w:r>
        <w:t>, ‘</w:t>
      </w:r>
      <w:r w:rsidRPr="002244D3">
        <w:rPr>
          <w:i/>
        </w:rPr>
        <w:t>moderate</w:t>
      </w:r>
      <w:r>
        <w:t>’ if between 1 and 2 and ‘</w:t>
      </w:r>
      <w:r w:rsidRPr="002244D3">
        <w:rPr>
          <w:i/>
        </w:rPr>
        <w:t>high</w:t>
      </w:r>
      <w:r>
        <w:t>’when the density per km</w:t>
      </w:r>
      <w:r>
        <w:rPr>
          <w:vertAlign w:val="superscript"/>
        </w:rPr>
        <w:t>2</w:t>
      </w:r>
      <w:r>
        <w:t xml:space="preserve"> was greater than two</w:t>
      </w:r>
      <w:r w:rsidRPr="002244D3">
        <w:t xml:space="preserve"> </w:t>
      </w:r>
      <w:r>
        <w:t>per km</w:t>
      </w:r>
      <w:r>
        <w:rPr>
          <w:vertAlign w:val="superscript"/>
        </w:rPr>
        <w:t>2</w:t>
      </w:r>
      <w:r>
        <w:t>. This last threshold was informed by the data, as many SA2s in Melbourne had access well in excess of what would be considered ‘</w:t>
      </w:r>
      <w:r w:rsidRPr="002244D3">
        <w:rPr>
          <w:i/>
        </w:rPr>
        <w:t>moderate</w:t>
      </w:r>
      <w:r>
        <w:t xml:space="preserve">’ and for this reason needed differentiation.  </w:t>
      </w:r>
    </w:p>
    <w:p w14:paraId="4F63BA31" w14:textId="2160E350" w:rsidR="003A133A" w:rsidRPr="005A6041" w:rsidRDefault="003A133A" w:rsidP="003A133A">
      <w:pPr>
        <w:pStyle w:val="EndNoteBibliography"/>
      </w:pPr>
      <w:r>
        <w:t>Supermarkets are larger in floor size, quantity and type of products for sale compared to other food outlets. As such there are often fewer supermarkets, albeit operating at a larger scale than smaller independent retailers; and serving a greater proportion of the population (68% of food purchases were from supermarkets</w:t>
      </w:r>
      <w:r w:rsidRPr="00D17DB0">
        <w:t xml:space="preserve"> </w:t>
      </w:r>
      <w:r>
        <w:t>in 2019)</w:t>
      </w:r>
      <w:r w:rsidRPr="00F735CF">
        <w:fldChar w:fldCharType="begin"/>
      </w:r>
      <w:r w:rsidR="00D62B59">
        <w:instrText xml:space="preserve"> ADDIN EN.CITE &lt;EndNote&gt;&lt;Cite&gt;&lt;Author&gt;Crothers&lt;/Author&gt;&lt;Year&gt;2019&lt;/Year&gt;&lt;RecNum&gt;751&lt;/RecNum&gt;&lt;DisplayText&gt;&lt;style face="superscript"&gt;(7)&lt;/style&gt;&lt;/DisplayText&gt;&lt;record&gt;&lt;rec-number&gt;751&lt;/rec-number&gt;&lt;foreign-keys&gt;&lt;key app="EN" db-id="wa9v2rtr0d5pdzedaeu5es530aw9925advpv" timestamp="1588296171"&gt;751&lt;/key&gt;&lt;/foreign-keys&gt;&lt;ref-type name="Government Document"&gt;46&lt;/ref-type&gt;&lt;contributors&gt;&lt;authors&gt;&lt;author&gt;Crothers, L. &lt;/author&gt;&lt;/authors&gt;&lt;/contributors&gt;&lt;titles&gt;&lt;title&gt;Australia Retail Foods : Retail Food Sector Report 2019&lt;/title&gt;&lt;/titles&gt;&lt;dates&gt;&lt;year&gt;2019&lt;/year&gt;&lt;/dates&gt;&lt;publisher&gt;USDA Foreign Agricultural Service : Global Agricultural Information Network&lt;/publisher&gt;&lt;urls&gt;&lt;related-urls&gt;&lt;url&gt;https://apps.fas.usda.gov/newgainapi/api/report/downloadreportbyfilename?filename=Retail%20Foods_Canberra_Australia_6-27-2019.pdf&lt;/url&gt;&lt;/related-urls&gt;&lt;/urls&gt;&lt;/record&gt;&lt;/Cite&gt;&lt;/EndNote&gt;</w:instrText>
      </w:r>
      <w:r w:rsidRPr="00F735CF">
        <w:fldChar w:fldCharType="separate"/>
      </w:r>
      <w:r w:rsidR="00D62B59" w:rsidRPr="00D62B59">
        <w:rPr>
          <w:vertAlign w:val="superscript"/>
        </w:rPr>
        <w:t>(7)</w:t>
      </w:r>
      <w:r w:rsidRPr="00F735CF">
        <w:fldChar w:fldCharType="end"/>
      </w:r>
      <w:r>
        <w:t>. The distance of 1.6km has been utilised in a number of Autralian studies as the catchment area for supermarkets, reflective of the neighbourhood area around a persons home and a 15-20 minute walking distance</w:t>
      </w:r>
      <w:r>
        <w:fldChar w:fldCharType="begin">
          <w:fldData xml:space="preserve">PEVuZE5vdGU+PENpdGU+PEF1dGhvcj5CaXZvbHRzaXM8L0F1dGhvcj48WWVhcj4yMDE5PC9ZZWFy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</w:fldData>
        </w:fldChar>
      </w:r>
      <w:r w:rsidR="00D62B59">
        <w:instrText xml:space="preserve"> ADDIN EN.CITE </w:instrText>
      </w:r>
      <w:r w:rsidR="00D62B59">
        <w:fldChar w:fldCharType="begin">
          <w:fldData xml:space="preserve">PEVuZE5vdGU+PENpdGU+PEF1dGhvcj5CaXZvbHRzaXM8L0F1dGhvcj48WWVhcj4yMDE5PC9ZZWFy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</w:fldData>
        </w:fldChar>
      </w:r>
      <w:r w:rsidR="00D62B59">
        <w:instrText xml:space="preserve"> ADDIN EN.CITE.DATA </w:instrText>
      </w:r>
      <w:r w:rsidR="00D62B59">
        <w:fldChar w:fldCharType="end"/>
      </w:r>
      <w:r>
        <w:fldChar w:fldCharType="separate"/>
      </w:r>
      <w:r w:rsidR="00D62B59" w:rsidRPr="00D62B59">
        <w:rPr>
          <w:vertAlign w:val="superscript"/>
        </w:rPr>
        <w:t>(8-10)</w:t>
      </w:r>
      <w:r>
        <w:fldChar w:fldCharType="end"/>
      </w:r>
      <w:r>
        <w:t>. Preliminary evidence suggesting where communities do not have access to a supermarket within 1.6km it is more common to rely on public or private transport to obtain fresh produce</w:t>
      </w:r>
      <w:r>
        <w:fldChar w:fldCharType="begin"/>
      </w:r>
      <w:r w:rsidR="00D62B59">
        <w:instrText xml:space="preserve"> ADDIN EN.CITE &lt;EndNote&gt;&lt;Cite&gt;&lt;Author&gt;Astell-Burt&lt;/Author&gt;&lt;Year&gt;2015&lt;/Year&gt;&lt;RecNum&gt;138&lt;/RecNum&gt;&lt;DisplayText&gt;&lt;style face="superscript"&gt;(9)&lt;/style&gt;&lt;/DisplayText&gt;&lt;record&gt;&lt;rec-number&gt;138&lt;/rec-number&gt;&lt;foreign-keys&gt;&lt;key app="EN" db-id="wa9v2rtr0d5pdzedaeu5es530aw9925advpv" timestamp="1532668394"&gt;138&lt;/key&gt;&lt;/foreign-keys&gt;&lt;ref-type name="Journal Article"&gt;17&lt;/ref-type&gt;&lt;contributors&gt;&lt;authors&gt;&lt;author&gt;Astell-Burt, Thomas&lt;/author&gt;&lt;author&gt;Feng, Xiaoqi&lt;/author&gt;&lt;/authors&gt;&lt;/contributors&gt;&lt;auth-address&gt;University of Western Sydney, Sydney, NSW T.Astell-Burt@uws.edu.au.&amp;#xD;University of Wollongong, Wollongong, NSW.&lt;/auth-address&gt;&lt;titles&gt;&lt;title&gt;Geographic inequity in healthy food environment and type 2 diabetes: can we please turn off the tap?&lt;/title&gt;&lt;secondary-title&gt;The Medical Journal Of Australia&lt;/secondary-title&gt;&lt;/titles&gt;&lt;periodical&gt;&lt;full-title&gt;The Medical Journal Of Australia&lt;/full-title&gt;&lt;/periodical&gt;&lt;pages&gt;246-8.e1&lt;/pages&gt;&lt;volume&gt;203&lt;/volume&gt;&lt;number&gt;6&lt;/number&gt;&lt;keywords&gt;&lt;keyword&gt;Diabetes Mellitus, Type 2/*diet therapy&lt;/keyword&gt;&lt;keyword&gt;Food Supply/*standards&lt;/keyword&gt;&lt;keyword&gt;Australia&lt;/keyword&gt;&lt;keyword&gt;Geography&lt;/keyword&gt;&lt;keyword&gt;Humans&lt;/keyword&gt;&lt;/keywords&gt;&lt;dates&gt;&lt;year&gt;2015&lt;/year&gt;&lt;/dates&gt;&lt;pub-location&gt;Australia&lt;/pub-location&gt;&lt;publisher&gt;Australasian Medical Publishing Co&lt;/publisher&gt;&lt;isbn&gt;1326-5377&lt;/isbn&gt;&lt;accession-num&gt;26377287&lt;/accession-num&gt;&lt;urls&gt;&lt;related-urls&gt;&lt;url&gt;http://search.ebscohost.com/login.aspx?direct=true&amp;amp;AuthType=sso&amp;amp;db=mdc&amp;amp;AN=26377287&amp;amp;site=ehost-live&amp;amp;scope=site&amp;amp;authtype=sso&amp;amp;custid=deakin&lt;/url&gt;&lt;url&gt;https://onlinelibrary.wiley.com/doi/abs/10.5694/mja15.00063?sid=nlm%3Apubmed&lt;/url&gt;&lt;/related-urls&gt;&lt;/urls&gt;&lt;remote-database-name&gt;mdc&lt;/remote-database-name&gt;&lt;remote-database-provider&gt;EBSCOhost&lt;/remote-database-provider&gt;&lt;/record&gt;&lt;/Cite&gt;&lt;/EndNote&gt;</w:instrText>
      </w:r>
      <w:r>
        <w:fldChar w:fldCharType="separate"/>
      </w:r>
      <w:r w:rsidR="00D62B59" w:rsidRPr="00D62B59">
        <w:rPr>
          <w:vertAlign w:val="superscript"/>
        </w:rPr>
        <w:t>(9)</w:t>
      </w:r>
      <w:r>
        <w:fldChar w:fldCharType="end"/>
      </w:r>
      <w:r>
        <w:t>, introducing potential barriers to accessibility. T</w:t>
      </w:r>
      <w:r w:rsidRPr="00134BF7">
        <w:t>he United States</w:t>
      </w:r>
      <w:r>
        <w:t xml:space="preserve"> </w:t>
      </w:r>
      <w:r w:rsidRPr="00134BF7">
        <w:t>Department of Agriculture (USDA)</w:t>
      </w:r>
      <w:r>
        <w:t xml:space="preserve"> also utlises a catchment area of 1.6km, defining food </w:t>
      </w:r>
      <w:r w:rsidRPr="00134BF7">
        <w:t>desert</w:t>
      </w:r>
      <w:r>
        <w:t>s as a low-income census tract within an urban area where at least 33 percent of the population cannot access a supermarket or large grocery store within</w:t>
      </w:r>
      <w:r w:rsidRPr="00134BF7">
        <w:t xml:space="preserve"> </w:t>
      </w:r>
      <w:r>
        <w:t>one mile (</w:t>
      </w:r>
      <w:r w:rsidRPr="00134BF7">
        <w:t>1.6km</w:t>
      </w:r>
      <w:r>
        <w:t>) from home</w:t>
      </w:r>
      <w:r w:rsidRPr="00F735CF">
        <w:fldChar w:fldCharType="begin"/>
      </w:r>
      <w:r w:rsidR="00D62B59">
        <w:instrText xml:space="preserve"> ADDIN EN.CITE &lt;EndNote&gt;&lt;Cite&gt;&lt;Author&gt;USDA&lt;/Author&gt;&lt;Year&gt;2011&lt;/Year&gt;&lt;RecNum&gt;742&lt;/RecNum&gt;&lt;DisplayText&gt;&lt;style face="superscript"&gt;(11)&lt;/style&gt;&lt;/DisplayText&gt;&lt;record&gt;&lt;rec-number&gt;742&lt;/rec-number&gt;&lt;foreign-keys&gt;&lt;key app="EN" db-id="wa9v2rtr0d5pdzedaeu5es530aw9925advpv" timestamp="1588040657"&gt;742&lt;/key&gt;&lt;/foreign-keys&gt;&lt;ref-type name="Government Document"&gt;46&lt;/ref-type&gt;&lt;contributors&gt;&lt;authors&gt;&lt;author&gt;USDA &lt;/author&gt;&lt;/authors&gt;&lt;secondary-authors&gt;&lt;author&gt;United States Department of Agriculture, Economic Research Service &lt;/author&gt;&lt;/secondary-authors&gt;&lt;/contributors&gt;&lt;titles&gt;&lt;title&gt;Mapping Food Deserts in the United States&lt;/title&gt;&lt;/titles&gt;&lt;dates&gt;&lt;year&gt;2011&lt;/year&gt;&lt;/dates&gt;&lt;pub-location&gt;United States of Amercia&lt;/pub-location&gt;&lt;publisher&gt;Amber Waves&lt;/publisher&gt;&lt;urls&gt;&lt;related-urls&gt;&lt;url&gt;https://www.ers.usda.gov/amber-waves/2011/december/data-feature-mapping-food-deserts-in-the-us/&lt;/url&gt;&lt;/related-urls&gt;&lt;/urls&gt;&lt;custom1&gt;2020&lt;/custom1&gt;&lt;custom2&gt;April 28&lt;/custom2&gt;&lt;/record&gt;&lt;/Cite&gt;&lt;/EndNote&gt;</w:instrText>
      </w:r>
      <w:r w:rsidRPr="00F735CF">
        <w:fldChar w:fldCharType="separate"/>
      </w:r>
      <w:r w:rsidR="00D62B59" w:rsidRPr="00D62B59">
        <w:rPr>
          <w:vertAlign w:val="superscript"/>
        </w:rPr>
        <w:t>(11)</w:t>
      </w:r>
      <w:r w:rsidRPr="00F735CF">
        <w:fldChar w:fldCharType="end"/>
      </w:r>
      <w:r>
        <w:t>. Guided by this threshold we defined access to supermarkets as ‘</w:t>
      </w:r>
      <w:r>
        <w:rPr>
          <w:i/>
        </w:rPr>
        <w:t>low’</w:t>
      </w:r>
      <w:r>
        <w:t xml:space="preserve"> where density per km</w:t>
      </w:r>
      <w:r>
        <w:rPr>
          <w:vertAlign w:val="superscript"/>
        </w:rPr>
        <w:t>2</w:t>
      </w:r>
      <w:r>
        <w:t xml:space="preserve"> was below 0.625, ‘</w:t>
      </w:r>
      <w:r w:rsidRPr="005A6041">
        <w:rPr>
          <w:i/>
        </w:rPr>
        <w:t>moderate</w:t>
      </w:r>
      <w:r>
        <w:t>’ when density of supermarkets was at least 0.625; and, ‘</w:t>
      </w:r>
      <w:r>
        <w:rPr>
          <w:i/>
        </w:rPr>
        <w:t>high</w:t>
      </w:r>
      <w:r>
        <w:t>’ where more than double (i.e., ≥ 1.25 supermarkets per km</w:t>
      </w:r>
      <w:r>
        <w:rPr>
          <w:vertAlign w:val="superscript"/>
        </w:rPr>
        <w:t>2</w:t>
      </w:r>
      <w:r>
        <w:t>) were reported.</w:t>
      </w:r>
    </w:p>
    <w:p w14:paraId="3FEAC510" w14:textId="77777777" w:rsidR="003A133A" w:rsidRDefault="003A133A" w:rsidP="003A133A">
      <w:pPr>
        <w:rPr>
          <w:b/>
        </w:rPr>
      </w:pPr>
    </w:p>
    <w:p w14:paraId="2C96D9CB" w14:textId="77777777" w:rsidR="003A133A" w:rsidRPr="008F65DF" w:rsidRDefault="003A133A" w:rsidP="003A133A">
      <w:pPr>
        <w:rPr>
          <w:b/>
        </w:rPr>
      </w:pPr>
      <w:r>
        <w:rPr>
          <w:b/>
        </w:rPr>
        <w:t>Supplementary Table 3. Cluster analysis</w:t>
      </w:r>
      <w:r w:rsidRPr="003027F4">
        <w:rPr>
          <w:b/>
        </w:rPr>
        <w:t xml:space="preserve"> </w:t>
      </w:r>
      <w:r>
        <w:rPr>
          <w:b/>
        </w:rPr>
        <w:t>results</w:t>
      </w:r>
      <w:r w:rsidRPr="008F65DF">
        <w:rPr>
          <w:b/>
        </w:rPr>
        <w:t xml:space="preserve">, summary statistics, </w:t>
      </w:r>
      <w:proofErr w:type="gramStart"/>
      <w:r w:rsidRPr="008F65DF">
        <w:rPr>
          <w:b/>
        </w:rPr>
        <w:t>classification</w:t>
      </w:r>
      <w:proofErr w:type="gramEnd"/>
      <w:r w:rsidRPr="008F65DF">
        <w:rPr>
          <w:b/>
        </w:rPr>
        <w:t xml:space="preserve"> and Food Retail Environment Typology.</w:t>
      </w:r>
    </w:p>
    <w:tbl>
      <w:tblPr>
        <w:tblW w:w="105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7"/>
        <w:gridCol w:w="617"/>
        <w:gridCol w:w="1748"/>
        <w:gridCol w:w="1006"/>
        <w:gridCol w:w="706"/>
        <w:gridCol w:w="706"/>
        <w:gridCol w:w="836"/>
        <w:gridCol w:w="1809"/>
        <w:gridCol w:w="2306"/>
      </w:tblGrid>
      <w:tr w:rsidR="008F65DF" w:rsidRPr="008F65DF" w14:paraId="412DCF15" w14:textId="77777777" w:rsidTr="00B37BFF">
        <w:trPr>
          <w:cantSplit/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E1890" w14:textId="77777777" w:rsidR="003A133A" w:rsidRPr="008F65D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Cluster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121A8" w14:textId="77777777" w:rsidR="003A133A" w:rsidRPr="008F65D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No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4FF99" w14:textId="77777777" w:rsidR="003A133A" w:rsidRPr="008F65D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Food retail environment measure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E7B0D" w14:textId="77777777" w:rsidR="003A133A" w:rsidRPr="008F65D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Mean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3A633" w14:textId="77777777" w:rsidR="003A133A" w:rsidRPr="008F65D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SD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BAB66" w14:textId="77777777" w:rsidR="003A133A" w:rsidRPr="008F65D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Min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B3CB9" w14:textId="77777777" w:rsidR="003A133A" w:rsidRPr="008F65D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Max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568CA" w14:textId="77777777" w:rsidR="003A133A" w:rsidRPr="008F65D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RHFA/Access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D038" w14:textId="77777777" w:rsidR="003A133A" w:rsidRPr="008F65D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Food </w:t>
            </w:r>
          </w:p>
        </w:tc>
      </w:tr>
      <w:tr w:rsidR="003A133A" w:rsidRPr="004E7A7F" w14:paraId="6E76850E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E313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2197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Obs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7BCF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8A47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B7D6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65CB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EB35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2DD8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Classification</w:t>
            </w:r>
          </w:p>
        </w:tc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7F6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Environment</w:t>
            </w:r>
          </w:p>
        </w:tc>
      </w:tr>
      <w:tr w:rsidR="003A133A" w:rsidRPr="004E7A7F" w14:paraId="50EC32AF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B66D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5309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57BE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E1F9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F785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8853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A454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0692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6F4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Typology</w:t>
            </w:r>
          </w:p>
        </w:tc>
      </w:tr>
      <w:tr w:rsidR="003A133A" w:rsidRPr="004E7A7F" w14:paraId="3A02232B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1392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A048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D735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RHFA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E631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D243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2C29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44.4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11E9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0203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&gt;50%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93C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Low access – High % Healthy</w:t>
            </w:r>
          </w:p>
        </w:tc>
      </w:tr>
      <w:tr w:rsidR="003A133A" w:rsidRPr="004E7A7F" w14:paraId="32A45D50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BF56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3110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1A08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8F4A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D68D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B6A8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28AE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2.74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7427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8DAFF7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015A1C09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CA3F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A6B9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EFA5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6BE1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6393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DBEC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DDE2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00E4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6095A8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2C4CAA59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23C1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9233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9C68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Less 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2347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4542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D7DF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5403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E85A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F95C09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00348B3A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FF37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B317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5358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Supermarkets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4A9E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705F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CC90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89B1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16AE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9F4C07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7B68B5BA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DEC0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414E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35DE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RHFA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63B4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D4DB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5.1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C2CE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4045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16.7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8718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≤25%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FB2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Low access – Low % healthy</w:t>
            </w:r>
          </w:p>
        </w:tc>
      </w:tr>
      <w:tr w:rsidR="003A133A" w:rsidRPr="004E7A7F" w14:paraId="4080F52F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08C3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1011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4803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881A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3715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FBF9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5EB6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4CFA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FFB99F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67A26FFF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ADF9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19E8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C14C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6382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47DB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8B28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48F2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3.68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3821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016593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495C7D31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F814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0348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BD27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Less 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52A1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D9E7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5CFD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442C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3938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8E9E52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789786D9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B8CA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ECF7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8B22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Supermarkets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7AAC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EA27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BFF8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6DCB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F6B2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3E4987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446CEF2D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D259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9291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A398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RHFA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D2E7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23.9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D00F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C081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EF88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44.4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21AC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≤25%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312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Moderate access – Low % healthy</w:t>
            </w:r>
          </w:p>
        </w:tc>
      </w:tr>
      <w:tr w:rsidR="003A133A" w:rsidRPr="004E7A7F" w14:paraId="02C69A39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05FC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7F5C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C462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D34B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C40C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EB6B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5485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1.37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485E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B28C8B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0CC3BECF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73B8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2593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5A14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8AB6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5933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DB9A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78A7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5.53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6DDE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Moderate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CB4E0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475F590D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BBEF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A440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FA34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Less 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75DC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5F26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192C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937C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CE84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583E6B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7363155A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81AD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9AE9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CFCC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Supermarkets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A313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FCDE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BABA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4119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46A8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6D917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0ACD6F61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7214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42C6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8718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RHFA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89A3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11D1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54DB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6.2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39AA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23.1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100D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≤25%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06F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High Access – Low % healthy</w:t>
            </w:r>
          </w:p>
        </w:tc>
      </w:tr>
      <w:tr w:rsidR="003A133A" w:rsidRPr="004E7A7F" w14:paraId="2093BBE7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6857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A62D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FD38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3166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F028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1973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3EBF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4.84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FE5F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859435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30903BD4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C502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AD93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B8A3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2302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9.68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E2FC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C609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6.36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2D65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13.85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51AF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37B7BA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4E1450D5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4052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6EB3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B218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Less 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1415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22.28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524B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D4BA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D209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25.13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7F42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EF72D0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60259393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DC8D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F4C5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10DF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Supermarkets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1541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4836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2AA7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3589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AC19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Moderate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B1C029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10459649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B4E7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DD97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C607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RHFA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E15A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10EF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70FA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10.3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FC31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D4D1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≤25%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04B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High Access – Low % healthy</w:t>
            </w:r>
          </w:p>
        </w:tc>
      </w:tr>
      <w:tr w:rsidR="003A133A" w:rsidRPr="004E7A7F" w14:paraId="62875D3A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3173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E17E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8F0D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C006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4.44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783C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60F8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F73E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E636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B80AE9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59F05E32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074A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80AC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3361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FAFA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19D1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3460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15.56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264D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19.44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468D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C627C3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64F17258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A95D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2D4E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EC1E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Less 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11A1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66.94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31BD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0742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5D77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68.89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7A00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034EC3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2A54F574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C7C3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58F6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AA12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Supermarkets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54D5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55D0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E80A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964F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37F0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Moderate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7DB9FE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51DF908F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9351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7687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E4E6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RHFA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39F3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FBED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5.9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A57B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16.7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358B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FA43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≤25%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F19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High Access – Low % healthy</w:t>
            </w:r>
          </w:p>
        </w:tc>
      </w:tr>
      <w:tr w:rsidR="003A133A" w:rsidRPr="004E7A7F" w14:paraId="72E5E947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996F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1537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C4FA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9905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23F8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CF30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4B95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768B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583495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10D1D9F2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34EF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A260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2174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43A9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7877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5DD2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15.6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27FC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15.6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CE83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B611B4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2986B9E6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2CB3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9EC1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23D2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Less 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0564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BF26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06F1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35.6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23B8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35.6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2FED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D7528D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7295807B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67BC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674B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8E6B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Supermarkets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746C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333C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56FC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EA22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0739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B00AA6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6E1E2804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EEA6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2D3F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AC29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RHFA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8BBB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5CAD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3B43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62D9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11.4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1261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≤25%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5D4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High Access – Low % healthy</w:t>
            </w:r>
          </w:p>
        </w:tc>
      </w:tr>
      <w:tr w:rsidR="003A133A" w:rsidRPr="004E7A7F" w14:paraId="7009184B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2018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0D35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84E6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590A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5.08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C266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AD47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52A1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6.11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CF79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D44FE0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3C87A2E9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5DFD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A33C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0EA8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20E5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23.97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CFC8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036C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22.78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286F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25.56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0E30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A1BACA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2BEE9836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1A21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3C68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362F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Less 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93DC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71.85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2F7A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3494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049E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09DB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5EDA6F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704C3A28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218D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F1BE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DA70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Supermarkets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CE5D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B764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63D1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2826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0BA2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Moderate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D227C3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70441300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FF3F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EFFB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4865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RHFA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28B7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C9E8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4.3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9B20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E7C7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22.2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AED7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≤25%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426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High Access – Low % healthy</w:t>
            </w:r>
          </w:p>
        </w:tc>
      </w:tr>
      <w:tr w:rsidR="003A133A" w:rsidRPr="004E7A7F" w14:paraId="2D1613D0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9DFE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0B44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0192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0AFA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04B8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E3F0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5BAB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3.75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945B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646226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3BAF9B0D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2DB6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77A7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14F9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6339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11.04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5C70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1209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7.92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C6B3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12.82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B054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79519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29FAA24F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C19B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2583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F29A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Less 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E705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28.63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8B70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2B0A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27.69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FF58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29.74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ADD0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FD92EE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7C8CBAAF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16F1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0912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CD13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Supermarkets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4162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2E62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550E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D476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1.67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8D55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Moderate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1C6649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6BB379BB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2C64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E8C8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304D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RHFA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DA37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4F3A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6.4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35AC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17.6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F593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26.7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E7EA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≤25%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A72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High Access – Low % healthy</w:t>
            </w:r>
          </w:p>
        </w:tc>
      </w:tr>
      <w:tr w:rsidR="003A133A" w:rsidRPr="004E7A7F" w14:paraId="5995947F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1FBF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BDE1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4DEE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7C14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F4CC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296F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9.6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7301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10.4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BD2F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684E6D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1A713803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EB15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725D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34F8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F684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145E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2EF3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17.6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0752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A9D3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BE87EC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3CDF5237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E9C5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F7F0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8305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Less 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25CE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44.4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3F79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D5F1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41.6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631B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47.2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E78C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DC135A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775088B8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1DEB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B2C4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DEF3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Supermarkets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FDC6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6AB0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B854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3EF6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4CFC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442BC8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4319A407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9FEB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DA6B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0C9F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RHFA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FDCC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5509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6.1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108F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2E03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FDBE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≤25%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B23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High Access – Low % healthy</w:t>
            </w:r>
          </w:p>
        </w:tc>
      </w:tr>
      <w:tr w:rsidR="003A133A" w:rsidRPr="004E7A7F" w14:paraId="227AC893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6808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D88A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0E8D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1E03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382E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1F1D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6E29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4.69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F00B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EB21C1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2716A7D5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D729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2C84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9299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CBC9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10.76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B3AE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EA92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9.03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AECD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14.48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DDBF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4D3C7F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601271DF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16C1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CCD2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640D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Less 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2F18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16.63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92F1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198F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13.21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7353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19.66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1833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5438C3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7B0CB111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75A7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67AF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9547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Supermarkets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A2C2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D972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DC20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8C20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9928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Good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C790D9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1FE91F2E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1CA0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FEA9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6CB3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RHFA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DDCB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6.7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8F7A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18AB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5.9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3B8D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7.7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7F87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≤25%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A7B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High Access – Low % healthy</w:t>
            </w:r>
          </w:p>
        </w:tc>
      </w:tr>
      <w:tr w:rsidR="003A133A" w:rsidRPr="004E7A7F" w14:paraId="31225B87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DD95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6B55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7BE4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C2E7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7.69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F88A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A97C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6.15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DAC1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8.46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F154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9FC3AB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2080A802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E0CC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E0E9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32CF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2009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18.21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C6A8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0A60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16.15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EF9E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20.77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5905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A05F9C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376E0539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A216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F591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A5CF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Less 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D5FC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25.38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F116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5.04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C8A2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20.77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C777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30.77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0221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99A57A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49054662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B35A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4ED6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45DB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Supermarkets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AF78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7315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D9A8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DC31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172D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Moderate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0E7758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56500E05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9E82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C161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8DFE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RHFA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26F8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D098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41D9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12.2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032F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29.4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063B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≤25%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DEA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High Access – Low % healthy</w:t>
            </w:r>
          </w:p>
        </w:tc>
      </w:tr>
      <w:tr w:rsidR="003A133A" w:rsidRPr="004E7A7F" w14:paraId="4400CA48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6CAD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102C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3A61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7A37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4.9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7B1C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CD29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4.14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727B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BA14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C6D5B2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6447DE80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D03F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E53C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1D27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4D84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14.93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A17F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59E5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12.1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954D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16.8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97E8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B7A529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193935D0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FAEB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E70A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3BBA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Less 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22C4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27.08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AD9A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C6E0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22.19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5C94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31.03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76E4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1D75B4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24B3AF8B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2219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04E9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3C66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Supermarkets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0400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6279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A734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60C7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9139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Moderate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523478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3FCCD18E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23A1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A7E7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2380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RHFA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B4E9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3A51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23FB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14.8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27AA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18.2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88DE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≤25%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592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High Access – Low % healthy</w:t>
            </w:r>
          </w:p>
        </w:tc>
      </w:tr>
      <w:tr w:rsidR="003A133A" w:rsidRPr="004E7A7F" w14:paraId="0792C6FB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00DE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1663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B91B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200B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6.19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2EB4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A2CB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1208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7.86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889B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D7382D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1C3DA575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83A3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F12B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D1D0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F011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29.76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992A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B7BC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27.14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7CE0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32.14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84C8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D5473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478585D0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13FA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32AA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82BB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Less 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236F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47F7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C011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72.14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2434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77.14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C64B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A0C3D5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01155121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B68A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BDF8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B5C1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Supermarkets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7D52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96FB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EC56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89E3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9B57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Very good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334CC8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494E7AE6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6028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AEC7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DD81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RHFA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810E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C8F7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8DD4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D380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BDCA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≤25%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F62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High Access – Low % healthy</w:t>
            </w:r>
          </w:p>
        </w:tc>
      </w:tr>
      <w:tr w:rsidR="003A133A" w:rsidRPr="004E7A7F" w14:paraId="5AC98347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DAFD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F55E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F120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3563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FFE6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FC80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A869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2.74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B4AD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Moderate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E21195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79DE4639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E284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B7AA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CB96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247E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CBFA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0807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D548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6.6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0D6A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667D35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3169D713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8EF1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9454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2D12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Less 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E159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4.67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F0EA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223D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5BCA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10.43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352C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FC26D0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29F83847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CC1C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1D86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72E8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Supermarkets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18FD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91DC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824D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B671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E9C5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11B923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5672267C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3B6F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FCE6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EB5C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RHFA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0D4D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1D00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6CF3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16.7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985E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62.5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26C2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&gt;25%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ABF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High Access – Moderate % healthy</w:t>
            </w:r>
          </w:p>
        </w:tc>
      </w:tr>
      <w:tr w:rsidR="003A133A" w:rsidRPr="004E7A7F" w14:paraId="0C4825AF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B3C9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022A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E4AB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442F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9CF7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95BA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EEC7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4.9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26B4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1B02D3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39FA703A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A538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47C8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9156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65D7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4.94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C8AA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FFC2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8B1E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8.43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D565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7516DA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1EF1FB4A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0426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0416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92FE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Less 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EBE6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13.59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C46D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5BD6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1085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18.28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8DFD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313CAF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32F38571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2072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8F84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A5DF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Supermarkets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49FB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FB2B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7760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81E8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7B9B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Moderate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FBB249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2B912C95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3219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D242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1CFA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RHFA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721F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30.3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DD4D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8.1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B489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15.9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CDF2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A0FF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&gt;25%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827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High Access – Moderate % healthy</w:t>
            </w:r>
          </w:p>
        </w:tc>
      </w:tr>
      <w:tr w:rsidR="003A133A" w:rsidRPr="004E7A7F" w14:paraId="27A31B6A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814A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E857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41FC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4939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F414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9165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9F81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5.71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076C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8AA9DC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13946AE0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F77B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088E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04B6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9673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4.99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976A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AD8E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04B7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C18D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92675F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002B3301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4D22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F775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2158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Less 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0BC7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6.68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B656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D9BB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AEAE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10.23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3A29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8298C2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6F773029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06FD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ECFE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B192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Supermarkets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1EF9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0A98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472B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0C83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2.86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CAE1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Moderate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102563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29DA7809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F95F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A304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AE90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RHFA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BD96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07FD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5.3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4334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26.4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F965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45.4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74AE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&gt;25%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EB2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High Access – Moderate % healthy</w:t>
            </w:r>
          </w:p>
        </w:tc>
      </w:tr>
      <w:tr w:rsidR="003A133A" w:rsidRPr="004E7A7F" w14:paraId="1FD51179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BB99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B211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1E77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8C3B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6.59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8883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E65E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4.29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7D9B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7.92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7D49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23648C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30336042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C14C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66E5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2C03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5C17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7.93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B11C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6A1B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5.83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6C4D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96FE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C5B813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411A55C3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0960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83A0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7BE5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Less 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E039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13.97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CBEF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66B9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10.83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A60C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16.86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02F1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BCCBE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29BD116D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8F14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D300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819F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Supermarkets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9E78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355F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4F81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E2F4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3.2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93F2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781B52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6B798765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2470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AEB5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3841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RHFA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EEFC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23A9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F097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26.7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A630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28.9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5229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&gt;25%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ACB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High Access – Moderate % healthy</w:t>
            </w:r>
          </w:p>
        </w:tc>
      </w:tr>
      <w:tr w:rsidR="003A133A" w:rsidRPr="004E7A7F" w14:paraId="62251C03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C150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F26D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332D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Healthy/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26FC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7AB1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B843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9.2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C5AA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E40E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1D03BC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64E2E081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07B5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80FF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A723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D8EB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9B6C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70E5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16.8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E3C9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17.2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6E83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72F6A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6B61C9AA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B9D6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1C7B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78EE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Less 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2CC9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FF3C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71BB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37.2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F04D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958E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54D44F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2C95612C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27F5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BD46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FEB7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Supermarkets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9776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7246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B754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F0F0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0E23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Moderate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92AA21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6013E835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D9CC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3E57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7E7F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RHFA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ADCC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577C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17FF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30.6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7CD3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30.6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7F18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&gt;25%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6CE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High Access – Moderate % healthy</w:t>
            </w:r>
          </w:p>
        </w:tc>
      </w:tr>
      <w:tr w:rsidR="003A133A" w:rsidRPr="004E7A7F" w14:paraId="5D0038A1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0109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A75A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09C6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CE44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D340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0F28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477D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71ED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662759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555D3C69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9544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2EED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0F5F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99C9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17.6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910B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4123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17.6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C26B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17.6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7218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2E6ECC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3055C7CC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359B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6A072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607C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Less 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48F3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726D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9FBA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43.2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8A8B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43.2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E176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B59659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64B03375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EB38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91FE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991B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Supermarkets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73D0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CBD1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FC24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CCED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919E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42908D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4583BF77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2FF39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600E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C830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RHFA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C058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CDF4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8.9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EEC2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15.4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67EF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0B72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&gt;25%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E1B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High Access – Moderate % healthy</w:t>
            </w:r>
          </w:p>
        </w:tc>
      </w:tr>
      <w:tr w:rsidR="003A133A" w:rsidRPr="004E7A7F" w14:paraId="1A941CD8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50DD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21574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DDD21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91A9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E30BB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044E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0635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2.86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0633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Moderate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BA0D11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265DEB44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351E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8DC2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3E0C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Unhealthy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3D74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6079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D4AF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2119E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4.6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AA840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B56E87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0E2AFB9C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7485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F647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DCC8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Less Healthy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BF95C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A1F9A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B4757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C99C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5.48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3C0C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 Access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7784B6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33A" w:rsidRPr="004E7A7F" w14:paraId="46E91AB0" w14:textId="77777777" w:rsidTr="00B37BFF">
        <w:trPr>
          <w:cantSplit/>
          <w:trHeight w:val="2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339B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9AAC5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9357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Supermarkets per km2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5C1DF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B4A18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682DD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8733C6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1.61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A0473" w14:textId="77777777" w:rsidR="003A133A" w:rsidRPr="004E7A7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E7A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Moderate</w:t>
            </w:r>
          </w:p>
        </w:tc>
        <w:tc>
          <w:tcPr>
            <w:tcW w:w="23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9A198" w14:textId="77777777" w:rsidR="003A133A" w:rsidRPr="004E7A7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14:paraId="77B19CF0" w14:textId="77777777" w:rsidR="003A133A" w:rsidRDefault="003A133A" w:rsidP="003A133A">
      <w:pPr>
        <w:spacing w:after="0" w:line="240" w:lineRule="auto"/>
        <w:rPr>
          <w:vertAlign w:val="superscript"/>
        </w:rPr>
      </w:pPr>
    </w:p>
    <w:p w14:paraId="73DE9C92" w14:textId="77777777" w:rsidR="003A133A" w:rsidRPr="00852655" w:rsidRDefault="003A133A" w:rsidP="003A133A">
      <w:pPr>
        <w:spacing w:after="0" w:line="240" w:lineRule="auto"/>
        <w:rPr>
          <w:sz w:val="18"/>
          <w:szCs w:val="18"/>
        </w:rPr>
      </w:pPr>
      <w:r w:rsidRPr="00852655">
        <w:rPr>
          <w:sz w:val="18"/>
          <w:szCs w:val="18"/>
        </w:rPr>
        <w:t>*Represents Statistical Area 2’s with zero food retail outlets.</w:t>
      </w:r>
    </w:p>
    <w:p w14:paraId="3E2970C5" w14:textId="77777777" w:rsidR="003A133A" w:rsidRPr="00852655" w:rsidRDefault="003A133A" w:rsidP="003A133A">
      <w:pPr>
        <w:spacing w:after="0" w:line="240" w:lineRule="auto"/>
        <w:rPr>
          <w:sz w:val="18"/>
          <w:szCs w:val="18"/>
        </w:rPr>
      </w:pPr>
      <w:r w:rsidRPr="00852655">
        <w:rPr>
          <w:sz w:val="18"/>
          <w:szCs w:val="18"/>
        </w:rPr>
        <w:t xml:space="preserve">*No </w:t>
      </w:r>
      <w:proofErr w:type="spellStart"/>
      <w:r w:rsidRPr="00852655">
        <w:rPr>
          <w:sz w:val="18"/>
          <w:szCs w:val="18"/>
        </w:rPr>
        <w:t>obs</w:t>
      </w:r>
      <w:proofErr w:type="spellEnd"/>
      <w:r w:rsidRPr="00852655">
        <w:rPr>
          <w:sz w:val="18"/>
          <w:szCs w:val="18"/>
        </w:rPr>
        <w:t>: number of observations</w:t>
      </w:r>
    </w:p>
    <w:p w14:paraId="56D8066A" w14:textId="77777777" w:rsidR="003A133A" w:rsidRPr="00852655" w:rsidRDefault="003A133A" w:rsidP="003A133A">
      <w:pPr>
        <w:spacing w:after="0" w:line="240" w:lineRule="auto"/>
        <w:rPr>
          <w:sz w:val="18"/>
          <w:szCs w:val="18"/>
        </w:rPr>
      </w:pPr>
      <w:r w:rsidRPr="00852655">
        <w:rPr>
          <w:sz w:val="18"/>
          <w:szCs w:val="18"/>
        </w:rPr>
        <w:t>RHFA %: proportion as a percentage of healthy food retail outlets from the total number of food retail outlets within each SA2.</w:t>
      </w:r>
    </w:p>
    <w:p w14:paraId="387AE9F9" w14:textId="77777777" w:rsidR="003A133A" w:rsidRPr="00852655" w:rsidRDefault="003A133A" w:rsidP="003A133A">
      <w:pPr>
        <w:spacing w:after="0" w:line="240" w:lineRule="auto"/>
        <w:rPr>
          <w:sz w:val="18"/>
          <w:szCs w:val="18"/>
        </w:rPr>
      </w:pPr>
      <w:r w:rsidRPr="00852655">
        <w:rPr>
          <w:sz w:val="18"/>
          <w:szCs w:val="18"/>
        </w:rPr>
        <w:t>Per km2: per square kilometre.</w:t>
      </w:r>
    </w:p>
    <w:p w14:paraId="5E6ECAA6" w14:textId="3670FA63" w:rsidR="003A133A" w:rsidRDefault="003A133A" w:rsidP="003A133A">
      <w:pPr>
        <w:spacing w:after="0" w:line="240" w:lineRule="auto"/>
        <w:rPr>
          <w:vertAlign w:val="superscript"/>
        </w:rPr>
      </w:pPr>
      <w:r w:rsidRPr="00852655">
        <w:rPr>
          <w:sz w:val="18"/>
          <w:szCs w:val="18"/>
        </w:rPr>
        <w:t>SA2: Statistical Area 2: medium-sized general purpose areas representing geographical areas where community interact together socially and economically</w:t>
      </w:r>
      <w:r w:rsidRPr="004E7A7F">
        <w:rPr>
          <w:sz w:val="18"/>
          <w:szCs w:val="18"/>
        </w:rPr>
        <w:fldChar w:fldCharType="begin"/>
      </w:r>
      <w:r w:rsidR="00D62B59">
        <w:rPr>
          <w:sz w:val="18"/>
          <w:szCs w:val="18"/>
        </w:rPr>
        <w:instrText xml:space="preserve"> ADDIN EN.CITE &lt;EndNote&gt;&lt;Cite&gt;&lt;Author&gt;ABS&lt;/Author&gt;&lt;Year&gt;2016&lt;/Year&gt;&lt;RecNum&gt;737&lt;/RecNum&gt;&lt;DisplayText&gt;&lt;style face="superscript"&gt;(12)&lt;/style&gt;&lt;/DisplayText&gt;&lt;record&gt;&lt;rec-number&gt;737&lt;/rec-number&gt;&lt;foreign-keys&gt;&lt;key app="EN" db-id="wa9v2rtr0d5pdzedaeu5es530aw9925advpv" timestamp="1587703348"&gt;737&lt;/key&gt;&lt;/foreign-keys&gt;&lt;ref-type name="Web Page"&gt;12&lt;/ref-type&gt;&lt;contributors&gt;&lt;authors&gt;&lt;author&gt;ABS&lt;/author&gt;&lt;/authors&gt;&lt;secondary-authors&gt;&lt;author&gt;Australian Bureau of Statistics,&lt;/author&gt;&lt;/secondary-authors&gt;&lt;/contributors&gt;&lt;titles&gt;&lt;title&gt;1270.0.55.001 - Australian Statistical Geography Standard (ADGS): Volume 1 - Main Structure and Greater Capital City Statistical Areas, July 2016&lt;/title&gt;&lt;/titles&gt;&lt;dates&gt;&lt;year&gt;2016&lt;/year&gt;&lt;pub-dates&gt;&lt;date&gt;July 2016&lt;/date&gt;&lt;/pub-dates&gt;&lt;/dates&gt;&lt;publisher&gt;Australian Federal Government&lt;/publisher&gt;&lt;urls&gt;&lt;related-urls&gt;&lt;url&gt;https://www.abs.gov.au/ausstats/abs@.nsf/Lookup/by%20Subject/1270.0.55.001~July%202016~Main%20Features~Statistical%20Area%20Level%202%20(SA2)~10014&lt;/url&gt;&lt;/related-urls&gt;&lt;/urls&gt;&lt;custom1&gt;2020&lt;/custom1&gt;&lt;custom2&gt;January 4&lt;/custom2&gt;&lt;/record&gt;&lt;/Cite&gt;&lt;/EndNote&gt;</w:instrText>
      </w:r>
      <w:r w:rsidRPr="004E7A7F">
        <w:rPr>
          <w:sz w:val="18"/>
          <w:szCs w:val="18"/>
        </w:rPr>
        <w:fldChar w:fldCharType="separate"/>
      </w:r>
      <w:r w:rsidR="00D62B59" w:rsidRPr="00D62B59">
        <w:rPr>
          <w:noProof/>
          <w:sz w:val="18"/>
          <w:szCs w:val="18"/>
          <w:vertAlign w:val="superscript"/>
        </w:rPr>
        <w:t>(12)</w:t>
      </w:r>
      <w:r w:rsidRPr="004E7A7F">
        <w:rPr>
          <w:sz w:val="18"/>
          <w:szCs w:val="18"/>
        </w:rPr>
        <w:fldChar w:fldCharType="end"/>
      </w:r>
      <w:r>
        <w:rPr>
          <w:vertAlign w:val="superscript"/>
        </w:rPr>
        <w:br w:type="page"/>
      </w:r>
    </w:p>
    <w:p w14:paraId="5B61304C" w14:textId="77777777" w:rsidR="003A133A" w:rsidRPr="00F8255B" w:rsidRDefault="003A133A" w:rsidP="003A133A">
      <w:pPr>
        <w:rPr>
          <w:b/>
        </w:rPr>
      </w:pPr>
      <w:r>
        <w:rPr>
          <w:b/>
        </w:rPr>
        <w:lastRenderedPageBreak/>
        <w:t xml:space="preserve">Supplementary File 4. Statistical Area 2 location and </w:t>
      </w:r>
      <w:r w:rsidRPr="008F65DF">
        <w:rPr>
          <w:b/>
        </w:rPr>
        <w:t xml:space="preserve">food retail environment </w:t>
      </w:r>
      <w:r>
        <w:rPr>
          <w:b/>
        </w:rPr>
        <w:t>typologies</w:t>
      </w:r>
      <w:r w:rsidRPr="00F24241">
        <w:rPr>
          <w:b/>
        </w:rPr>
        <w:t xml:space="preserve"> </w:t>
      </w:r>
      <w:r>
        <w:rPr>
          <w:b/>
        </w:rPr>
        <w:t xml:space="preserve">in Greater Melbourne </w:t>
      </w:r>
      <w:r w:rsidRPr="00F24241">
        <w:rPr>
          <w:b/>
        </w:rPr>
        <w:t>over time</w:t>
      </w:r>
      <w:r>
        <w:t xml:space="preserve"> </w:t>
      </w:r>
      <w:r>
        <w:rPr>
          <w:b/>
        </w:rPr>
        <w:t>grouped by distance from the Central Business District</w:t>
      </w:r>
    </w:p>
    <w:tbl>
      <w:tblPr>
        <w:tblStyle w:val="TableGrid"/>
        <w:tblW w:w="18628" w:type="dxa"/>
        <w:tblLook w:val="04A0" w:firstRow="1" w:lastRow="0" w:firstColumn="1" w:lastColumn="0" w:noHBand="0" w:noVBand="1"/>
      </w:tblPr>
      <w:tblGrid>
        <w:gridCol w:w="4626"/>
        <w:gridCol w:w="4688"/>
        <w:gridCol w:w="9314"/>
      </w:tblGrid>
      <w:tr w:rsidR="003A133A" w14:paraId="62BEF6DD" w14:textId="77777777" w:rsidTr="003A133A">
        <w:trPr>
          <w:gridAfter w:val="1"/>
          <w:wAfter w:w="9314" w:type="dxa"/>
        </w:trPr>
        <w:tc>
          <w:tcPr>
            <w:tcW w:w="4626" w:type="dxa"/>
            <w:tcBorders>
              <w:bottom w:val="single" w:sz="4" w:space="0" w:color="auto"/>
            </w:tcBorders>
          </w:tcPr>
          <w:p w14:paraId="3A86C653" w14:textId="77777777" w:rsidR="003A133A" w:rsidRDefault="003A133A" w:rsidP="00B37BFF"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6F9AC1FF" wp14:editId="1F114083">
                  <wp:simplePos x="0" y="0"/>
                  <wp:positionH relativeFrom="column">
                    <wp:posOffset>1581100</wp:posOffset>
                  </wp:positionH>
                  <wp:positionV relativeFrom="paragraph">
                    <wp:posOffset>14554</wp:posOffset>
                  </wp:positionV>
                  <wp:extent cx="648000" cy="2304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Year 2008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2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73E49237" wp14:editId="22CA43C4">
                  <wp:extent cx="2793365" cy="1790223"/>
                  <wp:effectExtent l="0" t="0" r="698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Year 2008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400" cy="1802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14:paraId="5F733B83" w14:textId="77777777" w:rsidR="003A133A" w:rsidRDefault="003A133A" w:rsidP="00B37BFF">
            <w:r>
              <w:rPr>
                <w:noProof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44966C60" wp14:editId="59C8853A">
                  <wp:simplePos x="0" y="0"/>
                  <wp:positionH relativeFrom="column">
                    <wp:posOffset>1977898</wp:posOffset>
                  </wp:positionH>
                  <wp:positionV relativeFrom="paragraph">
                    <wp:posOffset>21920</wp:posOffset>
                  </wp:positionV>
                  <wp:extent cx="622800" cy="180000"/>
                  <wp:effectExtent l="0" t="0" r="635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Year 201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8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7CABE08D" wp14:editId="68D2834C">
                  <wp:extent cx="2840142" cy="1770278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Year 201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519" cy="1776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33A" w14:paraId="33572763" w14:textId="77777777" w:rsidTr="003A133A">
        <w:trPr>
          <w:trHeight w:val="3148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7A2A" w14:textId="77777777" w:rsidR="003A133A" w:rsidRDefault="003A133A" w:rsidP="003A133A">
            <w:r>
              <w:rPr>
                <w:noProof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253661F5" wp14:editId="3258AA2E">
                  <wp:simplePos x="0" y="0"/>
                  <wp:positionH relativeFrom="column">
                    <wp:posOffset>2013001</wp:posOffset>
                  </wp:positionH>
                  <wp:positionV relativeFrom="paragraph">
                    <wp:posOffset>23495</wp:posOffset>
                  </wp:positionV>
                  <wp:extent cx="586800" cy="223200"/>
                  <wp:effectExtent l="0" t="0" r="3810" b="571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Year 2014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8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0E8566B4" wp14:editId="2EC1BF83">
                  <wp:extent cx="2793365" cy="1857085"/>
                  <wp:effectExtent l="0" t="0" r="698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Year 2014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492" cy="1860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7D17" w14:textId="77777777" w:rsidR="003A133A" w:rsidRDefault="003A133A" w:rsidP="003A133A">
            <w:r>
              <w:rPr>
                <w:noProof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59DCE04D" wp14:editId="0995D067">
                  <wp:simplePos x="0" y="0"/>
                  <wp:positionH relativeFrom="column">
                    <wp:posOffset>2069160</wp:posOffset>
                  </wp:positionH>
                  <wp:positionV relativeFrom="paragraph">
                    <wp:posOffset>35585</wp:posOffset>
                  </wp:positionV>
                  <wp:extent cx="577849" cy="165100"/>
                  <wp:effectExtent l="0" t="0" r="0" b="63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Year 2016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49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5368BE82" wp14:editId="746158D1">
                  <wp:extent cx="2820666" cy="185674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Year 2016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666" cy="185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3C168" w14:textId="4A3C6E1D" w:rsidR="003A133A" w:rsidRPr="00764997" w:rsidRDefault="003A133A" w:rsidP="003A133A">
            <w:pPr>
              <w:rPr>
                <w:noProof/>
                <w:sz w:val="18"/>
                <w:szCs w:val="18"/>
                <w:lang w:eastAsia="en-AU"/>
              </w:rPr>
            </w:pPr>
            <w:r w:rsidRPr="00764997">
              <w:rPr>
                <w:noProof/>
                <w:sz w:val="18"/>
                <w:szCs w:val="18"/>
                <w:lang w:eastAsia="en-AU"/>
              </w:rPr>
              <w:t>*Shaded white: one Statistical Area 2 is excluded as it represents a Statistical Area 2 not included within Metropolitan Melbourne as classified by the Australian Bureau of Statistcs</w:t>
            </w:r>
            <w:r w:rsidRPr="00764997">
              <w:rPr>
                <w:noProof/>
                <w:sz w:val="18"/>
                <w:szCs w:val="18"/>
                <w:lang w:eastAsia="en-AU"/>
              </w:rPr>
              <w:fldChar w:fldCharType="begin"/>
            </w:r>
            <w:r w:rsidR="00D62B59">
              <w:rPr>
                <w:noProof/>
                <w:sz w:val="18"/>
                <w:szCs w:val="18"/>
                <w:lang w:eastAsia="en-AU"/>
              </w:rPr>
              <w:instrText xml:space="preserve"> ADDIN EN.CITE &lt;EndNote&gt;&lt;Cite&gt;&lt;Author&gt;ABS&lt;/Author&gt;&lt;Year&gt;2016&lt;/Year&gt;&lt;RecNum&gt;737&lt;/RecNum&gt;&lt;DisplayText&gt;&lt;style face="superscript"&gt;(12)&lt;/style&gt;&lt;/DisplayText&gt;&lt;record&gt;&lt;rec-number&gt;737&lt;/rec-number&gt;&lt;foreign-keys&gt;&lt;key app="EN" db-id="wa9v2rtr0d5pdzedaeu5es530aw9925advpv" timestamp="1587703348"&gt;737&lt;/key&gt;&lt;/foreign-keys&gt;&lt;ref-type name="Web Page"&gt;12&lt;/ref-type&gt;&lt;contributors&gt;&lt;authors&gt;&lt;author&gt;ABS&lt;/author&gt;&lt;/authors&gt;&lt;secondary-authors&gt;&lt;author&gt;Australian Bureau of Statistics,&lt;/author&gt;&lt;/secondary-authors&gt;&lt;/contributors&gt;&lt;titles&gt;&lt;title&gt;1270.0.55.001 - Australian Statistical Geography Standard (ADGS): Volume 1 - Main Structure and Greater Capital City Statistical Areas, July 2016&lt;/title&gt;&lt;/titles&gt;&lt;dates&gt;&lt;year&gt;2016&lt;/year&gt;&lt;pub-dates&gt;&lt;date&gt;July 2016&lt;/date&gt;&lt;/pub-dates&gt;&lt;/dates&gt;&lt;publisher&gt;Australian Federal Government&lt;/publisher&gt;&lt;urls&gt;&lt;related-urls&gt;&lt;url&gt;https://www.abs.gov.au/ausstats/abs@.nsf/Lookup/by%20Subject/1270.0.55.001~July%202016~Main%20Features~Statistical%20Area%20Level%202%20(SA2)~10014&lt;/url&gt;&lt;/related-urls&gt;&lt;/urls&gt;&lt;custom1&gt;2020&lt;/custom1&gt;&lt;custom2&gt;January 4&lt;/custom2&gt;&lt;/record&gt;&lt;/Cite&gt;&lt;/EndNote&gt;</w:instrText>
            </w:r>
            <w:r w:rsidRPr="00764997">
              <w:rPr>
                <w:noProof/>
                <w:sz w:val="18"/>
                <w:szCs w:val="18"/>
                <w:lang w:eastAsia="en-AU"/>
              </w:rPr>
              <w:fldChar w:fldCharType="separate"/>
            </w:r>
            <w:r w:rsidR="00D62B59" w:rsidRPr="00D62B59">
              <w:rPr>
                <w:noProof/>
                <w:sz w:val="18"/>
                <w:szCs w:val="18"/>
                <w:vertAlign w:val="superscript"/>
                <w:lang w:eastAsia="en-AU"/>
              </w:rPr>
              <w:t>(12)</w:t>
            </w:r>
            <w:r w:rsidRPr="00764997">
              <w:rPr>
                <w:noProof/>
                <w:sz w:val="18"/>
                <w:szCs w:val="18"/>
                <w:lang w:eastAsia="en-AU"/>
              </w:rPr>
              <w:fldChar w:fldCharType="end"/>
            </w:r>
            <w:r w:rsidRPr="00764997">
              <w:rPr>
                <w:noProof/>
                <w:sz w:val="18"/>
                <w:szCs w:val="18"/>
                <w:lang w:eastAsia="en-AU"/>
              </w:rPr>
              <w:t xml:space="preserve"> but sits within a local government area within metro Melbourne.</w:t>
            </w:r>
          </w:p>
          <w:p w14:paraId="2F8F9BC2" w14:textId="77777777" w:rsidR="003A133A" w:rsidRPr="00DE57EC" w:rsidRDefault="003A133A" w:rsidP="003A133A">
            <w:pPr>
              <w:rPr>
                <w:noProof/>
                <w:vertAlign w:val="superscript"/>
                <w:lang w:eastAsia="en-AU"/>
              </w:rPr>
            </w:pPr>
            <w:r w:rsidRPr="00764997">
              <w:rPr>
                <w:noProof/>
                <w:sz w:val="18"/>
                <w:szCs w:val="18"/>
                <w:lang w:eastAsia="en-AU"/>
              </w:rPr>
              <w:t>LGA-Ring: represents the grouping of local government areas based on geographical distance form the Cetral Buisiness District; Growth Areas represent designated local government areas expected to house a large proportion of urban growth.</w:t>
            </w:r>
            <w:r>
              <w:rPr>
                <w:noProof/>
                <w:vertAlign w:val="superscript"/>
                <w:lang w:eastAsia="en-AU"/>
              </w:rPr>
              <w:t xml:space="preserve"> </w:t>
            </w:r>
          </w:p>
        </w:tc>
      </w:tr>
      <w:tr w:rsidR="003A133A" w14:paraId="3FB0563F" w14:textId="77777777" w:rsidTr="003A133A">
        <w:trPr>
          <w:gridAfter w:val="1"/>
          <w:wAfter w:w="9314" w:type="dxa"/>
          <w:trHeight w:val="209"/>
        </w:trPr>
        <w:tc>
          <w:tcPr>
            <w:tcW w:w="4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C680" w14:textId="77777777" w:rsidR="003A133A" w:rsidRPr="00DE57EC" w:rsidRDefault="003A133A" w:rsidP="003A133A">
            <w:pPr>
              <w:rPr>
                <w:b/>
                <w:noProof/>
                <w:lang w:eastAsia="en-AU"/>
              </w:rPr>
            </w:pPr>
            <w:r w:rsidRPr="00DE57EC">
              <w:rPr>
                <w:b/>
                <w:noProof/>
                <w:lang w:eastAsia="en-AU"/>
              </w:rPr>
              <w:t xml:space="preserve">Food </w:t>
            </w:r>
            <w:r w:rsidRPr="002D275A">
              <w:rPr>
                <w:b/>
                <w:noProof/>
                <w:lang w:eastAsia="en-AU"/>
              </w:rPr>
              <w:t>Retail</w:t>
            </w:r>
            <w:r>
              <w:rPr>
                <w:b/>
                <w:noProof/>
                <w:color w:val="FF0000"/>
                <w:lang w:eastAsia="en-AU"/>
              </w:rPr>
              <w:t xml:space="preserve"> </w:t>
            </w:r>
            <w:r w:rsidRPr="00DE57EC">
              <w:rPr>
                <w:b/>
                <w:noProof/>
                <w:lang w:eastAsia="en-AU"/>
              </w:rPr>
              <w:t>Environment Typology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1E58E" w14:textId="77777777" w:rsidR="003A133A" w:rsidRPr="00DE57EC" w:rsidRDefault="003A133A" w:rsidP="003A133A">
            <w:pPr>
              <w:rPr>
                <w:b/>
                <w:noProof/>
                <w:lang w:eastAsia="en-AU"/>
              </w:rPr>
            </w:pPr>
            <w:r w:rsidRPr="00DE57EC">
              <w:rPr>
                <w:b/>
                <w:noProof/>
                <w:lang w:eastAsia="en-AU"/>
              </w:rPr>
              <w:t>LGA-Ring</w:t>
            </w:r>
          </w:p>
        </w:tc>
      </w:tr>
      <w:tr w:rsidR="003A133A" w14:paraId="090EFA13" w14:textId="77777777" w:rsidTr="003A133A">
        <w:trPr>
          <w:gridAfter w:val="1"/>
          <w:wAfter w:w="9314" w:type="dxa"/>
          <w:trHeight w:val="1768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14:paraId="6AE98AAC" w14:textId="77777777" w:rsidR="003A133A" w:rsidRDefault="003A133A" w:rsidP="003A133A">
            <w:pPr>
              <w:rPr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0CEFCFBD" wp14:editId="67014F17">
                  <wp:extent cx="2067213" cy="1066949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egend FET map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213" cy="106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14:paraId="1C79D5E2" w14:textId="77777777" w:rsidR="003A133A" w:rsidRDefault="003A133A" w:rsidP="003A133A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8440AFF" wp14:editId="2566AE82">
                  <wp:extent cx="1057423" cy="7144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Legend LGA Ring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23" cy="7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33A" w14:paraId="6F95A424" w14:textId="77777777" w:rsidTr="003A133A">
        <w:trPr>
          <w:gridAfter w:val="1"/>
          <w:wAfter w:w="9314" w:type="dxa"/>
          <w:trHeight w:val="730"/>
        </w:trPr>
        <w:tc>
          <w:tcPr>
            <w:tcW w:w="9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C5C82" w14:textId="77777777" w:rsidR="003A133A" w:rsidRPr="00DE57EC" w:rsidRDefault="003A133A" w:rsidP="003A133A">
            <w:pPr>
              <w:rPr>
                <w:noProof/>
                <w:vertAlign w:val="superscript"/>
                <w:lang w:eastAsia="en-AU"/>
              </w:rPr>
            </w:pPr>
          </w:p>
        </w:tc>
      </w:tr>
    </w:tbl>
    <w:p w14:paraId="5AC6ECC4" w14:textId="77777777" w:rsidR="003A133A" w:rsidRPr="00653380" w:rsidRDefault="003A133A" w:rsidP="003A133A">
      <w:pPr>
        <w:spacing w:after="0" w:line="240" w:lineRule="auto"/>
        <w:rPr>
          <w:vertAlign w:val="superscript"/>
        </w:rPr>
      </w:pPr>
    </w:p>
    <w:p w14:paraId="1C76066E" w14:textId="77777777" w:rsidR="003A133A" w:rsidRPr="008F65DF" w:rsidRDefault="003A133A" w:rsidP="003A133A">
      <w:pPr>
        <w:rPr>
          <w:b/>
        </w:rPr>
      </w:pPr>
      <w:r>
        <w:rPr>
          <w:b/>
        </w:rPr>
        <w:t xml:space="preserve">Supplementary Table 5. </w:t>
      </w:r>
      <w:r w:rsidRPr="008F65DF">
        <w:rPr>
          <w:b/>
        </w:rPr>
        <w:t xml:space="preserve">Food retail environment typology prevalence across area-level socioeconomic position within each year in Greater Melbourne </w:t>
      </w: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865"/>
        <w:gridCol w:w="963"/>
        <w:gridCol w:w="1292"/>
        <w:gridCol w:w="963"/>
        <w:gridCol w:w="1292"/>
        <w:gridCol w:w="963"/>
        <w:gridCol w:w="1292"/>
        <w:gridCol w:w="963"/>
        <w:gridCol w:w="1292"/>
        <w:gridCol w:w="963"/>
        <w:gridCol w:w="981"/>
      </w:tblGrid>
      <w:tr w:rsidR="008F65DF" w:rsidRPr="008F65DF" w14:paraId="05254BF0" w14:textId="77777777" w:rsidTr="00B37BFF">
        <w:trPr>
          <w:trHeight w:val="113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E15AA9" w14:textId="77777777" w:rsidR="003A133A" w:rsidRPr="008F65D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10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600825" w14:textId="77777777" w:rsidR="003A133A" w:rsidRPr="008F65D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SEIFA-IRSAD Quartiles</w:t>
            </w:r>
          </w:p>
        </w:tc>
      </w:tr>
      <w:tr w:rsidR="008F65DF" w:rsidRPr="008F65DF" w14:paraId="645DA684" w14:textId="77777777" w:rsidTr="00B37BFF">
        <w:trPr>
          <w:trHeight w:val="113"/>
        </w:trPr>
        <w:tc>
          <w:tcPr>
            <w:tcW w:w="0" w:type="auto"/>
            <w:vMerge/>
            <w:tcBorders>
              <w:top w:val="single" w:sz="8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DED729" w14:textId="77777777" w:rsidR="003A133A" w:rsidRPr="008F65D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F0F060" w14:textId="77777777" w:rsidR="003A133A" w:rsidRPr="008F65D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Q1 (lowest SEP)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425A5B" w14:textId="77777777" w:rsidR="003A133A" w:rsidRPr="008F65D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Q2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9150D6" w14:textId="77777777" w:rsidR="003A133A" w:rsidRPr="008F65D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Q3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D724A4" w14:textId="77777777" w:rsidR="003A133A" w:rsidRPr="008F65D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Q4 (highest SEP)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A58E02" w14:textId="77777777" w:rsidR="003A133A" w:rsidRPr="008F65D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45A1D1" w14:textId="77777777" w:rsidR="003A133A" w:rsidRPr="008F65D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 xml:space="preserve">% </w:t>
            </w:r>
            <w:proofErr w:type="gramStart"/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of</w:t>
            </w:r>
            <w:proofErr w:type="gramEnd"/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 xml:space="preserve"> Total</w:t>
            </w:r>
          </w:p>
        </w:tc>
      </w:tr>
      <w:tr w:rsidR="008F65DF" w:rsidRPr="008F65DF" w14:paraId="4F2F3D2A" w14:textId="77777777" w:rsidTr="00B37BFF">
        <w:trPr>
          <w:trHeight w:val="113"/>
        </w:trPr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7C9FCC0" w14:textId="77777777" w:rsidR="003A133A" w:rsidRPr="008F65D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Food Retail Environment Typology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AF25A0C" w14:textId="77777777" w:rsidR="003A133A" w:rsidRPr="008F65D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 xml:space="preserve"> No. SA2s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E75416B" w14:textId="77777777" w:rsidR="003A133A" w:rsidRPr="008F65DF" w:rsidRDefault="003A133A" w:rsidP="00B37BF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 xml:space="preserve">% </w:t>
            </w:r>
            <w:proofErr w:type="gramStart"/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of</w:t>
            </w:r>
            <w:proofErr w:type="gramEnd"/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 xml:space="preserve"> </w:t>
            </w:r>
          </w:p>
          <w:p w14:paraId="535B9583" w14:textId="77777777" w:rsidR="003A133A" w:rsidRPr="008F65DF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each typology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B83B527" w14:textId="77777777" w:rsidR="003A133A" w:rsidRPr="008F65D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 xml:space="preserve"> No. SA2s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6C98EF6" w14:textId="77777777" w:rsidR="003A133A" w:rsidRPr="008F65DF" w:rsidRDefault="003A133A" w:rsidP="00B37BF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 xml:space="preserve">% </w:t>
            </w:r>
            <w:proofErr w:type="gramStart"/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of</w:t>
            </w:r>
            <w:proofErr w:type="gramEnd"/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 xml:space="preserve"> </w:t>
            </w:r>
          </w:p>
          <w:p w14:paraId="7D7E1528" w14:textId="77777777" w:rsidR="003A133A" w:rsidRPr="008F65D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each typology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8FE9CA9" w14:textId="77777777" w:rsidR="003A133A" w:rsidRPr="008F65D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 xml:space="preserve"> No. SA2s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ACCE66D" w14:textId="77777777" w:rsidR="003A133A" w:rsidRPr="008F65DF" w:rsidRDefault="003A133A" w:rsidP="00B37BF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 xml:space="preserve">% </w:t>
            </w:r>
            <w:proofErr w:type="gramStart"/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of</w:t>
            </w:r>
            <w:proofErr w:type="gramEnd"/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 xml:space="preserve"> </w:t>
            </w:r>
          </w:p>
          <w:p w14:paraId="71B08DB4" w14:textId="77777777" w:rsidR="003A133A" w:rsidRPr="008F65D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each typology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D3935BE" w14:textId="77777777" w:rsidR="003A133A" w:rsidRPr="008F65D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 xml:space="preserve"> No. SA2s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6CF7D89" w14:textId="77777777" w:rsidR="003A133A" w:rsidRPr="008F65DF" w:rsidRDefault="003A133A" w:rsidP="00B37BF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 xml:space="preserve">% </w:t>
            </w:r>
            <w:proofErr w:type="gramStart"/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of</w:t>
            </w:r>
            <w:proofErr w:type="gramEnd"/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 xml:space="preserve"> </w:t>
            </w:r>
          </w:p>
          <w:p w14:paraId="510FBD7F" w14:textId="77777777" w:rsidR="003A133A" w:rsidRPr="008F65D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each typology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3E58AF9" w14:textId="77777777" w:rsidR="003A133A" w:rsidRPr="008F65D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 xml:space="preserve"> No. SA2s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8116A7D" w14:textId="77777777" w:rsidR="003A133A" w:rsidRPr="008F65DF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8F65DF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%</w:t>
            </w:r>
          </w:p>
        </w:tc>
      </w:tr>
      <w:tr w:rsidR="003A133A" w:rsidRPr="00381873" w14:paraId="55E83AAB" w14:textId="77777777" w:rsidTr="00B37BFF">
        <w:trPr>
          <w:trHeight w:val="113"/>
        </w:trPr>
        <w:tc>
          <w:tcPr>
            <w:tcW w:w="0" w:type="auto"/>
            <w:gridSpan w:val="11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24A428E" w14:textId="77777777" w:rsidR="003A133A" w:rsidRPr="00381873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proofErr w:type="gramStart"/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Year :</w:t>
            </w:r>
            <w:proofErr w:type="gramEnd"/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 2008</w:t>
            </w:r>
          </w:p>
        </w:tc>
      </w:tr>
      <w:tr w:rsidR="003A133A" w:rsidRPr="00381873" w14:paraId="70245646" w14:textId="77777777" w:rsidTr="00B37BFF">
        <w:trPr>
          <w:trHeight w:val="113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1FA057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Zero food retail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570ADC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489148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14.3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FA5E8F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0A60E7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28.6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34464D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79BD47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35.7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5F4DAC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338325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3AFD1A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0CC667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4.7</w:t>
            </w:r>
          </w:p>
        </w:tc>
      </w:tr>
      <w:tr w:rsidR="003A133A" w:rsidRPr="00381873" w14:paraId="281DC125" w14:textId="77777777" w:rsidTr="00B37BFF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0EBB1C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Low access - High % healthy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2CE86D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DD93D6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7D447F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B9881E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A7A16B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E85A64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E083F9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33B28A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550BC3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B0F117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7.4</w:t>
            </w:r>
          </w:p>
        </w:tc>
      </w:tr>
      <w:tr w:rsidR="003A133A" w:rsidRPr="00381873" w14:paraId="0477008D" w14:textId="77777777" w:rsidTr="00B37BFF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876E5A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Low access - Low % healthy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A1383B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F6F87E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A7B113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40DB53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2AEC8D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C1AF45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6DBFEF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6913D0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29B9D4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CAB463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26.3</w:t>
            </w:r>
          </w:p>
        </w:tc>
      </w:tr>
      <w:tr w:rsidR="003A133A" w:rsidRPr="00381873" w14:paraId="03CECF9D" w14:textId="77777777" w:rsidTr="00B37BFF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5CD8BE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Moderate access – Low % healthy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F3E1B7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270A84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CB260C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7F67C4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BC6FAB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14C612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FF56F1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B70A16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0AA540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7273BC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28.6</w:t>
            </w:r>
          </w:p>
        </w:tc>
      </w:tr>
      <w:tr w:rsidR="003A133A" w:rsidRPr="00381873" w14:paraId="3C31828C" w14:textId="77777777" w:rsidTr="00B37BFF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FF651F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High access – Low % healthy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D71ABE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29EBFA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4EA086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711230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D3AFA6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0668F1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F4C623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61E55D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A8E08D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BB4ACD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13.1</w:t>
            </w:r>
          </w:p>
        </w:tc>
      </w:tr>
      <w:tr w:rsidR="003A133A" w:rsidRPr="00381873" w14:paraId="24BF2C0C" w14:textId="77777777" w:rsidTr="00B37BFF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6A1A29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High Access – Moderate % healthy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7A86E9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9687B0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E04C1F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D50B4C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1F0168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85BF5C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0B0F54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57DA5E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60FB41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939B71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19.9</w:t>
            </w:r>
          </w:p>
        </w:tc>
      </w:tr>
      <w:tr w:rsidR="003A133A" w:rsidRPr="00381873" w14:paraId="1534D952" w14:textId="77777777" w:rsidTr="00B37BFF">
        <w:trPr>
          <w:trHeight w:val="11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0994B6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9AE77A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AF1999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75DA2C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3FB0C9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6DF0F3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C183B4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E659AB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0AE7B0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671A5D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6B29F0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100.0</w:t>
            </w:r>
          </w:p>
        </w:tc>
      </w:tr>
      <w:tr w:rsidR="003A133A" w:rsidRPr="00381873" w14:paraId="3C6075DF" w14:textId="77777777" w:rsidTr="00B37BFF">
        <w:trPr>
          <w:trHeight w:val="113"/>
        </w:trPr>
        <w:tc>
          <w:tcPr>
            <w:tcW w:w="0" w:type="auto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81DF4E" w14:textId="77777777" w:rsidR="003A133A" w:rsidRPr="00381873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proofErr w:type="gramStart"/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Year :</w:t>
            </w:r>
            <w:proofErr w:type="gramEnd"/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 2012</w:t>
            </w:r>
          </w:p>
        </w:tc>
      </w:tr>
      <w:tr w:rsidR="003A133A" w:rsidRPr="00381873" w14:paraId="11B94216" w14:textId="77777777" w:rsidTr="00B37BFF">
        <w:trPr>
          <w:trHeight w:val="113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96D13D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Zero food retail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E5FA36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BCB66B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AF07AE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C66BC4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28.6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20F19B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E19203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42.9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AB5A9A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BF93CB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28.6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95C863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353830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2.4</w:t>
            </w:r>
          </w:p>
        </w:tc>
      </w:tr>
      <w:tr w:rsidR="003A133A" w:rsidRPr="00381873" w14:paraId="55C92208" w14:textId="77777777" w:rsidTr="00B37BFF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2905C2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Low access - High % healthy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CEAD0E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D1DA29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AB3C32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313A2F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91E5D5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2ADE2B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99DD87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D46FF0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D7399A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C9CCF9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7.1</w:t>
            </w:r>
          </w:p>
        </w:tc>
      </w:tr>
      <w:tr w:rsidR="003A133A" w:rsidRPr="00381873" w14:paraId="1E83E435" w14:textId="77777777" w:rsidTr="00B37BFF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2B61E1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Low access - Low % healthy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56A777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6358F3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581827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A35AA5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D95AE8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8176DB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B9A412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D831AF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F6FD0A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5622DA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19.5</w:t>
            </w:r>
          </w:p>
        </w:tc>
      </w:tr>
      <w:tr w:rsidR="003A133A" w:rsidRPr="00381873" w14:paraId="0D7A23F3" w14:textId="77777777" w:rsidTr="00B37BFF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D68505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Moderate access – Low % healthy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B9DA65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FC3CC5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B41095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ECF4C0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7654AB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9B2C0B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F568A8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BCB386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3FE1E3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C9A2DE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33.0</w:t>
            </w:r>
          </w:p>
        </w:tc>
      </w:tr>
      <w:tr w:rsidR="003A133A" w:rsidRPr="00381873" w14:paraId="1F208C9C" w14:textId="77777777" w:rsidTr="00B37BFF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C1DA26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High access – Low % healthy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4DAB87A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5E3DD89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1B6B9F8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0939D6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EFC78F1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6B8AA36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566D2C6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4B0EB1E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238BB08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56C19A5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15.1</w:t>
            </w:r>
          </w:p>
        </w:tc>
      </w:tr>
      <w:tr w:rsidR="003A133A" w:rsidRPr="00381873" w14:paraId="79905558" w14:textId="77777777" w:rsidTr="00B37BFF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BF02F4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High Access – Moderate % healthy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E13304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6EFB45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AA3F3D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48D157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93C9B4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ADC2BA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142639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0B2B93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93A28F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D0210B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22.9</w:t>
            </w:r>
          </w:p>
        </w:tc>
      </w:tr>
      <w:tr w:rsidR="003A133A" w:rsidRPr="00381873" w14:paraId="34A2B843" w14:textId="77777777" w:rsidTr="00B37BFF">
        <w:trPr>
          <w:trHeight w:val="11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271392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269298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D2A0CB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6F61D6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0943A2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745F1C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71BD64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7B87DB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17D74A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AB201A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FB66C7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100.0</w:t>
            </w:r>
          </w:p>
        </w:tc>
      </w:tr>
      <w:tr w:rsidR="003A133A" w:rsidRPr="00381873" w14:paraId="1181744E" w14:textId="77777777" w:rsidTr="00B37BFF">
        <w:trPr>
          <w:trHeight w:val="113"/>
        </w:trPr>
        <w:tc>
          <w:tcPr>
            <w:tcW w:w="0" w:type="auto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839F41" w14:textId="77777777" w:rsidR="003A133A" w:rsidRPr="00381873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proofErr w:type="gramStart"/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Year :</w:t>
            </w:r>
            <w:proofErr w:type="gramEnd"/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 2014</w:t>
            </w:r>
          </w:p>
        </w:tc>
      </w:tr>
      <w:tr w:rsidR="003A133A" w:rsidRPr="00381873" w14:paraId="48817BD1" w14:textId="77777777" w:rsidTr="00B37BFF">
        <w:trPr>
          <w:trHeight w:val="113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579932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Zero food retail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9CEA3A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D2B5D2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9611C7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34ECFE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747CC1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E2BF99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DD0EFF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95323E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B533B0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8CC580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1.3</w:t>
            </w:r>
          </w:p>
        </w:tc>
      </w:tr>
      <w:tr w:rsidR="003A133A" w:rsidRPr="00381873" w14:paraId="3C72E288" w14:textId="77777777" w:rsidTr="00B37BFF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77E33C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Low access - High % healthy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553443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C2C268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A90857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B1D56A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54F4E3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4376D7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32EFCC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2628D8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F9C81B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7E5AEB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6.1</w:t>
            </w:r>
          </w:p>
        </w:tc>
      </w:tr>
      <w:tr w:rsidR="003A133A" w:rsidRPr="00381873" w14:paraId="6D362809" w14:textId="77777777" w:rsidTr="00B37BFF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694A3C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Low access - Low % healthy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519692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0A3068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F01007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A394F7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9698F4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769E95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AEA114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666C49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54F546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526694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15.1</w:t>
            </w:r>
          </w:p>
        </w:tc>
      </w:tr>
      <w:tr w:rsidR="003A133A" w:rsidRPr="00381873" w14:paraId="418B6CF0" w14:textId="77777777" w:rsidTr="00B37BFF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AACD2A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Moderate access – Low % healthy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8DB3AE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32D181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9C4403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EA148F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239A53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E43CF7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03AF43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678DE2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BAEA33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B76ADD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33.7</w:t>
            </w:r>
          </w:p>
        </w:tc>
      </w:tr>
      <w:tr w:rsidR="003A133A" w:rsidRPr="00381873" w14:paraId="1E9516AC" w14:textId="77777777" w:rsidTr="00B37BFF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DF0610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High access – Low % healthy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F8433E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387A89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C1D1E2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9D852C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0ABA0F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909975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5BE655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A039FF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DDD3DC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159229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14.5</w:t>
            </w:r>
          </w:p>
        </w:tc>
      </w:tr>
      <w:tr w:rsidR="003A133A" w:rsidRPr="00381873" w14:paraId="3DD93DD0" w14:textId="77777777" w:rsidTr="00B37BFF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938DEA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High Access – Moderate % healthy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B82426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4F8CFD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E08ED0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D3B7A6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393F56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3F8C86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FED90D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D9C8E5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FCFF16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D2DF9D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29.3</w:t>
            </w:r>
          </w:p>
        </w:tc>
      </w:tr>
      <w:tr w:rsidR="003A133A" w:rsidRPr="00381873" w14:paraId="4881653D" w14:textId="77777777" w:rsidTr="00B37BFF">
        <w:trPr>
          <w:trHeight w:val="113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251BBE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A6374A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A407F9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D2991F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4926E8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667AA7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7C59D8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8F9301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07578A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B64298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25858D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100.0</w:t>
            </w:r>
          </w:p>
        </w:tc>
      </w:tr>
      <w:tr w:rsidR="003A133A" w:rsidRPr="00381873" w14:paraId="04DC10B4" w14:textId="77777777" w:rsidTr="00B37BFF">
        <w:trPr>
          <w:trHeight w:val="113"/>
        </w:trPr>
        <w:tc>
          <w:tcPr>
            <w:tcW w:w="0" w:type="auto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15A808" w14:textId="77777777" w:rsidR="003A133A" w:rsidRPr="00381873" w:rsidRDefault="003A133A" w:rsidP="00B37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proofErr w:type="gramStart"/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Year :</w:t>
            </w:r>
            <w:proofErr w:type="gramEnd"/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 2016</w:t>
            </w:r>
          </w:p>
        </w:tc>
      </w:tr>
      <w:tr w:rsidR="003A133A" w:rsidRPr="00381873" w14:paraId="2098E9B0" w14:textId="77777777" w:rsidTr="00B37BFF">
        <w:trPr>
          <w:trHeight w:val="113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797C0C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Zero food retail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9883BF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02F062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CCA9B5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9750E1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06B68E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96583A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C37F9C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037C02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B927A1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32093B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1.3</w:t>
            </w:r>
          </w:p>
        </w:tc>
      </w:tr>
      <w:tr w:rsidR="003A133A" w:rsidRPr="00381873" w14:paraId="224D9FC6" w14:textId="77777777" w:rsidTr="00B37BFF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49C2D5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Low access - High % healthy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C41A35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2E18E8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7E31DA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4B7388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9BDB23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328011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67E86A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4BF4FD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025683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BDE02B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5.4</w:t>
            </w:r>
          </w:p>
        </w:tc>
      </w:tr>
      <w:tr w:rsidR="003A133A" w:rsidRPr="00381873" w14:paraId="5EDB049D" w14:textId="77777777" w:rsidTr="00B37BFF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F733B7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Low access - Low % healthy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87C395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66E547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768679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1193D8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618EAD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AB4816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F9212D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7A8320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056346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BE6FFE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13.8</w:t>
            </w:r>
          </w:p>
        </w:tc>
      </w:tr>
      <w:tr w:rsidR="003A133A" w:rsidRPr="00381873" w14:paraId="2243F432" w14:textId="77777777" w:rsidTr="00B37BFF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4CF4B9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Moderate access – Low % healthy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552717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C95493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BE8695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3DF3A5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B8E1E6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BF100B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D74785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DF84C4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F55009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0C346C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33.0</w:t>
            </w:r>
          </w:p>
        </w:tc>
      </w:tr>
      <w:tr w:rsidR="003A133A" w:rsidRPr="00381873" w14:paraId="05741D0A" w14:textId="77777777" w:rsidTr="00B37BFF">
        <w:trPr>
          <w:trHeight w:val="11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3FBD74A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High access – Low % healthy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F7F0368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B2783D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7BB6C43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C3537B5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0A6EDC7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EFCA8AA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DF2C2C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5AE401E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59.2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8DE9836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E823D3D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16.5</w:t>
            </w:r>
          </w:p>
        </w:tc>
      </w:tr>
      <w:tr w:rsidR="003A133A" w:rsidRPr="00381873" w14:paraId="14C27D1F" w14:textId="77777777" w:rsidTr="00B37BFF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8AADDF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High Access – Moderate % healthy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3D286B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4453A2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49419F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674D73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1302B3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5B89A3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BBE850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CC2473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9F0C06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9CF728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30.0</w:t>
            </w:r>
          </w:p>
        </w:tc>
      </w:tr>
      <w:tr w:rsidR="003A133A" w:rsidRPr="0064314B" w14:paraId="366B7EA7" w14:textId="77777777" w:rsidTr="00B37BFF">
        <w:trPr>
          <w:trHeight w:val="113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46BB99" w14:textId="77777777" w:rsidR="003A133A" w:rsidRPr="00381873" w:rsidRDefault="003A133A" w:rsidP="00B37B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978BF0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E0483C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3FFBAB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A688BE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D8AEA6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B0F709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020138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F578DE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2AA6FB" w14:textId="77777777" w:rsidR="003A133A" w:rsidRPr="00381873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54A5DA" w14:textId="77777777" w:rsidR="003A133A" w:rsidRPr="0064314B" w:rsidRDefault="003A133A" w:rsidP="00B37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818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100.0</w:t>
            </w:r>
          </w:p>
        </w:tc>
      </w:tr>
    </w:tbl>
    <w:p w14:paraId="54E6A588" w14:textId="77777777" w:rsidR="003A133A" w:rsidRPr="00081F8A" w:rsidRDefault="003A133A" w:rsidP="003A133A">
      <w:pPr>
        <w:spacing w:after="0" w:line="240" w:lineRule="auto"/>
        <w:rPr>
          <w:rFonts w:cs="Arial"/>
          <w:sz w:val="18"/>
          <w:szCs w:val="18"/>
        </w:rPr>
      </w:pPr>
      <w:r w:rsidRPr="00081F8A">
        <w:rPr>
          <w:rFonts w:cs="Arial"/>
          <w:sz w:val="18"/>
          <w:szCs w:val="18"/>
        </w:rPr>
        <w:t>SEIFA-IRSAD: Socioeconomic Index for Areas – Index of Relative Socioeconomic Advantage and Disadvantage</w:t>
      </w:r>
    </w:p>
    <w:p w14:paraId="2F693C95" w14:textId="77777777" w:rsidR="003A133A" w:rsidRPr="00081F8A" w:rsidRDefault="003A133A" w:rsidP="003A133A">
      <w:pPr>
        <w:spacing w:after="0" w:line="240" w:lineRule="auto"/>
        <w:rPr>
          <w:sz w:val="18"/>
          <w:szCs w:val="18"/>
        </w:rPr>
      </w:pPr>
      <w:r w:rsidRPr="00081F8A">
        <w:rPr>
          <w:rFonts w:cs="Arial"/>
          <w:sz w:val="18"/>
          <w:szCs w:val="18"/>
        </w:rPr>
        <w:t>SEP: Socioeconomic position</w:t>
      </w:r>
      <w:r w:rsidRPr="00081F8A">
        <w:rPr>
          <w:rFonts w:cs="Arial"/>
          <w:sz w:val="18"/>
          <w:szCs w:val="18"/>
        </w:rPr>
        <w:tab/>
        <w:t>Q: Quartile</w:t>
      </w:r>
      <w:r w:rsidRPr="00081F8A">
        <w:rPr>
          <w:sz w:val="18"/>
          <w:szCs w:val="18"/>
        </w:rPr>
        <w:t xml:space="preserve"> </w:t>
      </w:r>
      <w:r w:rsidRPr="00081F8A">
        <w:rPr>
          <w:sz w:val="18"/>
          <w:szCs w:val="18"/>
        </w:rPr>
        <w:tab/>
      </w:r>
      <w:r w:rsidRPr="00081F8A">
        <w:rPr>
          <w:sz w:val="18"/>
          <w:szCs w:val="18"/>
        </w:rPr>
        <w:tab/>
        <w:t>CBD: Central business district</w:t>
      </w:r>
    </w:p>
    <w:p w14:paraId="3EB328DF" w14:textId="77777777" w:rsidR="00D62B59" w:rsidRDefault="003A133A" w:rsidP="003A133A">
      <w:pPr>
        <w:spacing w:after="0" w:line="240" w:lineRule="auto"/>
        <w:rPr>
          <w:vertAlign w:val="superscript"/>
        </w:rPr>
      </w:pPr>
      <w:r w:rsidRPr="00081F8A">
        <w:rPr>
          <w:sz w:val="18"/>
          <w:szCs w:val="18"/>
        </w:rPr>
        <w:t>*SA2: Statistical area 2: medium-sized general purpose areas representing geographical areas where community interact together socially and economically</w:t>
      </w:r>
      <w:r w:rsidRPr="00081F8A">
        <w:rPr>
          <w:sz w:val="18"/>
          <w:szCs w:val="18"/>
        </w:rPr>
        <w:fldChar w:fldCharType="begin"/>
      </w:r>
      <w:r w:rsidR="00D62B59">
        <w:rPr>
          <w:sz w:val="18"/>
          <w:szCs w:val="18"/>
        </w:rPr>
        <w:instrText xml:space="preserve"> ADDIN EN.CITE &lt;EndNote&gt;&lt;Cite&gt;&lt;Author&gt;ABS&lt;/Author&gt;&lt;Year&gt;2016&lt;/Year&gt;&lt;RecNum&gt;737&lt;/RecNum&gt;&lt;DisplayText&gt;&lt;style face="superscript"&gt;(12)&lt;/style&gt;&lt;/DisplayText&gt;&lt;record&gt;&lt;rec-number&gt;737&lt;/rec-number&gt;&lt;foreign-keys&gt;&lt;key app="EN" db-id="wa9v2rtr0d5pdzedaeu5es530aw9925advpv" timestamp="1587703348"&gt;737&lt;/key&gt;&lt;/foreign-keys&gt;&lt;ref-type name="Web Page"&gt;12&lt;/ref-type&gt;&lt;contributors&gt;&lt;authors&gt;&lt;author&gt;ABS&lt;/author&gt;&lt;/authors&gt;&lt;secondary-authors&gt;&lt;author&gt;Australian Bureau of Statistics,&lt;/author&gt;&lt;/secondary-authors&gt;&lt;/contributors&gt;&lt;titles&gt;&lt;title&gt;1270.0.55.001 - Australian Statistical Geography Standard (ADGS): Volume 1 - Main Structure and Greater Capital City Statistical Areas, July 2016&lt;/title&gt;&lt;/titles&gt;&lt;dates&gt;&lt;year&gt;2016&lt;/year&gt;&lt;pub-dates&gt;&lt;date&gt;July 2016&lt;/date&gt;&lt;/pub-dates&gt;&lt;/dates&gt;&lt;publisher&gt;Australian Federal Government&lt;/publisher&gt;&lt;urls&gt;&lt;related-urls&gt;&lt;url&gt;https://www.abs.gov.au/ausstats/abs@.nsf/Lookup/by%20Subject/1270.0.55.001~July%202016~Main%20Features~Statistical%20Area%20Level%202%20(SA2)~10014&lt;/url&gt;&lt;/related-urls&gt;&lt;/urls&gt;&lt;custom1&gt;2020&lt;/custom1&gt;&lt;custom2&gt;January 4&lt;/custom2&gt;&lt;/record&gt;&lt;/Cite&gt;&lt;/EndNote&gt;</w:instrText>
      </w:r>
      <w:r w:rsidRPr="00081F8A">
        <w:rPr>
          <w:sz w:val="18"/>
          <w:szCs w:val="18"/>
        </w:rPr>
        <w:fldChar w:fldCharType="separate"/>
      </w:r>
      <w:r w:rsidR="00D62B59" w:rsidRPr="00D62B59">
        <w:rPr>
          <w:noProof/>
          <w:sz w:val="18"/>
          <w:szCs w:val="18"/>
          <w:vertAlign w:val="superscript"/>
        </w:rPr>
        <w:t>(12)</w:t>
      </w:r>
      <w:r w:rsidRPr="00081F8A">
        <w:rPr>
          <w:sz w:val="18"/>
          <w:szCs w:val="18"/>
        </w:rPr>
        <w:fldChar w:fldCharType="end"/>
      </w:r>
      <w:r w:rsidRPr="003A133A">
        <w:rPr>
          <w:vertAlign w:val="superscript"/>
        </w:rPr>
        <w:t xml:space="preserve"> </w:t>
      </w:r>
    </w:p>
    <w:p w14:paraId="2D94B7E8" w14:textId="77777777" w:rsidR="00D62B59" w:rsidRDefault="00D62B59" w:rsidP="003A133A">
      <w:pPr>
        <w:spacing w:after="0" w:line="240" w:lineRule="auto"/>
        <w:rPr>
          <w:vertAlign w:val="superscript"/>
        </w:rPr>
      </w:pPr>
    </w:p>
    <w:p w14:paraId="4BD70EA3" w14:textId="77777777" w:rsidR="00D62B59" w:rsidRPr="00D62B59" w:rsidRDefault="00D62B59" w:rsidP="00D62B59">
      <w:pPr>
        <w:pStyle w:val="EndNoteBibliography"/>
        <w:spacing w:after="0"/>
      </w:pP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ADDIN EN.REFLIST </w:instrText>
      </w:r>
      <w:r>
        <w:rPr>
          <w:vertAlign w:val="superscript"/>
        </w:rPr>
        <w:fldChar w:fldCharType="separate"/>
      </w:r>
      <w:r w:rsidRPr="00D62B59">
        <w:t>1.</w:t>
      </w:r>
      <w:r w:rsidRPr="00D62B59">
        <w:tab/>
        <w:t>Mason KE, Bentley RJ, Kavanagh AM. Fruit and vegetable purchasing and the relative density of healthy and unhealthy food stores: evidence from an Australian multilevel study. Journal Of Epidemiology And Community Health. 2013;67(3):231-6.</w:t>
      </w:r>
    </w:p>
    <w:p w14:paraId="172848AF" w14:textId="77777777" w:rsidR="00D62B59" w:rsidRPr="00D62B59" w:rsidRDefault="00D62B59" w:rsidP="00D62B59">
      <w:pPr>
        <w:pStyle w:val="EndNoteBibliography"/>
        <w:spacing w:after="0"/>
      </w:pPr>
      <w:r w:rsidRPr="00D62B59">
        <w:t>2.</w:t>
      </w:r>
      <w:r w:rsidRPr="00D62B59">
        <w:tab/>
        <w:t>Feng X, Astell-Burt T, Badland H, et al. Modest ratios of fast food outlets to supermarkets and green grocers are associated with higher body mass index: Longitudinal analysis of a sample of 15,229 Australians aged 45 years and older in the Australian National Liveability Study. Health &amp; Place. 2018;49:101-10.</w:t>
      </w:r>
    </w:p>
    <w:p w14:paraId="64123AEB" w14:textId="77777777" w:rsidR="00D62B59" w:rsidRPr="00D62B59" w:rsidRDefault="00D62B59" w:rsidP="00D62B59">
      <w:pPr>
        <w:pStyle w:val="EndNoteBibliography"/>
        <w:spacing w:after="0"/>
      </w:pPr>
      <w:r w:rsidRPr="00D62B59">
        <w:t>3.</w:t>
      </w:r>
      <w:r w:rsidRPr="00D62B59">
        <w:tab/>
        <w:t>Luan H, Law J, Quick M. Identifying food deserts and swamps based on relative healthy food access: a spatio-temporal Bayesian approach. International Journal Of Health Geographics. 2015;14:37-.</w:t>
      </w:r>
    </w:p>
    <w:p w14:paraId="50F14817" w14:textId="77777777" w:rsidR="00D62B59" w:rsidRPr="00D62B59" w:rsidRDefault="00D62B59" w:rsidP="00D62B59">
      <w:pPr>
        <w:pStyle w:val="EndNoteBibliography"/>
        <w:spacing w:after="0"/>
      </w:pPr>
      <w:r w:rsidRPr="00D62B59">
        <w:t>4.</w:t>
      </w:r>
      <w:r w:rsidRPr="00D62B59">
        <w:tab/>
        <w:t>O'Dwyer LA, Coveney J. Scoping supermarket availability and accessibility by socio-economic status in Adelaide. Health Promotion Journal Of Australia: Official Journal Of Australian Association Of Health Promotion Professionals. 2006;17(3):240-6.</w:t>
      </w:r>
    </w:p>
    <w:p w14:paraId="5B3EBF95" w14:textId="0A23B226" w:rsidR="00D62B59" w:rsidRPr="00D62B59" w:rsidRDefault="00D62B59" w:rsidP="00D62B59">
      <w:pPr>
        <w:pStyle w:val="EndNoteBibliography"/>
        <w:spacing w:after="0"/>
      </w:pPr>
      <w:r w:rsidRPr="00D62B59">
        <w:t>5.</w:t>
      </w:r>
      <w:r w:rsidRPr="00D62B59">
        <w:tab/>
        <w:t>Needham</w:t>
      </w:r>
      <w:r w:rsidR="008F65DF">
        <w:t>,</w:t>
      </w:r>
      <w:r w:rsidRPr="00D62B59">
        <w:t xml:space="preserve"> C</w:t>
      </w:r>
      <w:r w:rsidR="008F65DF">
        <w:t xml:space="preserve">.; </w:t>
      </w:r>
      <w:r w:rsidRPr="00D62B59">
        <w:t>S</w:t>
      </w:r>
      <w:r w:rsidR="008F65DF">
        <w:t>acks</w:t>
      </w:r>
      <w:r w:rsidRPr="00D62B59">
        <w:t>, G.; Orellana, L</w:t>
      </w:r>
      <w:r w:rsidR="008F65DF">
        <w:t>, et al</w:t>
      </w:r>
      <w:r w:rsidRPr="00D62B59">
        <w:t>. A systematic review of the Australian food retail environment: Characteristics, variation by geographic area, socioeconomic position and associations with diet and obesity. Obesity Reviews. 2019:1-22.</w:t>
      </w:r>
    </w:p>
    <w:p w14:paraId="2702965F" w14:textId="4482ED3C" w:rsidR="00D62B59" w:rsidRPr="00D62B59" w:rsidRDefault="00D62B59" w:rsidP="00D62B59">
      <w:pPr>
        <w:pStyle w:val="EndNoteBibliography"/>
        <w:spacing w:after="0"/>
      </w:pPr>
      <w:r w:rsidRPr="00D62B59">
        <w:t>6.</w:t>
      </w:r>
      <w:r w:rsidRPr="00D62B59">
        <w:tab/>
        <w:t>GAA. Precinct Structure Planning Guidelines Part Two: Preparing</w:t>
      </w:r>
      <w:r w:rsidR="008F65DF">
        <w:t xml:space="preserve"> the pricnct strucutre plan. Growth Areas Authority</w:t>
      </w:r>
      <w:r w:rsidRPr="00D62B59">
        <w:t>. Melbourne, Australia: Victorian State Government; 2013.</w:t>
      </w:r>
    </w:p>
    <w:p w14:paraId="2A6174E9" w14:textId="77777777" w:rsidR="00D62B59" w:rsidRPr="00D62B59" w:rsidRDefault="00D62B59" w:rsidP="00D62B59">
      <w:pPr>
        <w:pStyle w:val="EndNoteBibliography"/>
        <w:spacing w:after="0"/>
      </w:pPr>
      <w:r w:rsidRPr="00D62B59">
        <w:t>7.</w:t>
      </w:r>
      <w:r w:rsidRPr="00D62B59">
        <w:tab/>
        <w:t>Crothers L. Australia Retail Foods : Retail Food Sector Report 2019. USDA Foreign Agricultural Service : Global Agricultural Information Network; 2019.</w:t>
      </w:r>
    </w:p>
    <w:p w14:paraId="40E19FF2" w14:textId="77777777" w:rsidR="00D62B59" w:rsidRPr="00D62B59" w:rsidRDefault="00D62B59" w:rsidP="00D62B59">
      <w:pPr>
        <w:pStyle w:val="EndNoteBibliography"/>
        <w:spacing w:after="0"/>
      </w:pPr>
      <w:r w:rsidRPr="00D62B59">
        <w:t>8.</w:t>
      </w:r>
      <w:r w:rsidRPr="00D62B59">
        <w:tab/>
        <w:t>Bivoltsis A, Trapp G, Knuiman M, et al. The evolution of local food environments within established neighbourhoods and new developments in Perth, Western Australia. Health &amp; Place. 2019;57:204-17.</w:t>
      </w:r>
    </w:p>
    <w:p w14:paraId="6B81B627" w14:textId="77777777" w:rsidR="00D62B59" w:rsidRPr="00D62B59" w:rsidRDefault="00D62B59" w:rsidP="00D62B59">
      <w:pPr>
        <w:pStyle w:val="EndNoteBibliography"/>
        <w:spacing w:after="0"/>
      </w:pPr>
      <w:r w:rsidRPr="00D62B59">
        <w:t>9.</w:t>
      </w:r>
      <w:r w:rsidRPr="00D62B59">
        <w:tab/>
        <w:t>Astell-Burt T, Feng X. Geographic inequity in healthy food environment and type 2 diabetes: can we please turn off the tap? The Medical Journal Of Australia. 2015;203(6):246-8.e1.</w:t>
      </w:r>
    </w:p>
    <w:p w14:paraId="21BC160A" w14:textId="77777777" w:rsidR="00D62B59" w:rsidRPr="00D62B59" w:rsidRDefault="00D62B59" w:rsidP="00D62B59">
      <w:pPr>
        <w:pStyle w:val="EndNoteBibliography"/>
        <w:spacing w:after="0"/>
      </w:pPr>
      <w:r w:rsidRPr="00D62B59">
        <w:t>10.</w:t>
      </w:r>
      <w:r w:rsidRPr="00D62B59">
        <w:tab/>
        <w:t>Giles-Corti B, Timperio A, Cutt H, et al. Development of a reliable measure of walking within and outside the local neighborhood: RESIDE's Neighborhood Physical Activity Questionnaire. Preventive Medicine: An International Journal Devoted to Practice and Theory. 2006;42(6):455-9.</w:t>
      </w:r>
    </w:p>
    <w:p w14:paraId="465006B3" w14:textId="6C75DC85" w:rsidR="00D62B59" w:rsidRPr="00D62B59" w:rsidRDefault="00D62B59" w:rsidP="00D62B59">
      <w:pPr>
        <w:pStyle w:val="EndNoteBibliography"/>
        <w:spacing w:after="0"/>
      </w:pPr>
      <w:r w:rsidRPr="00D62B59">
        <w:t>11.</w:t>
      </w:r>
      <w:r w:rsidRPr="00D62B59">
        <w:tab/>
        <w:t>USDA. Mapping Food D</w:t>
      </w:r>
      <w:r w:rsidR="008F65DF">
        <w:t>eserts in the United States.</w:t>
      </w:r>
      <w:r w:rsidRPr="00D62B59">
        <w:t xml:space="preserve"> United States Depar</w:t>
      </w:r>
      <w:r w:rsidR="008F65DF">
        <w:t>tment of Agriculture ERS</w:t>
      </w:r>
      <w:r w:rsidRPr="00D62B59">
        <w:t>. United States of Amercia: Amber Waves; 2011.</w:t>
      </w:r>
    </w:p>
    <w:p w14:paraId="06650FF8" w14:textId="5D5963B1" w:rsidR="00D62B59" w:rsidRPr="00D62B59" w:rsidRDefault="00D62B59" w:rsidP="00D62B59">
      <w:pPr>
        <w:pStyle w:val="EndNoteBibliography"/>
      </w:pPr>
      <w:r w:rsidRPr="00D62B59">
        <w:t>12.</w:t>
      </w:r>
      <w:r w:rsidRPr="00D62B59">
        <w:tab/>
        <w:t xml:space="preserve">ABS. 1270.0.55.001 - Australian Statistical Geography Standard (ADGS): Volume 1 - Main Structure and Greater Capital City Statistical Areas, July 2016: Australian Federal Government; 2016 [updated July 2016; cited 2020 January 4]. Available from: </w:t>
      </w:r>
      <w:hyperlink r:id="rId19" w:history="1">
        <w:r w:rsidRPr="00D62B59">
          <w:rPr>
            <w:rStyle w:val="Hyperlink"/>
          </w:rPr>
          <w:t>https://www.abs.gov.au/ausstats/abs@.nsf/Lookup/by%20Subject/1270.0.55.001~July%202016~Main%20Features~Statistical%20Area%20Level%202%20(SA2)~10014</w:t>
        </w:r>
      </w:hyperlink>
      <w:r w:rsidRPr="00D62B59">
        <w:t>.</w:t>
      </w:r>
    </w:p>
    <w:p w14:paraId="7345E25D" w14:textId="60ED305B" w:rsidR="00E15FF8" w:rsidRPr="003A133A" w:rsidRDefault="00D62B59" w:rsidP="003A133A">
      <w:pPr>
        <w:spacing w:after="0" w:line="240" w:lineRule="auto"/>
        <w:rPr>
          <w:vertAlign w:val="superscript"/>
        </w:rPr>
      </w:pPr>
      <w:r>
        <w:rPr>
          <w:vertAlign w:val="superscript"/>
        </w:rPr>
        <w:fldChar w:fldCharType="end"/>
      </w:r>
    </w:p>
    <w:sectPr w:rsidR="00E15FF8" w:rsidRPr="003A133A" w:rsidSect="003A133A">
      <w:pgSz w:w="21633" w:h="11906" w:orient="landscape" w:code="9"/>
      <w:pgMar w:top="1440" w:right="6235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70A"/>
    <w:multiLevelType w:val="hybridMultilevel"/>
    <w:tmpl w:val="F9F6FAF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16DA"/>
    <w:multiLevelType w:val="multilevel"/>
    <w:tmpl w:val="A4F25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A65CA"/>
    <w:multiLevelType w:val="hybridMultilevel"/>
    <w:tmpl w:val="5106A58A"/>
    <w:lvl w:ilvl="0" w:tplc="558C3AF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C2B7E"/>
    <w:multiLevelType w:val="hybridMultilevel"/>
    <w:tmpl w:val="4740F218"/>
    <w:lvl w:ilvl="0" w:tplc="970C48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D793F"/>
    <w:multiLevelType w:val="hybridMultilevel"/>
    <w:tmpl w:val="6F824928"/>
    <w:lvl w:ilvl="0" w:tplc="FB64D632">
      <w:start w:val="12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3104D"/>
    <w:multiLevelType w:val="hybridMultilevel"/>
    <w:tmpl w:val="04EC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3205"/>
    <w:multiLevelType w:val="hybridMultilevel"/>
    <w:tmpl w:val="CF2C783E"/>
    <w:lvl w:ilvl="0" w:tplc="EA66F0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401F"/>
    <w:multiLevelType w:val="multilevel"/>
    <w:tmpl w:val="A94EA44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8044E75"/>
    <w:multiLevelType w:val="hybridMultilevel"/>
    <w:tmpl w:val="19F8C1D4"/>
    <w:lvl w:ilvl="0" w:tplc="91421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256A"/>
    <w:multiLevelType w:val="hybridMultilevel"/>
    <w:tmpl w:val="353494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E1B37"/>
    <w:multiLevelType w:val="hybridMultilevel"/>
    <w:tmpl w:val="65E22DC2"/>
    <w:lvl w:ilvl="0" w:tplc="DF541DC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B75D0"/>
    <w:multiLevelType w:val="multilevel"/>
    <w:tmpl w:val="B0F4F41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A923D8D"/>
    <w:multiLevelType w:val="hybridMultilevel"/>
    <w:tmpl w:val="2DA2F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928E3"/>
    <w:multiLevelType w:val="hybridMultilevel"/>
    <w:tmpl w:val="EF24DE58"/>
    <w:lvl w:ilvl="0" w:tplc="508216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2130D"/>
    <w:multiLevelType w:val="hybridMultilevel"/>
    <w:tmpl w:val="55D05D34"/>
    <w:lvl w:ilvl="0" w:tplc="B2ECBD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B3E52"/>
    <w:multiLevelType w:val="hybridMultilevel"/>
    <w:tmpl w:val="663EC6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73251"/>
    <w:multiLevelType w:val="hybridMultilevel"/>
    <w:tmpl w:val="04EC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215F7"/>
    <w:multiLevelType w:val="hybridMultilevel"/>
    <w:tmpl w:val="D9009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E602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8D5734"/>
    <w:multiLevelType w:val="hybridMultilevel"/>
    <w:tmpl w:val="039E0D28"/>
    <w:lvl w:ilvl="0" w:tplc="7848C24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F2B9A"/>
    <w:multiLevelType w:val="hybridMultilevel"/>
    <w:tmpl w:val="968AD414"/>
    <w:lvl w:ilvl="0" w:tplc="84C03A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D3C53"/>
    <w:multiLevelType w:val="multilevel"/>
    <w:tmpl w:val="C60AE50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19B7AFD"/>
    <w:multiLevelType w:val="hybridMultilevel"/>
    <w:tmpl w:val="1E26D894"/>
    <w:lvl w:ilvl="0" w:tplc="62C0D8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95B62"/>
    <w:multiLevelType w:val="hybridMultilevel"/>
    <w:tmpl w:val="B81EE852"/>
    <w:lvl w:ilvl="0" w:tplc="FB64D632">
      <w:start w:val="12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934A4"/>
    <w:multiLevelType w:val="hybridMultilevel"/>
    <w:tmpl w:val="CD8ADC4E"/>
    <w:lvl w:ilvl="0" w:tplc="113232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43D6"/>
    <w:multiLevelType w:val="multilevel"/>
    <w:tmpl w:val="4052D5D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357001"/>
    <w:multiLevelType w:val="multilevel"/>
    <w:tmpl w:val="6C9AE9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7" w15:restartNumberingAfterBreak="0">
    <w:nsid w:val="5C05675B"/>
    <w:multiLevelType w:val="hybridMultilevel"/>
    <w:tmpl w:val="180861BC"/>
    <w:lvl w:ilvl="0" w:tplc="789EB1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C3B46"/>
    <w:multiLevelType w:val="hybridMultilevel"/>
    <w:tmpl w:val="03B6960C"/>
    <w:lvl w:ilvl="0" w:tplc="99CEE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81430"/>
    <w:multiLevelType w:val="hybridMultilevel"/>
    <w:tmpl w:val="6FD26D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662439"/>
    <w:multiLevelType w:val="multilevel"/>
    <w:tmpl w:val="C60AE50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5ED096A"/>
    <w:multiLevelType w:val="hybridMultilevel"/>
    <w:tmpl w:val="BBECF0A2"/>
    <w:lvl w:ilvl="0" w:tplc="BD922E90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634F5"/>
    <w:multiLevelType w:val="hybridMultilevel"/>
    <w:tmpl w:val="E1BC8F4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61649"/>
    <w:multiLevelType w:val="multilevel"/>
    <w:tmpl w:val="A4F25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5F56D8"/>
    <w:multiLevelType w:val="hybridMultilevel"/>
    <w:tmpl w:val="82B6E086"/>
    <w:lvl w:ilvl="0" w:tplc="1832B2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543"/>
    <w:multiLevelType w:val="hybridMultilevel"/>
    <w:tmpl w:val="312A69B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C42BA"/>
    <w:multiLevelType w:val="hybridMultilevel"/>
    <w:tmpl w:val="259C3C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683007"/>
    <w:multiLevelType w:val="hybridMultilevel"/>
    <w:tmpl w:val="2200D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752CF"/>
    <w:multiLevelType w:val="hybridMultilevel"/>
    <w:tmpl w:val="33581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C45B5"/>
    <w:multiLevelType w:val="hybridMultilevel"/>
    <w:tmpl w:val="77161FFE"/>
    <w:lvl w:ilvl="0" w:tplc="EFF6320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158D1"/>
    <w:multiLevelType w:val="hybridMultilevel"/>
    <w:tmpl w:val="68501B0C"/>
    <w:lvl w:ilvl="0" w:tplc="FB64D632">
      <w:start w:val="12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36"/>
  </w:num>
  <w:num w:numId="5">
    <w:abstractNumId w:val="23"/>
  </w:num>
  <w:num w:numId="6">
    <w:abstractNumId w:val="4"/>
  </w:num>
  <w:num w:numId="7">
    <w:abstractNumId w:val="37"/>
  </w:num>
  <w:num w:numId="8">
    <w:abstractNumId w:val="40"/>
  </w:num>
  <w:num w:numId="9">
    <w:abstractNumId w:val="1"/>
  </w:num>
  <w:num w:numId="10">
    <w:abstractNumId w:val="12"/>
  </w:num>
  <w:num w:numId="11">
    <w:abstractNumId w:val="38"/>
  </w:num>
  <w:num w:numId="12">
    <w:abstractNumId w:val="32"/>
  </w:num>
  <w:num w:numId="13">
    <w:abstractNumId w:val="33"/>
  </w:num>
  <w:num w:numId="14">
    <w:abstractNumId w:val="20"/>
  </w:num>
  <w:num w:numId="15">
    <w:abstractNumId w:val="27"/>
  </w:num>
  <w:num w:numId="16">
    <w:abstractNumId w:val="6"/>
  </w:num>
  <w:num w:numId="17">
    <w:abstractNumId w:val="11"/>
  </w:num>
  <w:num w:numId="18">
    <w:abstractNumId w:val="34"/>
  </w:num>
  <w:num w:numId="19">
    <w:abstractNumId w:val="17"/>
  </w:num>
  <w:num w:numId="20">
    <w:abstractNumId w:val="28"/>
  </w:num>
  <w:num w:numId="21">
    <w:abstractNumId w:val="26"/>
  </w:num>
  <w:num w:numId="22">
    <w:abstractNumId w:val="2"/>
  </w:num>
  <w:num w:numId="23">
    <w:abstractNumId w:val="31"/>
  </w:num>
  <w:num w:numId="24">
    <w:abstractNumId w:val="24"/>
  </w:num>
  <w:num w:numId="25">
    <w:abstractNumId w:val="7"/>
  </w:num>
  <w:num w:numId="26">
    <w:abstractNumId w:val="8"/>
  </w:num>
  <w:num w:numId="27">
    <w:abstractNumId w:val="22"/>
  </w:num>
  <w:num w:numId="28">
    <w:abstractNumId w:val="13"/>
  </w:num>
  <w:num w:numId="29">
    <w:abstractNumId w:val="9"/>
  </w:num>
  <w:num w:numId="30">
    <w:abstractNumId w:val="30"/>
  </w:num>
  <w:num w:numId="31">
    <w:abstractNumId w:val="21"/>
  </w:num>
  <w:num w:numId="32">
    <w:abstractNumId w:val="16"/>
  </w:num>
  <w:num w:numId="33">
    <w:abstractNumId w:val="5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5"/>
  </w:num>
  <w:num w:numId="37">
    <w:abstractNumId w:val="39"/>
  </w:num>
  <w:num w:numId="38">
    <w:abstractNumId w:val="35"/>
  </w:num>
  <w:num w:numId="39">
    <w:abstractNumId w:val="18"/>
  </w:num>
  <w:num w:numId="40">
    <w:abstractNumId w:val="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Vancouver Superscrip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a9v2rtr0d5pdzedaeu5es530aw9925advpv&quot;&gt;09062020 Needham-Saved Copy-Saved-Saved-Saved&lt;record-ids&gt;&lt;item&gt;87&lt;/item&gt;&lt;item&gt;138&lt;/item&gt;&lt;item&gt;168&lt;/item&gt;&lt;item&gt;173&lt;/item&gt;&lt;item&gt;267&lt;/item&gt;&lt;item&gt;709&lt;/item&gt;&lt;item&gt;715&lt;/item&gt;&lt;item&gt;737&lt;/item&gt;&lt;item&gt;742&lt;/item&gt;&lt;item&gt;751&lt;/item&gt;&lt;item&gt;1106&lt;/item&gt;&lt;/record-ids&gt;&lt;/item&gt;&lt;/Libraries&gt;"/>
  </w:docVars>
  <w:rsids>
    <w:rsidRoot w:val="003A133A"/>
    <w:rsid w:val="002D275A"/>
    <w:rsid w:val="003A133A"/>
    <w:rsid w:val="008F65DF"/>
    <w:rsid w:val="00D62B59"/>
    <w:rsid w:val="00E1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41A9"/>
  <w15:chartTrackingRefBased/>
  <w15:docId w15:val="{48EA05C8-D6C4-46FC-B4DA-39D9CC12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133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A133A"/>
  </w:style>
  <w:style w:type="paragraph" w:customStyle="1" w:styleId="EndNoteBibliographyTitle">
    <w:name w:val="EndNote Bibliography Title"/>
    <w:basedOn w:val="Normal"/>
    <w:link w:val="EndNoteBibliographyTitleChar"/>
    <w:rsid w:val="003A133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3A133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A133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3A133A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3A133A"/>
    <w:rPr>
      <w:color w:val="0563C1" w:themeColor="hyperlink"/>
      <w:u w:val="single"/>
    </w:rPr>
  </w:style>
  <w:style w:type="character" w:customStyle="1" w:styleId="status">
    <w:name w:val="status"/>
    <w:basedOn w:val="DefaultParagraphFont"/>
    <w:rsid w:val="003A133A"/>
  </w:style>
  <w:style w:type="character" w:customStyle="1" w:styleId="red">
    <w:name w:val="red"/>
    <w:basedOn w:val="DefaultParagraphFont"/>
    <w:rsid w:val="003A133A"/>
  </w:style>
  <w:style w:type="character" w:customStyle="1" w:styleId="element-citation">
    <w:name w:val="element-citation"/>
    <w:basedOn w:val="DefaultParagraphFont"/>
    <w:rsid w:val="003A133A"/>
  </w:style>
  <w:style w:type="character" w:customStyle="1" w:styleId="ref-journal">
    <w:name w:val="ref-journal"/>
    <w:basedOn w:val="DefaultParagraphFont"/>
    <w:rsid w:val="003A133A"/>
  </w:style>
  <w:style w:type="character" w:styleId="CommentReference">
    <w:name w:val="annotation reference"/>
    <w:basedOn w:val="DefaultParagraphFont"/>
    <w:uiPriority w:val="99"/>
    <w:semiHidden/>
    <w:unhideWhenUsed/>
    <w:rsid w:val="003A133A"/>
    <w:rPr>
      <w:sz w:val="18"/>
      <w:szCs w:val="18"/>
    </w:rPr>
  </w:style>
  <w:style w:type="table" w:styleId="GridTable6Colorful">
    <w:name w:val="Grid Table 6 Colorful"/>
    <w:basedOn w:val="TableNormal"/>
    <w:uiPriority w:val="51"/>
    <w:rsid w:val="003A133A"/>
    <w:pPr>
      <w:spacing w:before="200" w:after="0" w:line="240" w:lineRule="auto"/>
    </w:pPr>
    <w:rPr>
      <w:rFonts w:eastAsiaTheme="minorEastAsia"/>
      <w:color w:val="000000" w:themeColor="text1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deck5tablebodythreelines">
    <w:name w:val="M_deck_5_table_body_three_lines"/>
    <w:basedOn w:val="TableNormal"/>
    <w:uiPriority w:val="99"/>
    <w:rsid w:val="003A133A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A133A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3A1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3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3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133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A133A"/>
    <w:rPr>
      <w:color w:val="954F72"/>
      <w:u w:val="single"/>
    </w:rPr>
  </w:style>
  <w:style w:type="paragraph" w:customStyle="1" w:styleId="msonormal0">
    <w:name w:val="msonormal"/>
    <w:basedOn w:val="Normal"/>
    <w:rsid w:val="003A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nt5">
    <w:name w:val="font5"/>
    <w:basedOn w:val="Normal"/>
    <w:rsid w:val="003A133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65">
    <w:name w:val="xl65"/>
    <w:basedOn w:val="Normal"/>
    <w:rsid w:val="003A133A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AU"/>
    </w:rPr>
  </w:style>
  <w:style w:type="paragraph" w:customStyle="1" w:styleId="xl66">
    <w:name w:val="xl66"/>
    <w:basedOn w:val="Normal"/>
    <w:rsid w:val="003A133A"/>
    <w:pPr>
      <w:pBdr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AU"/>
    </w:rPr>
  </w:style>
  <w:style w:type="paragraph" w:customStyle="1" w:styleId="xl67">
    <w:name w:val="xl67"/>
    <w:basedOn w:val="Normal"/>
    <w:rsid w:val="003A133A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68">
    <w:name w:val="xl68"/>
    <w:basedOn w:val="Normal"/>
    <w:rsid w:val="003A133A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69">
    <w:name w:val="xl69"/>
    <w:basedOn w:val="Normal"/>
    <w:rsid w:val="003A133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70">
    <w:name w:val="xl70"/>
    <w:basedOn w:val="Normal"/>
    <w:rsid w:val="003A133A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71">
    <w:name w:val="xl71"/>
    <w:basedOn w:val="Normal"/>
    <w:rsid w:val="003A133A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AU"/>
    </w:rPr>
  </w:style>
  <w:style w:type="paragraph" w:customStyle="1" w:styleId="xl72">
    <w:name w:val="xl72"/>
    <w:basedOn w:val="Normal"/>
    <w:rsid w:val="003A133A"/>
    <w:pPr>
      <w:pBdr>
        <w:left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AU"/>
    </w:rPr>
  </w:style>
  <w:style w:type="paragraph" w:customStyle="1" w:styleId="xl73">
    <w:name w:val="xl73"/>
    <w:basedOn w:val="Normal"/>
    <w:rsid w:val="003A133A"/>
    <w:pPr>
      <w:pBdr>
        <w:top w:val="single" w:sz="12" w:space="0" w:color="000000"/>
        <w:left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AU"/>
    </w:rPr>
  </w:style>
  <w:style w:type="paragraph" w:customStyle="1" w:styleId="xl74">
    <w:name w:val="xl74"/>
    <w:basedOn w:val="Normal"/>
    <w:rsid w:val="003A133A"/>
    <w:pPr>
      <w:pBdr>
        <w:left w:val="single" w:sz="8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AU"/>
    </w:rPr>
  </w:style>
  <w:style w:type="paragraph" w:customStyle="1" w:styleId="xl75">
    <w:name w:val="xl75"/>
    <w:basedOn w:val="Normal"/>
    <w:rsid w:val="003A133A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76">
    <w:name w:val="xl76"/>
    <w:basedOn w:val="Normal"/>
    <w:rsid w:val="003A133A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77">
    <w:name w:val="xl77"/>
    <w:basedOn w:val="Normal"/>
    <w:rsid w:val="003A133A"/>
    <w:pPr>
      <w:pBdr>
        <w:top w:val="single" w:sz="12" w:space="0" w:color="000000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78">
    <w:name w:val="xl78"/>
    <w:basedOn w:val="Normal"/>
    <w:rsid w:val="003A133A"/>
    <w:pPr>
      <w:pBdr>
        <w:top w:val="single" w:sz="12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79">
    <w:name w:val="xl79"/>
    <w:basedOn w:val="Normal"/>
    <w:rsid w:val="003A133A"/>
    <w:pPr>
      <w:pBdr>
        <w:top w:val="single" w:sz="12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80">
    <w:name w:val="xl80"/>
    <w:basedOn w:val="Normal"/>
    <w:rsid w:val="003A133A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81">
    <w:name w:val="xl81"/>
    <w:basedOn w:val="Normal"/>
    <w:rsid w:val="003A133A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82">
    <w:name w:val="xl82"/>
    <w:basedOn w:val="Normal"/>
    <w:rsid w:val="003A133A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83">
    <w:name w:val="xl83"/>
    <w:basedOn w:val="Normal"/>
    <w:rsid w:val="003A133A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84">
    <w:name w:val="xl84"/>
    <w:basedOn w:val="Normal"/>
    <w:rsid w:val="003A133A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85">
    <w:name w:val="xl85"/>
    <w:basedOn w:val="Normal"/>
    <w:rsid w:val="003A133A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86">
    <w:name w:val="xl86"/>
    <w:basedOn w:val="Normal"/>
    <w:rsid w:val="003A133A"/>
    <w:pPr>
      <w:pBdr>
        <w:top w:val="single" w:sz="4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87">
    <w:name w:val="xl87"/>
    <w:basedOn w:val="Normal"/>
    <w:rsid w:val="003A133A"/>
    <w:pPr>
      <w:pBdr>
        <w:top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88">
    <w:name w:val="xl88"/>
    <w:basedOn w:val="Normal"/>
    <w:rsid w:val="003A133A"/>
    <w:pPr>
      <w:pBdr>
        <w:top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89">
    <w:name w:val="xl89"/>
    <w:basedOn w:val="Normal"/>
    <w:rsid w:val="003A133A"/>
    <w:pPr>
      <w:pBdr>
        <w:top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90">
    <w:name w:val="xl90"/>
    <w:basedOn w:val="Normal"/>
    <w:rsid w:val="003A133A"/>
    <w:pPr>
      <w:pBdr>
        <w:top w:val="single" w:sz="12" w:space="0" w:color="000000"/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AU"/>
    </w:rPr>
  </w:style>
  <w:style w:type="paragraph" w:customStyle="1" w:styleId="xl91">
    <w:name w:val="xl91"/>
    <w:basedOn w:val="Normal"/>
    <w:rsid w:val="003A133A"/>
    <w:pPr>
      <w:pBdr>
        <w:left w:val="single" w:sz="4" w:space="0" w:color="auto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AU"/>
    </w:rPr>
  </w:style>
  <w:style w:type="paragraph" w:customStyle="1" w:styleId="xl92">
    <w:name w:val="xl92"/>
    <w:basedOn w:val="Normal"/>
    <w:rsid w:val="003A133A"/>
    <w:pPr>
      <w:pBdr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93">
    <w:name w:val="xl93"/>
    <w:basedOn w:val="Normal"/>
    <w:rsid w:val="003A133A"/>
    <w:pPr>
      <w:pBdr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94">
    <w:name w:val="xl94"/>
    <w:basedOn w:val="Normal"/>
    <w:rsid w:val="003A133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5">
    <w:name w:val="xl95"/>
    <w:basedOn w:val="Normal"/>
    <w:rsid w:val="003A133A"/>
    <w:pPr>
      <w:pBdr>
        <w:top w:val="single" w:sz="12" w:space="0" w:color="000000"/>
        <w:left w:val="single" w:sz="12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AU"/>
    </w:rPr>
  </w:style>
  <w:style w:type="paragraph" w:customStyle="1" w:styleId="xl96">
    <w:name w:val="xl96"/>
    <w:basedOn w:val="Normal"/>
    <w:rsid w:val="003A133A"/>
    <w:pPr>
      <w:pBdr>
        <w:left w:val="single" w:sz="12" w:space="0" w:color="000000"/>
        <w:bottom w:val="single" w:sz="12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AU"/>
    </w:rPr>
  </w:style>
  <w:style w:type="paragraph" w:customStyle="1" w:styleId="xl97">
    <w:name w:val="xl97"/>
    <w:basedOn w:val="Normal"/>
    <w:rsid w:val="003A133A"/>
    <w:pPr>
      <w:pBdr>
        <w:top w:val="single" w:sz="8" w:space="0" w:color="000000"/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AU"/>
    </w:rPr>
  </w:style>
  <w:style w:type="paragraph" w:customStyle="1" w:styleId="xl98">
    <w:name w:val="xl98"/>
    <w:basedOn w:val="Normal"/>
    <w:rsid w:val="003A133A"/>
    <w:pPr>
      <w:pBdr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AU"/>
    </w:rPr>
  </w:style>
  <w:style w:type="paragraph" w:customStyle="1" w:styleId="xl99">
    <w:name w:val="xl99"/>
    <w:basedOn w:val="Normal"/>
    <w:rsid w:val="003A133A"/>
    <w:pPr>
      <w:pBdr>
        <w:left w:val="single" w:sz="8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AU"/>
    </w:rPr>
  </w:style>
  <w:style w:type="paragraph" w:customStyle="1" w:styleId="xl100">
    <w:name w:val="xl100"/>
    <w:basedOn w:val="Normal"/>
    <w:rsid w:val="003A133A"/>
    <w:pPr>
      <w:pBdr>
        <w:top w:val="single" w:sz="12" w:space="0" w:color="000000"/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n-AU"/>
    </w:rPr>
  </w:style>
  <w:style w:type="paragraph" w:customStyle="1" w:styleId="xl101">
    <w:name w:val="xl101"/>
    <w:basedOn w:val="Normal"/>
    <w:rsid w:val="003A133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6">
    <w:name w:val="6"/>
    <w:basedOn w:val="TableNormal"/>
    <w:rsid w:val="003A133A"/>
    <w:pPr>
      <w:spacing w:after="0" w:line="240" w:lineRule="auto"/>
    </w:pPr>
    <w:rPr>
      <w:rFonts w:ascii="Calibri" w:eastAsia="Calibri" w:hAnsi="Calibri" w:cs="Calibri"/>
      <w:lang w:eastAsia="en-AU"/>
    </w:r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13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33A"/>
  </w:style>
  <w:style w:type="paragraph" w:styleId="Footer">
    <w:name w:val="footer"/>
    <w:basedOn w:val="Normal"/>
    <w:link w:val="FooterChar"/>
    <w:uiPriority w:val="99"/>
    <w:unhideWhenUsed/>
    <w:rsid w:val="003A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33A"/>
  </w:style>
  <w:style w:type="character" w:styleId="LineNumber">
    <w:name w:val="line number"/>
    <w:basedOn w:val="DefaultParagraphFont"/>
    <w:uiPriority w:val="99"/>
    <w:semiHidden/>
    <w:unhideWhenUsed/>
    <w:rsid w:val="003A1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pdf/10.1111/1747-0080.12286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s://www.abs.gov.au/ausstats/abs@.nsf/Lookup/by%20Subject/1270.0.55.001~July%202016~Main%20Features~Statistical%20Area%20Level%202%20(SA2)~10014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EC1B6348C724D988CFDDC55CD505F" ma:contentTypeVersion="10" ma:contentTypeDescription="Create a new document." ma:contentTypeScope="" ma:versionID="3dbfca8a877cbb6524ae3bc397b7434c">
  <xsd:schema xmlns:xsd="http://www.w3.org/2001/XMLSchema" xmlns:xs="http://www.w3.org/2001/XMLSchema" xmlns:p="http://schemas.microsoft.com/office/2006/metadata/properties" xmlns:ns3="ee67c5eb-9059-40ba-b59a-6be5756ab401" targetNamespace="http://schemas.microsoft.com/office/2006/metadata/properties" ma:root="true" ma:fieldsID="e4ee9b7bac3c711242c1fa4e3447dd27" ns3:_="">
    <xsd:import namespace="ee67c5eb-9059-40ba-b59a-6be5756ab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7c5eb-9059-40ba-b59a-6be5756ab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86D90-BF66-423E-A375-81C559750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5A727-C6A9-444D-8D54-9E4C9A998F9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e67c5eb-9059-40ba-b59a-6be5756ab40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07854A-73F6-431A-88B7-0B6287F05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7c5eb-9059-40ba-b59a-6be5756ab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4274</Words>
  <Characters>24363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Needham</dc:creator>
  <cp:keywords/>
  <dc:description/>
  <cp:lastModifiedBy>Cindy Needham</cp:lastModifiedBy>
  <cp:revision>4</cp:revision>
  <dcterms:created xsi:type="dcterms:W3CDTF">2021-12-20T01:13:00Z</dcterms:created>
  <dcterms:modified xsi:type="dcterms:W3CDTF">2022-01-26T00:44:00Z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0x010100A77EC1B6348C724D988CFDDC55CD505F</vt:lpwstr>
  </property>
</Properties>
</file>