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6BA" w14:textId="068985FC" w:rsidR="00F70D6C" w:rsidRPr="00D106A2" w:rsidRDefault="00252E7B" w:rsidP="005E527B">
      <w:pPr>
        <w:rPr>
          <w:rFonts w:eastAsiaTheme="majorEastAsia" w:cstheme="minorHAnsi"/>
          <w:b/>
          <w:bCs/>
          <w:sz w:val="32"/>
          <w:szCs w:val="32"/>
          <w:lang w:val="en-US"/>
        </w:rPr>
      </w:pPr>
      <w:r w:rsidRPr="00D106A2">
        <w:rPr>
          <w:rFonts w:eastAsiaTheme="majorEastAsia" w:cstheme="minorHAnsi"/>
          <w:b/>
          <w:bCs/>
          <w:sz w:val="32"/>
          <w:szCs w:val="32"/>
          <w:lang w:val="en-US"/>
        </w:rPr>
        <w:t xml:space="preserve">Supplementary </w:t>
      </w:r>
      <w:r w:rsidR="00F27913" w:rsidRPr="00D106A2">
        <w:rPr>
          <w:rFonts w:eastAsiaTheme="majorEastAsia" w:cstheme="minorHAnsi"/>
          <w:b/>
          <w:bCs/>
          <w:sz w:val="32"/>
          <w:szCs w:val="32"/>
          <w:lang w:val="en-US"/>
        </w:rPr>
        <w:t>Appendix</w:t>
      </w:r>
    </w:p>
    <w:p w14:paraId="1536C85C" w14:textId="77777777" w:rsidR="00E2151B" w:rsidRPr="00D106A2" w:rsidRDefault="00E2151B" w:rsidP="00857A7C">
      <w:pPr>
        <w:rPr>
          <w:rFonts w:eastAsiaTheme="majorEastAsia" w:cstheme="minorHAnsi"/>
          <w:lang w:val="en-US"/>
        </w:rPr>
      </w:pPr>
    </w:p>
    <w:p w14:paraId="7AAE0F95" w14:textId="3EB89DDD" w:rsidR="00EF4783" w:rsidRPr="00D106A2" w:rsidRDefault="00252E7B" w:rsidP="00857A7C">
      <w:pPr>
        <w:rPr>
          <w:rFonts w:eastAsiaTheme="majorEastAsia" w:cstheme="minorHAnsi"/>
          <w:b/>
          <w:bCs/>
          <w:lang w:val="en-US"/>
        </w:rPr>
      </w:pPr>
      <w:r w:rsidRPr="00D106A2">
        <w:rPr>
          <w:rFonts w:eastAsiaTheme="majorEastAsia" w:cstheme="minorHAnsi"/>
          <w:b/>
          <w:bCs/>
          <w:lang w:val="en-US"/>
        </w:rPr>
        <w:t>Supplementary material submitted as part of the following manuscript:</w:t>
      </w:r>
    </w:p>
    <w:p w14:paraId="543B0F34" w14:textId="0BC469C3" w:rsidR="0049659D" w:rsidRPr="00D106A2" w:rsidRDefault="00AD7E79" w:rsidP="00EF4783">
      <w:pPr>
        <w:ind w:left="708"/>
        <w:rPr>
          <w:rFonts w:eastAsiaTheme="majorEastAsia" w:cstheme="minorHAnsi"/>
          <w:lang w:val="en-US"/>
        </w:rPr>
      </w:pPr>
      <w:r>
        <w:rPr>
          <w:rFonts w:eastAsiaTheme="majorEastAsia" w:cstheme="minorHAnsi"/>
          <w:lang w:val="en-US"/>
        </w:rPr>
        <w:t>[Concealed for peer review]</w:t>
      </w:r>
      <w:r w:rsidR="00EF4783" w:rsidRPr="00D106A2">
        <w:rPr>
          <w:rFonts w:eastAsiaTheme="majorEastAsia" w:cstheme="minorHAnsi"/>
          <w:lang w:val="en-US"/>
        </w:rPr>
        <w:t xml:space="preserve"> (2021</w:t>
      </w:r>
      <w:r w:rsidR="001F11DC" w:rsidRPr="00D106A2">
        <w:rPr>
          <w:rFonts w:eastAsiaTheme="majorEastAsia" w:cstheme="minorHAnsi"/>
          <w:lang w:val="en-US"/>
        </w:rPr>
        <w:t>):</w:t>
      </w:r>
      <w:r w:rsidR="00B87B18" w:rsidRPr="00D106A2">
        <w:rPr>
          <w:lang w:val="en-US"/>
        </w:rPr>
        <w:t xml:space="preserve"> </w:t>
      </w:r>
      <w:r w:rsidR="00B87B18" w:rsidRPr="00D106A2">
        <w:rPr>
          <w:rFonts w:eastAsiaTheme="majorEastAsia" w:cstheme="minorHAnsi"/>
          <w:lang w:val="en-US"/>
        </w:rPr>
        <w:t>Nutrition Policies in Germany: A Systematic Assessment with the Food Environment Policy Index (Food-EPI)</w:t>
      </w:r>
      <w:r w:rsidR="00857A7C" w:rsidRPr="00D106A2">
        <w:rPr>
          <w:rFonts w:eastAsiaTheme="majorEastAsia" w:cstheme="minorHAnsi"/>
          <w:lang w:val="en-US"/>
        </w:rPr>
        <w:t xml:space="preserve">, </w:t>
      </w:r>
      <w:r w:rsidR="00B87B18" w:rsidRPr="00D106A2">
        <w:rPr>
          <w:rFonts w:eastAsiaTheme="majorEastAsia" w:cstheme="minorHAnsi"/>
          <w:lang w:val="en-US"/>
        </w:rPr>
        <w:t xml:space="preserve">submitted to </w:t>
      </w:r>
      <w:r w:rsidR="00E157BD">
        <w:rPr>
          <w:rFonts w:eastAsiaTheme="majorEastAsia" w:cstheme="minorHAnsi"/>
          <w:lang w:val="en-US"/>
        </w:rPr>
        <w:t>Public Health Nutrition</w:t>
      </w:r>
      <w:r w:rsidR="00BC5464" w:rsidRPr="00D106A2">
        <w:rPr>
          <w:rFonts w:eastAsiaTheme="majorEastAsia" w:cstheme="minorHAnsi"/>
          <w:lang w:val="en-US"/>
        </w:rPr>
        <w:t xml:space="preserve"> in </w:t>
      </w:r>
      <w:r w:rsidR="00E157BD">
        <w:rPr>
          <w:rFonts w:eastAsiaTheme="majorEastAsia" w:cstheme="minorHAnsi"/>
          <w:lang w:val="en-US"/>
        </w:rPr>
        <w:t>August</w:t>
      </w:r>
      <w:r w:rsidR="00BC5464" w:rsidRPr="00D106A2">
        <w:rPr>
          <w:rFonts w:eastAsiaTheme="majorEastAsia" w:cstheme="minorHAnsi"/>
          <w:lang w:val="en-US"/>
        </w:rPr>
        <w:t xml:space="preserve"> 2021</w:t>
      </w:r>
    </w:p>
    <w:p w14:paraId="2AFDF5D0" w14:textId="77777777" w:rsidR="00833737" w:rsidRPr="00D106A2" w:rsidRDefault="00833737" w:rsidP="005E527B">
      <w:pPr>
        <w:rPr>
          <w:rFonts w:eastAsiaTheme="majorEastAsia" w:cstheme="minorHAnsi"/>
          <w:lang w:val="en-US"/>
        </w:rPr>
      </w:pPr>
    </w:p>
    <w:sdt>
      <w:sdtPr>
        <w:rPr>
          <w:rFonts w:asciiTheme="minorHAnsi" w:eastAsiaTheme="minorHAnsi" w:hAnsiTheme="minorHAnsi" w:cstheme="minorHAnsi"/>
          <w:color w:val="auto"/>
          <w:sz w:val="22"/>
          <w:szCs w:val="22"/>
          <w:lang w:eastAsia="en-US"/>
        </w:rPr>
        <w:id w:val="-1624069645"/>
        <w:docPartObj>
          <w:docPartGallery w:val="Table of Contents"/>
          <w:docPartUnique/>
        </w:docPartObj>
      </w:sdtPr>
      <w:sdtEndPr>
        <w:rPr>
          <w:b/>
          <w:bCs/>
        </w:rPr>
      </w:sdtEndPr>
      <w:sdtContent>
        <w:p w14:paraId="4799B438" w14:textId="719C81C3" w:rsidR="00833737" w:rsidRPr="00CA49AD" w:rsidRDefault="005500CF" w:rsidP="005C7F10">
          <w:pPr>
            <w:pStyle w:val="Inhaltsverzeichnisberschrif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Table of contents</w:t>
          </w:r>
        </w:p>
        <w:p w14:paraId="401BE9C5" w14:textId="0BACFD89" w:rsidR="00870F8E" w:rsidRDefault="00833737">
          <w:pPr>
            <w:pStyle w:val="Verzeichnis1"/>
            <w:tabs>
              <w:tab w:val="left" w:pos="440"/>
              <w:tab w:val="right" w:leader="dot" w:pos="9062"/>
            </w:tabs>
            <w:rPr>
              <w:rFonts w:eastAsiaTheme="minorEastAsia"/>
              <w:noProof/>
              <w:lang w:eastAsia="de-DE"/>
            </w:rPr>
          </w:pPr>
          <w:r w:rsidRPr="00CA49AD">
            <w:rPr>
              <w:rFonts w:cstheme="minorHAnsi"/>
            </w:rPr>
            <w:fldChar w:fldCharType="begin"/>
          </w:r>
          <w:r w:rsidRPr="00CA49AD">
            <w:rPr>
              <w:rFonts w:cstheme="minorHAnsi"/>
            </w:rPr>
            <w:instrText xml:space="preserve"> TOC \o "1-3" \h \z \u </w:instrText>
          </w:r>
          <w:r w:rsidRPr="00CA49AD">
            <w:rPr>
              <w:rFonts w:cstheme="minorHAnsi"/>
            </w:rPr>
            <w:fldChar w:fldCharType="separate"/>
          </w:r>
          <w:hyperlink w:anchor="_Toc75179523" w:history="1">
            <w:r w:rsidR="00870F8E" w:rsidRPr="00275F00">
              <w:rPr>
                <w:rStyle w:val="Hyperlink"/>
                <w:rFonts w:eastAsiaTheme="majorEastAsia" w:cstheme="minorHAnsi"/>
                <w:b/>
                <w:bCs/>
                <w:noProof/>
              </w:rPr>
              <w:t>1.</w:t>
            </w:r>
            <w:r w:rsidR="00870F8E">
              <w:rPr>
                <w:rFonts w:eastAsiaTheme="minorEastAsia"/>
                <w:noProof/>
                <w:lang w:eastAsia="de-DE"/>
              </w:rPr>
              <w:tab/>
            </w:r>
            <w:r w:rsidR="00870F8E" w:rsidRPr="00275F00">
              <w:rPr>
                <w:rStyle w:val="Hyperlink"/>
                <w:rFonts w:eastAsiaTheme="majorEastAsia" w:cstheme="minorHAnsi"/>
                <w:b/>
                <w:bCs/>
                <w:noProof/>
              </w:rPr>
              <w:t>External experts</w:t>
            </w:r>
            <w:r w:rsidR="00870F8E">
              <w:rPr>
                <w:noProof/>
                <w:webHidden/>
              </w:rPr>
              <w:tab/>
            </w:r>
            <w:r w:rsidR="00870F8E">
              <w:rPr>
                <w:noProof/>
                <w:webHidden/>
              </w:rPr>
              <w:fldChar w:fldCharType="begin"/>
            </w:r>
            <w:r w:rsidR="00870F8E">
              <w:rPr>
                <w:noProof/>
                <w:webHidden/>
              </w:rPr>
              <w:instrText xml:space="preserve"> PAGEREF _Toc75179523 \h </w:instrText>
            </w:r>
            <w:r w:rsidR="00870F8E">
              <w:rPr>
                <w:noProof/>
                <w:webHidden/>
              </w:rPr>
            </w:r>
            <w:r w:rsidR="00870F8E">
              <w:rPr>
                <w:noProof/>
                <w:webHidden/>
              </w:rPr>
              <w:fldChar w:fldCharType="separate"/>
            </w:r>
            <w:r w:rsidR="00E47948">
              <w:rPr>
                <w:noProof/>
                <w:webHidden/>
              </w:rPr>
              <w:t>1</w:t>
            </w:r>
            <w:r w:rsidR="00870F8E">
              <w:rPr>
                <w:noProof/>
                <w:webHidden/>
              </w:rPr>
              <w:fldChar w:fldCharType="end"/>
            </w:r>
          </w:hyperlink>
        </w:p>
        <w:p w14:paraId="09E3EE61" w14:textId="5441705F" w:rsidR="00870F8E" w:rsidRDefault="00E157BD">
          <w:pPr>
            <w:pStyle w:val="Verzeichnis1"/>
            <w:tabs>
              <w:tab w:val="left" w:pos="440"/>
              <w:tab w:val="right" w:leader="dot" w:pos="9062"/>
            </w:tabs>
            <w:rPr>
              <w:rFonts w:eastAsiaTheme="minorEastAsia"/>
              <w:noProof/>
              <w:lang w:eastAsia="de-DE"/>
            </w:rPr>
          </w:pPr>
          <w:hyperlink w:anchor="_Toc75179524" w:history="1">
            <w:r w:rsidR="00870F8E" w:rsidRPr="00275F00">
              <w:rPr>
                <w:rStyle w:val="Hyperlink"/>
                <w:rFonts w:eastAsiaTheme="majorEastAsia" w:cstheme="minorHAnsi"/>
                <w:b/>
                <w:bCs/>
                <w:noProof/>
              </w:rPr>
              <w:t>2.</w:t>
            </w:r>
            <w:r w:rsidR="00870F8E">
              <w:rPr>
                <w:rFonts w:eastAsiaTheme="minorEastAsia"/>
                <w:noProof/>
                <w:lang w:eastAsia="de-DE"/>
              </w:rPr>
              <w:tab/>
            </w:r>
            <w:r w:rsidR="00870F8E" w:rsidRPr="00275F00">
              <w:rPr>
                <w:rStyle w:val="Hyperlink"/>
                <w:rFonts w:cstheme="minorHAnsi"/>
                <w:b/>
                <w:bCs/>
                <w:noProof/>
              </w:rPr>
              <w:t>Detailed description of the policy recommendations</w:t>
            </w:r>
            <w:r w:rsidR="00870F8E">
              <w:rPr>
                <w:noProof/>
                <w:webHidden/>
              </w:rPr>
              <w:tab/>
            </w:r>
            <w:r w:rsidR="00870F8E">
              <w:rPr>
                <w:noProof/>
                <w:webHidden/>
              </w:rPr>
              <w:fldChar w:fldCharType="begin"/>
            </w:r>
            <w:r w:rsidR="00870F8E">
              <w:rPr>
                <w:noProof/>
                <w:webHidden/>
              </w:rPr>
              <w:instrText xml:space="preserve"> PAGEREF _Toc75179524 \h </w:instrText>
            </w:r>
            <w:r w:rsidR="00870F8E">
              <w:rPr>
                <w:noProof/>
                <w:webHidden/>
              </w:rPr>
            </w:r>
            <w:r w:rsidR="00870F8E">
              <w:rPr>
                <w:noProof/>
                <w:webHidden/>
              </w:rPr>
              <w:fldChar w:fldCharType="separate"/>
            </w:r>
            <w:r w:rsidR="00E47948">
              <w:rPr>
                <w:noProof/>
                <w:webHidden/>
              </w:rPr>
              <w:t>3</w:t>
            </w:r>
            <w:r w:rsidR="00870F8E">
              <w:rPr>
                <w:noProof/>
                <w:webHidden/>
              </w:rPr>
              <w:fldChar w:fldCharType="end"/>
            </w:r>
          </w:hyperlink>
        </w:p>
        <w:p w14:paraId="083CC17B" w14:textId="79AA35BB" w:rsidR="00870F8E" w:rsidRDefault="00E157BD">
          <w:pPr>
            <w:pStyle w:val="Verzeichnis2"/>
            <w:tabs>
              <w:tab w:val="left" w:pos="880"/>
              <w:tab w:val="right" w:leader="dot" w:pos="9062"/>
            </w:tabs>
            <w:rPr>
              <w:rFonts w:eastAsiaTheme="minorEastAsia"/>
              <w:noProof/>
              <w:lang w:eastAsia="de-DE"/>
            </w:rPr>
          </w:pPr>
          <w:hyperlink w:anchor="_Toc75179525" w:history="1">
            <w:r w:rsidR="00870F8E" w:rsidRPr="00275F00">
              <w:rPr>
                <w:rStyle w:val="Hyperlink"/>
                <w:rFonts w:eastAsiaTheme="majorEastAsia" w:cstheme="minorHAnsi"/>
                <w:b/>
                <w:bCs/>
                <w:noProof/>
              </w:rPr>
              <w:t>2.1.</w:t>
            </w:r>
            <w:r w:rsidR="00870F8E">
              <w:rPr>
                <w:rFonts w:eastAsiaTheme="minorEastAsia"/>
                <w:noProof/>
                <w:lang w:eastAsia="de-DE"/>
              </w:rPr>
              <w:tab/>
            </w:r>
            <w:r w:rsidR="00870F8E" w:rsidRPr="00275F00">
              <w:rPr>
                <w:rStyle w:val="Hyperlink"/>
                <w:rFonts w:eastAsiaTheme="majorEastAsia" w:cstheme="minorHAnsi"/>
                <w:b/>
                <w:bCs/>
                <w:noProof/>
              </w:rPr>
              <w:t>Recommendations on policy measures</w:t>
            </w:r>
            <w:r w:rsidR="00870F8E">
              <w:rPr>
                <w:noProof/>
                <w:webHidden/>
              </w:rPr>
              <w:tab/>
            </w:r>
            <w:r w:rsidR="00870F8E">
              <w:rPr>
                <w:noProof/>
                <w:webHidden/>
              </w:rPr>
              <w:fldChar w:fldCharType="begin"/>
            </w:r>
            <w:r w:rsidR="00870F8E">
              <w:rPr>
                <w:noProof/>
                <w:webHidden/>
              </w:rPr>
              <w:instrText xml:space="preserve"> PAGEREF _Toc75179525 \h </w:instrText>
            </w:r>
            <w:r w:rsidR="00870F8E">
              <w:rPr>
                <w:noProof/>
                <w:webHidden/>
              </w:rPr>
            </w:r>
            <w:r w:rsidR="00870F8E">
              <w:rPr>
                <w:noProof/>
                <w:webHidden/>
              </w:rPr>
              <w:fldChar w:fldCharType="separate"/>
            </w:r>
            <w:r w:rsidR="00E47948">
              <w:rPr>
                <w:noProof/>
                <w:webHidden/>
              </w:rPr>
              <w:t>3</w:t>
            </w:r>
            <w:r w:rsidR="00870F8E">
              <w:rPr>
                <w:noProof/>
                <w:webHidden/>
              </w:rPr>
              <w:fldChar w:fldCharType="end"/>
            </w:r>
          </w:hyperlink>
        </w:p>
        <w:p w14:paraId="1DD72EAD" w14:textId="1F07FBD7" w:rsidR="00870F8E" w:rsidRDefault="00E157BD">
          <w:pPr>
            <w:pStyle w:val="Verzeichnis2"/>
            <w:tabs>
              <w:tab w:val="left" w:pos="880"/>
              <w:tab w:val="right" w:leader="dot" w:pos="9062"/>
            </w:tabs>
            <w:rPr>
              <w:rFonts w:eastAsiaTheme="minorEastAsia"/>
              <w:noProof/>
              <w:lang w:eastAsia="de-DE"/>
            </w:rPr>
          </w:pPr>
          <w:hyperlink w:anchor="_Toc75179526" w:history="1">
            <w:r w:rsidR="00870F8E" w:rsidRPr="00275F00">
              <w:rPr>
                <w:rStyle w:val="Hyperlink"/>
                <w:rFonts w:eastAsiaTheme="majorEastAsia" w:cstheme="minorHAnsi"/>
                <w:b/>
                <w:bCs/>
                <w:noProof/>
              </w:rPr>
              <w:t>2.2.</w:t>
            </w:r>
            <w:r w:rsidR="00870F8E">
              <w:rPr>
                <w:rFonts w:eastAsiaTheme="minorEastAsia"/>
                <w:noProof/>
                <w:lang w:eastAsia="de-DE"/>
              </w:rPr>
              <w:tab/>
            </w:r>
            <w:r w:rsidR="00870F8E" w:rsidRPr="00275F00">
              <w:rPr>
                <w:rStyle w:val="Hyperlink"/>
                <w:rFonts w:eastAsiaTheme="majorEastAsia" w:cstheme="minorHAnsi"/>
                <w:b/>
                <w:bCs/>
                <w:noProof/>
              </w:rPr>
              <w:t>Recommendations on supportive functions and structures</w:t>
            </w:r>
            <w:r w:rsidR="00870F8E">
              <w:rPr>
                <w:noProof/>
                <w:webHidden/>
              </w:rPr>
              <w:tab/>
            </w:r>
            <w:r w:rsidR="00870F8E">
              <w:rPr>
                <w:noProof/>
                <w:webHidden/>
              </w:rPr>
              <w:fldChar w:fldCharType="begin"/>
            </w:r>
            <w:r w:rsidR="00870F8E">
              <w:rPr>
                <w:noProof/>
                <w:webHidden/>
              </w:rPr>
              <w:instrText xml:space="preserve"> PAGEREF _Toc75179526 \h </w:instrText>
            </w:r>
            <w:r w:rsidR="00870F8E">
              <w:rPr>
                <w:noProof/>
                <w:webHidden/>
              </w:rPr>
            </w:r>
            <w:r w:rsidR="00870F8E">
              <w:rPr>
                <w:noProof/>
                <w:webHidden/>
              </w:rPr>
              <w:fldChar w:fldCharType="separate"/>
            </w:r>
            <w:r w:rsidR="00E47948">
              <w:rPr>
                <w:noProof/>
                <w:webHidden/>
              </w:rPr>
              <w:t>5</w:t>
            </w:r>
            <w:r w:rsidR="00870F8E">
              <w:rPr>
                <w:noProof/>
                <w:webHidden/>
              </w:rPr>
              <w:fldChar w:fldCharType="end"/>
            </w:r>
          </w:hyperlink>
        </w:p>
        <w:p w14:paraId="63267604" w14:textId="07CE3748" w:rsidR="00870F8E" w:rsidRDefault="00E157BD">
          <w:pPr>
            <w:pStyle w:val="Verzeichnis1"/>
            <w:tabs>
              <w:tab w:val="left" w:pos="440"/>
              <w:tab w:val="right" w:leader="dot" w:pos="9062"/>
            </w:tabs>
            <w:rPr>
              <w:rFonts w:eastAsiaTheme="minorEastAsia"/>
              <w:noProof/>
              <w:lang w:eastAsia="de-DE"/>
            </w:rPr>
          </w:pPr>
          <w:hyperlink w:anchor="_Toc75179527" w:history="1">
            <w:r w:rsidR="00870F8E" w:rsidRPr="00275F00">
              <w:rPr>
                <w:rStyle w:val="Hyperlink"/>
                <w:rFonts w:eastAsiaTheme="majorEastAsia" w:cstheme="minorHAnsi"/>
                <w:b/>
                <w:bCs/>
                <w:noProof/>
              </w:rPr>
              <w:t>3.</w:t>
            </w:r>
            <w:r w:rsidR="00870F8E">
              <w:rPr>
                <w:rFonts w:eastAsiaTheme="minorEastAsia"/>
                <w:noProof/>
                <w:lang w:eastAsia="de-DE"/>
              </w:rPr>
              <w:tab/>
            </w:r>
            <w:r w:rsidR="00870F8E" w:rsidRPr="00275F00">
              <w:rPr>
                <w:rStyle w:val="Hyperlink"/>
                <w:rFonts w:eastAsiaTheme="majorEastAsia" w:cstheme="minorHAnsi"/>
                <w:b/>
                <w:bCs/>
                <w:noProof/>
              </w:rPr>
              <w:t>Adaptation of the international Food-EPI framework to Germany</w:t>
            </w:r>
            <w:r w:rsidR="00870F8E">
              <w:rPr>
                <w:noProof/>
                <w:webHidden/>
              </w:rPr>
              <w:tab/>
            </w:r>
            <w:r w:rsidR="00870F8E">
              <w:rPr>
                <w:noProof/>
                <w:webHidden/>
              </w:rPr>
              <w:fldChar w:fldCharType="begin"/>
            </w:r>
            <w:r w:rsidR="00870F8E">
              <w:rPr>
                <w:noProof/>
                <w:webHidden/>
              </w:rPr>
              <w:instrText xml:space="preserve"> PAGEREF _Toc75179527 \h </w:instrText>
            </w:r>
            <w:r w:rsidR="00870F8E">
              <w:rPr>
                <w:noProof/>
                <w:webHidden/>
              </w:rPr>
            </w:r>
            <w:r w:rsidR="00870F8E">
              <w:rPr>
                <w:noProof/>
                <w:webHidden/>
              </w:rPr>
              <w:fldChar w:fldCharType="separate"/>
            </w:r>
            <w:r w:rsidR="00E47948">
              <w:rPr>
                <w:noProof/>
                <w:webHidden/>
              </w:rPr>
              <w:t>6</w:t>
            </w:r>
            <w:r w:rsidR="00870F8E">
              <w:rPr>
                <w:noProof/>
                <w:webHidden/>
              </w:rPr>
              <w:fldChar w:fldCharType="end"/>
            </w:r>
          </w:hyperlink>
        </w:p>
        <w:p w14:paraId="558A691E" w14:textId="0F6A250E" w:rsidR="00870F8E" w:rsidRDefault="00E157BD">
          <w:pPr>
            <w:pStyle w:val="Verzeichnis1"/>
            <w:tabs>
              <w:tab w:val="left" w:pos="440"/>
              <w:tab w:val="right" w:leader="dot" w:pos="9062"/>
            </w:tabs>
            <w:rPr>
              <w:rFonts w:eastAsiaTheme="minorEastAsia"/>
              <w:noProof/>
              <w:lang w:eastAsia="de-DE"/>
            </w:rPr>
          </w:pPr>
          <w:hyperlink w:anchor="_Toc75179528" w:history="1">
            <w:r w:rsidR="00870F8E" w:rsidRPr="00275F00">
              <w:rPr>
                <w:rStyle w:val="Hyperlink"/>
                <w:rFonts w:eastAsiaTheme="majorEastAsia" w:cstheme="minorHAnsi"/>
                <w:b/>
                <w:bCs/>
                <w:noProof/>
              </w:rPr>
              <w:t>4.</w:t>
            </w:r>
            <w:r w:rsidR="00870F8E">
              <w:rPr>
                <w:rFonts w:eastAsiaTheme="minorEastAsia"/>
                <w:noProof/>
                <w:lang w:eastAsia="de-DE"/>
              </w:rPr>
              <w:tab/>
            </w:r>
            <w:r w:rsidR="00870F8E" w:rsidRPr="00275F00">
              <w:rPr>
                <w:rStyle w:val="Hyperlink"/>
                <w:rFonts w:eastAsiaTheme="majorEastAsia" w:cstheme="minorHAnsi"/>
                <w:b/>
                <w:bCs/>
                <w:noProof/>
              </w:rPr>
              <w:t>COREQ Checklist</w:t>
            </w:r>
            <w:r w:rsidR="00870F8E">
              <w:rPr>
                <w:noProof/>
                <w:webHidden/>
              </w:rPr>
              <w:tab/>
            </w:r>
            <w:r w:rsidR="00870F8E">
              <w:rPr>
                <w:noProof/>
                <w:webHidden/>
              </w:rPr>
              <w:fldChar w:fldCharType="begin"/>
            </w:r>
            <w:r w:rsidR="00870F8E">
              <w:rPr>
                <w:noProof/>
                <w:webHidden/>
              </w:rPr>
              <w:instrText xml:space="preserve"> PAGEREF _Toc75179528 \h </w:instrText>
            </w:r>
            <w:r w:rsidR="00870F8E">
              <w:rPr>
                <w:noProof/>
                <w:webHidden/>
              </w:rPr>
            </w:r>
            <w:r w:rsidR="00870F8E">
              <w:rPr>
                <w:noProof/>
                <w:webHidden/>
              </w:rPr>
              <w:fldChar w:fldCharType="separate"/>
            </w:r>
            <w:r w:rsidR="00E47948">
              <w:rPr>
                <w:noProof/>
                <w:webHidden/>
              </w:rPr>
              <w:t>7</w:t>
            </w:r>
            <w:r w:rsidR="00870F8E">
              <w:rPr>
                <w:noProof/>
                <w:webHidden/>
              </w:rPr>
              <w:fldChar w:fldCharType="end"/>
            </w:r>
          </w:hyperlink>
        </w:p>
        <w:p w14:paraId="39EF92CB" w14:textId="0FB540FA" w:rsidR="00870F8E" w:rsidRDefault="00E157BD">
          <w:pPr>
            <w:pStyle w:val="Verzeichnis1"/>
            <w:tabs>
              <w:tab w:val="left" w:pos="440"/>
              <w:tab w:val="right" w:leader="dot" w:pos="9062"/>
            </w:tabs>
            <w:rPr>
              <w:rFonts w:eastAsiaTheme="minorEastAsia"/>
              <w:noProof/>
              <w:lang w:eastAsia="de-DE"/>
            </w:rPr>
          </w:pPr>
          <w:hyperlink w:anchor="_Toc75179529" w:history="1">
            <w:r w:rsidR="00870F8E" w:rsidRPr="00275F00">
              <w:rPr>
                <w:rStyle w:val="Hyperlink"/>
                <w:rFonts w:eastAsiaTheme="majorEastAsia" w:cstheme="minorHAnsi"/>
                <w:b/>
                <w:bCs/>
                <w:noProof/>
              </w:rPr>
              <w:t>5.</w:t>
            </w:r>
            <w:r w:rsidR="00870F8E">
              <w:rPr>
                <w:rFonts w:eastAsiaTheme="minorEastAsia"/>
                <w:noProof/>
                <w:lang w:eastAsia="de-DE"/>
              </w:rPr>
              <w:tab/>
            </w:r>
            <w:r w:rsidR="00870F8E" w:rsidRPr="00275F00">
              <w:rPr>
                <w:rStyle w:val="Hyperlink"/>
                <w:rFonts w:eastAsiaTheme="majorEastAsia" w:cstheme="minorHAnsi"/>
                <w:b/>
                <w:bCs/>
                <w:noProof/>
              </w:rPr>
              <w:t>Recruitment email and information sheet provided to participating experts</w:t>
            </w:r>
            <w:r w:rsidR="00870F8E">
              <w:rPr>
                <w:noProof/>
                <w:webHidden/>
              </w:rPr>
              <w:tab/>
            </w:r>
            <w:r w:rsidR="00870F8E">
              <w:rPr>
                <w:noProof/>
                <w:webHidden/>
              </w:rPr>
              <w:fldChar w:fldCharType="begin"/>
            </w:r>
            <w:r w:rsidR="00870F8E">
              <w:rPr>
                <w:noProof/>
                <w:webHidden/>
              </w:rPr>
              <w:instrText xml:space="preserve"> PAGEREF _Toc75179529 \h </w:instrText>
            </w:r>
            <w:r w:rsidR="00870F8E">
              <w:rPr>
                <w:noProof/>
                <w:webHidden/>
              </w:rPr>
            </w:r>
            <w:r w:rsidR="00870F8E">
              <w:rPr>
                <w:noProof/>
                <w:webHidden/>
              </w:rPr>
              <w:fldChar w:fldCharType="separate"/>
            </w:r>
            <w:r w:rsidR="00E47948">
              <w:rPr>
                <w:noProof/>
                <w:webHidden/>
              </w:rPr>
              <w:t>10</w:t>
            </w:r>
            <w:r w:rsidR="00870F8E">
              <w:rPr>
                <w:noProof/>
                <w:webHidden/>
              </w:rPr>
              <w:fldChar w:fldCharType="end"/>
            </w:r>
          </w:hyperlink>
        </w:p>
        <w:p w14:paraId="36DF48FE" w14:textId="1DD0DE89" w:rsidR="00870F8E" w:rsidRDefault="00E157BD">
          <w:pPr>
            <w:pStyle w:val="Verzeichnis1"/>
            <w:tabs>
              <w:tab w:val="right" w:leader="dot" w:pos="9062"/>
            </w:tabs>
            <w:rPr>
              <w:rFonts w:eastAsiaTheme="minorEastAsia"/>
              <w:noProof/>
              <w:lang w:eastAsia="de-DE"/>
            </w:rPr>
          </w:pPr>
          <w:hyperlink w:anchor="_Toc75179530" w:history="1">
            <w:r w:rsidR="00870F8E" w:rsidRPr="00275F00">
              <w:rPr>
                <w:rStyle w:val="Hyperlink"/>
                <w:rFonts w:cstheme="minorHAnsi"/>
                <w:b/>
                <w:bCs/>
                <w:noProof/>
              </w:rPr>
              <w:t>References</w:t>
            </w:r>
            <w:r w:rsidR="00870F8E">
              <w:rPr>
                <w:noProof/>
                <w:webHidden/>
              </w:rPr>
              <w:tab/>
            </w:r>
            <w:r w:rsidR="00870F8E">
              <w:rPr>
                <w:noProof/>
                <w:webHidden/>
              </w:rPr>
              <w:fldChar w:fldCharType="begin"/>
            </w:r>
            <w:r w:rsidR="00870F8E">
              <w:rPr>
                <w:noProof/>
                <w:webHidden/>
              </w:rPr>
              <w:instrText xml:space="preserve"> PAGEREF _Toc75179530 \h </w:instrText>
            </w:r>
            <w:r w:rsidR="00870F8E">
              <w:rPr>
                <w:noProof/>
                <w:webHidden/>
              </w:rPr>
            </w:r>
            <w:r w:rsidR="00870F8E">
              <w:rPr>
                <w:noProof/>
                <w:webHidden/>
              </w:rPr>
              <w:fldChar w:fldCharType="separate"/>
            </w:r>
            <w:r w:rsidR="00E47948">
              <w:rPr>
                <w:noProof/>
                <w:webHidden/>
              </w:rPr>
              <w:t>12</w:t>
            </w:r>
            <w:r w:rsidR="00870F8E">
              <w:rPr>
                <w:noProof/>
                <w:webHidden/>
              </w:rPr>
              <w:fldChar w:fldCharType="end"/>
            </w:r>
          </w:hyperlink>
        </w:p>
        <w:p w14:paraId="6EA3B48A" w14:textId="2F000A8C" w:rsidR="00833737" w:rsidRPr="00CA49AD" w:rsidRDefault="00833737">
          <w:pPr>
            <w:rPr>
              <w:rFonts w:cstheme="minorHAnsi"/>
            </w:rPr>
          </w:pPr>
          <w:r w:rsidRPr="00CA49AD">
            <w:rPr>
              <w:rFonts w:cstheme="minorHAnsi"/>
              <w:b/>
              <w:bCs/>
            </w:rPr>
            <w:fldChar w:fldCharType="end"/>
          </w:r>
        </w:p>
      </w:sdtContent>
    </w:sdt>
    <w:p w14:paraId="4BA70F6C" w14:textId="63078A02" w:rsidR="00833737" w:rsidRPr="00CA49AD" w:rsidRDefault="00833737" w:rsidP="005E527B">
      <w:pPr>
        <w:rPr>
          <w:rFonts w:eastAsiaTheme="majorEastAsia" w:cstheme="minorHAnsi"/>
        </w:rPr>
      </w:pPr>
    </w:p>
    <w:p w14:paraId="33465E85" w14:textId="77777777" w:rsidR="00833737" w:rsidRPr="00CA49AD" w:rsidRDefault="00833737" w:rsidP="005E527B">
      <w:pPr>
        <w:rPr>
          <w:rFonts w:eastAsiaTheme="majorEastAsia" w:cstheme="minorHAnsi"/>
        </w:rPr>
      </w:pPr>
    </w:p>
    <w:p w14:paraId="27FE1CE3" w14:textId="5A6C6E5B" w:rsidR="005E527B" w:rsidRPr="00D25B89" w:rsidRDefault="00B87B18" w:rsidP="001F31B1">
      <w:pPr>
        <w:pStyle w:val="Listenabsatz"/>
        <w:numPr>
          <w:ilvl w:val="0"/>
          <w:numId w:val="4"/>
        </w:numPr>
        <w:outlineLvl w:val="0"/>
        <w:rPr>
          <w:rFonts w:eastAsiaTheme="majorEastAsia" w:cstheme="minorHAnsi"/>
          <w:b/>
          <w:bCs/>
          <w:sz w:val="28"/>
          <w:szCs w:val="28"/>
        </w:rPr>
      </w:pPr>
      <w:bookmarkStart w:id="0" w:name="_Toc75179523"/>
      <w:r>
        <w:rPr>
          <w:rFonts w:eastAsiaTheme="majorEastAsia" w:cstheme="minorHAnsi"/>
          <w:b/>
          <w:bCs/>
          <w:sz w:val="28"/>
          <w:szCs w:val="28"/>
        </w:rPr>
        <w:t>External experts</w:t>
      </w:r>
      <w:bookmarkEnd w:id="0"/>
    </w:p>
    <w:p w14:paraId="6C9460AF" w14:textId="2978376E" w:rsidR="00025627" w:rsidRPr="00CA49AD" w:rsidRDefault="00025627" w:rsidP="00025627">
      <w:pPr>
        <w:rPr>
          <w:rFonts w:eastAsiaTheme="majorEastAsia" w:cstheme="minorHAnsi"/>
        </w:rPr>
      </w:pPr>
    </w:p>
    <w:p w14:paraId="5808DB19" w14:textId="54CDDC96" w:rsidR="00F955AC" w:rsidRPr="00D106A2" w:rsidRDefault="00A86F6B" w:rsidP="00925F0A">
      <w:pPr>
        <w:spacing w:after="160"/>
        <w:jc w:val="both"/>
        <w:rPr>
          <w:rFonts w:cstheme="minorHAnsi"/>
          <w:lang w:val="en-US"/>
        </w:rPr>
      </w:pPr>
      <w:r w:rsidRPr="00D106A2">
        <w:rPr>
          <w:rFonts w:cstheme="minorHAnsi"/>
          <w:lang w:val="en-US"/>
        </w:rPr>
        <w:t xml:space="preserve">Table s1 lists the names </w:t>
      </w:r>
      <w:r w:rsidR="003E1C42">
        <w:rPr>
          <w:rFonts w:cstheme="minorHAnsi"/>
          <w:lang w:val="en-US"/>
        </w:rPr>
        <w:t>and</w:t>
      </w:r>
      <w:r w:rsidR="003E1C42" w:rsidRPr="00D106A2">
        <w:rPr>
          <w:rFonts w:cstheme="minorHAnsi"/>
          <w:lang w:val="en-US"/>
        </w:rPr>
        <w:t xml:space="preserve"> </w:t>
      </w:r>
      <w:r w:rsidRPr="00D106A2">
        <w:rPr>
          <w:rFonts w:cstheme="minorHAnsi"/>
          <w:lang w:val="en-US"/>
        </w:rPr>
        <w:t xml:space="preserve">affiliations of </w:t>
      </w:r>
      <w:r w:rsidR="00277A65" w:rsidRPr="00D106A2">
        <w:rPr>
          <w:rFonts w:cstheme="minorHAnsi"/>
          <w:lang w:val="en-US"/>
        </w:rPr>
        <w:t>the members of the expert panel who agreed to be mentioned by name.</w:t>
      </w:r>
      <w:r w:rsidR="00925F0A" w:rsidRPr="00D106A2">
        <w:rPr>
          <w:rFonts w:cstheme="minorHAnsi"/>
          <w:lang w:val="en-US"/>
        </w:rPr>
        <w:t xml:space="preserve"> </w:t>
      </w:r>
      <w:r w:rsidR="003F4DF6">
        <w:rPr>
          <w:rFonts w:cstheme="minorHAnsi"/>
          <w:lang w:val="en-US"/>
        </w:rPr>
        <w:t xml:space="preserve">Nine experts indicated that they preferred not to be mentioned by name. </w:t>
      </w:r>
      <w:r w:rsidR="00925F0A" w:rsidRPr="00D106A2">
        <w:rPr>
          <w:rFonts w:cstheme="minorHAnsi"/>
          <w:lang w:val="en-US"/>
        </w:rPr>
        <w:t>We are deeply grateful to all</w:t>
      </w:r>
      <w:r w:rsidR="001B6749" w:rsidRPr="00D106A2">
        <w:rPr>
          <w:rFonts w:cstheme="minorHAnsi"/>
          <w:lang w:val="en-US"/>
        </w:rPr>
        <w:t xml:space="preserve"> members for their substantial contribution of time and effort.</w:t>
      </w:r>
    </w:p>
    <w:p w14:paraId="46181498" w14:textId="06859D69" w:rsidR="00F822C5" w:rsidRPr="00D106A2" w:rsidRDefault="00F822C5" w:rsidP="00025627">
      <w:pPr>
        <w:rPr>
          <w:rFonts w:cstheme="minorHAnsi"/>
          <w:i/>
          <w:iCs/>
          <w:lang w:val="en-U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5"/>
        <w:gridCol w:w="3341"/>
        <w:gridCol w:w="3136"/>
      </w:tblGrid>
      <w:tr w:rsidR="00D62EF8" w:rsidRPr="00F822C5" w14:paraId="303A5FE2" w14:textId="551F7063" w:rsidTr="00293001">
        <w:trPr>
          <w:trHeight w:val="315"/>
          <w:tblHeader/>
        </w:trPr>
        <w:tc>
          <w:tcPr>
            <w:tcW w:w="2735" w:type="dxa"/>
            <w:shd w:val="clear" w:color="auto" w:fill="F2F2F2" w:themeFill="background1" w:themeFillShade="F2"/>
            <w:vAlign w:val="center"/>
          </w:tcPr>
          <w:p w14:paraId="5EDA41D3" w14:textId="699840FA" w:rsidR="00D62EF8" w:rsidRPr="00657C73" w:rsidRDefault="00D62EF8" w:rsidP="003E1C42">
            <w:pPr>
              <w:spacing w:line="240" w:lineRule="auto"/>
              <w:rPr>
                <w:rFonts w:ascii="Calibri" w:eastAsia="Times New Roman" w:hAnsi="Calibri" w:cs="Calibri"/>
                <w:b/>
                <w:bCs/>
                <w:color w:val="000000"/>
                <w:lang w:eastAsia="de-DE"/>
              </w:rPr>
            </w:pPr>
            <w:r w:rsidRPr="00657C73">
              <w:rPr>
                <w:rFonts w:ascii="Calibri" w:eastAsia="Times New Roman" w:hAnsi="Calibri" w:cs="Calibri"/>
                <w:b/>
                <w:bCs/>
                <w:color w:val="000000"/>
                <w:lang w:eastAsia="de-DE"/>
              </w:rPr>
              <w:t>Name</w:t>
            </w:r>
          </w:p>
        </w:tc>
        <w:tc>
          <w:tcPr>
            <w:tcW w:w="3341" w:type="dxa"/>
            <w:shd w:val="clear" w:color="auto" w:fill="F2F2F2" w:themeFill="background1" w:themeFillShade="F2"/>
            <w:vAlign w:val="center"/>
          </w:tcPr>
          <w:p w14:paraId="761C2167" w14:textId="3F654134" w:rsidR="00D62EF8" w:rsidRPr="00657C73" w:rsidRDefault="00D62EF8" w:rsidP="003E1C42">
            <w:pPr>
              <w:spacing w:line="240" w:lineRule="auto"/>
              <w:rPr>
                <w:rFonts w:ascii="Calibri" w:eastAsia="Times New Roman" w:hAnsi="Calibri" w:cs="Calibri"/>
                <w:b/>
                <w:bCs/>
                <w:color w:val="000000"/>
                <w:lang w:eastAsia="de-DE"/>
              </w:rPr>
            </w:pPr>
            <w:r w:rsidRPr="00657C73">
              <w:rPr>
                <w:rFonts w:ascii="Calibri" w:eastAsia="Times New Roman" w:hAnsi="Calibri" w:cs="Calibri"/>
                <w:b/>
                <w:bCs/>
                <w:color w:val="000000"/>
                <w:lang w:eastAsia="de-DE"/>
              </w:rPr>
              <w:t xml:space="preserve">Affiliation </w:t>
            </w:r>
            <w:r>
              <w:rPr>
                <w:rFonts w:ascii="Calibri" w:eastAsia="Times New Roman" w:hAnsi="Calibri" w:cs="Calibri"/>
                <w:b/>
                <w:bCs/>
                <w:color w:val="000000"/>
                <w:lang w:eastAsia="de-DE"/>
              </w:rPr>
              <w:t>(German)</w:t>
            </w:r>
          </w:p>
        </w:tc>
        <w:tc>
          <w:tcPr>
            <w:tcW w:w="3136" w:type="dxa"/>
            <w:shd w:val="clear" w:color="auto" w:fill="F2F2F2" w:themeFill="background1" w:themeFillShade="F2"/>
          </w:tcPr>
          <w:p w14:paraId="322764D3" w14:textId="309E9870" w:rsidR="00D62EF8" w:rsidRPr="00657C73" w:rsidRDefault="00D62EF8" w:rsidP="00F822C5">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Affiliation (English)</w:t>
            </w:r>
          </w:p>
        </w:tc>
      </w:tr>
      <w:tr w:rsidR="00D62EF8" w:rsidRPr="00F822C5" w14:paraId="16D5FF43" w14:textId="0F8E0836" w:rsidTr="00293001">
        <w:trPr>
          <w:trHeight w:val="315"/>
        </w:trPr>
        <w:tc>
          <w:tcPr>
            <w:tcW w:w="2735" w:type="dxa"/>
            <w:shd w:val="clear" w:color="auto" w:fill="auto"/>
            <w:hideMark/>
          </w:tcPr>
          <w:p w14:paraId="63CD5032"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Ulrike Arens-Azevedo</w:t>
            </w:r>
          </w:p>
        </w:tc>
        <w:tc>
          <w:tcPr>
            <w:tcW w:w="3341" w:type="dxa"/>
            <w:shd w:val="clear" w:color="auto" w:fill="auto"/>
            <w:hideMark/>
          </w:tcPr>
          <w:p w14:paraId="568A6874" w14:textId="25237AEA" w:rsidR="00D62EF8" w:rsidRPr="00F822C5" w:rsidRDefault="001D75E2"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c>
          <w:tcPr>
            <w:tcW w:w="3136" w:type="dxa"/>
          </w:tcPr>
          <w:p w14:paraId="56DDC599" w14:textId="4AF61C70" w:rsidR="00D62EF8" w:rsidRDefault="00664130"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r>
      <w:tr w:rsidR="00D62EF8" w:rsidRPr="00E157BD" w14:paraId="3790AABB" w14:textId="27D5DD27" w:rsidTr="00293001">
        <w:trPr>
          <w:trHeight w:val="164"/>
        </w:trPr>
        <w:tc>
          <w:tcPr>
            <w:tcW w:w="2735" w:type="dxa"/>
            <w:shd w:val="clear" w:color="auto" w:fill="auto"/>
            <w:hideMark/>
          </w:tcPr>
          <w:p w14:paraId="2AAE6E01"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Melanie Bahlke</w:t>
            </w:r>
          </w:p>
        </w:tc>
        <w:tc>
          <w:tcPr>
            <w:tcW w:w="3341" w:type="dxa"/>
            <w:shd w:val="clear" w:color="auto" w:fill="auto"/>
            <w:hideMark/>
          </w:tcPr>
          <w:p w14:paraId="00BEECD7" w14:textId="2D913286"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Adipositaschirurgie Selbsthilfe Deutschland e.V.</w:t>
            </w:r>
          </w:p>
        </w:tc>
        <w:tc>
          <w:tcPr>
            <w:tcW w:w="3136" w:type="dxa"/>
          </w:tcPr>
          <w:p w14:paraId="5291F96F" w14:textId="120D9167" w:rsidR="00D62EF8" w:rsidRPr="00D106A2" w:rsidRDefault="00664130"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Bariatric Surgery Patient Organization Germany</w:t>
            </w:r>
          </w:p>
        </w:tc>
      </w:tr>
      <w:tr w:rsidR="00D62EF8" w:rsidRPr="00E157BD" w14:paraId="5A5570CF" w14:textId="34841E62" w:rsidTr="00293001">
        <w:trPr>
          <w:trHeight w:val="315"/>
        </w:trPr>
        <w:tc>
          <w:tcPr>
            <w:tcW w:w="2735" w:type="dxa"/>
            <w:shd w:val="clear" w:color="auto" w:fill="auto"/>
          </w:tcPr>
          <w:p w14:paraId="2FD06E87" w14:textId="11A5E75E" w:rsidR="00D62EF8" w:rsidRPr="00F822C5" w:rsidRDefault="00D62EF8" w:rsidP="003E1C42">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Katrin Bindeballe</w:t>
            </w:r>
          </w:p>
        </w:tc>
        <w:tc>
          <w:tcPr>
            <w:tcW w:w="3341" w:type="dxa"/>
            <w:shd w:val="clear" w:color="auto" w:fill="auto"/>
            <w:noWrap/>
          </w:tcPr>
          <w:p w14:paraId="6A2CF8E6" w14:textId="03519032" w:rsidR="00D62EF8" w:rsidRPr="00F822C5" w:rsidRDefault="00D62EF8"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Deutsche Allianz Nichtübertragbare Krankheiten (DANK), Deutsche Diabetes Gesellschaft</w:t>
            </w:r>
          </w:p>
        </w:tc>
        <w:tc>
          <w:tcPr>
            <w:tcW w:w="3136" w:type="dxa"/>
          </w:tcPr>
          <w:p w14:paraId="4B8E5E95" w14:textId="2DAFA4F4" w:rsidR="00D62EF8" w:rsidRPr="00D106A2" w:rsidRDefault="009659BC"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German NCD Alliance (DANK) and German Diabetes Society</w:t>
            </w:r>
          </w:p>
        </w:tc>
      </w:tr>
      <w:tr w:rsidR="00D62EF8" w:rsidRPr="00E157BD" w14:paraId="407B8DCC" w14:textId="5716332F" w:rsidTr="00293001">
        <w:trPr>
          <w:trHeight w:val="315"/>
        </w:trPr>
        <w:tc>
          <w:tcPr>
            <w:tcW w:w="2735" w:type="dxa"/>
            <w:shd w:val="clear" w:color="auto" w:fill="auto"/>
          </w:tcPr>
          <w:p w14:paraId="6C415059" w14:textId="3AC7AF52" w:rsidR="00D62EF8" w:rsidRPr="00F822C5" w:rsidRDefault="00D62EF8" w:rsidP="003E1C42">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Barbara Bitzer</w:t>
            </w:r>
          </w:p>
        </w:tc>
        <w:tc>
          <w:tcPr>
            <w:tcW w:w="3341" w:type="dxa"/>
            <w:shd w:val="clear" w:color="auto" w:fill="auto"/>
            <w:noWrap/>
          </w:tcPr>
          <w:p w14:paraId="20B4505C" w14:textId="65B62439" w:rsidR="00D62EF8" w:rsidRPr="00F822C5" w:rsidRDefault="00D62EF8"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 xml:space="preserve">Deutsche Allianz Nichtübertragbare Krankheiten (DANK) sowie Deutsche Diabetes Gesellschaft </w:t>
            </w:r>
          </w:p>
        </w:tc>
        <w:tc>
          <w:tcPr>
            <w:tcW w:w="3136" w:type="dxa"/>
          </w:tcPr>
          <w:p w14:paraId="09B676EE" w14:textId="5A9C1589" w:rsidR="00D62EF8" w:rsidRPr="00D106A2" w:rsidRDefault="009659BC"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German NCD Alliance (DANK) and German Diabetes Society</w:t>
            </w:r>
          </w:p>
        </w:tc>
      </w:tr>
      <w:tr w:rsidR="00D62EF8" w:rsidRPr="00E157BD" w14:paraId="16F8DE3E" w14:textId="59BC34FA" w:rsidTr="00293001">
        <w:trPr>
          <w:trHeight w:val="315"/>
        </w:trPr>
        <w:tc>
          <w:tcPr>
            <w:tcW w:w="2735" w:type="dxa"/>
            <w:shd w:val="clear" w:color="auto" w:fill="auto"/>
            <w:hideMark/>
          </w:tcPr>
          <w:p w14:paraId="43F28B5F"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Benjamin Bodirsky</w:t>
            </w:r>
          </w:p>
        </w:tc>
        <w:tc>
          <w:tcPr>
            <w:tcW w:w="3341" w:type="dxa"/>
            <w:shd w:val="clear" w:color="auto" w:fill="auto"/>
            <w:noWrap/>
            <w:hideMark/>
          </w:tcPr>
          <w:p w14:paraId="4AD98CBC" w14:textId="6BBCF42F"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Potsdam Institut für Klimafolgenforschung</w:t>
            </w:r>
            <w:r>
              <w:rPr>
                <w:rFonts w:ascii="Calibri" w:eastAsia="Times New Roman" w:hAnsi="Calibri" w:cs="Calibri"/>
                <w:color w:val="000000"/>
                <w:lang w:eastAsia="de-DE"/>
              </w:rPr>
              <w:t xml:space="preserve"> </w:t>
            </w:r>
          </w:p>
        </w:tc>
        <w:tc>
          <w:tcPr>
            <w:tcW w:w="3136" w:type="dxa"/>
          </w:tcPr>
          <w:p w14:paraId="244939FB" w14:textId="47531BF7" w:rsidR="00D62EF8" w:rsidRPr="00D106A2" w:rsidRDefault="009659BC"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Postdam Institute for Climate Research</w:t>
            </w:r>
          </w:p>
        </w:tc>
      </w:tr>
      <w:tr w:rsidR="00D62EF8" w:rsidRPr="00E157BD" w14:paraId="150DB3BE" w14:textId="7A34894B" w:rsidTr="00293001">
        <w:trPr>
          <w:trHeight w:val="259"/>
        </w:trPr>
        <w:tc>
          <w:tcPr>
            <w:tcW w:w="2735" w:type="dxa"/>
            <w:shd w:val="clear" w:color="auto" w:fill="auto"/>
            <w:hideMark/>
          </w:tcPr>
          <w:p w14:paraId="6472B11C"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Brigitte Bormann</w:t>
            </w:r>
          </w:p>
        </w:tc>
        <w:tc>
          <w:tcPr>
            <w:tcW w:w="3341" w:type="dxa"/>
            <w:shd w:val="clear" w:color="auto" w:fill="auto"/>
            <w:hideMark/>
          </w:tcPr>
          <w:p w14:paraId="1F016F0B"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Landeszentrum Gesundheit Nordrhein-Westfalen</w:t>
            </w:r>
          </w:p>
        </w:tc>
        <w:tc>
          <w:tcPr>
            <w:tcW w:w="3136" w:type="dxa"/>
          </w:tcPr>
          <w:p w14:paraId="4C8406DE" w14:textId="3950A6FE" w:rsidR="00D62EF8" w:rsidRPr="00D106A2" w:rsidRDefault="004D2766"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Statutory Health Promotion Agency of the state of North Rhine Westphalia</w:t>
            </w:r>
          </w:p>
        </w:tc>
      </w:tr>
      <w:tr w:rsidR="00D62EF8" w:rsidRPr="00F822C5" w14:paraId="01D585A3" w14:textId="7E976F97" w:rsidTr="00293001">
        <w:trPr>
          <w:trHeight w:val="134"/>
        </w:trPr>
        <w:tc>
          <w:tcPr>
            <w:tcW w:w="2735" w:type="dxa"/>
            <w:shd w:val="clear" w:color="auto" w:fill="auto"/>
            <w:hideMark/>
          </w:tcPr>
          <w:p w14:paraId="49B54316"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Christina Breidenassel</w:t>
            </w:r>
          </w:p>
        </w:tc>
        <w:tc>
          <w:tcPr>
            <w:tcW w:w="3341" w:type="dxa"/>
            <w:shd w:val="clear" w:color="auto" w:fill="auto"/>
            <w:hideMark/>
          </w:tcPr>
          <w:p w14:paraId="49DB6C46"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12A0E467" w14:textId="7725AFDC"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364560" w14:paraId="0005160D" w14:textId="799A114B" w:rsidTr="00293001">
        <w:trPr>
          <w:trHeight w:val="315"/>
        </w:trPr>
        <w:tc>
          <w:tcPr>
            <w:tcW w:w="2735" w:type="dxa"/>
            <w:shd w:val="clear" w:color="auto" w:fill="auto"/>
            <w:hideMark/>
          </w:tcPr>
          <w:p w14:paraId="77746746"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Margarete Büning-Fesel</w:t>
            </w:r>
          </w:p>
        </w:tc>
        <w:tc>
          <w:tcPr>
            <w:tcW w:w="3341" w:type="dxa"/>
            <w:shd w:val="clear" w:color="auto" w:fill="auto"/>
            <w:hideMark/>
          </w:tcPr>
          <w:p w14:paraId="47AAD6F3" w14:textId="4FFA32D6"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 xml:space="preserve">Bundeszentrum für Ernährung </w:t>
            </w:r>
          </w:p>
        </w:tc>
        <w:tc>
          <w:tcPr>
            <w:tcW w:w="3136" w:type="dxa"/>
          </w:tcPr>
          <w:p w14:paraId="2696643B" w14:textId="5D2F2F6F" w:rsidR="00D62EF8" w:rsidRPr="00D106A2" w:rsidRDefault="00DF4B1D"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 xml:space="preserve">Federal Centre for Nutrition </w:t>
            </w:r>
          </w:p>
        </w:tc>
      </w:tr>
      <w:tr w:rsidR="00D62EF8" w:rsidRPr="00F822C5" w14:paraId="53F319FC" w14:textId="2952272B" w:rsidTr="00293001">
        <w:trPr>
          <w:trHeight w:val="315"/>
        </w:trPr>
        <w:tc>
          <w:tcPr>
            <w:tcW w:w="2735" w:type="dxa"/>
            <w:shd w:val="clear" w:color="auto" w:fill="auto"/>
            <w:hideMark/>
          </w:tcPr>
          <w:p w14:paraId="5E2BA82B"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Anette Buyken</w:t>
            </w:r>
          </w:p>
        </w:tc>
        <w:tc>
          <w:tcPr>
            <w:tcW w:w="3341" w:type="dxa"/>
            <w:shd w:val="clear" w:color="auto" w:fill="auto"/>
            <w:hideMark/>
          </w:tcPr>
          <w:p w14:paraId="4BDF6359"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Universität Paderborn</w:t>
            </w:r>
          </w:p>
        </w:tc>
        <w:tc>
          <w:tcPr>
            <w:tcW w:w="3136" w:type="dxa"/>
          </w:tcPr>
          <w:p w14:paraId="4FB567B3" w14:textId="03BA65F6" w:rsidR="00D62EF8" w:rsidRPr="00F822C5" w:rsidRDefault="00160D5E"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University of Paderborn</w:t>
            </w:r>
          </w:p>
        </w:tc>
      </w:tr>
      <w:tr w:rsidR="00D62EF8" w:rsidRPr="00F822C5" w14:paraId="05543BC7" w14:textId="4ACD03F6" w:rsidTr="00293001">
        <w:trPr>
          <w:trHeight w:val="373"/>
        </w:trPr>
        <w:tc>
          <w:tcPr>
            <w:tcW w:w="2735" w:type="dxa"/>
            <w:shd w:val="clear" w:color="auto" w:fill="auto"/>
            <w:hideMark/>
          </w:tcPr>
          <w:p w14:paraId="3038AB6B"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lastRenderedPageBreak/>
              <w:t>Ricarda Corleis</w:t>
            </w:r>
          </w:p>
        </w:tc>
        <w:tc>
          <w:tcPr>
            <w:tcW w:w="3341" w:type="dxa"/>
            <w:shd w:val="clear" w:color="auto" w:fill="auto"/>
            <w:hideMark/>
          </w:tcPr>
          <w:p w14:paraId="0914FDAB"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361DC358" w14:textId="214D9F0B"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E157BD" w14:paraId="59A658CF" w14:textId="41513D3C" w:rsidTr="00293001">
        <w:trPr>
          <w:trHeight w:val="132"/>
        </w:trPr>
        <w:tc>
          <w:tcPr>
            <w:tcW w:w="2735" w:type="dxa"/>
            <w:shd w:val="clear" w:color="auto" w:fill="auto"/>
          </w:tcPr>
          <w:p w14:paraId="4919DE54" w14:textId="1B4D07A5" w:rsidR="00D62EF8" w:rsidRPr="00F822C5" w:rsidRDefault="00D62EF8" w:rsidP="003E1C42">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Heike Dierbach</w:t>
            </w:r>
          </w:p>
        </w:tc>
        <w:tc>
          <w:tcPr>
            <w:tcW w:w="3341" w:type="dxa"/>
            <w:shd w:val="clear" w:color="auto" w:fill="auto"/>
          </w:tcPr>
          <w:p w14:paraId="007312D6" w14:textId="5DA9D876" w:rsidR="00D62EF8" w:rsidRPr="00F822C5" w:rsidRDefault="00D62EF8"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Deutsche Allianz Nichtübertragbare Krankheiten (DANK) sowie Deutsche Diabetes Gesellschaft</w:t>
            </w:r>
          </w:p>
        </w:tc>
        <w:tc>
          <w:tcPr>
            <w:tcW w:w="3136" w:type="dxa"/>
          </w:tcPr>
          <w:p w14:paraId="64A6FE76" w14:textId="7969CFE3" w:rsidR="00D62EF8" w:rsidRPr="00D106A2" w:rsidRDefault="00160D5E"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German NCD Alliance (DANK) and German Diabetes Society</w:t>
            </w:r>
          </w:p>
        </w:tc>
      </w:tr>
      <w:tr w:rsidR="00D62EF8" w:rsidRPr="00E157BD" w14:paraId="39FD805C" w14:textId="10A380E8" w:rsidTr="00293001">
        <w:trPr>
          <w:trHeight w:val="132"/>
        </w:trPr>
        <w:tc>
          <w:tcPr>
            <w:tcW w:w="2735" w:type="dxa"/>
            <w:shd w:val="clear" w:color="auto" w:fill="auto"/>
            <w:hideMark/>
          </w:tcPr>
          <w:p w14:paraId="0B85ECAE"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PD Dr. Tobias Effertz</w:t>
            </w:r>
          </w:p>
        </w:tc>
        <w:tc>
          <w:tcPr>
            <w:tcW w:w="3341" w:type="dxa"/>
            <w:shd w:val="clear" w:color="auto" w:fill="auto"/>
            <w:hideMark/>
          </w:tcPr>
          <w:p w14:paraId="2BD58935"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Institut für Recht der Wirtschaft, Universität Hamburg</w:t>
            </w:r>
          </w:p>
        </w:tc>
        <w:tc>
          <w:tcPr>
            <w:tcW w:w="3136" w:type="dxa"/>
          </w:tcPr>
          <w:p w14:paraId="6B950312" w14:textId="51DA430E" w:rsidR="00160D5E" w:rsidRPr="00D106A2" w:rsidRDefault="00160D5E"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Institute for Business Law, University of Hamburg</w:t>
            </w:r>
          </w:p>
        </w:tc>
      </w:tr>
      <w:tr w:rsidR="00D62EF8" w:rsidRPr="00F822C5" w14:paraId="3FE2017D" w14:textId="1091D0E1" w:rsidTr="00293001">
        <w:trPr>
          <w:trHeight w:val="315"/>
        </w:trPr>
        <w:tc>
          <w:tcPr>
            <w:tcW w:w="2735" w:type="dxa"/>
            <w:shd w:val="clear" w:color="auto" w:fill="auto"/>
            <w:hideMark/>
          </w:tcPr>
          <w:p w14:paraId="4D32158C"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Karl Emmert-Fees</w:t>
            </w:r>
          </w:p>
        </w:tc>
        <w:tc>
          <w:tcPr>
            <w:tcW w:w="3341" w:type="dxa"/>
            <w:shd w:val="clear" w:color="auto" w:fill="auto"/>
            <w:noWrap/>
            <w:hideMark/>
          </w:tcPr>
          <w:p w14:paraId="15718AAE" w14:textId="77777777" w:rsidR="00D62EF8" w:rsidRPr="00520B10" w:rsidRDefault="00D62EF8" w:rsidP="003E1C42">
            <w:pPr>
              <w:spacing w:line="240" w:lineRule="auto"/>
              <w:rPr>
                <w:rFonts w:ascii="Calibri" w:eastAsia="Times New Roman" w:hAnsi="Calibri" w:cs="Calibri"/>
                <w:lang w:eastAsia="de-DE"/>
              </w:rPr>
            </w:pPr>
            <w:r w:rsidRPr="00520B10">
              <w:rPr>
                <w:rFonts w:ascii="Calibri" w:eastAsia="Times New Roman" w:hAnsi="Calibri" w:cs="Calibri"/>
                <w:lang w:eastAsia="de-DE"/>
              </w:rPr>
              <w:t>Helmholtz Zentrum München</w:t>
            </w:r>
          </w:p>
        </w:tc>
        <w:tc>
          <w:tcPr>
            <w:tcW w:w="3136" w:type="dxa"/>
          </w:tcPr>
          <w:p w14:paraId="450714B1" w14:textId="428ADBA1" w:rsidR="00D62EF8" w:rsidRPr="00520B10" w:rsidRDefault="00160D5E" w:rsidP="003E1C42">
            <w:pPr>
              <w:spacing w:line="240" w:lineRule="auto"/>
              <w:rPr>
                <w:rFonts w:ascii="Calibri" w:eastAsia="Times New Roman" w:hAnsi="Calibri" w:cs="Calibri"/>
                <w:lang w:eastAsia="de-DE"/>
              </w:rPr>
            </w:pPr>
            <w:r>
              <w:rPr>
                <w:rFonts w:ascii="Calibri" w:eastAsia="Times New Roman" w:hAnsi="Calibri" w:cs="Calibri"/>
                <w:lang w:eastAsia="de-DE"/>
              </w:rPr>
              <w:t>Helmholtz Centre Munich</w:t>
            </w:r>
          </w:p>
        </w:tc>
      </w:tr>
      <w:tr w:rsidR="00D62EF8" w:rsidRPr="00E157BD" w14:paraId="601BFA27" w14:textId="2742A09E" w:rsidTr="00293001">
        <w:trPr>
          <w:trHeight w:val="231"/>
        </w:trPr>
        <w:tc>
          <w:tcPr>
            <w:tcW w:w="2735" w:type="dxa"/>
            <w:shd w:val="clear" w:color="auto" w:fill="auto"/>
            <w:hideMark/>
          </w:tcPr>
          <w:p w14:paraId="5C5FEECD"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Dr. Regina Ensenauer</w:t>
            </w:r>
          </w:p>
        </w:tc>
        <w:tc>
          <w:tcPr>
            <w:tcW w:w="3341" w:type="dxa"/>
            <w:shd w:val="clear" w:color="auto" w:fill="auto"/>
            <w:hideMark/>
          </w:tcPr>
          <w:p w14:paraId="675918DE"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Institut für Kinderernährung, Max Rubner-Institut</w:t>
            </w:r>
          </w:p>
        </w:tc>
        <w:tc>
          <w:tcPr>
            <w:tcW w:w="3136" w:type="dxa"/>
          </w:tcPr>
          <w:p w14:paraId="4218910F" w14:textId="7B01E757" w:rsidR="00D62EF8" w:rsidRPr="00D106A2" w:rsidRDefault="00160D5E"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 xml:space="preserve">Institute for Child Nutrition, Max Rubner-Institute (federal institute </w:t>
            </w:r>
            <w:r w:rsidR="00F47CBC" w:rsidRPr="00D106A2">
              <w:rPr>
                <w:rFonts w:ascii="Calibri" w:eastAsia="Times New Roman" w:hAnsi="Calibri" w:cs="Calibri"/>
                <w:color w:val="000000"/>
                <w:lang w:val="en-US" w:eastAsia="de-DE"/>
              </w:rPr>
              <w:t>for nutrition research</w:t>
            </w:r>
            <w:r w:rsidR="003E1C42">
              <w:rPr>
                <w:rFonts w:ascii="Calibri" w:eastAsia="Times New Roman" w:hAnsi="Calibri" w:cs="Calibri"/>
                <w:color w:val="000000"/>
                <w:lang w:val="en-US" w:eastAsia="de-DE"/>
              </w:rPr>
              <w:t>)</w:t>
            </w:r>
          </w:p>
        </w:tc>
      </w:tr>
      <w:tr w:rsidR="00D62EF8" w:rsidRPr="00F822C5" w14:paraId="3D36348F" w14:textId="465A6BC6" w:rsidTr="00293001">
        <w:trPr>
          <w:trHeight w:val="248"/>
        </w:trPr>
        <w:tc>
          <w:tcPr>
            <w:tcW w:w="2735" w:type="dxa"/>
            <w:shd w:val="clear" w:color="auto" w:fill="auto"/>
            <w:hideMark/>
          </w:tcPr>
          <w:p w14:paraId="2C588D86"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Sonja Fahmy</w:t>
            </w:r>
          </w:p>
        </w:tc>
        <w:tc>
          <w:tcPr>
            <w:tcW w:w="3341" w:type="dxa"/>
            <w:shd w:val="clear" w:color="auto" w:fill="auto"/>
            <w:hideMark/>
          </w:tcPr>
          <w:p w14:paraId="5C3A21F9"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15E55D47" w14:textId="39DB27F0"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F822C5" w14:paraId="1256D3FA" w14:textId="7AF1C72B" w:rsidTr="00293001">
        <w:trPr>
          <w:trHeight w:val="110"/>
        </w:trPr>
        <w:tc>
          <w:tcPr>
            <w:tcW w:w="2735" w:type="dxa"/>
            <w:shd w:val="clear" w:color="auto" w:fill="auto"/>
            <w:hideMark/>
          </w:tcPr>
          <w:p w14:paraId="638B2964"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Dietrich Garlichs</w:t>
            </w:r>
          </w:p>
        </w:tc>
        <w:tc>
          <w:tcPr>
            <w:tcW w:w="3341" w:type="dxa"/>
            <w:shd w:val="clear" w:color="auto" w:fill="auto"/>
            <w:hideMark/>
          </w:tcPr>
          <w:p w14:paraId="6CBFBA31" w14:textId="4F9A9B7A"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Diabetes Gesellschaft</w:t>
            </w:r>
          </w:p>
        </w:tc>
        <w:tc>
          <w:tcPr>
            <w:tcW w:w="3136" w:type="dxa"/>
          </w:tcPr>
          <w:p w14:paraId="2872B5A2" w14:textId="36EDD6D9" w:rsidR="00D62EF8" w:rsidRPr="00F822C5" w:rsidRDefault="00F47CBC"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Diabetes Society</w:t>
            </w:r>
          </w:p>
        </w:tc>
      </w:tr>
      <w:tr w:rsidR="00D62EF8" w:rsidRPr="00F822C5" w14:paraId="2825E3E6" w14:textId="7B811A25" w:rsidTr="00293001">
        <w:trPr>
          <w:trHeight w:val="114"/>
        </w:trPr>
        <w:tc>
          <w:tcPr>
            <w:tcW w:w="2735" w:type="dxa"/>
            <w:shd w:val="clear" w:color="auto" w:fill="auto"/>
            <w:hideMark/>
          </w:tcPr>
          <w:p w14:paraId="280EE022"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Jasmin Geppert</w:t>
            </w:r>
          </w:p>
        </w:tc>
        <w:tc>
          <w:tcPr>
            <w:tcW w:w="3341" w:type="dxa"/>
            <w:shd w:val="clear" w:color="auto" w:fill="auto"/>
            <w:hideMark/>
          </w:tcPr>
          <w:p w14:paraId="5DB948AC"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22D4E8D1" w14:textId="2797EBD8"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F822C5" w14:paraId="618747D6" w14:textId="0EE56959" w:rsidTr="00293001">
        <w:trPr>
          <w:trHeight w:val="315"/>
        </w:trPr>
        <w:tc>
          <w:tcPr>
            <w:tcW w:w="2735" w:type="dxa"/>
            <w:shd w:val="clear" w:color="auto" w:fill="auto"/>
            <w:hideMark/>
          </w:tcPr>
          <w:p w14:paraId="50A4BA3B"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Dorle Grünewald-Funk</w:t>
            </w:r>
          </w:p>
        </w:tc>
        <w:tc>
          <w:tcPr>
            <w:tcW w:w="3341" w:type="dxa"/>
            <w:shd w:val="clear" w:color="auto" w:fill="auto"/>
            <w:hideMark/>
          </w:tcPr>
          <w:p w14:paraId="5A8954CE" w14:textId="7AB7EEAA" w:rsidR="00D62EF8" w:rsidRPr="00F822C5" w:rsidRDefault="00B731A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c>
          <w:tcPr>
            <w:tcW w:w="3136" w:type="dxa"/>
          </w:tcPr>
          <w:p w14:paraId="12073508" w14:textId="7E3B82FE" w:rsidR="00D62EF8" w:rsidRDefault="00B731A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r>
      <w:tr w:rsidR="00D62EF8" w:rsidRPr="00E157BD" w14:paraId="6F3A4130" w14:textId="273DDE79" w:rsidTr="00293001">
        <w:trPr>
          <w:trHeight w:val="208"/>
        </w:trPr>
        <w:tc>
          <w:tcPr>
            <w:tcW w:w="2735" w:type="dxa"/>
            <w:shd w:val="clear" w:color="auto" w:fill="auto"/>
            <w:hideMark/>
          </w:tcPr>
          <w:p w14:paraId="1DDBD741"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Hans Hauner</w:t>
            </w:r>
          </w:p>
        </w:tc>
        <w:tc>
          <w:tcPr>
            <w:tcW w:w="3341" w:type="dxa"/>
            <w:shd w:val="clear" w:color="auto" w:fill="auto"/>
            <w:hideMark/>
          </w:tcPr>
          <w:p w14:paraId="15DD8B6B"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Lehrstuhl für Ernährungsmedizin, TU München</w:t>
            </w:r>
          </w:p>
        </w:tc>
        <w:tc>
          <w:tcPr>
            <w:tcW w:w="3136" w:type="dxa"/>
          </w:tcPr>
          <w:p w14:paraId="0B8CA254" w14:textId="25340B26" w:rsidR="00D62EF8" w:rsidRPr="00D106A2" w:rsidRDefault="00F47CBC"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 xml:space="preserve">Chair of Nutritional Medicine, </w:t>
            </w:r>
            <w:r w:rsidR="00EA27B9" w:rsidRPr="00D106A2">
              <w:rPr>
                <w:rFonts w:ascii="Calibri" w:eastAsia="Times New Roman" w:hAnsi="Calibri" w:cs="Calibri"/>
                <w:color w:val="000000"/>
                <w:lang w:val="en-US" w:eastAsia="de-DE"/>
              </w:rPr>
              <w:t>Technical University Munich</w:t>
            </w:r>
          </w:p>
        </w:tc>
      </w:tr>
      <w:tr w:rsidR="00D62EF8" w:rsidRPr="00E157BD" w14:paraId="18495C28" w14:textId="2EFEF270" w:rsidTr="00293001">
        <w:trPr>
          <w:trHeight w:val="509"/>
        </w:trPr>
        <w:tc>
          <w:tcPr>
            <w:tcW w:w="2735" w:type="dxa"/>
            <w:shd w:val="clear" w:color="auto" w:fill="auto"/>
            <w:hideMark/>
          </w:tcPr>
          <w:p w14:paraId="28E3CCEB"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Thomas Heise</w:t>
            </w:r>
          </w:p>
        </w:tc>
        <w:tc>
          <w:tcPr>
            <w:tcW w:w="3341" w:type="dxa"/>
            <w:shd w:val="clear" w:color="auto" w:fill="auto"/>
            <w:hideMark/>
          </w:tcPr>
          <w:p w14:paraId="46391E39" w14:textId="7F9C643B"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Leibniz-Institut für Präventionsforschung und Epidemiologie – BIPS</w:t>
            </w:r>
          </w:p>
        </w:tc>
        <w:tc>
          <w:tcPr>
            <w:tcW w:w="3136" w:type="dxa"/>
          </w:tcPr>
          <w:p w14:paraId="05A78C3B" w14:textId="2DBE390D" w:rsidR="00D62EF8" w:rsidRPr="00D106A2" w:rsidRDefault="00EA27B9"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Leibniz Institute for Prevention Research and Epidemiology</w:t>
            </w:r>
            <w:r w:rsidR="00B731AF" w:rsidRPr="00D106A2">
              <w:rPr>
                <w:rFonts w:ascii="Calibri" w:eastAsia="Times New Roman" w:hAnsi="Calibri" w:cs="Calibri"/>
                <w:color w:val="000000"/>
                <w:lang w:val="en-US" w:eastAsia="de-DE"/>
              </w:rPr>
              <w:t xml:space="preserve"> – BIPS</w:t>
            </w:r>
          </w:p>
        </w:tc>
      </w:tr>
      <w:tr w:rsidR="00D62EF8" w:rsidRPr="00F822C5" w14:paraId="1A4AAFFD" w14:textId="7250316C" w:rsidTr="00293001">
        <w:trPr>
          <w:trHeight w:val="248"/>
        </w:trPr>
        <w:tc>
          <w:tcPr>
            <w:tcW w:w="2735" w:type="dxa"/>
            <w:shd w:val="clear" w:color="auto" w:fill="auto"/>
            <w:hideMark/>
          </w:tcPr>
          <w:p w14:paraId="51613024"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Eva Hoffmann</w:t>
            </w:r>
          </w:p>
        </w:tc>
        <w:tc>
          <w:tcPr>
            <w:tcW w:w="3341" w:type="dxa"/>
            <w:shd w:val="clear" w:color="auto" w:fill="auto"/>
            <w:hideMark/>
          </w:tcPr>
          <w:p w14:paraId="1880A51B"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0984FC71" w14:textId="0A3F8627"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E157BD" w14:paraId="5E557437" w14:textId="299413AE" w:rsidTr="00293001">
        <w:trPr>
          <w:trHeight w:val="315"/>
        </w:trPr>
        <w:tc>
          <w:tcPr>
            <w:tcW w:w="2735" w:type="dxa"/>
            <w:shd w:val="clear" w:color="auto" w:fill="auto"/>
            <w:hideMark/>
          </w:tcPr>
          <w:p w14:paraId="3E4E32B6"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Christina Holzapfel</w:t>
            </w:r>
          </w:p>
        </w:tc>
        <w:tc>
          <w:tcPr>
            <w:tcW w:w="3341" w:type="dxa"/>
            <w:shd w:val="clear" w:color="auto" w:fill="auto"/>
            <w:noWrap/>
            <w:hideMark/>
          </w:tcPr>
          <w:p w14:paraId="58FC33A0" w14:textId="77777777" w:rsidR="00D62EF8" w:rsidRPr="00520B10" w:rsidRDefault="00D62EF8" w:rsidP="003E1C42">
            <w:pPr>
              <w:spacing w:line="240" w:lineRule="auto"/>
              <w:rPr>
                <w:rFonts w:ascii="Calibri" w:eastAsia="Times New Roman" w:hAnsi="Calibri" w:cs="Calibri"/>
                <w:lang w:eastAsia="de-DE"/>
              </w:rPr>
            </w:pPr>
            <w:r w:rsidRPr="00520B10">
              <w:rPr>
                <w:rFonts w:ascii="Calibri" w:eastAsia="Times New Roman" w:hAnsi="Calibri" w:cs="Calibri"/>
                <w:lang w:eastAsia="de-DE"/>
              </w:rPr>
              <w:t>Institut für Ernährungsmedizin, Technische Universität München</w:t>
            </w:r>
          </w:p>
        </w:tc>
        <w:tc>
          <w:tcPr>
            <w:tcW w:w="3136" w:type="dxa"/>
          </w:tcPr>
          <w:p w14:paraId="30C3C657" w14:textId="7A449A0E" w:rsidR="00D62EF8" w:rsidRPr="00D106A2" w:rsidRDefault="00EA27B9" w:rsidP="003E1C42">
            <w:pPr>
              <w:spacing w:line="240" w:lineRule="auto"/>
              <w:rPr>
                <w:rFonts w:ascii="Calibri" w:eastAsia="Times New Roman" w:hAnsi="Calibri" w:cs="Calibri"/>
                <w:lang w:val="en-US" w:eastAsia="de-DE"/>
              </w:rPr>
            </w:pPr>
            <w:r w:rsidRPr="00D106A2">
              <w:rPr>
                <w:rFonts w:ascii="Calibri" w:eastAsia="Times New Roman" w:hAnsi="Calibri" w:cs="Calibri"/>
                <w:color w:val="000000"/>
                <w:lang w:val="en-US" w:eastAsia="de-DE"/>
              </w:rPr>
              <w:t>Chair of Nutritional Medicine, Technical University Munich</w:t>
            </w:r>
          </w:p>
        </w:tc>
      </w:tr>
      <w:tr w:rsidR="00D62EF8" w:rsidRPr="00F822C5" w14:paraId="41F38EC2" w14:textId="4ED432BF" w:rsidTr="00293001">
        <w:trPr>
          <w:trHeight w:val="315"/>
        </w:trPr>
        <w:tc>
          <w:tcPr>
            <w:tcW w:w="2735" w:type="dxa"/>
            <w:shd w:val="clear" w:color="auto" w:fill="auto"/>
            <w:hideMark/>
          </w:tcPr>
          <w:p w14:paraId="0F583BD3"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Oliver Huizinga</w:t>
            </w:r>
          </w:p>
        </w:tc>
        <w:tc>
          <w:tcPr>
            <w:tcW w:w="3341" w:type="dxa"/>
            <w:shd w:val="clear" w:color="auto" w:fill="auto"/>
            <w:hideMark/>
          </w:tcPr>
          <w:p w14:paraId="46FBB8F6"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Foodwatch</w:t>
            </w:r>
          </w:p>
        </w:tc>
        <w:tc>
          <w:tcPr>
            <w:tcW w:w="3136" w:type="dxa"/>
          </w:tcPr>
          <w:p w14:paraId="3DABB3C9" w14:textId="33E79989" w:rsidR="00D62EF8" w:rsidRPr="00F822C5" w:rsidRDefault="00B731A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Foodwatch</w:t>
            </w:r>
          </w:p>
        </w:tc>
      </w:tr>
      <w:tr w:rsidR="00D62EF8" w:rsidRPr="00F822C5" w14:paraId="58B58E6B" w14:textId="3BBBF8B2" w:rsidTr="00293001">
        <w:trPr>
          <w:trHeight w:val="315"/>
        </w:trPr>
        <w:tc>
          <w:tcPr>
            <w:tcW w:w="2735" w:type="dxa"/>
            <w:shd w:val="clear" w:color="auto" w:fill="auto"/>
            <w:hideMark/>
          </w:tcPr>
          <w:p w14:paraId="37B876B4"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Axel Iseke</w:t>
            </w:r>
          </w:p>
        </w:tc>
        <w:tc>
          <w:tcPr>
            <w:tcW w:w="3341" w:type="dxa"/>
            <w:shd w:val="clear" w:color="auto" w:fill="auto"/>
            <w:hideMark/>
          </w:tcPr>
          <w:p w14:paraId="3AAEA325" w14:textId="621406A3" w:rsidR="00D62EF8" w:rsidRPr="00F822C5" w:rsidRDefault="00B731A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c>
          <w:tcPr>
            <w:tcW w:w="3136" w:type="dxa"/>
          </w:tcPr>
          <w:p w14:paraId="35409357" w14:textId="354F840A" w:rsidR="00D62EF8" w:rsidRPr="00F822C5" w:rsidRDefault="00B731A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r>
      <w:tr w:rsidR="00D62EF8" w:rsidRPr="00E157BD" w14:paraId="4103937F" w14:textId="212D6DE9" w:rsidTr="00293001">
        <w:trPr>
          <w:trHeight w:val="550"/>
        </w:trPr>
        <w:tc>
          <w:tcPr>
            <w:tcW w:w="2735" w:type="dxa"/>
            <w:shd w:val="clear" w:color="auto" w:fill="auto"/>
            <w:hideMark/>
          </w:tcPr>
          <w:p w14:paraId="48257FC1"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Irmgard Jordan</w:t>
            </w:r>
          </w:p>
        </w:tc>
        <w:tc>
          <w:tcPr>
            <w:tcW w:w="3341" w:type="dxa"/>
            <w:shd w:val="clear" w:color="auto" w:fill="auto"/>
            <w:hideMark/>
          </w:tcPr>
          <w:p w14:paraId="61A2E3A1" w14:textId="6CD54589"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Zentrum für internationale Entwicklungs- und Umweltforschung, Justus</w:t>
            </w:r>
            <w:r w:rsidR="003E1C42">
              <w:rPr>
                <w:rFonts w:ascii="Calibri" w:eastAsia="Times New Roman" w:hAnsi="Calibri" w:cs="Calibri"/>
                <w:color w:val="000000"/>
                <w:lang w:eastAsia="de-DE"/>
              </w:rPr>
              <w:t>-</w:t>
            </w:r>
            <w:r w:rsidRPr="00F822C5">
              <w:rPr>
                <w:rFonts w:ascii="Calibri" w:eastAsia="Times New Roman" w:hAnsi="Calibri" w:cs="Calibri"/>
                <w:color w:val="000000"/>
                <w:lang w:eastAsia="de-DE"/>
              </w:rPr>
              <w:t>Liebig</w:t>
            </w:r>
            <w:r w:rsidR="003E1C42">
              <w:rPr>
                <w:rFonts w:ascii="Calibri" w:eastAsia="Times New Roman" w:hAnsi="Calibri" w:cs="Calibri"/>
                <w:color w:val="000000"/>
                <w:lang w:eastAsia="de-DE"/>
              </w:rPr>
              <w:t>-</w:t>
            </w:r>
            <w:r w:rsidRPr="00F822C5">
              <w:rPr>
                <w:rFonts w:ascii="Calibri" w:eastAsia="Times New Roman" w:hAnsi="Calibri" w:cs="Calibri"/>
                <w:color w:val="000000"/>
                <w:lang w:eastAsia="de-DE"/>
              </w:rPr>
              <w:t>Universität Giessen</w:t>
            </w:r>
          </w:p>
        </w:tc>
        <w:tc>
          <w:tcPr>
            <w:tcW w:w="3136" w:type="dxa"/>
          </w:tcPr>
          <w:p w14:paraId="66DE431B" w14:textId="26AC8563" w:rsidR="00D62EF8" w:rsidRPr="00D106A2" w:rsidRDefault="00424075"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 xml:space="preserve">Centre for international development and environmental research, </w:t>
            </w:r>
            <w:r w:rsidR="00ED4DF9">
              <w:rPr>
                <w:rFonts w:ascii="Calibri" w:eastAsia="Times New Roman" w:hAnsi="Calibri" w:cs="Calibri"/>
                <w:color w:val="000000"/>
                <w:lang w:val="en-US" w:eastAsia="de-DE"/>
              </w:rPr>
              <w:t xml:space="preserve">Justus-Liebig </w:t>
            </w:r>
            <w:r w:rsidRPr="00D106A2">
              <w:rPr>
                <w:rFonts w:ascii="Calibri" w:eastAsia="Times New Roman" w:hAnsi="Calibri" w:cs="Calibri"/>
                <w:color w:val="000000"/>
                <w:lang w:val="en-US" w:eastAsia="de-DE"/>
              </w:rPr>
              <w:t>University of Giessen</w:t>
            </w:r>
          </w:p>
        </w:tc>
      </w:tr>
      <w:tr w:rsidR="00D62EF8" w:rsidRPr="00E157BD" w14:paraId="03F2EEB5" w14:textId="65D3A7B9" w:rsidTr="00293001">
        <w:trPr>
          <w:trHeight w:val="315"/>
        </w:trPr>
        <w:tc>
          <w:tcPr>
            <w:tcW w:w="2735" w:type="dxa"/>
            <w:shd w:val="clear" w:color="auto" w:fill="auto"/>
            <w:hideMark/>
          </w:tcPr>
          <w:p w14:paraId="413E3A37"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Kai Kolpatzik</w:t>
            </w:r>
          </w:p>
        </w:tc>
        <w:tc>
          <w:tcPr>
            <w:tcW w:w="3341" w:type="dxa"/>
            <w:shd w:val="clear" w:color="auto" w:fill="auto"/>
            <w:hideMark/>
          </w:tcPr>
          <w:p w14:paraId="0B4C29F9"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AOK-Bundesverband</w:t>
            </w:r>
          </w:p>
        </w:tc>
        <w:tc>
          <w:tcPr>
            <w:tcW w:w="3136" w:type="dxa"/>
          </w:tcPr>
          <w:p w14:paraId="03D642EC" w14:textId="759F66E2" w:rsidR="00D62EF8" w:rsidRPr="00D106A2" w:rsidRDefault="006E7923"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 xml:space="preserve">Federal Association of </w:t>
            </w:r>
            <w:r w:rsidR="00F37DA0" w:rsidRPr="00D106A2">
              <w:rPr>
                <w:rFonts w:ascii="Calibri" w:eastAsia="Times New Roman" w:hAnsi="Calibri" w:cs="Calibri"/>
                <w:color w:val="000000"/>
                <w:lang w:val="en-US" w:eastAsia="de-DE"/>
              </w:rPr>
              <w:t xml:space="preserve">Germany’s main statutory health insurance </w:t>
            </w:r>
          </w:p>
        </w:tc>
      </w:tr>
      <w:tr w:rsidR="00D62EF8" w:rsidRPr="00F822C5" w14:paraId="5ED79FE1" w14:textId="541A2F03" w:rsidTr="00293001">
        <w:trPr>
          <w:trHeight w:val="315"/>
        </w:trPr>
        <w:tc>
          <w:tcPr>
            <w:tcW w:w="2735" w:type="dxa"/>
            <w:shd w:val="clear" w:color="auto" w:fill="auto"/>
            <w:hideMark/>
          </w:tcPr>
          <w:p w14:paraId="19BC408A"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Anja Kroke</w:t>
            </w:r>
          </w:p>
        </w:tc>
        <w:tc>
          <w:tcPr>
            <w:tcW w:w="3341" w:type="dxa"/>
            <w:shd w:val="clear" w:color="auto" w:fill="auto"/>
            <w:hideMark/>
          </w:tcPr>
          <w:p w14:paraId="6604BD1B"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Hochschule Fulda</w:t>
            </w:r>
          </w:p>
        </w:tc>
        <w:tc>
          <w:tcPr>
            <w:tcW w:w="3136" w:type="dxa"/>
          </w:tcPr>
          <w:p w14:paraId="0B8A797C" w14:textId="503A8AED" w:rsidR="00D62EF8" w:rsidRPr="00F822C5" w:rsidRDefault="00F37DA0"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Technical Univ</w:t>
            </w:r>
            <w:r w:rsidR="00D834B1">
              <w:rPr>
                <w:rFonts w:ascii="Calibri" w:eastAsia="Times New Roman" w:hAnsi="Calibri" w:cs="Calibri"/>
                <w:color w:val="000000"/>
                <w:lang w:eastAsia="de-DE"/>
              </w:rPr>
              <w:t>ersity Fulda</w:t>
            </w:r>
          </w:p>
        </w:tc>
      </w:tr>
      <w:tr w:rsidR="00D62EF8" w:rsidRPr="00F822C5" w14:paraId="6936C37A" w14:textId="48A3E064" w:rsidTr="00293001">
        <w:trPr>
          <w:trHeight w:val="315"/>
        </w:trPr>
        <w:tc>
          <w:tcPr>
            <w:tcW w:w="2735" w:type="dxa"/>
            <w:shd w:val="clear" w:color="auto" w:fill="auto"/>
            <w:hideMark/>
          </w:tcPr>
          <w:p w14:paraId="111D6A3C"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Katja Kröller</w:t>
            </w:r>
          </w:p>
        </w:tc>
        <w:tc>
          <w:tcPr>
            <w:tcW w:w="3341" w:type="dxa"/>
            <w:shd w:val="clear" w:color="auto" w:fill="auto"/>
            <w:hideMark/>
          </w:tcPr>
          <w:p w14:paraId="30813E10"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Hochschule Anhalt</w:t>
            </w:r>
          </w:p>
        </w:tc>
        <w:tc>
          <w:tcPr>
            <w:tcW w:w="3136" w:type="dxa"/>
          </w:tcPr>
          <w:p w14:paraId="51E442D4" w14:textId="0D80F21F" w:rsidR="00D62EF8" w:rsidRPr="00F822C5" w:rsidRDefault="00D834B1"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Technical University Anhalt</w:t>
            </w:r>
          </w:p>
        </w:tc>
      </w:tr>
      <w:tr w:rsidR="00D62EF8" w:rsidRPr="00F822C5" w14:paraId="0BA979FC" w14:textId="10C5D4B6" w:rsidTr="00293001">
        <w:trPr>
          <w:trHeight w:val="315"/>
        </w:trPr>
        <w:tc>
          <w:tcPr>
            <w:tcW w:w="2735" w:type="dxa"/>
            <w:shd w:val="clear" w:color="auto" w:fill="auto"/>
            <w:hideMark/>
          </w:tcPr>
          <w:p w14:paraId="74F60D16"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Wilfried Kunstmann</w:t>
            </w:r>
          </w:p>
        </w:tc>
        <w:tc>
          <w:tcPr>
            <w:tcW w:w="3341" w:type="dxa"/>
            <w:shd w:val="clear" w:color="auto" w:fill="auto"/>
            <w:hideMark/>
          </w:tcPr>
          <w:p w14:paraId="1E61092B"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Bundesärztekammer</w:t>
            </w:r>
          </w:p>
        </w:tc>
        <w:tc>
          <w:tcPr>
            <w:tcW w:w="3136" w:type="dxa"/>
          </w:tcPr>
          <w:p w14:paraId="107E022B" w14:textId="2D83E206" w:rsidR="00D62EF8" w:rsidRPr="00F822C5" w:rsidRDefault="00D834B1"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Medical Association</w:t>
            </w:r>
          </w:p>
        </w:tc>
      </w:tr>
      <w:tr w:rsidR="00D62EF8" w:rsidRPr="00F822C5" w14:paraId="452D4126" w14:textId="04390BF1" w:rsidTr="00293001">
        <w:trPr>
          <w:trHeight w:val="315"/>
        </w:trPr>
        <w:tc>
          <w:tcPr>
            <w:tcW w:w="2735" w:type="dxa"/>
            <w:shd w:val="clear" w:color="auto" w:fill="auto"/>
            <w:hideMark/>
          </w:tcPr>
          <w:p w14:paraId="7FB97755"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Rüdiger Landgraf</w:t>
            </w:r>
          </w:p>
        </w:tc>
        <w:tc>
          <w:tcPr>
            <w:tcW w:w="3341" w:type="dxa"/>
            <w:shd w:val="clear" w:color="auto" w:fill="auto"/>
            <w:hideMark/>
          </w:tcPr>
          <w:p w14:paraId="09240054" w14:textId="62A620A0" w:rsidR="00D62EF8" w:rsidRPr="00F822C5" w:rsidRDefault="00D834B1"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c>
          <w:tcPr>
            <w:tcW w:w="3136" w:type="dxa"/>
          </w:tcPr>
          <w:p w14:paraId="1B8BD14E" w14:textId="05F2E5A5" w:rsidR="00D62EF8" w:rsidRPr="00F822C5" w:rsidRDefault="00D834B1"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r>
      <w:tr w:rsidR="00D62EF8" w:rsidRPr="00E157BD" w14:paraId="710B25B5" w14:textId="1C441730" w:rsidTr="00293001">
        <w:trPr>
          <w:trHeight w:val="315"/>
        </w:trPr>
        <w:tc>
          <w:tcPr>
            <w:tcW w:w="2735" w:type="dxa"/>
            <w:shd w:val="clear" w:color="auto" w:fill="auto"/>
            <w:hideMark/>
          </w:tcPr>
          <w:p w14:paraId="74293634" w14:textId="246236A4" w:rsidR="00D62EF8" w:rsidRPr="00F822C5" w:rsidRDefault="00D62EF8" w:rsidP="003E1C42">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Dr. </w:t>
            </w:r>
            <w:r w:rsidRPr="00F822C5">
              <w:rPr>
                <w:rFonts w:ascii="Calibri" w:eastAsia="Times New Roman" w:hAnsi="Calibri" w:cs="Calibri"/>
                <w:b/>
                <w:bCs/>
                <w:color w:val="000000"/>
                <w:lang w:eastAsia="de-DE"/>
              </w:rPr>
              <w:t>Gert Mensink</w:t>
            </w:r>
          </w:p>
        </w:tc>
        <w:tc>
          <w:tcPr>
            <w:tcW w:w="3341" w:type="dxa"/>
            <w:shd w:val="clear" w:color="auto" w:fill="auto"/>
            <w:hideMark/>
          </w:tcPr>
          <w:p w14:paraId="6C115C34"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Robert Koch-Institut</w:t>
            </w:r>
          </w:p>
        </w:tc>
        <w:tc>
          <w:tcPr>
            <w:tcW w:w="3136" w:type="dxa"/>
          </w:tcPr>
          <w:p w14:paraId="7B3A42AF" w14:textId="73089E8C" w:rsidR="00D62EF8" w:rsidRPr="00D106A2" w:rsidRDefault="00D834B1"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Robert Koch Institute (Germany’s national public health institute)</w:t>
            </w:r>
          </w:p>
        </w:tc>
      </w:tr>
      <w:tr w:rsidR="00D62EF8" w:rsidRPr="00F822C5" w14:paraId="4858A9CA" w14:textId="6027C28B" w:rsidTr="00293001">
        <w:trPr>
          <w:trHeight w:val="302"/>
        </w:trPr>
        <w:tc>
          <w:tcPr>
            <w:tcW w:w="2735" w:type="dxa"/>
            <w:shd w:val="clear" w:color="auto" w:fill="auto"/>
            <w:hideMark/>
          </w:tcPr>
          <w:p w14:paraId="53B28378"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Manfred J. Müller</w:t>
            </w:r>
          </w:p>
        </w:tc>
        <w:tc>
          <w:tcPr>
            <w:tcW w:w="3341" w:type="dxa"/>
            <w:shd w:val="clear" w:color="auto" w:fill="auto"/>
            <w:hideMark/>
          </w:tcPr>
          <w:p w14:paraId="026A7009" w14:textId="36A1D148"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Christian-Albrechts-Universität zu Kiel</w:t>
            </w:r>
          </w:p>
        </w:tc>
        <w:tc>
          <w:tcPr>
            <w:tcW w:w="3136" w:type="dxa"/>
          </w:tcPr>
          <w:p w14:paraId="705F2D47" w14:textId="7F637BDB" w:rsidR="00D62EF8" w:rsidRPr="00F822C5" w:rsidRDefault="0087028A"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University of Kiel</w:t>
            </w:r>
          </w:p>
        </w:tc>
      </w:tr>
      <w:tr w:rsidR="00D62EF8" w:rsidRPr="00E157BD" w14:paraId="59D25854" w14:textId="001AE2AB" w:rsidTr="00293001">
        <w:trPr>
          <w:trHeight w:val="218"/>
        </w:trPr>
        <w:tc>
          <w:tcPr>
            <w:tcW w:w="2735" w:type="dxa"/>
            <w:shd w:val="clear" w:color="auto" w:fill="auto"/>
            <w:hideMark/>
          </w:tcPr>
          <w:p w14:paraId="0C767DC9"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Anke Oepping</w:t>
            </w:r>
          </w:p>
        </w:tc>
        <w:tc>
          <w:tcPr>
            <w:tcW w:w="3341" w:type="dxa"/>
            <w:shd w:val="clear" w:color="auto" w:fill="auto"/>
            <w:hideMark/>
          </w:tcPr>
          <w:p w14:paraId="38C43281" w14:textId="4004149B"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 xml:space="preserve">Nationales Qualitätszentrum für Ernährung in Kita und Schule </w:t>
            </w:r>
          </w:p>
        </w:tc>
        <w:tc>
          <w:tcPr>
            <w:tcW w:w="3136" w:type="dxa"/>
          </w:tcPr>
          <w:p w14:paraId="22765D44" w14:textId="317D9F52" w:rsidR="00D62EF8" w:rsidRPr="00D106A2" w:rsidRDefault="0087028A"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 xml:space="preserve">National Centre for Quality in </w:t>
            </w:r>
            <w:r w:rsidR="00FD1D4E" w:rsidRPr="00D106A2">
              <w:rPr>
                <w:rFonts w:ascii="Calibri" w:eastAsia="Times New Roman" w:hAnsi="Calibri" w:cs="Calibri"/>
                <w:color w:val="000000"/>
                <w:lang w:val="en-US" w:eastAsia="de-DE"/>
              </w:rPr>
              <w:t>School and Kindergarten Meals</w:t>
            </w:r>
          </w:p>
        </w:tc>
      </w:tr>
      <w:tr w:rsidR="00D62EF8" w:rsidRPr="00F822C5" w14:paraId="6874061A" w14:textId="3C63828E" w:rsidTr="00293001">
        <w:trPr>
          <w:trHeight w:val="231"/>
        </w:trPr>
        <w:tc>
          <w:tcPr>
            <w:tcW w:w="2735" w:type="dxa"/>
            <w:shd w:val="clear" w:color="auto" w:fill="auto"/>
            <w:hideMark/>
          </w:tcPr>
          <w:p w14:paraId="759363B5"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Sigrid Peter</w:t>
            </w:r>
          </w:p>
        </w:tc>
        <w:tc>
          <w:tcPr>
            <w:tcW w:w="3341" w:type="dxa"/>
            <w:shd w:val="clear" w:color="auto" w:fill="auto"/>
            <w:hideMark/>
          </w:tcPr>
          <w:p w14:paraId="326504C0"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Berufsverband der Kinder- und Jugendärzte</w:t>
            </w:r>
          </w:p>
        </w:tc>
        <w:tc>
          <w:tcPr>
            <w:tcW w:w="3136" w:type="dxa"/>
          </w:tcPr>
          <w:p w14:paraId="50945C2C" w14:textId="7932A75A" w:rsidR="00D62EF8" w:rsidRPr="00F822C5" w:rsidRDefault="0037723C"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Federal Pediatricians‘ Association</w:t>
            </w:r>
          </w:p>
        </w:tc>
      </w:tr>
      <w:tr w:rsidR="00D62EF8" w:rsidRPr="00F822C5" w14:paraId="778C310C" w14:textId="68524EC1" w:rsidTr="00293001">
        <w:trPr>
          <w:trHeight w:val="315"/>
        </w:trPr>
        <w:tc>
          <w:tcPr>
            <w:tcW w:w="2735" w:type="dxa"/>
            <w:shd w:val="clear" w:color="auto" w:fill="auto"/>
            <w:hideMark/>
          </w:tcPr>
          <w:p w14:paraId="461AF0CE"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Sandra Plachta Danielzik</w:t>
            </w:r>
          </w:p>
        </w:tc>
        <w:tc>
          <w:tcPr>
            <w:tcW w:w="3341" w:type="dxa"/>
            <w:shd w:val="clear" w:color="auto" w:fill="auto"/>
            <w:hideMark/>
          </w:tcPr>
          <w:p w14:paraId="1294F51E" w14:textId="7F3AF105"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Kompetenznetz Adipositas</w:t>
            </w:r>
          </w:p>
        </w:tc>
        <w:tc>
          <w:tcPr>
            <w:tcW w:w="3136" w:type="dxa"/>
          </w:tcPr>
          <w:p w14:paraId="38A43760" w14:textId="46A502A5" w:rsidR="00D62EF8" w:rsidRPr="00F822C5" w:rsidRDefault="0037723C"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Competence Network Obesity</w:t>
            </w:r>
          </w:p>
        </w:tc>
      </w:tr>
      <w:tr w:rsidR="00D62EF8" w:rsidRPr="00E157BD" w14:paraId="25F26610" w14:textId="586F1194" w:rsidTr="00293001">
        <w:trPr>
          <w:trHeight w:val="183"/>
        </w:trPr>
        <w:tc>
          <w:tcPr>
            <w:tcW w:w="2735" w:type="dxa"/>
            <w:shd w:val="clear" w:color="auto" w:fill="auto"/>
            <w:hideMark/>
          </w:tcPr>
          <w:p w14:paraId="58429F8E"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Veronika Reisig</w:t>
            </w:r>
          </w:p>
        </w:tc>
        <w:tc>
          <w:tcPr>
            <w:tcW w:w="3341" w:type="dxa"/>
            <w:shd w:val="clear" w:color="auto" w:fill="auto"/>
            <w:hideMark/>
          </w:tcPr>
          <w:p w14:paraId="0EEFF0B7"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 xml:space="preserve">Bayerisches Landesamt für </w:t>
            </w:r>
            <w:r w:rsidRPr="00F822C5">
              <w:rPr>
                <w:rFonts w:ascii="Calibri" w:eastAsia="Times New Roman" w:hAnsi="Calibri" w:cs="Calibri"/>
                <w:color w:val="000000"/>
                <w:lang w:eastAsia="de-DE"/>
              </w:rPr>
              <w:lastRenderedPageBreak/>
              <w:t>Gesundheit und Lebensmittelsicherheit</w:t>
            </w:r>
          </w:p>
        </w:tc>
        <w:tc>
          <w:tcPr>
            <w:tcW w:w="3136" w:type="dxa"/>
          </w:tcPr>
          <w:p w14:paraId="380235F4" w14:textId="0C780FF1" w:rsidR="00D62EF8" w:rsidRPr="00D106A2" w:rsidRDefault="00ED2F0F"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lastRenderedPageBreak/>
              <w:t xml:space="preserve">Bavarian Health and Food Safety </w:t>
            </w:r>
            <w:r w:rsidRPr="00D106A2">
              <w:rPr>
                <w:rFonts w:ascii="Calibri" w:eastAsia="Times New Roman" w:hAnsi="Calibri" w:cs="Calibri"/>
                <w:color w:val="000000"/>
                <w:lang w:val="en-US" w:eastAsia="de-DE"/>
              </w:rPr>
              <w:lastRenderedPageBreak/>
              <w:t>Authority</w:t>
            </w:r>
          </w:p>
        </w:tc>
      </w:tr>
      <w:tr w:rsidR="00D62EF8" w:rsidRPr="00F822C5" w14:paraId="123F9F34" w14:textId="026FFE48" w:rsidTr="00293001">
        <w:trPr>
          <w:trHeight w:val="186"/>
        </w:trPr>
        <w:tc>
          <w:tcPr>
            <w:tcW w:w="2735" w:type="dxa"/>
            <w:shd w:val="clear" w:color="auto" w:fill="auto"/>
            <w:hideMark/>
          </w:tcPr>
          <w:p w14:paraId="5F423586"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lastRenderedPageBreak/>
              <w:t>Dr. Margrit Richter</w:t>
            </w:r>
          </w:p>
        </w:tc>
        <w:tc>
          <w:tcPr>
            <w:tcW w:w="3341" w:type="dxa"/>
            <w:shd w:val="clear" w:color="auto" w:fill="auto"/>
            <w:hideMark/>
          </w:tcPr>
          <w:p w14:paraId="0A0C3AFD"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1D7AC309" w14:textId="420A40FD"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E157BD" w14:paraId="5CA654BC" w14:textId="11FF9471" w:rsidTr="00293001">
        <w:trPr>
          <w:trHeight w:val="479"/>
        </w:trPr>
        <w:tc>
          <w:tcPr>
            <w:tcW w:w="2735" w:type="dxa"/>
            <w:shd w:val="clear" w:color="auto" w:fill="auto"/>
            <w:hideMark/>
          </w:tcPr>
          <w:p w14:paraId="2DCB5693"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Diana Rubin</w:t>
            </w:r>
          </w:p>
        </w:tc>
        <w:tc>
          <w:tcPr>
            <w:tcW w:w="3341" w:type="dxa"/>
            <w:shd w:val="clear" w:color="auto" w:fill="auto"/>
            <w:hideMark/>
          </w:tcPr>
          <w:p w14:paraId="6CC50038" w14:textId="55F628F2"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Vivantes Netzwerk für Gesundheit, Zentrum für Ernährungsmedizin Berlin</w:t>
            </w:r>
          </w:p>
        </w:tc>
        <w:tc>
          <w:tcPr>
            <w:tcW w:w="3136" w:type="dxa"/>
          </w:tcPr>
          <w:p w14:paraId="14EE7571" w14:textId="43635D11" w:rsidR="00D62EF8" w:rsidRPr="00D106A2" w:rsidRDefault="00ED2F0F"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Vivantes Health Network, Centre for Nutritional Medicine Berlin</w:t>
            </w:r>
          </w:p>
        </w:tc>
      </w:tr>
      <w:tr w:rsidR="00D62EF8" w:rsidRPr="00F822C5" w14:paraId="5B7877B3" w14:textId="64860C96" w:rsidTr="00293001">
        <w:trPr>
          <w:trHeight w:val="315"/>
        </w:trPr>
        <w:tc>
          <w:tcPr>
            <w:tcW w:w="2735" w:type="dxa"/>
            <w:shd w:val="clear" w:color="auto" w:fill="auto"/>
            <w:hideMark/>
          </w:tcPr>
          <w:p w14:paraId="740D9BD1"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Marion Rung-Friebe</w:t>
            </w:r>
          </w:p>
        </w:tc>
        <w:tc>
          <w:tcPr>
            <w:tcW w:w="3341" w:type="dxa"/>
            <w:shd w:val="clear" w:color="auto" w:fill="auto"/>
            <w:hideMark/>
          </w:tcPr>
          <w:p w14:paraId="491F93DE" w14:textId="1A6F53B7" w:rsidR="00D62EF8" w:rsidRPr="00F822C5" w:rsidRDefault="00ED2F0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c>
          <w:tcPr>
            <w:tcW w:w="3136" w:type="dxa"/>
          </w:tcPr>
          <w:p w14:paraId="059DBE59" w14:textId="082C05A6" w:rsidR="00D62EF8" w:rsidRPr="00F822C5" w:rsidRDefault="00ED2F0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r>
      <w:tr w:rsidR="00D62EF8" w:rsidRPr="00F822C5" w14:paraId="4AFED9BB" w14:textId="5ED1AB2D" w:rsidTr="00293001">
        <w:trPr>
          <w:trHeight w:val="232"/>
        </w:trPr>
        <w:tc>
          <w:tcPr>
            <w:tcW w:w="2735" w:type="dxa"/>
            <w:shd w:val="clear" w:color="auto" w:fill="auto"/>
            <w:hideMark/>
          </w:tcPr>
          <w:p w14:paraId="3794F5E1"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Carolin Schäfer</w:t>
            </w:r>
          </w:p>
        </w:tc>
        <w:tc>
          <w:tcPr>
            <w:tcW w:w="3341" w:type="dxa"/>
            <w:shd w:val="clear" w:color="auto" w:fill="auto"/>
            <w:hideMark/>
          </w:tcPr>
          <w:p w14:paraId="68A98922"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Deutsche Gesellschaft für Ernährung e.V.</w:t>
            </w:r>
          </w:p>
        </w:tc>
        <w:tc>
          <w:tcPr>
            <w:tcW w:w="3136" w:type="dxa"/>
          </w:tcPr>
          <w:p w14:paraId="2CA0C92C" w14:textId="1E6BF3F1" w:rsidR="00D62EF8" w:rsidRPr="00F822C5" w:rsidRDefault="004D2766"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Nutrition Society</w:t>
            </w:r>
          </w:p>
        </w:tc>
      </w:tr>
      <w:tr w:rsidR="00D62EF8" w:rsidRPr="00E157BD" w14:paraId="06148509" w14:textId="18898034" w:rsidTr="00293001">
        <w:trPr>
          <w:trHeight w:val="315"/>
        </w:trPr>
        <w:tc>
          <w:tcPr>
            <w:tcW w:w="2735" w:type="dxa"/>
            <w:shd w:val="clear" w:color="auto" w:fill="auto"/>
            <w:hideMark/>
          </w:tcPr>
          <w:p w14:paraId="2DF3C8DB"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Anja Schienkiewitz</w:t>
            </w:r>
          </w:p>
        </w:tc>
        <w:tc>
          <w:tcPr>
            <w:tcW w:w="3341" w:type="dxa"/>
            <w:shd w:val="clear" w:color="auto" w:fill="auto"/>
            <w:hideMark/>
          </w:tcPr>
          <w:p w14:paraId="7C6D3EF0"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Robert Koch-Institut</w:t>
            </w:r>
          </w:p>
        </w:tc>
        <w:tc>
          <w:tcPr>
            <w:tcW w:w="3136" w:type="dxa"/>
          </w:tcPr>
          <w:p w14:paraId="6E081571" w14:textId="1AC6F1D1" w:rsidR="00D62EF8" w:rsidRPr="00D106A2" w:rsidRDefault="00ED2F0F"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Robert Koch Institute (Germany’s national public health institute)</w:t>
            </w:r>
          </w:p>
        </w:tc>
      </w:tr>
      <w:tr w:rsidR="00D62EF8" w:rsidRPr="00F822C5" w14:paraId="3EA42D20" w14:textId="425EE1A1" w:rsidTr="00293001">
        <w:trPr>
          <w:trHeight w:val="315"/>
        </w:trPr>
        <w:tc>
          <w:tcPr>
            <w:tcW w:w="2735" w:type="dxa"/>
            <w:shd w:val="clear" w:color="auto" w:fill="auto"/>
            <w:hideMark/>
          </w:tcPr>
          <w:p w14:paraId="5C4069E2"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Dr. Tatjana Schütz</w:t>
            </w:r>
          </w:p>
        </w:tc>
        <w:tc>
          <w:tcPr>
            <w:tcW w:w="3341" w:type="dxa"/>
            <w:shd w:val="clear" w:color="auto" w:fill="auto"/>
            <w:hideMark/>
          </w:tcPr>
          <w:p w14:paraId="2E2AE51C" w14:textId="26BD3BE1" w:rsidR="00D62EF8" w:rsidRPr="00F822C5" w:rsidRDefault="00ED2F0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c>
          <w:tcPr>
            <w:tcW w:w="3136" w:type="dxa"/>
          </w:tcPr>
          <w:p w14:paraId="4D02BD05" w14:textId="44AEFCFB" w:rsidR="00D62EF8" w:rsidRPr="00F822C5" w:rsidRDefault="00ED2F0F"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n.a.</w:t>
            </w:r>
          </w:p>
        </w:tc>
      </w:tr>
      <w:tr w:rsidR="00D62EF8" w:rsidRPr="00E157BD" w14:paraId="115359AD" w14:textId="7B583FB9" w:rsidTr="00293001">
        <w:trPr>
          <w:trHeight w:val="315"/>
        </w:trPr>
        <w:tc>
          <w:tcPr>
            <w:tcW w:w="2735" w:type="dxa"/>
            <w:shd w:val="clear" w:color="auto" w:fill="auto"/>
            <w:hideMark/>
          </w:tcPr>
          <w:p w14:paraId="3B64092E" w14:textId="137A2341" w:rsidR="00D62EF8" w:rsidRPr="00F822C5" w:rsidRDefault="00D62EF8" w:rsidP="003E1C42">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Dr. </w:t>
            </w:r>
            <w:r w:rsidRPr="00F822C5">
              <w:rPr>
                <w:rFonts w:ascii="Calibri" w:eastAsia="Times New Roman" w:hAnsi="Calibri" w:cs="Calibri"/>
                <w:b/>
                <w:bCs/>
                <w:color w:val="000000"/>
                <w:lang w:eastAsia="de-DE"/>
              </w:rPr>
              <w:t>Gianni Varnaccia</w:t>
            </w:r>
          </w:p>
        </w:tc>
        <w:tc>
          <w:tcPr>
            <w:tcW w:w="3341" w:type="dxa"/>
            <w:shd w:val="clear" w:color="auto" w:fill="auto"/>
            <w:hideMark/>
          </w:tcPr>
          <w:p w14:paraId="07C0FA6A" w14:textId="60A52B6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Robert Koch-Institut</w:t>
            </w:r>
            <w:r>
              <w:rPr>
                <w:rFonts w:ascii="Calibri" w:eastAsia="Times New Roman" w:hAnsi="Calibri" w:cs="Calibri"/>
                <w:color w:val="000000"/>
                <w:lang w:eastAsia="de-DE"/>
              </w:rPr>
              <w:t xml:space="preserve"> </w:t>
            </w:r>
          </w:p>
        </w:tc>
        <w:tc>
          <w:tcPr>
            <w:tcW w:w="3136" w:type="dxa"/>
          </w:tcPr>
          <w:p w14:paraId="03919645" w14:textId="5D37A282" w:rsidR="00D62EF8" w:rsidRPr="00D106A2" w:rsidRDefault="00ED2F0F"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Robert Koch Institute (Germany’s national public health institute)</w:t>
            </w:r>
          </w:p>
        </w:tc>
      </w:tr>
      <w:tr w:rsidR="00D62EF8" w:rsidRPr="00F822C5" w14:paraId="64CF4CCB" w14:textId="60970AEA" w:rsidTr="00293001">
        <w:trPr>
          <w:trHeight w:val="315"/>
        </w:trPr>
        <w:tc>
          <w:tcPr>
            <w:tcW w:w="2735" w:type="dxa"/>
            <w:shd w:val="clear" w:color="auto" w:fill="auto"/>
            <w:hideMark/>
          </w:tcPr>
          <w:p w14:paraId="45A3F8EC"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Petra Warschburger</w:t>
            </w:r>
          </w:p>
        </w:tc>
        <w:tc>
          <w:tcPr>
            <w:tcW w:w="3341" w:type="dxa"/>
            <w:shd w:val="clear" w:color="auto" w:fill="auto"/>
            <w:hideMark/>
          </w:tcPr>
          <w:p w14:paraId="3E913C9E"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Universität Potsdam</w:t>
            </w:r>
          </w:p>
        </w:tc>
        <w:tc>
          <w:tcPr>
            <w:tcW w:w="3136" w:type="dxa"/>
          </w:tcPr>
          <w:p w14:paraId="1D8AAA5F" w14:textId="03DED624" w:rsidR="00D62EF8" w:rsidRPr="00F822C5" w:rsidRDefault="00512CF0"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University of Potsdam</w:t>
            </w:r>
          </w:p>
        </w:tc>
      </w:tr>
      <w:tr w:rsidR="00D62EF8" w:rsidRPr="00E157BD" w14:paraId="22E5926E" w14:textId="7E39F3CD" w:rsidTr="00293001">
        <w:trPr>
          <w:trHeight w:val="315"/>
        </w:trPr>
        <w:tc>
          <w:tcPr>
            <w:tcW w:w="2735" w:type="dxa"/>
            <w:shd w:val="clear" w:color="auto" w:fill="auto"/>
            <w:hideMark/>
          </w:tcPr>
          <w:p w14:paraId="7FC1E7F3" w14:textId="4FA7362D" w:rsidR="00D62EF8" w:rsidRPr="00F822C5" w:rsidRDefault="00D62EF8" w:rsidP="003E1C42">
            <w:pPr>
              <w:spacing w:line="240" w:lineRule="auto"/>
              <w:rPr>
                <w:rFonts w:ascii="Calibri" w:eastAsia="Times New Roman" w:hAnsi="Calibri" w:cs="Calibri"/>
                <w:b/>
                <w:bCs/>
                <w:color w:val="000000"/>
                <w:lang w:eastAsia="de-DE"/>
              </w:rPr>
            </w:pPr>
            <w:r>
              <w:rPr>
                <w:rFonts w:ascii="Calibri" w:eastAsia="Times New Roman" w:hAnsi="Calibri" w:cs="Calibri"/>
                <w:b/>
                <w:bCs/>
                <w:color w:val="000000"/>
                <w:lang w:eastAsia="de-DE"/>
              </w:rPr>
              <w:t xml:space="preserve">Dr. </w:t>
            </w:r>
            <w:r w:rsidRPr="00F822C5">
              <w:rPr>
                <w:rFonts w:ascii="Calibri" w:eastAsia="Times New Roman" w:hAnsi="Calibri" w:cs="Calibri"/>
                <w:b/>
                <w:bCs/>
                <w:color w:val="000000"/>
                <w:lang w:eastAsia="de-DE"/>
              </w:rPr>
              <w:t>Johannes Zeiher</w:t>
            </w:r>
          </w:p>
        </w:tc>
        <w:tc>
          <w:tcPr>
            <w:tcW w:w="3341" w:type="dxa"/>
            <w:shd w:val="clear" w:color="auto" w:fill="auto"/>
            <w:hideMark/>
          </w:tcPr>
          <w:p w14:paraId="4CEC5E2C" w14:textId="77777777" w:rsidR="00D62EF8" w:rsidRPr="00F822C5" w:rsidRDefault="00D62EF8" w:rsidP="003E1C42">
            <w:pPr>
              <w:spacing w:line="240" w:lineRule="auto"/>
              <w:rPr>
                <w:rFonts w:ascii="Calibri" w:eastAsia="Times New Roman" w:hAnsi="Calibri" w:cs="Calibri"/>
                <w:color w:val="000000"/>
                <w:lang w:eastAsia="de-DE"/>
              </w:rPr>
            </w:pPr>
            <w:r w:rsidRPr="00F822C5">
              <w:rPr>
                <w:rFonts w:ascii="Calibri" w:eastAsia="Times New Roman" w:hAnsi="Calibri" w:cs="Calibri"/>
                <w:color w:val="000000"/>
                <w:lang w:eastAsia="de-DE"/>
              </w:rPr>
              <w:t>Robert Koch-Institut</w:t>
            </w:r>
          </w:p>
        </w:tc>
        <w:tc>
          <w:tcPr>
            <w:tcW w:w="3136" w:type="dxa"/>
          </w:tcPr>
          <w:p w14:paraId="104AF21E" w14:textId="3A624F49" w:rsidR="00D62EF8" w:rsidRPr="00D106A2" w:rsidRDefault="00ED2F0F" w:rsidP="003E1C42">
            <w:pPr>
              <w:spacing w:line="240" w:lineRule="auto"/>
              <w:rPr>
                <w:rFonts w:ascii="Calibri" w:eastAsia="Times New Roman" w:hAnsi="Calibri" w:cs="Calibri"/>
                <w:color w:val="000000"/>
                <w:lang w:val="en-US" w:eastAsia="de-DE"/>
              </w:rPr>
            </w:pPr>
            <w:r w:rsidRPr="00D106A2">
              <w:rPr>
                <w:rFonts w:ascii="Calibri" w:eastAsia="Times New Roman" w:hAnsi="Calibri" w:cs="Calibri"/>
                <w:color w:val="000000"/>
                <w:lang w:val="en-US" w:eastAsia="de-DE"/>
              </w:rPr>
              <w:t>Robert Koch Institute (Germany’s national public health institute)</w:t>
            </w:r>
          </w:p>
        </w:tc>
      </w:tr>
      <w:tr w:rsidR="00D62EF8" w:rsidRPr="00F822C5" w14:paraId="7CB87C1E" w14:textId="1E928110" w:rsidTr="00293001">
        <w:trPr>
          <w:trHeight w:val="315"/>
        </w:trPr>
        <w:tc>
          <w:tcPr>
            <w:tcW w:w="2735" w:type="dxa"/>
            <w:shd w:val="clear" w:color="auto" w:fill="auto"/>
            <w:hideMark/>
          </w:tcPr>
          <w:p w14:paraId="5C2F54A2" w14:textId="77777777" w:rsidR="00D62EF8" w:rsidRPr="00F822C5" w:rsidRDefault="00D62EF8" w:rsidP="003E1C42">
            <w:pPr>
              <w:spacing w:line="240" w:lineRule="auto"/>
              <w:rPr>
                <w:rFonts w:ascii="Calibri" w:eastAsia="Times New Roman" w:hAnsi="Calibri" w:cs="Calibri"/>
                <w:b/>
                <w:bCs/>
                <w:color w:val="000000"/>
                <w:lang w:eastAsia="de-DE"/>
              </w:rPr>
            </w:pPr>
            <w:r w:rsidRPr="00F822C5">
              <w:rPr>
                <w:rFonts w:ascii="Calibri" w:eastAsia="Times New Roman" w:hAnsi="Calibri" w:cs="Calibri"/>
                <w:b/>
                <w:bCs/>
                <w:color w:val="000000"/>
                <w:lang w:eastAsia="de-DE"/>
              </w:rPr>
              <w:t>Prof. Martina de Zwaan</w:t>
            </w:r>
          </w:p>
        </w:tc>
        <w:tc>
          <w:tcPr>
            <w:tcW w:w="3341" w:type="dxa"/>
            <w:shd w:val="clear" w:color="auto" w:fill="auto"/>
            <w:hideMark/>
          </w:tcPr>
          <w:p w14:paraId="1ECEC06B" w14:textId="1B1BDA0A" w:rsidR="00D62EF8" w:rsidRPr="00F822C5" w:rsidRDefault="00D62EF8"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Deutsche Adipositas Gesellschaft</w:t>
            </w:r>
          </w:p>
        </w:tc>
        <w:tc>
          <w:tcPr>
            <w:tcW w:w="3136" w:type="dxa"/>
          </w:tcPr>
          <w:p w14:paraId="756E008D" w14:textId="472BAF2A" w:rsidR="00D62EF8" w:rsidRDefault="00512CF0" w:rsidP="003E1C42">
            <w:pPr>
              <w:spacing w:line="240" w:lineRule="auto"/>
              <w:rPr>
                <w:rFonts w:ascii="Calibri" w:eastAsia="Times New Roman" w:hAnsi="Calibri" w:cs="Calibri"/>
                <w:color w:val="000000"/>
                <w:lang w:eastAsia="de-DE"/>
              </w:rPr>
            </w:pPr>
            <w:r>
              <w:rPr>
                <w:rFonts w:ascii="Calibri" w:eastAsia="Times New Roman" w:hAnsi="Calibri" w:cs="Calibri"/>
                <w:color w:val="000000"/>
                <w:lang w:eastAsia="de-DE"/>
              </w:rPr>
              <w:t>German Obesity Society</w:t>
            </w:r>
          </w:p>
        </w:tc>
      </w:tr>
    </w:tbl>
    <w:p w14:paraId="3AED8692" w14:textId="3F84EB6E" w:rsidR="00025627" w:rsidRPr="00D106A2" w:rsidRDefault="00787630" w:rsidP="00025627">
      <w:pPr>
        <w:rPr>
          <w:rFonts w:eastAsiaTheme="majorEastAsia" w:cstheme="minorHAnsi"/>
          <w:i/>
          <w:iCs/>
          <w:lang w:val="en-US"/>
        </w:rPr>
      </w:pPr>
      <w:r w:rsidRPr="00D106A2">
        <w:rPr>
          <w:rFonts w:eastAsiaTheme="majorEastAsia" w:cstheme="minorHAnsi"/>
          <w:b/>
          <w:bCs/>
          <w:i/>
          <w:iCs/>
          <w:lang w:val="en-US"/>
        </w:rPr>
        <w:t>Table s1:</w:t>
      </w:r>
      <w:r w:rsidRPr="00D106A2">
        <w:rPr>
          <w:rFonts w:eastAsiaTheme="majorEastAsia" w:cstheme="minorHAnsi"/>
          <w:i/>
          <w:iCs/>
          <w:lang w:val="en-US"/>
        </w:rPr>
        <w:t xml:space="preserve"> </w:t>
      </w:r>
      <w:r w:rsidR="00810805" w:rsidRPr="00D106A2">
        <w:rPr>
          <w:rFonts w:eastAsiaTheme="majorEastAsia" w:cstheme="minorHAnsi"/>
          <w:i/>
          <w:iCs/>
          <w:lang w:val="en-US"/>
        </w:rPr>
        <w:t>Members of the expert panel.</w:t>
      </w:r>
    </w:p>
    <w:p w14:paraId="6A4F8A21" w14:textId="77777777" w:rsidR="008668C4" w:rsidRPr="00D106A2" w:rsidRDefault="008668C4" w:rsidP="00025627">
      <w:pPr>
        <w:rPr>
          <w:rFonts w:eastAsiaTheme="majorEastAsia" w:cstheme="minorHAnsi"/>
          <w:lang w:val="en-US"/>
        </w:rPr>
      </w:pPr>
    </w:p>
    <w:p w14:paraId="7740F1B5" w14:textId="4D65D61F" w:rsidR="00F70D6C" w:rsidRPr="00D106A2" w:rsidRDefault="005E527B" w:rsidP="001F31B1">
      <w:pPr>
        <w:pStyle w:val="Listenabsatz"/>
        <w:numPr>
          <w:ilvl w:val="0"/>
          <w:numId w:val="4"/>
        </w:numPr>
        <w:outlineLvl w:val="0"/>
        <w:rPr>
          <w:rFonts w:eastAsiaTheme="majorEastAsia" w:cstheme="minorHAnsi"/>
          <w:b/>
          <w:bCs/>
          <w:sz w:val="28"/>
          <w:szCs w:val="28"/>
          <w:lang w:val="en-US"/>
        </w:rPr>
      </w:pPr>
      <w:bookmarkStart w:id="1" w:name="_Toc75179524"/>
      <w:r w:rsidRPr="00D106A2">
        <w:rPr>
          <w:rFonts w:cstheme="minorHAnsi"/>
          <w:b/>
          <w:bCs/>
          <w:sz w:val="28"/>
          <w:szCs w:val="28"/>
          <w:lang w:val="en-US"/>
        </w:rPr>
        <w:t>Detail</w:t>
      </w:r>
      <w:r w:rsidR="000D39F3" w:rsidRPr="00D106A2">
        <w:rPr>
          <w:rFonts w:cstheme="minorHAnsi"/>
          <w:b/>
          <w:bCs/>
          <w:sz w:val="28"/>
          <w:szCs w:val="28"/>
          <w:lang w:val="en-US"/>
        </w:rPr>
        <w:t xml:space="preserve">ed description of the </w:t>
      </w:r>
      <w:r w:rsidR="00E9684A" w:rsidRPr="00D106A2">
        <w:rPr>
          <w:rFonts w:cstheme="minorHAnsi"/>
          <w:b/>
          <w:bCs/>
          <w:sz w:val="28"/>
          <w:szCs w:val="28"/>
          <w:lang w:val="en-US"/>
        </w:rPr>
        <w:t>policy recommendations</w:t>
      </w:r>
      <w:bookmarkEnd w:id="1"/>
    </w:p>
    <w:p w14:paraId="0D28FFA1" w14:textId="3AC7D631" w:rsidR="0030162D" w:rsidRDefault="0030162D" w:rsidP="001F31B1">
      <w:pPr>
        <w:pStyle w:val="Listenabsatz"/>
        <w:numPr>
          <w:ilvl w:val="1"/>
          <w:numId w:val="4"/>
        </w:numPr>
        <w:outlineLvl w:val="1"/>
        <w:rPr>
          <w:rFonts w:eastAsiaTheme="majorEastAsia" w:cstheme="minorHAnsi"/>
          <w:b/>
          <w:bCs/>
          <w:sz w:val="24"/>
          <w:szCs w:val="24"/>
        </w:rPr>
      </w:pPr>
      <w:r w:rsidRPr="00D106A2">
        <w:rPr>
          <w:rFonts w:eastAsiaTheme="majorEastAsia" w:cstheme="minorHAnsi"/>
          <w:b/>
          <w:bCs/>
          <w:sz w:val="24"/>
          <w:szCs w:val="24"/>
          <w:lang w:val="en-US"/>
        </w:rPr>
        <w:t xml:space="preserve"> </w:t>
      </w:r>
      <w:bookmarkStart w:id="2" w:name="_Toc75179525"/>
      <w:r w:rsidR="008668C4">
        <w:rPr>
          <w:rFonts w:eastAsiaTheme="majorEastAsia" w:cstheme="minorHAnsi"/>
          <w:b/>
          <w:bCs/>
          <w:sz w:val="24"/>
          <w:szCs w:val="24"/>
        </w:rPr>
        <w:t>R</w:t>
      </w:r>
      <w:r w:rsidR="00E9684A">
        <w:rPr>
          <w:rFonts w:eastAsiaTheme="majorEastAsia" w:cstheme="minorHAnsi"/>
          <w:b/>
          <w:bCs/>
          <w:sz w:val="24"/>
          <w:szCs w:val="24"/>
        </w:rPr>
        <w:t xml:space="preserve">ecommendations </w:t>
      </w:r>
      <w:r w:rsidR="008668C4">
        <w:rPr>
          <w:rFonts w:eastAsiaTheme="majorEastAsia" w:cstheme="minorHAnsi"/>
          <w:b/>
          <w:bCs/>
          <w:sz w:val="24"/>
          <w:szCs w:val="24"/>
        </w:rPr>
        <w:t>on policy measures</w:t>
      </w:r>
      <w:bookmarkEnd w:id="2"/>
    </w:p>
    <w:p w14:paraId="7F1607E8" w14:textId="77777777" w:rsidR="00FF0D6A" w:rsidRPr="00FF0D6A" w:rsidRDefault="00FF0D6A" w:rsidP="00FF0D6A">
      <w:pPr>
        <w:spacing w:after="160"/>
      </w:pPr>
    </w:p>
    <w:tbl>
      <w:tblPr>
        <w:tblStyle w:val="Tabellenraster11"/>
        <w:tblW w:w="9214" w:type="dxa"/>
        <w:tblInd w:w="137" w:type="dxa"/>
        <w:tblLook w:val="04A0" w:firstRow="1" w:lastRow="0" w:firstColumn="1" w:lastColumn="0" w:noHBand="0" w:noVBand="1"/>
      </w:tblPr>
      <w:tblGrid>
        <w:gridCol w:w="632"/>
        <w:gridCol w:w="8582"/>
      </w:tblGrid>
      <w:tr w:rsidR="00FF0D6A" w:rsidRPr="00FF0D6A" w14:paraId="4B4618F3" w14:textId="77777777" w:rsidTr="00293001">
        <w:trPr>
          <w:trHeight w:val="415"/>
          <w:tblHeader/>
        </w:trPr>
        <w:tc>
          <w:tcPr>
            <w:tcW w:w="594" w:type="dxa"/>
          </w:tcPr>
          <w:p w14:paraId="0B3A5256" w14:textId="77777777" w:rsidR="00FF0D6A" w:rsidRPr="00FF0D6A" w:rsidRDefault="00FF0D6A" w:rsidP="00FF0D6A">
            <w:pPr>
              <w:contextualSpacing/>
              <w:rPr>
                <w:rFonts w:cstheme="minorHAnsi"/>
                <w:b/>
                <w:bCs/>
              </w:rPr>
            </w:pPr>
            <w:r w:rsidRPr="00FF0D6A">
              <w:rPr>
                <w:rFonts w:cstheme="minorHAnsi"/>
                <w:b/>
                <w:bCs/>
              </w:rPr>
              <w:t>No.</w:t>
            </w:r>
          </w:p>
        </w:tc>
        <w:tc>
          <w:tcPr>
            <w:tcW w:w="8620" w:type="dxa"/>
          </w:tcPr>
          <w:p w14:paraId="577554E1" w14:textId="77777777" w:rsidR="00FF0D6A" w:rsidRPr="00FF0D6A" w:rsidRDefault="00FF0D6A" w:rsidP="00FF0D6A">
            <w:pPr>
              <w:contextualSpacing/>
              <w:rPr>
                <w:rFonts w:cstheme="minorHAnsi"/>
                <w:b/>
                <w:bCs/>
              </w:rPr>
            </w:pPr>
            <w:r w:rsidRPr="00FF0D6A">
              <w:rPr>
                <w:rFonts w:cstheme="minorHAnsi"/>
                <w:b/>
                <w:bCs/>
              </w:rPr>
              <w:t>Priority action</w:t>
            </w:r>
          </w:p>
        </w:tc>
      </w:tr>
      <w:tr w:rsidR="00FF0D6A" w:rsidRPr="00E157BD" w14:paraId="4E005421" w14:textId="77777777" w:rsidTr="00414DBC">
        <w:tc>
          <w:tcPr>
            <w:tcW w:w="594" w:type="dxa"/>
          </w:tcPr>
          <w:p w14:paraId="5B37FA9E" w14:textId="77777777" w:rsidR="00FF0D6A" w:rsidRPr="00FF0D6A" w:rsidRDefault="00FF0D6A" w:rsidP="00FF0D6A">
            <w:pPr>
              <w:contextualSpacing/>
              <w:rPr>
                <w:rFonts w:cstheme="minorHAnsi"/>
                <w:b/>
                <w:bCs/>
              </w:rPr>
            </w:pPr>
            <w:r w:rsidRPr="00FF0D6A">
              <w:rPr>
                <w:rFonts w:cstheme="minorHAnsi"/>
                <w:b/>
                <w:bCs/>
              </w:rPr>
              <w:t>M1</w:t>
            </w:r>
          </w:p>
        </w:tc>
        <w:tc>
          <w:tcPr>
            <w:tcW w:w="8620" w:type="dxa"/>
          </w:tcPr>
          <w:p w14:paraId="0D965F29" w14:textId="2D462A4C" w:rsidR="00FF0D6A" w:rsidRPr="00FF0D6A" w:rsidRDefault="00FF0D6A" w:rsidP="00FF0D6A">
            <w:pPr>
              <w:contextualSpacing/>
              <w:rPr>
                <w:rFonts w:eastAsia="Times New Roman" w:cstheme="minorHAnsi"/>
                <w:b/>
                <w:bCs/>
                <w:lang w:val="en-GB" w:eastAsia="de-DE"/>
              </w:rPr>
            </w:pPr>
            <w:r w:rsidRPr="00FF0D6A">
              <w:rPr>
                <w:rFonts w:eastAsia="Times New Roman" w:cstheme="minorHAnsi"/>
                <w:b/>
                <w:bCs/>
                <w:lang w:val="en-GB" w:eastAsia="de-DE"/>
              </w:rPr>
              <w:t>Mandatory nutrition standards for schools and kindergartens</w:t>
            </w:r>
          </w:p>
          <w:p w14:paraId="5CCD609D" w14:textId="2452CAB4" w:rsidR="00FF0D6A" w:rsidRPr="00FF0D6A" w:rsidRDefault="00FF0D6A" w:rsidP="00414DBC">
            <w:pPr>
              <w:contextualSpacing/>
              <w:rPr>
                <w:rFonts w:cstheme="minorHAnsi"/>
                <w:b/>
                <w:bCs/>
                <w:lang w:val="en-GB"/>
              </w:rPr>
            </w:pPr>
            <w:r w:rsidRPr="00FF0D6A">
              <w:rPr>
                <w:rFonts w:cstheme="minorHAnsi"/>
                <w:lang w:val="en-GB"/>
              </w:rPr>
              <w:t xml:space="preserve">Mandatory, publicly funded implementation of the nutrition standards of the German Nutrition Society (Deutsche Gesellschaft für Ernährung, DGE) in schools and kindergartens, and waiving of fees for parents. The nutrition standards include specifications for the main meals offered, other food and beverages available on the school premises, characteristics of the dining </w:t>
            </w:r>
            <w:r w:rsidR="00B405A8">
              <w:rPr>
                <w:rFonts w:cstheme="minorHAnsi"/>
                <w:lang w:val="en-GB"/>
              </w:rPr>
              <w:t>halls</w:t>
            </w:r>
            <w:r w:rsidRPr="00FF0D6A">
              <w:rPr>
                <w:rFonts w:cstheme="minorHAnsi"/>
                <w:lang w:val="en-GB"/>
              </w:rPr>
              <w:t xml:space="preserve"> and the arrangement of communal meals. Furthermore, it includes the provision of sufficient financial resources (e.g., under a federal investment program), professional support, and training opportunities. </w:t>
            </w:r>
          </w:p>
        </w:tc>
      </w:tr>
      <w:tr w:rsidR="00FF0D6A" w:rsidRPr="00E157BD" w14:paraId="1C215B26" w14:textId="77777777" w:rsidTr="00414DBC">
        <w:tc>
          <w:tcPr>
            <w:tcW w:w="594" w:type="dxa"/>
          </w:tcPr>
          <w:p w14:paraId="7DA861CF" w14:textId="77777777" w:rsidR="00FF0D6A" w:rsidRPr="00FF0D6A" w:rsidRDefault="00FF0D6A" w:rsidP="00FF0D6A">
            <w:pPr>
              <w:contextualSpacing/>
              <w:rPr>
                <w:rFonts w:cstheme="minorHAnsi"/>
                <w:b/>
                <w:bCs/>
              </w:rPr>
            </w:pPr>
            <w:r w:rsidRPr="00FF0D6A">
              <w:rPr>
                <w:rFonts w:cstheme="minorHAnsi"/>
                <w:b/>
                <w:bCs/>
              </w:rPr>
              <w:t>M2</w:t>
            </w:r>
          </w:p>
        </w:tc>
        <w:tc>
          <w:tcPr>
            <w:tcW w:w="8620" w:type="dxa"/>
          </w:tcPr>
          <w:p w14:paraId="3FBD2AA6" w14:textId="77777777" w:rsidR="00FF0D6A" w:rsidRPr="00FF0D6A" w:rsidRDefault="00FF0D6A" w:rsidP="00FF0D6A">
            <w:pPr>
              <w:contextualSpacing/>
              <w:rPr>
                <w:rFonts w:cstheme="minorHAnsi"/>
                <w:b/>
                <w:bCs/>
                <w:lang w:val="en-US"/>
              </w:rPr>
            </w:pPr>
            <w:r w:rsidRPr="00FF0D6A">
              <w:rPr>
                <w:rFonts w:cstheme="minorHAnsi"/>
                <w:b/>
                <w:bCs/>
                <w:lang w:val="en-US"/>
              </w:rPr>
              <w:t>Health promoting VAT</w:t>
            </w:r>
          </w:p>
          <w:p w14:paraId="571A043C" w14:textId="17218044" w:rsidR="00FF0D6A" w:rsidRPr="00FF0D6A" w:rsidRDefault="00FF0D6A" w:rsidP="00FF0D6A">
            <w:pPr>
              <w:contextualSpacing/>
              <w:rPr>
                <w:rFonts w:cstheme="minorHAnsi"/>
                <w:lang w:val="en-GB"/>
              </w:rPr>
            </w:pPr>
            <w:r w:rsidRPr="00FF0D6A">
              <w:rPr>
                <w:rFonts w:cstheme="minorHAnsi"/>
                <w:lang w:val="en-GB"/>
              </w:rPr>
              <w:t>Reduced value</w:t>
            </w:r>
            <w:r w:rsidR="003E1C42">
              <w:rPr>
                <w:rFonts w:cstheme="minorHAnsi"/>
                <w:lang w:val="en-GB"/>
              </w:rPr>
              <w:t xml:space="preserve"> </w:t>
            </w:r>
            <w:r w:rsidRPr="00FF0D6A">
              <w:rPr>
                <w:rFonts w:cstheme="minorHAnsi"/>
                <w:lang w:val="en-GB"/>
              </w:rPr>
              <w:t>added tax rate on healthy foods, and increased value</w:t>
            </w:r>
            <w:r w:rsidR="003E1C42">
              <w:rPr>
                <w:rFonts w:cstheme="minorHAnsi"/>
                <w:lang w:val="en-GB"/>
              </w:rPr>
              <w:t xml:space="preserve"> </w:t>
            </w:r>
            <w:r w:rsidRPr="00FF0D6A">
              <w:rPr>
                <w:rFonts w:cstheme="minorHAnsi"/>
                <w:lang w:val="en-GB"/>
              </w:rPr>
              <w:t>added tax rate on unhealthy foods.</w:t>
            </w:r>
          </w:p>
        </w:tc>
      </w:tr>
      <w:tr w:rsidR="00FF0D6A" w:rsidRPr="00E157BD" w14:paraId="66DFC927" w14:textId="77777777" w:rsidTr="00414DBC">
        <w:tc>
          <w:tcPr>
            <w:tcW w:w="594" w:type="dxa"/>
          </w:tcPr>
          <w:p w14:paraId="46B2831E" w14:textId="77777777" w:rsidR="00FF0D6A" w:rsidRPr="00FF0D6A" w:rsidRDefault="00FF0D6A" w:rsidP="00FF0D6A">
            <w:pPr>
              <w:contextualSpacing/>
              <w:rPr>
                <w:rFonts w:cstheme="minorHAnsi"/>
                <w:b/>
                <w:bCs/>
              </w:rPr>
            </w:pPr>
            <w:r w:rsidRPr="00FF0D6A">
              <w:rPr>
                <w:rFonts w:cstheme="minorHAnsi"/>
                <w:b/>
                <w:bCs/>
              </w:rPr>
              <w:t>M3</w:t>
            </w:r>
          </w:p>
        </w:tc>
        <w:tc>
          <w:tcPr>
            <w:tcW w:w="8620" w:type="dxa"/>
          </w:tcPr>
          <w:p w14:paraId="495CE639" w14:textId="77777777" w:rsidR="00FF0D6A" w:rsidRPr="00FF0D6A" w:rsidRDefault="00FF0D6A" w:rsidP="00FF0D6A">
            <w:pPr>
              <w:contextualSpacing/>
              <w:rPr>
                <w:rFonts w:cstheme="minorHAnsi"/>
                <w:b/>
                <w:bCs/>
                <w:lang w:val="en-GB"/>
              </w:rPr>
            </w:pPr>
            <w:r w:rsidRPr="00FF0D6A">
              <w:rPr>
                <w:rFonts w:cstheme="minorHAnsi"/>
                <w:b/>
                <w:bCs/>
                <w:lang w:val="en-GB"/>
              </w:rPr>
              <w:t>Introduction of a SSB tax</w:t>
            </w:r>
          </w:p>
          <w:p w14:paraId="0BF8E7C3" w14:textId="452B704F" w:rsidR="00FF0D6A" w:rsidRPr="00FF0D6A" w:rsidRDefault="00FF0D6A" w:rsidP="00FF0D6A">
            <w:pPr>
              <w:contextualSpacing/>
              <w:rPr>
                <w:rFonts w:cstheme="minorHAnsi"/>
                <w:lang w:val="en-GB"/>
              </w:rPr>
            </w:pPr>
            <w:r w:rsidRPr="00FF0D6A">
              <w:rPr>
                <w:rFonts w:cstheme="minorHAnsi"/>
                <w:lang w:val="en-GB"/>
              </w:rPr>
              <w:t>Introduction of a tax on SSBs based on sugar content and use of the revenue for health promotion (e.g., improvement of catering for school</w:t>
            </w:r>
            <w:r w:rsidR="003E1C42">
              <w:rPr>
                <w:rFonts w:cstheme="minorHAnsi"/>
                <w:lang w:val="en-GB"/>
              </w:rPr>
              <w:t>s</w:t>
            </w:r>
            <w:r w:rsidRPr="00FF0D6A">
              <w:rPr>
                <w:rFonts w:cstheme="minorHAnsi"/>
                <w:lang w:val="en-GB"/>
              </w:rPr>
              <w:t xml:space="preserve"> and </w:t>
            </w:r>
            <w:r w:rsidR="00B405A8">
              <w:rPr>
                <w:rFonts w:cstheme="minorHAnsi"/>
                <w:lang w:val="en-GB"/>
              </w:rPr>
              <w:t>kindergartens</w:t>
            </w:r>
            <w:r w:rsidRPr="00FF0D6A">
              <w:rPr>
                <w:rFonts w:cstheme="minorHAnsi"/>
                <w:lang w:val="en-GB"/>
              </w:rPr>
              <w:t>).</w:t>
            </w:r>
          </w:p>
        </w:tc>
      </w:tr>
      <w:tr w:rsidR="00FF0D6A" w:rsidRPr="00E157BD" w14:paraId="7295AE15" w14:textId="77777777" w:rsidTr="00414DBC">
        <w:tc>
          <w:tcPr>
            <w:tcW w:w="594" w:type="dxa"/>
          </w:tcPr>
          <w:p w14:paraId="3234C88B" w14:textId="77777777" w:rsidR="00FF0D6A" w:rsidRPr="00FF0D6A" w:rsidRDefault="00FF0D6A" w:rsidP="00FF0D6A">
            <w:pPr>
              <w:contextualSpacing/>
              <w:rPr>
                <w:rFonts w:cstheme="minorHAnsi"/>
                <w:b/>
                <w:bCs/>
              </w:rPr>
            </w:pPr>
            <w:r w:rsidRPr="00FF0D6A">
              <w:rPr>
                <w:rFonts w:cstheme="minorHAnsi"/>
                <w:b/>
                <w:bCs/>
              </w:rPr>
              <w:t>M4</w:t>
            </w:r>
          </w:p>
        </w:tc>
        <w:tc>
          <w:tcPr>
            <w:tcW w:w="8620" w:type="dxa"/>
          </w:tcPr>
          <w:p w14:paraId="2DFE3B23" w14:textId="77777777" w:rsidR="00FF0D6A" w:rsidRPr="00FF0D6A" w:rsidRDefault="00FF0D6A" w:rsidP="00FF0D6A">
            <w:pPr>
              <w:contextualSpacing/>
              <w:rPr>
                <w:rFonts w:cstheme="minorHAnsi"/>
                <w:b/>
                <w:bCs/>
                <w:lang w:val="en-US"/>
              </w:rPr>
            </w:pPr>
            <w:r w:rsidRPr="00FF0D6A">
              <w:rPr>
                <w:rFonts w:cstheme="minorHAnsi"/>
                <w:b/>
                <w:bCs/>
                <w:lang w:val="en-US"/>
              </w:rPr>
              <w:t xml:space="preserve">Regulation of marketing of unhealthy foods towards children </w:t>
            </w:r>
          </w:p>
          <w:p w14:paraId="0D2F81DD" w14:textId="77777777" w:rsidR="00FF0D6A" w:rsidRPr="00FF0D6A" w:rsidRDefault="00FF0D6A" w:rsidP="00FF0D6A">
            <w:pPr>
              <w:contextualSpacing/>
              <w:rPr>
                <w:rFonts w:cstheme="minorHAnsi"/>
                <w:lang w:val="en-GB"/>
              </w:rPr>
            </w:pPr>
            <w:r w:rsidRPr="00FF0D6A">
              <w:rPr>
                <w:rFonts w:cstheme="minorHAnsi"/>
                <w:lang w:val="en-GB"/>
              </w:rPr>
              <w:t>Ban on advertisement of unhealthy foods directed at children, including all forms of advertising (television, internet, print and outdoor advertising, point-of-sale advertising, direct marketing, packaging, and advertising in kindergartens, schools, playgrounds and other sports and recreational facilities frequented by children) and based on an appropriate nutrient profile model (e.g., the model of the WHO European Regional Office).</w:t>
            </w:r>
          </w:p>
        </w:tc>
      </w:tr>
      <w:tr w:rsidR="00FF0D6A" w:rsidRPr="00E157BD" w14:paraId="1A5A2857" w14:textId="77777777" w:rsidTr="00414DBC">
        <w:tc>
          <w:tcPr>
            <w:tcW w:w="594" w:type="dxa"/>
          </w:tcPr>
          <w:p w14:paraId="734461AC" w14:textId="77777777" w:rsidR="00FF0D6A" w:rsidRPr="00FF0D6A" w:rsidRDefault="00FF0D6A" w:rsidP="00FF0D6A">
            <w:pPr>
              <w:contextualSpacing/>
              <w:rPr>
                <w:rFonts w:cstheme="minorHAnsi"/>
                <w:b/>
                <w:bCs/>
              </w:rPr>
            </w:pPr>
            <w:r w:rsidRPr="00FF0D6A">
              <w:rPr>
                <w:rFonts w:cstheme="minorHAnsi"/>
                <w:b/>
                <w:bCs/>
              </w:rPr>
              <w:t>M5</w:t>
            </w:r>
          </w:p>
        </w:tc>
        <w:tc>
          <w:tcPr>
            <w:tcW w:w="8620" w:type="dxa"/>
          </w:tcPr>
          <w:p w14:paraId="2164020A" w14:textId="4C91D8B3" w:rsidR="00FF0D6A" w:rsidRPr="00FF0D6A" w:rsidRDefault="00FF0D6A" w:rsidP="00FF0D6A">
            <w:pPr>
              <w:contextualSpacing/>
              <w:rPr>
                <w:rFonts w:eastAsia="Times New Roman" w:cstheme="minorHAnsi"/>
                <w:b/>
                <w:bCs/>
                <w:lang w:val="en-GB" w:eastAsia="de-DE"/>
              </w:rPr>
            </w:pPr>
            <w:r w:rsidRPr="00FF0D6A">
              <w:rPr>
                <w:rFonts w:eastAsia="Times New Roman" w:cstheme="minorHAnsi"/>
                <w:b/>
                <w:bCs/>
                <w:lang w:val="en-GB" w:eastAsia="de-DE"/>
              </w:rPr>
              <w:t>Mandatory nutrition standards for public institutions (other than schools and kindergartens)</w:t>
            </w:r>
          </w:p>
          <w:p w14:paraId="14AF0B88" w14:textId="0E719AE5" w:rsidR="00FF0D6A" w:rsidRPr="00FF0D6A" w:rsidRDefault="00FF0D6A" w:rsidP="00FF0D6A">
            <w:pPr>
              <w:contextualSpacing/>
              <w:rPr>
                <w:rFonts w:cstheme="minorHAnsi"/>
                <w:lang w:val="en-GB"/>
              </w:rPr>
            </w:pPr>
            <w:r w:rsidRPr="00FF0D6A">
              <w:rPr>
                <w:rFonts w:cstheme="minorHAnsi"/>
                <w:lang w:val="en-GB"/>
              </w:rPr>
              <w:t xml:space="preserve">Mandatory implementation of the nutrition standards of the German Nutrition Society in </w:t>
            </w:r>
            <w:r w:rsidRPr="00FF0D6A">
              <w:rPr>
                <w:rFonts w:cstheme="minorHAnsi"/>
                <w:lang w:val="en-GB"/>
              </w:rPr>
              <w:lastRenderedPageBreak/>
              <w:t>public institutions, such as public offices, clinics, senior citizen facilities and universities. The nutrition standards include specifications for the main meals offered, other food and beverages available on the</w:t>
            </w:r>
            <w:r w:rsidR="00384FD3">
              <w:rPr>
                <w:rFonts w:cstheme="minorHAnsi"/>
                <w:lang w:val="en-GB"/>
              </w:rPr>
              <w:t xml:space="preserve"> </w:t>
            </w:r>
            <w:r w:rsidRPr="00FF0D6A">
              <w:rPr>
                <w:rFonts w:cstheme="minorHAnsi"/>
                <w:lang w:val="en-GB"/>
              </w:rPr>
              <w:t>premises, characteristics of the dining rooms and the arrangement of communal meals. Furthermore, it includes the provision of sufficient financial resources (e.g., under a federal investment program), professional support, and training opportunities.</w:t>
            </w:r>
          </w:p>
        </w:tc>
      </w:tr>
      <w:tr w:rsidR="00FF0D6A" w:rsidRPr="00E157BD" w14:paraId="10A423F2" w14:textId="77777777" w:rsidTr="00414DBC">
        <w:tc>
          <w:tcPr>
            <w:tcW w:w="594" w:type="dxa"/>
          </w:tcPr>
          <w:p w14:paraId="0FCA5379" w14:textId="77777777" w:rsidR="00FF0D6A" w:rsidRPr="00FF0D6A" w:rsidRDefault="00FF0D6A" w:rsidP="00FF0D6A">
            <w:pPr>
              <w:contextualSpacing/>
              <w:rPr>
                <w:rFonts w:cstheme="minorHAnsi"/>
                <w:b/>
                <w:bCs/>
              </w:rPr>
            </w:pPr>
            <w:r w:rsidRPr="00FF0D6A">
              <w:rPr>
                <w:rFonts w:cstheme="minorHAnsi"/>
                <w:b/>
                <w:bCs/>
              </w:rPr>
              <w:lastRenderedPageBreak/>
              <w:t>M6</w:t>
            </w:r>
          </w:p>
        </w:tc>
        <w:tc>
          <w:tcPr>
            <w:tcW w:w="8620" w:type="dxa"/>
          </w:tcPr>
          <w:p w14:paraId="5FF0EF78" w14:textId="77777777" w:rsidR="00FF0D6A" w:rsidRPr="00FF0D6A" w:rsidRDefault="00FF0D6A" w:rsidP="00FF0D6A">
            <w:pPr>
              <w:contextualSpacing/>
              <w:rPr>
                <w:rFonts w:eastAsia="Times New Roman" w:cstheme="minorHAnsi"/>
                <w:b/>
                <w:bCs/>
                <w:lang w:val="en-GB" w:eastAsia="de-DE"/>
              </w:rPr>
            </w:pPr>
            <w:r w:rsidRPr="00D106A2">
              <w:rPr>
                <w:rFonts w:eastAsia="Times New Roman" w:cstheme="minorHAnsi"/>
                <w:b/>
                <w:bCs/>
                <w:lang w:val="en-US" w:eastAsia="de-DE"/>
              </w:rPr>
              <w:t>Action plan on the promotion of drinking water</w:t>
            </w:r>
            <w:r w:rsidRPr="00FF0D6A">
              <w:rPr>
                <w:rFonts w:eastAsia="Times New Roman" w:cstheme="minorHAnsi"/>
                <w:b/>
                <w:bCs/>
                <w:lang w:val="en-GB" w:eastAsia="de-DE"/>
              </w:rPr>
              <w:t xml:space="preserve"> </w:t>
            </w:r>
          </w:p>
          <w:p w14:paraId="391FB65F" w14:textId="48F62A9C" w:rsidR="00FF0D6A" w:rsidRPr="00FF0D6A" w:rsidRDefault="00FF0D6A" w:rsidP="00414DBC">
            <w:pPr>
              <w:contextualSpacing/>
              <w:rPr>
                <w:rFonts w:eastAsia="Times New Roman" w:cstheme="minorHAnsi"/>
                <w:lang w:val="en-GB" w:eastAsia="de-DE"/>
              </w:rPr>
            </w:pPr>
            <w:r w:rsidRPr="00FF0D6A">
              <w:rPr>
                <w:rFonts w:eastAsia="Times New Roman" w:cstheme="minorHAnsi"/>
                <w:lang w:val="en-GB" w:eastAsia="de-DE"/>
              </w:rPr>
              <w:t xml:space="preserve">Measures to promote tap water consumption, including requiring food service establishments to provide tap water free of charge or for a small service fee, offering free tap water in workplace cafeterias </w:t>
            </w:r>
            <w:r w:rsidR="00414DBC">
              <w:rPr>
                <w:rFonts w:eastAsia="Times New Roman" w:cstheme="minorHAnsi"/>
                <w:lang w:val="en-GB" w:eastAsia="de-DE"/>
              </w:rPr>
              <w:t xml:space="preserve">and </w:t>
            </w:r>
            <w:r w:rsidRPr="00FF0D6A">
              <w:rPr>
                <w:rFonts w:eastAsia="Times New Roman" w:cstheme="minorHAnsi"/>
                <w:lang w:val="en-GB" w:eastAsia="de-DE"/>
              </w:rPr>
              <w:t>canteens, and promoting tap water consumption in schools</w:t>
            </w:r>
            <w:r w:rsidR="009203F9">
              <w:rPr>
                <w:rFonts w:eastAsia="Times New Roman" w:cstheme="minorHAnsi"/>
                <w:lang w:val="en-GB" w:eastAsia="de-DE"/>
              </w:rPr>
              <w:t xml:space="preserve"> and kindergartens</w:t>
            </w:r>
            <w:r w:rsidRPr="00FF0D6A">
              <w:rPr>
                <w:rFonts w:eastAsia="Times New Roman" w:cstheme="minorHAnsi"/>
                <w:lang w:val="en-GB" w:eastAsia="de-DE"/>
              </w:rPr>
              <w:t>.</w:t>
            </w:r>
          </w:p>
        </w:tc>
      </w:tr>
      <w:tr w:rsidR="00FF0D6A" w:rsidRPr="00E157BD" w14:paraId="441B045D" w14:textId="77777777" w:rsidTr="00414DBC">
        <w:tc>
          <w:tcPr>
            <w:tcW w:w="594" w:type="dxa"/>
          </w:tcPr>
          <w:p w14:paraId="0403AEB2" w14:textId="77777777" w:rsidR="00FF0D6A" w:rsidRPr="00FF0D6A" w:rsidRDefault="00FF0D6A" w:rsidP="00FF0D6A">
            <w:pPr>
              <w:contextualSpacing/>
              <w:rPr>
                <w:rFonts w:cstheme="minorHAnsi"/>
                <w:b/>
                <w:bCs/>
              </w:rPr>
            </w:pPr>
            <w:r w:rsidRPr="00FF0D6A">
              <w:rPr>
                <w:rFonts w:cstheme="minorHAnsi"/>
                <w:b/>
                <w:bCs/>
              </w:rPr>
              <w:t>M7</w:t>
            </w:r>
          </w:p>
        </w:tc>
        <w:tc>
          <w:tcPr>
            <w:tcW w:w="8620" w:type="dxa"/>
          </w:tcPr>
          <w:p w14:paraId="1C51837C" w14:textId="77777777" w:rsidR="00FF0D6A" w:rsidRPr="00FF0D6A" w:rsidRDefault="00FF0D6A" w:rsidP="00FF0D6A">
            <w:pPr>
              <w:contextualSpacing/>
              <w:rPr>
                <w:rFonts w:cstheme="minorHAnsi"/>
                <w:b/>
                <w:bCs/>
                <w:lang w:val="en-GB"/>
              </w:rPr>
            </w:pPr>
            <w:r w:rsidRPr="00FF0D6A">
              <w:rPr>
                <w:rFonts w:cstheme="minorHAnsi"/>
                <w:b/>
                <w:bCs/>
                <w:lang w:val="en-GB"/>
              </w:rPr>
              <w:t xml:space="preserve">School fruit and vegetable program </w:t>
            </w:r>
          </w:p>
          <w:p w14:paraId="7E2DF4F3" w14:textId="77777777" w:rsidR="00FF0D6A" w:rsidRPr="00FF0D6A" w:rsidRDefault="00FF0D6A" w:rsidP="00FF0D6A">
            <w:pPr>
              <w:contextualSpacing/>
              <w:rPr>
                <w:rFonts w:cstheme="minorHAnsi"/>
                <w:lang w:val="en-GB"/>
              </w:rPr>
            </w:pPr>
            <w:r w:rsidRPr="00FF0D6A">
              <w:rPr>
                <w:rFonts w:cstheme="minorHAnsi"/>
                <w:lang w:val="en-GB"/>
              </w:rPr>
              <w:t>Expansion of the European Union's School Fruit and Vegetable Program to all German states and improved support for school authorities in its implementation.</w:t>
            </w:r>
          </w:p>
        </w:tc>
      </w:tr>
      <w:tr w:rsidR="00FF0D6A" w:rsidRPr="00E157BD" w14:paraId="334D0B4D" w14:textId="77777777" w:rsidTr="00414DBC">
        <w:tc>
          <w:tcPr>
            <w:tcW w:w="594" w:type="dxa"/>
          </w:tcPr>
          <w:p w14:paraId="5B8347D0" w14:textId="77777777" w:rsidR="00FF0D6A" w:rsidRPr="00FF0D6A" w:rsidRDefault="00FF0D6A" w:rsidP="00FF0D6A">
            <w:pPr>
              <w:contextualSpacing/>
              <w:rPr>
                <w:rFonts w:cstheme="minorHAnsi"/>
                <w:b/>
                <w:bCs/>
              </w:rPr>
            </w:pPr>
            <w:r w:rsidRPr="00FF0D6A">
              <w:rPr>
                <w:rFonts w:cstheme="minorHAnsi"/>
                <w:b/>
                <w:bCs/>
              </w:rPr>
              <w:t>M8</w:t>
            </w:r>
          </w:p>
        </w:tc>
        <w:tc>
          <w:tcPr>
            <w:tcW w:w="8620" w:type="dxa"/>
          </w:tcPr>
          <w:p w14:paraId="5666E335" w14:textId="77777777" w:rsidR="00FF0D6A" w:rsidRPr="00FF0D6A" w:rsidRDefault="00FF0D6A" w:rsidP="00FF0D6A">
            <w:pPr>
              <w:contextualSpacing/>
              <w:rPr>
                <w:rFonts w:cstheme="minorHAnsi"/>
                <w:b/>
                <w:bCs/>
                <w:lang w:val="en-GB"/>
              </w:rPr>
            </w:pPr>
            <w:r w:rsidRPr="00FF0D6A">
              <w:rPr>
                <w:rFonts w:cstheme="minorHAnsi"/>
                <w:b/>
                <w:bCs/>
                <w:lang w:val="en-GB"/>
              </w:rPr>
              <w:t>Nutrition education in kindergartens and schools</w:t>
            </w:r>
          </w:p>
          <w:p w14:paraId="442750A1" w14:textId="77777777" w:rsidR="00FF0D6A" w:rsidRPr="00FF0D6A" w:rsidRDefault="00FF0D6A" w:rsidP="00FF0D6A">
            <w:pPr>
              <w:contextualSpacing/>
              <w:rPr>
                <w:rFonts w:cstheme="minorHAnsi"/>
                <w:lang w:val="en-GB"/>
              </w:rPr>
            </w:pPr>
            <w:r w:rsidRPr="00FF0D6A">
              <w:rPr>
                <w:rFonts w:cstheme="minorHAnsi"/>
                <w:lang w:val="en-GB"/>
              </w:rPr>
              <w:t>Promotion of nutrition education in kindergartens and schools by upgrading the corresponding content in the curricula of existing subjects and upgrading the teaching of home economics.</w:t>
            </w:r>
          </w:p>
        </w:tc>
      </w:tr>
      <w:tr w:rsidR="00FF0D6A" w:rsidRPr="00E157BD" w14:paraId="2C0C7926" w14:textId="77777777" w:rsidTr="00414DBC">
        <w:tc>
          <w:tcPr>
            <w:tcW w:w="594" w:type="dxa"/>
          </w:tcPr>
          <w:p w14:paraId="2DB76882" w14:textId="77777777" w:rsidR="00FF0D6A" w:rsidRPr="00FF0D6A" w:rsidRDefault="00FF0D6A" w:rsidP="00FF0D6A">
            <w:pPr>
              <w:contextualSpacing/>
              <w:rPr>
                <w:rFonts w:cstheme="minorHAnsi"/>
                <w:b/>
                <w:bCs/>
              </w:rPr>
            </w:pPr>
            <w:r w:rsidRPr="00FF0D6A">
              <w:rPr>
                <w:rFonts w:cstheme="minorHAnsi"/>
                <w:b/>
                <w:bCs/>
              </w:rPr>
              <w:t>M9</w:t>
            </w:r>
          </w:p>
        </w:tc>
        <w:tc>
          <w:tcPr>
            <w:tcW w:w="8620" w:type="dxa"/>
          </w:tcPr>
          <w:p w14:paraId="70310D67" w14:textId="77777777" w:rsidR="00FF0D6A" w:rsidRPr="00FF0D6A" w:rsidRDefault="00FF0D6A" w:rsidP="00FF0D6A">
            <w:pPr>
              <w:contextualSpacing/>
              <w:rPr>
                <w:rFonts w:cstheme="minorHAnsi"/>
                <w:b/>
                <w:bCs/>
                <w:lang w:val="en-GB"/>
              </w:rPr>
            </w:pPr>
            <w:r w:rsidRPr="00FF0D6A">
              <w:rPr>
                <w:rFonts w:cstheme="minorHAnsi"/>
                <w:b/>
                <w:bCs/>
                <w:lang w:val="en-GB"/>
              </w:rPr>
              <w:t xml:space="preserve">Mandatory implementation of the Nutri-Score </w:t>
            </w:r>
          </w:p>
          <w:p w14:paraId="24DC21E1" w14:textId="77777777" w:rsidR="00FF0D6A" w:rsidRPr="00FF0D6A" w:rsidRDefault="00FF0D6A" w:rsidP="00FF0D6A">
            <w:pPr>
              <w:contextualSpacing/>
              <w:rPr>
                <w:rFonts w:cstheme="minorHAnsi"/>
                <w:lang w:val="en-GB"/>
              </w:rPr>
            </w:pPr>
            <w:r w:rsidRPr="00FF0D6A">
              <w:rPr>
                <w:rFonts w:cstheme="minorHAnsi"/>
                <w:lang w:val="en-GB"/>
              </w:rPr>
              <w:t>Commitment of the German government to the EU-wide, mandatory introduction of the Nutri-Score as an interpretative, front-of-pack nutrition labelling system, accompanied by information and education of the population.</w:t>
            </w:r>
          </w:p>
        </w:tc>
      </w:tr>
      <w:tr w:rsidR="00FF0D6A" w:rsidRPr="00E157BD" w14:paraId="38C485DD" w14:textId="77777777" w:rsidTr="00414DBC">
        <w:tc>
          <w:tcPr>
            <w:tcW w:w="594" w:type="dxa"/>
          </w:tcPr>
          <w:p w14:paraId="75907A6C" w14:textId="77777777" w:rsidR="00FF0D6A" w:rsidRPr="00FF0D6A" w:rsidRDefault="00FF0D6A" w:rsidP="00FF0D6A">
            <w:pPr>
              <w:contextualSpacing/>
              <w:rPr>
                <w:rFonts w:cstheme="minorHAnsi"/>
                <w:b/>
                <w:bCs/>
              </w:rPr>
            </w:pPr>
            <w:r w:rsidRPr="00FF0D6A">
              <w:rPr>
                <w:rFonts w:cstheme="minorHAnsi"/>
                <w:b/>
                <w:bCs/>
              </w:rPr>
              <w:t>M10</w:t>
            </w:r>
          </w:p>
        </w:tc>
        <w:tc>
          <w:tcPr>
            <w:tcW w:w="8620" w:type="dxa"/>
          </w:tcPr>
          <w:p w14:paraId="42B57659" w14:textId="77777777" w:rsidR="00FF0D6A" w:rsidRPr="00FF0D6A" w:rsidRDefault="00FF0D6A" w:rsidP="00FF0D6A">
            <w:pPr>
              <w:contextualSpacing/>
              <w:rPr>
                <w:rFonts w:cstheme="minorHAnsi"/>
                <w:b/>
                <w:bCs/>
                <w:lang w:val="en-GB"/>
              </w:rPr>
            </w:pPr>
            <w:r w:rsidRPr="00FF0D6A">
              <w:rPr>
                <w:rFonts w:cstheme="minorHAnsi"/>
                <w:b/>
                <w:bCs/>
                <w:lang w:val="en-GB"/>
              </w:rPr>
              <w:t>Reformulation of processed food</w:t>
            </w:r>
          </w:p>
          <w:p w14:paraId="468A0A93" w14:textId="77777777" w:rsidR="00FF0D6A" w:rsidRPr="00FF0D6A" w:rsidRDefault="00FF0D6A" w:rsidP="00FF0D6A">
            <w:pPr>
              <w:contextualSpacing/>
              <w:rPr>
                <w:rFonts w:cstheme="minorHAnsi"/>
                <w:b/>
                <w:bCs/>
                <w:lang w:val="en-GB"/>
              </w:rPr>
            </w:pPr>
            <w:r w:rsidRPr="00FF0D6A">
              <w:rPr>
                <w:rFonts w:cstheme="minorHAnsi"/>
                <w:lang w:val="en-GB"/>
              </w:rPr>
              <w:t>Comprehensive and effective measures for the reformulation of processed food with the aim of a relevant reduction of nutrients of concern (sugar and other highly processed carbohydrates, salt, saturated and trans fatty acids), involving the catering sector and all relevant food groups, using binding limit values for selected food groups (including children’s foods and children's dishes in restaurant chains), and with close-meshed and meaningful monitoring.</w:t>
            </w:r>
          </w:p>
        </w:tc>
      </w:tr>
      <w:tr w:rsidR="00FF0D6A" w:rsidRPr="00E157BD" w14:paraId="484ED83B" w14:textId="77777777" w:rsidTr="00414DBC">
        <w:tc>
          <w:tcPr>
            <w:tcW w:w="594" w:type="dxa"/>
          </w:tcPr>
          <w:p w14:paraId="66504EAB" w14:textId="77777777" w:rsidR="00FF0D6A" w:rsidRPr="00FF0D6A" w:rsidRDefault="00FF0D6A" w:rsidP="00FF0D6A">
            <w:pPr>
              <w:contextualSpacing/>
              <w:rPr>
                <w:rFonts w:cstheme="minorHAnsi"/>
                <w:b/>
                <w:bCs/>
              </w:rPr>
            </w:pPr>
            <w:r w:rsidRPr="00FF0D6A">
              <w:rPr>
                <w:rFonts w:cstheme="minorHAnsi"/>
                <w:b/>
                <w:bCs/>
              </w:rPr>
              <w:t>M11</w:t>
            </w:r>
          </w:p>
        </w:tc>
        <w:tc>
          <w:tcPr>
            <w:tcW w:w="8620" w:type="dxa"/>
          </w:tcPr>
          <w:p w14:paraId="31E6D8BA" w14:textId="603C8EE6" w:rsidR="00FF0D6A" w:rsidRPr="00FF0D6A" w:rsidRDefault="00FF0D6A" w:rsidP="00FF0D6A">
            <w:pPr>
              <w:contextualSpacing/>
              <w:rPr>
                <w:rFonts w:cstheme="minorHAnsi"/>
                <w:b/>
                <w:bCs/>
                <w:lang w:val="en-GB"/>
              </w:rPr>
            </w:pPr>
            <w:r w:rsidRPr="00FF0D6A">
              <w:rPr>
                <w:rFonts w:cstheme="minorHAnsi"/>
                <w:b/>
                <w:bCs/>
                <w:lang w:val="en-GB"/>
              </w:rPr>
              <w:t>Improvement of nutrition</w:t>
            </w:r>
            <w:r w:rsidR="00384FD3">
              <w:rPr>
                <w:rFonts w:cstheme="minorHAnsi"/>
                <w:b/>
                <w:bCs/>
                <w:lang w:val="en-GB"/>
              </w:rPr>
              <w:t>al</w:t>
            </w:r>
            <w:r w:rsidRPr="00FF0D6A">
              <w:rPr>
                <w:rFonts w:cstheme="minorHAnsi"/>
                <w:b/>
                <w:bCs/>
                <w:lang w:val="en-GB"/>
              </w:rPr>
              <w:t xml:space="preserve"> standards for private companies</w:t>
            </w:r>
          </w:p>
          <w:p w14:paraId="001532EA" w14:textId="3C65694E" w:rsidR="00FF0D6A" w:rsidRPr="00FF0D6A" w:rsidRDefault="00FF0D6A" w:rsidP="00FF0D6A">
            <w:pPr>
              <w:contextualSpacing/>
              <w:rPr>
                <w:rFonts w:cstheme="minorHAnsi"/>
                <w:lang w:val="en-GB"/>
              </w:rPr>
            </w:pPr>
            <w:r w:rsidRPr="00FF0D6A">
              <w:rPr>
                <w:rFonts w:cstheme="minorHAnsi"/>
                <w:lang w:val="en-GB"/>
              </w:rPr>
              <w:t>Support program for the implementation of the nutrition</w:t>
            </w:r>
            <w:r w:rsidR="00384FD3">
              <w:rPr>
                <w:rFonts w:cstheme="minorHAnsi"/>
                <w:lang w:val="en-GB"/>
              </w:rPr>
              <w:t>al</w:t>
            </w:r>
            <w:r w:rsidRPr="00FF0D6A">
              <w:rPr>
                <w:rFonts w:cstheme="minorHAnsi"/>
                <w:lang w:val="en-GB"/>
              </w:rPr>
              <w:t xml:space="preserve"> standards of the German Nutrition Society for catering in private companies, including technical support, training offers and financial incentives (e.g., subsidies for necessary investments and certification costs).</w:t>
            </w:r>
          </w:p>
        </w:tc>
      </w:tr>
      <w:tr w:rsidR="00FF0D6A" w:rsidRPr="00E157BD" w14:paraId="4DAE5171" w14:textId="77777777" w:rsidTr="00414DBC">
        <w:tc>
          <w:tcPr>
            <w:tcW w:w="594" w:type="dxa"/>
            <w:shd w:val="clear" w:color="auto" w:fill="auto"/>
          </w:tcPr>
          <w:p w14:paraId="13CA2322" w14:textId="77777777" w:rsidR="00FF0D6A" w:rsidRPr="00FF0D6A" w:rsidRDefault="00FF0D6A" w:rsidP="00FF0D6A">
            <w:pPr>
              <w:contextualSpacing/>
              <w:rPr>
                <w:rFonts w:cstheme="minorHAnsi"/>
                <w:b/>
                <w:bCs/>
              </w:rPr>
            </w:pPr>
            <w:r w:rsidRPr="00FF0D6A">
              <w:rPr>
                <w:rFonts w:cstheme="minorHAnsi"/>
                <w:b/>
                <w:bCs/>
              </w:rPr>
              <w:t>M12</w:t>
            </w:r>
          </w:p>
        </w:tc>
        <w:tc>
          <w:tcPr>
            <w:tcW w:w="8620" w:type="dxa"/>
            <w:shd w:val="clear" w:color="auto" w:fill="auto"/>
          </w:tcPr>
          <w:p w14:paraId="4CB28C58" w14:textId="77777777" w:rsidR="00FF0D6A" w:rsidRPr="00FF0D6A" w:rsidRDefault="00FF0D6A" w:rsidP="00FF0D6A">
            <w:pPr>
              <w:contextualSpacing/>
              <w:rPr>
                <w:rFonts w:cstheme="minorHAnsi"/>
                <w:b/>
                <w:bCs/>
                <w:lang w:val="en-US"/>
              </w:rPr>
            </w:pPr>
            <w:r w:rsidRPr="00FF0D6A">
              <w:rPr>
                <w:rFonts w:eastAsia="Times New Roman" w:cstheme="minorHAnsi"/>
                <w:b/>
                <w:bCs/>
                <w:lang w:val="en-US" w:eastAsia="de-DE"/>
              </w:rPr>
              <w:t>Municipal food policies</w:t>
            </w:r>
          </w:p>
          <w:p w14:paraId="78BEE043" w14:textId="77777777" w:rsidR="00FF0D6A" w:rsidRPr="00FF0D6A" w:rsidRDefault="00FF0D6A" w:rsidP="00FF0D6A">
            <w:pPr>
              <w:contextualSpacing/>
              <w:rPr>
                <w:rFonts w:cstheme="minorHAnsi"/>
                <w:lang w:val="en-GB"/>
              </w:rPr>
            </w:pPr>
            <w:r w:rsidRPr="00FF0D6A">
              <w:rPr>
                <w:rFonts w:cstheme="minorHAnsi"/>
                <w:lang w:val="en-GB"/>
              </w:rPr>
              <w:t>Municipal food policies, including the promotion of local supply chains for fresh and low-processed foods through farmers' markets and stores, direct agricultural marketing to schools and other public institutions, establishment of school and community gardens, and establishment of decentralized lunch counters especially for the elderly, among others.</w:t>
            </w:r>
          </w:p>
        </w:tc>
      </w:tr>
      <w:tr w:rsidR="00FF0D6A" w:rsidRPr="00E157BD" w14:paraId="2AFD62A4" w14:textId="77777777" w:rsidTr="00414DBC">
        <w:tc>
          <w:tcPr>
            <w:tcW w:w="594" w:type="dxa"/>
          </w:tcPr>
          <w:p w14:paraId="3377337E" w14:textId="77777777" w:rsidR="00FF0D6A" w:rsidRPr="00FF0D6A" w:rsidRDefault="00FF0D6A" w:rsidP="00FF0D6A">
            <w:pPr>
              <w:contextualSpacing/>
              <w:rPr>
                <w:rFonts w:cstheme="minorHAnsi"/>
                <w:b/>
                <w:bCs/>
              </w:rPr>
            </w:pPr>
            <w:r w:rsidRPr="00FF0D6A">
              <w:rPr>
                <w:rFonts w:cstheme="minorHAnsi"/>
                <w:b/>
                <w:bCs/>
              </w:rPr>
              <w:t>M13</w:t>
            </w:r>
          </w:p>
        </w:tc>
        <w:tc>
          <w:tcPr>
            <w:tcW w:w="8620" w:type="dxa"/>
          </w:tcPr>
          <w:p w14:paraId="7EFF41A3" w14:textId="77777777" w:rsidR="00FF0D6A" w:rsidRPr="00FF0D6A" w:rsidRDefault="00FF0D6A" w:rsidP="00FF0D6A">
            <w:pPr>
              <w:jc w:val="both"/>
              <w:rPr>
                <w:rFonts w:cstheme="minorHAnsi"/>
                <w:b/>
                <w:bCs/>
                <w:lang w:val="en-GB"/>
              </w:rPr>
            </w:pPr>
            <w:r w:rsidRPr="00FF0D6A">
              <w:rPr>
                <w:rFonts w:cstheme="minorHAnsi"/>
                <w:b/>
                <w:bCs/>
                <w:lang w:val="en-GB"/>
              </w:rPr>
              <w:t>Regulation of food advertising in general</w:t>
            </w:r>
          </w:p>
          <w:p w14:paraId="2185F464" w14:textId="77777777" w:rsidR="00FF0D6A" w:rsidRPr="00FF0D6A" w:rsidRDefault="00FF0D6A" w:rsidP="00FF0D6A">
            <w:pPr>
              <w:jc w:val="both"/>
              <w:rPr>
                <w:rFonts w:cstheme="minorHAnsi"/>
                <w:b/>
                <w:bCs/>
                <w:lang w:val="en-GB"/>
              </w:rPr>
            </w:pPr>
            <w:r w:rsidRPr="00FF0D6A">
              <w:rPr>
                <w:rFonts w:cstheme="minorHAnsi"/>
                <w:lang w:val="en-GB"/>
              </w:rPr>
              <w:t>More effective regulation of food advertising in general, including the mandatory disclosure of the Nutri-Score in food advertising, as well as disclosure of advertising on social media.</w:t>
            </w:r>
          </w:p>
        </w:tc>
      </w:tr>
      <w:tr w:rsidR="00FF0D6A" w:rsidRPr="00E157BD" w14:paraId="77042F16" w14:textId="77777777" w:rsidTr="00414DBC">
        <w:tc>
          <w:tcPr>
            <w:tcW w:w="594" w:type="dxa"/>
          </w:tcPr>
          <w:p w14:paraId="55BDFDE6" w14:textId="77777777" w:rsidR="00FF0D6A" w:rsidRPr="00FF0D6A" w:rsidRDefault="00FF0D6A" w:rsidP="00FF0D6A">
            <w:pPr>
              <w:contextualSpacing/>
              <w:rPr>
                <w:rFonts w:cstheme="minorHAnsi"/>
                <w:b/>
                <w:bCs/>
              </w:rPr>
            </w:pPr>
            <w:r w:rsidRPr="00FF0D6A">
              <w:rPr>
                <w:rFonts w:cstheme="minorHAnsi"/>
                <w:b/>
                <w:bCs/>
              </w:rPr>
              <w:t>M14</w:t>
            </w:r>
          </w:p>
        </w:tc>
        <w:tc>
          <w:tcPr>
            <w:tcW w:w="8620" w:type="dxa"/>
          </w:tcPr>
          <w:p w14:paraId="74C255F7" w14:textId="77777777" w:rsidR="00FF0D6A" w:rsidRPr="00FF0D6A" w:rsidRDefault="00FF0D6A" w:rsidP="00FF0D6A">
            <w:pPr>
              <w:contextualSpacing/>
              <w:rPr>
                <w:rFonts w:cstheme="minorHAnsi"/>
                <w:b/>
                <w:bCs/>
                <w:lang w:val="en-US"/>
              </w:rPr>
            </w:pPr>
            <w:r w:rsidRPr="00FF0D6A">
              <w:rPr>
                <w:rFonts w:eastAsia="Times New Roman" w:cstheme="minorHAnsi"/>
                <w:b/>
                <w:bCs/>
                <w:lang w:val="en-US" w:eastAsia="de-DE"/>
              </w:rPr>
              <w:t>Regulations for retail outlets</w:t>
            </w:r>
          </w:p>
          <w:p w14:paraId="5E68D6C5" w14:textId="77777777" w:rsidR="00FF0D6A" w:rsidRPr="00FF0D6A" w:rsidRDefault="00FF0D6A" w:rsidP="00FF0D6A">
            <w:pPr>
              <w:contextualSpacing/>
              <w:rPr>
                <w:rFonts w:cstheme="minorHAnsi"/>
                <w:lang w:val="en-GB"/>
              </w:rPr>
            </w:pPr>
            <w:r w:rsidRPr="00FF0D6A">
              <w:rPr>
                <w:rFonts w:cstheme="minorHAnsi"/>
                <w:lang w:val="en-GB"/>
              </w:rPr>
              <w:t>Rules for the placement and promotion of foods within stores, for example, rules on healthy supermarket checkouts, restrictions on special offers of non-recommended foods (esp. processed foods high in fat, sugar and/or salt).</w:t>
            </w:r>
          </w:p>
        </w:tc>
      </w:tr>
      <w:tr w:rsidR="00FF0D6A" w:rsidRPr="00E157BD" w14:paraId="0C5B676B" w14:textId="77777777" w:rsidTr="00414DBC">
        <w:tc>
          <w:tcPr>
            <w:tcW w:w="594" w:type="dxa"/>
          </w:tcPr>
          <w:p w14:paraId="768F51EE" w14:textId="77777777" w:rsidR="00FF0D6A" w:rsidRPr="00FF0D6A" w:rsidRDefault="00FF0D6A" w:rsidP="00FF0D6A">
            <w:pPr>
              <w:contextualSpacing/>
              <w:rPr>
                <w:rFonts w:cstheme="minorHAnsi"/>
                <w:b/>
                <w:bCs/>
              </w:rPr>
            </w:pPr>
            <w:r w:rsidRPr="00FF0D6A">
              <w:rPr>
                <w:rFonts w:cstheme="minorHAnsi"/>
                <w:b/>
                <w:bCs/>
              </w:rPr>
              <w:t>M15</w:t>
            </w:r>
          </w:p>
        </w:tc>
        <w:tc>
          <w:tcPr>
            <w:tcW w:w="8620" w:type="dxa"/>
          </w:tcPr>
          <w:p w14:paraId="734709E0" w14:textId="77777777" w:rsidR="00FF0D6A" w:rsidRPr="00FF0D6A" w:rsidRDefault="00FF0D6A" w:rsidP="00FF0D6A">
            <w:pPr>
              <w:contextualSpacing/>
              <w:rPr>
                <w:rFonts w:eastAsia="Times New Roman" w:cstheme="minorHAnsi"/>
                <w:b/>
                <w:bCs/>
                <w:lang w:val="en-GB" w:eastAsia="de-DE"/>
              </w:rPr>
            </w:pPr>
            <w:r w:rsidRPr="00FF0D6A">
              <w:rPr>
                <w:rFonts w:eastAsia="Times New Roman" w:cstheme="minorHAnsi"/>
                <w:b/>
                <w:bCs/>
                <w:lang w:val="en-GB" w:eastAsia="de-DE"/>
              </w:rPr>
              <w:t>Reduction of portion and packaging sizes</w:t>
            </w:r>
          </w:p>
          <w:p w14:paraId="0752BE4E" w14:textId="244B2791" w:rsidR="00FF0D6A" w:rsidRPr="00FF0D6A" w:rsidRDefault="00FF0D6A" w:rsidP="00FF0D6A">
            <w:pPr>
              <w:contextualSpacing/>
              <w:rPr>
                <w:rFonts w:eastAsia="Times New Roman" w:cstheme="minorHAnsi"/>
                <w:b/>
                <w:bCs/>
                <w:lang w:val="en-GB" w:eastAsia="de-DE"/>
              </w:rPr>
            </w:pPr>
            <w:r w:rsidRPr="00FF0D6A">
              <w:rPr>
                <w:rFonts w:eastAsia="Times New Roman" w:cstheme="minorHAnsi"/>
                <w:lang w:val="en-GB" w:eastAsia="de-DE"/>
              </w:rPr>
              <w:t>Measures to reduce portion and packaging sizes by regulating portion sizes in public communal catering (as part of the binding implementation of the nutrition</w:t>
            </w:r>
            <w:r w:rsidR="00384FD3">
              <w:rPr>
                <w:rFonts w:eastAsia="Times New Roman" w:cstheme="minorHAnsi"/>
                <w:lang w:val="en-GB" w:eastAsia="de-DE"/>
              </w:rPr>
              <w:t>al</w:t>
            </w:r>
            <w:r w:rsidRPr="00FF0D6A">
              <w:rPr>
                <w:rFonts w:eastAsia="Times New Roman" w:cstheme="minorHAnsi"/>
                <w:lang w:val="en-GB" w:eastAsia="de-DE"/>
              </w:rPr>
              <w:t xml:space="preserve"> standards of the German Nutrition Society), making them a topic in educational campaigns (e.g., the "Too </w:t>
            </w:r>
            <w:r w:rsidRPr="00FF0D6A">
              <w:rPr>
                <w:rFonts w:eastAsia="Times New Roman" w:cstheme="minorHAnsi"/>
                <w:lang w:val="en-GB" w:eastAsia="de-DE"/>
              </w:rPr>
              <w:lastRenderedPageBreak/>
              <w:t>good for the garbage can" campaign), initiating voluntary measures by industry, improving monitoring</w:t>
            </w:r>
            <w:r w:rsidR="00384FD3">
              <w:rPr>
                <w:rFonts w:eastAsia="Times New Roman" w:cstheme="minorHAnsi"/>
                <w:lang w:val="en-GB" w:eastAsia="de-DE"/>
              </w:rPr>
              <w:t>,</w:t>
            </w:r>
            <w:r w:rsidRPr="00FF0D6A">
              <w:rPr>
                <w:rFonts w:eastAsia="Times New Roman" w:cstheme="minorHAnsi"/>
                <w:lang w:val="en-GB" w:eastAsia="de-DE"/>
              </w:rPr>
              <w:t xml:space="preserve"> and testing innovative approaches.</w:t>
            </w:r>
          </w:p>
        </w:tc>
      </w:tr>
      <w:tr w:rsidR="00FF0D6A" w:rsidRPr="00E157BD" w14:paraId="4C6D75B4" w14:textId="77777777" w:rsidTr="00414DBC">
        <w:tc>
          <w:tcPr>
            <w:tcW w:w="594" w:type="dxa"/>
          </w:tcPr>
          <w:p w14:paraId="299B2660" w14:textId="77777777" w:rsidR="00FF0D6A" w:rsidRPr="00FF0D6A" w:rsidRDefault="00FF0D6A" w:rsidP="00FF0D6A">
            <w:pPr>
              <w:contextualSpacing/>
              <w:rPr>
                <w:rFonts w:cstheme="minorHAnsi"/>
                <w:b/>
                <w:bCs/>
              </w:rPr>
            </w:pPr>
            <w:r w:rsidRPr="00FF0D6A">
              <w:rPr>
                <w:rFonts w:cstheme="minorHAnsi"/>
                <w:b/>
                <w:bCs/>
              </w:rPr>
              <w:lastRenderedPageBreak/>
              <w:t>M16</w:t>
            </w:r>
          </w:p>
        </w:tc>
        <w:tc>
          <w:tcPr>
            <w:tcW w:w="8620" w:type="dxa"/>
          </w:tcPr>
          <w:p w14:paraId="401BF4AF" w14:textId="77777777" w:rsidR="00FF0D6A" w:rsidRPr="00FF0D6A" w:rsidRDefault="00FF0D6A" w:rsidP="00FF0D6A">
            <w:pPr>
              <w:contextualSpacing/>
              <w:rPr>
                <w:rFonts w:cstheme="minorHAnsi"/>
                <w:b/>
                <w:bCs/>
                <w:lang w:val="en-GB"/>
              </w:rPr>
            </w:pPr>
            <w:r w:rsidRPr="00FF0D6A">
              <w:rPr>
                <w:rFonts w:cstheme="minorHAnsi"/>
                <w:b/>
                <w:bCs/>
                <w:lang w:val="en-GB"/>
              </w:rPr>
              <w:t>Effective regulation of health claims</w:t>
            </w:r>
          </w:p>
          <w:p w14:paraId="0B86C62D" w14:textId="77777777" w:rsidR="00FF0D6A" w:rsidRPr="00FF0D6A" w:rsidRDefault="00FF0D6A" w:rsidP="00FF0D6A">
            <w:pPr>
              <w:contextualSpacing/>
              <w:rPr>
                <w:rFonts w:cstheme="minorHAnsi"/>
                <w:lang w:val="en-GB"/>
              </w:rPr>
            </w:pPr>
            <w:r w:rsidRPr="00FF0D6A">
              <w:rPr>
                <w:rFonts w:cstheme="minorHAnsi"/>
                <w:lang w:val="en-GB"/>
              </w:rPr>
              <w:t>Effective restriction of misleading health and nutritional claims on foods (so-called health claims), through full and consistent implementation of the Health Claims Regulation. In this context, the use of health and nutritional claims should be restricted to products with a positive overall health rating (Nutri-Score A and B), and indirect health claims (so-called "feel-good claims") that have not been regulated to date should also be covered.</w:t>
            </w:r>
          </w:p>
        </w:tc>
      </w:tr>
      <w:tr w:rsidR="00FF0D6A" w:rsidRPr="00E157BD" w14:paraId="428316B5" w14:textId="77777777" w:rsidTr="00414DBC">
        <w:tc>
          <w:tcPr>
            <w:tcW w:w="594" w:type="dxa"/>
          </w:tcPr>
          <w:p w14:paraId="1E494D90" w14:textId="77777777" w:rsidR="00FF0D6A" w:rsidRPr="00FF0D6A" w:rsidRDefault="00FF0D6A" w:rsidP="00FF0D6A">
            <w:pPr>
              <w:contextualSpacing/>
              <w:rPr>
                <w:rFonts w:cstheme="minorHAnsi"/>
                <w:b/>
                <w:bCs/>
              </w:rPr>
            </w:pPr>
            <w:r w:rsidRPr="00FF0D6A">
              <w:rPr>
                <w:rFonts w:cstheme="minorHAnsi"/>
                <w:b/>
                <w:bCs/>
              </w:rPr>
              <w:t>M17</w:t>
            </w:r>
          </w:p>
        </w:tc>
        <w:tc>
          <w:tcPr>
            <w:tcW w:w="8620" w:type="dxa"/>
          </w:tcPr>
          <w:p w14:paraId="7D31589D" w14:textId="77777777" w:rsidR="00FF0D6A" w:rsidRPr="00FF0D6A" w:rsidRDefault="00FF0D6A" w:rsidP="00FF0D6A">
            <w:pPr>
              <w:contextualSpacing/>
              <w:rPr>
                <w:rFonts w:cstheme="minorHAnsi"/>
                <w:b/>
                <w:bCs/>
                <w:lang w:val="en-GB"/>
              </w:rPr>
            </w:pPr>
            <w:r w:rsidRPr="00FF0D6A">
              <w:rPr>
                <w:rFonts w:cstheme="minorHAnsi"/>
                <w:b/>
                <w:bCs/>
                <w:lang w:val="en-GB"/>
              </w:rPr>
              <w:t>Mandatory nutrition labelling on restaurant menus</w:t>
            </w:r>
          </w:p>
          <w:p w14:paraId="69216DED" w14:textId="77777777" w:rsidR="00FF0D6A" w:rsidRPr="00FF0D6A" w:rsidRDefault="00FF0D6A" w:rsidP="00FF0D6A">
            <w:pPr>
              <w:contextualSpacing/>
              <w:rPr>
                <w:rFonts w:cstheme="minorHAnsi"/>
                <w:lang w:val="en-GB"/>
              </w:rPr>
            </w:pPr>
            <w:r w:rsidRPr="00FF0D6A">
              <w:rPr>
                <w:rFonts w:cstheme="minorHAnsi"/>
                <w:lang w:val="en-GB"/>
              </w:rPr>
              <w:t>Limited to restaurant chains with more than 20 branches and to dishes offered over a longer period of time.</w:t>
            </w:r>
          </w:p>
        </w:tc>
      </w:tr>
      <w:tr w:rsidR="00FF0D6A" w:rsidRPr="00E157BD" w14:paraId="6EFF2D16" w14:textId="77777777" w:rsidTr="00414DBC">
        <w:tc>
          <w:tcPr>
            <w:tcW w:w="594" w:type="dxa"/>
          </w:tcPr>
          <w:p w14:paraId="3A0AF007" w14:textId="77777777" w:rsidR="00FF0D6A" w:rsidRPr="00FF0D6A" w:rsidRDefault="00FF0D6A" w:rsidP="00FF0D6A">
            <w:pPr>
              <w:contextualSpacing/>
              <w:rPr>
                <w:rFonts w:cstheme="minorHAnsi"/>
                <w:b/>
                <w:bCs/>
              </w:rPr>
            </w:pPr>
            <w:r w:rsidRPr="00FF0D6A">
              <w:rPr>
                <w:rFonts w:cstheme="minorHAnsi"/>
                <w:b/>
                <w:bCs/>
              </w:rPr>
              <w:t>M18</w:t>
            </w:r>
          </w:p>
        </w:tc>
        <w:tc>
          <w:tcPr>
            <w:tcW w:w="8620" w:type="dxa"/>
          </w:tcPr>
          <w:p w14:paraId="50A700F4" w14:textId="77777777" w:rsidR="00FF0D6A" w:rsidRPr="00FF0D6A" w:rsidRDefault="00FF0D6A" w:rsidP="00FF0D6A">
            <w:pPr>
              <w:contextualSpacing/>
              <w:rPr>
                <w:rFonts w:cstheme="minorHAnsi"/>
                <w:b/>
                <w:bCs/>
                <w:lang w:val="en-GB"/>
              </w:rPr>
            </w:pPr>
            <w:r w:rsidRPr="00FF0D6A">
              <w:rPr>
                <w:rFonts w:cstheme="minorHAnsi"/>
                <w:b/>
                <w:bCs/>
                <w:lang w:val="en-GB"/>
              </w:rPr>
              <w:t>Quality standards for children's meals in restaurants</w:t>
            </w:r>
          </w:p>
          <w:p w14:paraId="31DC6443" w14:textId="289B08FC" w:rsidR="00FF0D6A" w:rsidRPr="00FF0D6A" w:rsidRDefault="00FF0D6A" w:rsidP="00FF0D6A">
            <w:pPr>
              <w:contextualSpacing/>
              <w:rPr>
                <w:rFonts w:cstheme="minorHAnsi"/>
                <w:lang w:val="en-GB"/>
              </w:rPr>
            </w:pPr>
            <w:r w:rsidRPr="00FF0D6A">
              <w:rPr>
                <w:rFonts w:cstheme="minorHAnsi"/>
                <w:lang w:val="en-GB"/>
              </w:rPr>
              <w:t>Mandatory nutrition</w:t>
            </w:r>
            <w:r w:rsidR="00384FD3">
              <w:rPr>
                <w:rFonts w:cstheme="minorHAnsi"/>
                <w:lang w:val="en-GB"/>
              </w:rPr>
              <w:t>al</w:t>
            </w:r>
            <w:r w:rsidRPr="00FF0D6A">
              <w:rPr>
                <w:rFonts w:cstheme="minorHAnsi"/>
                <w:lang w:val="en-GB"/>
              </w:rPr>
              <w:t xml:space="preserve"> standards for children's meals in restaurants and snack bars, for example requiring that children's menus include water as a standard beverage and at least one vegetable or fruit component.</w:t>
            </w:r>
          </w:p>
        </w:tc>
      </w:tr>
    </w:tbl>
    <w:p w14:paraId="29C33BE9" w14:textId="0FAB3584" w:rsidR="00DC0146" w:rsidRPr="00D106A2" w:rsidRDefault="004B4BDC" w:rsidP="001A32A0">
      <w:pPr>
        <w:rPr>
          <w:i/>
          <w:iCs/>
          <w:sz w:val="20"/>
          <w:szCs w:val="20"/>
          <w:lang w:val="en-US"/>
        </w:rPr>
      </w:pPr>
      <w:r w:rsidRPr="00D106A2">
        <w:rPr>
          <w:b/>
          <w:bCs/>
          <w:i/>
          <w:iCs/>
          <w:sz w:val="20"/>
          <w:szCs w:val="20"/>
          <w:lang w:val="en-US"/>
        </w:rPr>
        <w:t>Table s2:</w:t>
      </w:r>
      <w:r w:rsidRPr="00D106A2">
        <w:rPr>
          <w:i/>
          <w:iCs/>
          <w:sz w:val="20"/>
          <w:szCs w:val="20"/>
          <w:lang w:val="en-US"/>
        </w:rPr>
        <w:t xml:space="preserve"> Recommendations on policy measures.</w:t>
      </w:r>
    </w:p>
    <w:p w14:paraId="71A0D812" w14:textId="77777777" w:rsidR="00025627" w:rsidRPr="00D106A2" w:rsidRDefault="00025627" w:rsidP="00025627">
      <w:pPr>
        <w:rPr>
          <w:rFonts w:eastAsiaTheme="majorEastAsia" w:cstheme="minorHAnsi"/>
          <w:lang w:val="en-US"/>
        </w:rPr>
      </w:pPr>
    </w:p>
    <w:p w14:paraId="5CBFA1B2" w14:textId="55E95027" w:rsidR="0030162D" w:rsidRPr="00D106A2" w:rsidRDefault="0030162D" w:rsidP="001F31B1">
      <w:pPr>
        <w:pStyle w:val="Listenabsatz"/>
        <w:numPr>
          <w:ilvl w:val="1"/>
          <w:numId w:val="4"/>
        </w:numPr>
        <w:outlineLvl w:val="1"/>
        <w:rPr>
          <w:rFonts w:eastAsiaTheme="majorEastAsia" w:cstheme="minorHAnsi"/>
          <w:b/>
          <w:bCs/>
          <w:sz w:val="28"/>
          <w:szCs w:val="28"/>
          <w:lang w:val="en-US"/>
        </w:rPr>
      </w:pPr>
      <w:r w:rsidRPr="00D106A2">
        <w:rPr>
          <w:rFonts w:eastAsiaTheme="majorEastAsia" w:cstheme="minorHAnsi"/>
          <w:b/>
          <w:bCs/>
          <w:sz w:val="28"/>
          <w:szCs w:val="28"/>
          <w:lang w:val="en-US"/>
        </w:rPr>
        <w:t xml:space="preserve"> </w:t>
      </w:r>
      <w:bookmarkStart w:id="3" w:name="_Toc75179526"/>
      <w:r w:rsidR="00251B0B" w:rsidRPr="00D106A2">
        <w:rPr>
          <w:rFonts w:eastAsiaTheme="majorEastAsia" w:cstheme="minorHAnsi"/>
          <w:b/>
          <w:bCs/>
          <w:sz w:val="28"/>
          <w:szCs w:val="28"/>
          <w:lang w:val="en-US"/>
        </w:rPr>
        <w:t>R</w:t>
      </w:r>
      <w:r w:rsidR="00E9684A" w:rsidRPr="00D106A2">
        <w:rPr>
          <w:rFonts w:eastAsiaTheme="majorEastAsia" w:cstheme="minorHAnsi"/>
          <w:b/>
          <w:bCs/>
          <w:sz w:val="28"/>
          <w:szCs w:val="28"/>
          <w:lang w:val="en-US"/>
        </w:rPr>
        <w:t xml:space="preserve">ecommendations </w:t>
      </w:r>
      <w:r w:rsidR="00251B0B" w:rsidRPr="00D106A2">
        <w:rPr>
          <w:rFonts w:eastAsiaTheme="majorEastAsia" w:cstheme="minorHAnsi"/>
          <w:b/>
          <w:bCs/>
          <w:sz w:val="28"/>
          <w:szCs w:val="28"/>
          <w:lang w:val="en-US"/>
        </w:rPr>
        <w:t>on supportive functions and structures</w:t>
      </w:r>
      <w:bookmarkEnd w:id="3"/>
    </w:p>
    <w:p w14:paraId="4F7584C6" w14:textId="591EA881" w:rsidR="00ED4459" w:rsidRPr="00D106A2" w:rsidRDefault="00ED4459" w:rsidP="00ED4459">
      <w:pPr>
        <w:contextualSpacing/>
        <w:rPr>
          <w:i/>
          <w:iCs/>
          <w:lang w:val="en-US"/>
        </w:rPr>
      </w:pPr>
    </w:p>
    <w:p w14:paraId="49E7DD6E" w14:textId="77777777" w:rsidR="00FF0D6A" w:rsidRPr="00D106A2" w:rsidRDefault="00FF0D6A" w:rsidP="0052079F">
      <w:pPr>
        <w:contextualSpacing/>
        <w:rPr>
          <w:b/>
          <w:bCs/>
          <w:i/>
          <w:iCs/>
          <w:lang w:val="en-US"/>
        </w:rPr>
      </w:pPr>
    </w:p>
    <w:tbl>
      <w:tblPr>
        <w:tblStyle w:val="Tabellenraster"/>
        <w:tblW w:w="9214" w:type="dxa"/>
        <w:tblInd w:w="137" w:type="dxa"/>
        <w:tblLook w:val="04A0" w:firstRow="1" w:lastRow="0" w:firstColumn="1" w:lastColumn="0" w:noHBand="0" w:noVBand="1"/>
      </w:tblPr>
      <w:tblGrid>
        <w:gridCol w:w="543"/>
        <w:gridCol w:w="8671"/>
      </w:tblGrid>
      <w:tr w:rsidR="00D5557B" w:rsidRPr="00D5557B" w14:paraId="69DD6945" w14:textId="77777777" w:rsidTr="00293001">
        <w:trPr>
          <w:tblHeader/>
        </w:trPr>
        <w:tc>
          <w:tcPr>
            <w:tcW w:w="543" w:type="dxa"/>
          </w:tcPr>
          <w:p w14:paraId="4248E53C" w14:textId="77777777" w:rsidR="00D5557B" w:rsidRPr="00D5557B" w:rsidRDefault="00D5557B" w:rsidP="00D5557B">
            <w:pPr>
              <w:spacing w:after="160" w:line="259" w:lineRule="auto"/>
              <w:rPr>
                <w:rFonts w:cstheme="minorHAnsi"/>
                <w:b/>
                <w:bCs/>
                <w:lang w:val="en-GB"/>
              </w:rPr>
            </w:pPr>
            <w:r w:rsidRPr="00D5557B">
              <w:rPr>
                <w:rFonts w:cstheme="minorHAnsi"/>
                <w:b/>
                <w:bCs/>
                <w:lang w:val="en-GB"/>
              </w:rPr>
              <w:t>No.</w:t>
            </w:r>
          </w:p>
        </w:tc>
        <w:tc>
          <w:tcPr>
            <w:tcW w:w="8671" w:type="dxa"/>
          </w:tcPr>
          <w:p w14:paraId="018F19CC" w14:textId="77777777" w:rsidR="00D5557B" w:rsidRPr="00D5557B" w:rsidRDefault="00D5557B" w:rsidP="00D5557B">
            <w:pPr>
              <w:spacing w:after="160" w:line="259" w:lineRule="auto"/>
              <w:rPr>
                <w:rFonts w:cstheme="minorHAnsi"/>
                <w:b/>
                <w:bCs/>
                <w:lang w:val="en-GB"/>
              </w:rPr>
            </w:pPr>
            <w:r w:rsidRPr="00D5557B">
              <w:rPr>
                <w:rFonts w:cstheme="minorHAnsi"/>
                <w:b/>
                <w:bCs/>
                <w:lang w:val="en-GB"/>
              </w:rPr>
              <w:t>Priority action</w:t>
            </w:r>
          </w:p>
        </w:tc>
      </w:tr>
      <w:tr w:rsidR="00D5557B" w:rsidRPr="00E157BD" w14:paraId="467D8A7F" w14:textId="77777777" w:rsidTr="00293001">
        <w:tc>
          <w:tcPr>
            <w:tcW w:w="543" w:type="dxa"/>
          </w:tcPr>
          <w:p w14:paraId="6E1C64D1" w14:textId="77777777" w:rsidR="00D5557B" w:rsidRPr="00D5557B" w:rsidRDefault="00D5557B" w:rsidP="00D5557B">
            <w:pPr>
              <w:rPr>
                <w:rFonts w:cstheme="minorHAnsi"/>
                <w:b/>
                <w:bCs/>
                <w:lang w:val="en-GB"/>
              </w:rPr>
            </w:pPr>
            <w:r w:rsidRPr="00D5557B">
              <w:rPr>
                <w:rFonts w:eastAsia="Times New Roman" w:cstheme="minorHAnsi"/>
                <w:b/>
                <w:bCs/>
                <w:lang w:eastAsia="de-DE"/>
              </w:rPr>
              <w:t>S1</w:t>
            </w:r>
          </w:p>
        </w:tc>
        <w:tc>
          <w:tcPr>
            <w:tcW w:w="8671" w:type="dxa"/>
          </w:tcPr>
          <w:p w14:paraId="525488AE" w14:textId="77777777" w:rsidR="00D5557B" w:rsidRPr="00D5557B" w:rsidRDefault="00D5557B" w:rsidP="00D5557B">
            <w:pPr>
              <w:rPr>
                <w:rFonts w:eastAsia="Times New Roman" w:cstheme="minorHAnsi"/>
                <w:b/>
                <w:bCs/>
                <w:lang w:val="en-GB" w:eastAsia="de-DE"/>
              </w:rPr>
            </w:pPr>
            <w:r w:rsidRPr="00D5557B">
              <w:rPr>
                <w:rFonts w:eastAsia="Times New Roman" w:cstheme="minorHAnsi"/>
                <w:b/>
                <w:bCs/>
                <w:lang w:val="en-GB" w:eastAsia="de-DE"/>
              </w:rPr>
              <w:t>Evaluation of interventions and policies</w:t>
            </w:r>
          </w:p>
          <w:p w14:paraId="100C64A3" w14:textId="77777777" w:rsidR="00D5557B" w:rsidRPr="00D5557B" w:rsidRDefault="00D5557B" w:rsidP="00D5557B">
            <w:pPr>
              <w:rPr>
                <w:rFonts w:cstheme="minorHAnsi"/>
                <w:lang w:val="en-GB"/>
              </w:rPr>
            </w:pPr>
            <w:r w:rsidRPr="00D5557B">
              <w:rPr>
                <w:rFonts w:cstheme="minorHAnsi"/>
                <w:lang w:val="en-GB"/>
              </w:rPr>
              <w:t>Improved evaluation of existing and planned measures for the promotion of healthy nutrition, by providing financial resources and creating appropriate structures for independent and scientifically based evaluations.</w:t>
            </w:r>
          </w:p>
        </w:tc>
      </w:tr>
      <w:tr w:rsidR="00D5557B" w:rsidRPr="00E157BD" w14:paraId="736CF60F" w14:textId="77777777" w:rsidTr="00293001">
        <w:tc>
          <w:tcPr>
            <w:tcW w:w="543" w:type="dxa"/>
          </w:tcPr>
          <w:p w14:paraId="5936F656"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S2</w:t>
            </w:r>
          </w:p>
        </w:tc>
        <w:tc>
          <w:tcPr>
            <w:tcW w:w="8671" w:type="dxa"/>
          </w:tcPr>
          <w:p w14:paraId="2C953708" w14:textId="77777777" w:rsidR="00D5557B" w:rsidRPr="00D5557B" w:rsidRDefault="00D5557B" w:rsidP="00D5557B">
            <w:pPr>
              <w:rPr>
                <w:rFonts w:eastAsia="Times New Roman" w:cstheme="minorHAnsi"/>
                <w:lang w:val="en-GB" w:eastAsia="de-DE"/>
              </w:rPr>
            </w:pPr>
            <w:r w:rsidRPr="00D5557B">
              <w:rPr>
                <w:rFonts w:eastAsia="Times New Roman" w:cstheme="minorHAnsi"/>
                <w:b/>
                <w:bCs/>
                <w:lang w:val="en-GB" w:eastAsia="de-DE"/>
              </w:rPr>
              <w:t xml:space="preserve">Monitoring of nutritional status and dietary behaviour </w:t>
            </w:r>
            <w:r w:rsidRPr="00D5557B">
              <w:rPr>
                <w:rFonts w:eastAsia="Times New Roman" w:cstheme="minorHAnsi"/>
                <w:b/>
                <w:bCs/>
                <w:lang w:val="en-GB" w:eastAsia="de-DE"/>
              </w:rPr>
              <w:br/>
            </w:r>
            <w:r w:rsidRPr="00D5557B">
              <w:rPr>
                <w:rFonts w:eastAsia="Times New Roman" w:cstheme="minorHAnsi"/>
                <w:lang w:val="en-GB" w:eastAsia="de-DE"/>
              </w:rPr>
              <w:t>Improved monitoring of dietary behaviour and status through the provision of sufficient funding for regular, comprehensive, and nationally representative surveys of dietary behaviour and status (including body weight, purchasing and food preparation, food culture, and nutrition literacy), with particular attention to risk groups and reducing social inequalities.</w:t>
            </w:r>
          </w:p>
        </w:tc>
      </w:tr>
      <w:tr w:rsidR="00D5557B" w:rsidRPr="00E157BD" w14:paraId="11746A39" w14:textId="77777777" w:rsidTr="00293001">
        <w:tc>
          <w:tcPr>
            <w:tcW w:w="543" w:type="dxa"/>
          </w:tcPr>
          <w:p w14:paraId="36289A95"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S3</w:t>
            </w:r>
          </w:p>
        </w:tc>
        <w:tc>
          <w:tcPr>
            <w:tcW w:w="8671" w:type="dxa"/>
          </w:tcPr>
          <w:p w14:paraId="4EBF06CB" w14:textId="43550DE4" w:rsidR="00D5557B" w:rsidRPr="00D5557B" w:rsidRDefault="00D5557B" w:rsidP="00D5557B">
            <w:pPr>
              <w:spacing w:line="259" w:lineRule="auto"/>
              <w:rPr>
                <w:rFonts w:eastAsia="Times New Roman" w:cstheme="minorHAnsi"/>
                <w:b/>
                <w:bCs/>
                <w:lang w:val="en-GB" w:eastAsia="de-DE"/>
              </w:rPr>
            </w:pPr>
            <w:r w:rsidRPr="00D5557B">
              <w:rPr>
                <w:rFonts w:eastAsia="Times New Roman" w:cstheme="minorHAnsi"/>
                <w:b/>
                <w:bCs/>
                <w:lang w:val="en-GB" w:eastAsia="de-DE"/>
              </w:rPr>
              <w:t>Knowledge transfer between politics, practice</w:t>
            </w:r>
            <w:r w:rsidR="0050519F">
              <w:rPr>
                <w:rFonts w:eastAsia="Times New Roman" w:cstheme="minorHAnsi"/>
                <w:b/>
                <w:bCs/>
                <w:lang w:val="en-GB" w:eastAsia="de-DE"/>
              </w:rPr>
              <w:t>,</w:t>
            </w:r>
            <w:r w:rsidRPr="00D5557B">
              <w:rPr>
                <w:rFonts w:eastAsia="Times New Roman" w:cstheme="minorHAnsi"/>
                <w:b/>
                <w:bCs/>
                <w:lang w:val="en-GB" w:eastAsia="de-DE"/>
              </w:rPr>
              <w:t xml:space="preserve"> and research </w:t>
            </w:r>
            <w:r w:rsidRPr="00D5557B">
              <w:rPr>
                <w:rFonts w:eastAsia="Times New Roman" w:cstheme="minorHAnsi"/>
                <w:b/>
                <w:bCs/>
                <w:lang w:val="en-GB" w:eastAsia="de-DE"/>
              </w:rPr>
              <w:br/>
            </w:r>
            <w:r w:rsidRPr="00D5557B">
              <w:rPr>
                <w:rFonts w:eastAsia="Times New Roman" w:cstheme="minorHAnsi"/>
                <w:lang w:val="en-GB" w:eastAsia="de-DE"/>
              </w:rPr>
              <w:t>Improved exchange of knowledge and experiences and improved cooperation between policy, practice</w:t>
            </w:r>
            <w:r w:rsidR="0050519F">
              <w:rPr>
                <w:rFonts w:eastAsia="Times New Roman" w:cstheme="minorHAnsi"/>
                <w:lang w:val="en-GB" w:eastAsia="de-DE"/>
              </w:rPr>
              <w:t>,</w:t>
            </w:r>
            <w:r w:rsidRPr="00D5557B">
              <w:rPr>
                <w:rFonts w:eastAsia="Times New Roman" w:cstheme="minorHAnsi"/>
                <w:lang w:val="en-GB" w:eastAsia="de-DE"/>
              </w:rPr>
              <w:t xml:space="preserve"> and science by creating appropriate structures and procedures.</w:t>
            </w:r>
          </w:p>
        </w:tc>
      </w:tr>
      <w:tr w:rsidR="00D5557B" w:rsidRPr="00E157BD" w14:paraId="581F842F" w14:textId="77777777" w:rsidTr="00293001">
        <w:tc>
          <w:tcPr>
            <w:tcW w:w="543" w:type="dxa"/>
          </w:tcPr>
          <w:p w14:paraId="3A1BC355"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S4</w:t>
            </w:r>
          </w:p>
        </w:tc>
        <w:tc>
          <w:tcPr>
            <w:tcW w:w="8671" w:type="dxa"/>
          </w:tcPr>
          <w:p w14:paraId="56215750" w14:textId="77777777" w:rsidR="00D5557B" w:rsidRPr="00D5557B" w:rsidRDefault="00D5557B" w:rsidP="00D5557B">
            <w:pPr>
              <w:spacing w:line="259" w:lineRule="auto"/>
              <w:rPr>
                <w:rFonts w:cstheme="minorHAnsi"/>
                <w:lang w:val="en-GB"/>
              </w:rPr>
            </w:pPr>
            <w:r w:rsidRPr="00D5557B">
              <w:rPr>
                <w:rFonts w:eastAsia="Times New Roman" w:cstheme="minorHAnsi"/>
                <w:b/>
                <w:bCs/>
                <w:lang w:val="en-GB" w:eastAsia="de-DE"/>
              </w:rPr>
              <w:t>Nutrition education in the curricula of relevant professions</w:t>
            </w:r>
            <w:r w:rsidRPr="00D5557B">
              <w:rPr>
                <w:rFonts w:eastAsia="Times New Roman" w:cstheme="minorHAnsi"/>
                <w:b/>
                <w:bCs/>
                <w:lang w:val="en-GB" w:eastAsia="de-DE"/>
              </w:rPr>
              <w:br/>
            </w:r>
            <w:r w:rsidRPr="00D5557B">
              <w:rPr>
                <w:rFonts w:cstheme="minorHAnsi"/>
                <w:lang w:val="en-GB"/>
              </w:rPr>
              <w:t>Strengthen nutrition-related content in the education of relevant professional groups, including educators, teachers, physicians, medical assistants, and nurses.</w:t>
            </w:r>
          </w:p>
        </w:tc>
      </w:tr>
      <w:tr w:rsidR="00D5557B" w:rsidRPr="00E157BD" w14:paraId="79E85E95" w14:textId="77777777" w:rsidTr="00293001">
        <w:tc>
          <w:tcPr>
            <w:tcW w:w="543" w:type="dxa"/>
          </w:tcPr>
          <w:p w14:paraId="4C1EDD09"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S5</w:t>
            </w:r>
          </w:p>
        </w:tc>
        <w:tc>
          <w:tcPr>
            <w:tcW w:w="8671" w:type="dxa"/>
          </w:tcPr>
          <w:p w14:paraId="57127391" w14:textId="3102BB92" w:rsidR="00D5557B" w:rsidRPr="00D5557B" w:rsidRDefault="00D5557B" w:rsidP="00D5557B">
            <w:pPr>
              <w:spacing w:line="259" w:lineRule="auto"/>
              <w:rPr>
                <w:rFonts w:cstheme="minorHAnsi"/>
                <w:b/>
                <w:bCs/>
                <w:lang w:val="en-GB"/>
              </w:rPr>
            </w:pPr>
            <w:r w:rsidRPr="00D5557B">
              <w:rPr>
                <w:rFonts w:eastAsia="Times New Roman" w:cstheme="minorHAnsi"/>
                <w:b/>
                <w:bCs/>
                <w:lang w:val="en-GB" w:eastAsia="de-DE"/>
              </w:rPr>
              <w:t>Monitoring of food environments</w:t>
            </w:r>
            <w:r w:rsidRPr="00D5557B">
              <w:rPr>
                <w:rFonts w:eastAsia="Times New Roman" w:cstheme="minorHAnsi"/>
                <w:b/>
                <w:bCs/>
                <w:lang w:val="en-GB" w:eastAsia="de-DE"/>
              </w:rPr>
              <w:br/>
            </w:r>
            <w:r w:rsidRPr="00D5557B">
              <w:rPr>
                <w:rFonts w:cstheme="minorHAnsi"/>
                <w:lang w:val="en-GB"/>
              </w:rPr>
              <w:t>Improved monitoring of food environments, including monitoring of the nutritional composition of processed foods, the extent of food advertising, food prices, and food availability in selected settings (including kindergartens, schools, universities, company cafeterias, hospitals, rehabilitation clinics, retirement homes, meals on wheels, and food banks). This includes providing sufficient financial resources for regular and close-meshed, comprehensive</w:t>
            </w:r>
            <w:r w:rsidR="0050519F">
              <w:rPr>
                <w:rFonts w:cstheme="minorHAnsi"/>
                <w:lang w:val="en-GB"/>
              </w:rPr>
              <w:t>,</w:t>
            </w:r>
            <w:r w:rsidRPr="00D5557B">
              <w:rPr>
                <w:rFonts w:cstheme="minorHAnsi"/>
                <w:lang w:val="en-GB"/>
              </w:rPr>
              <w:t xml:space="preserve"> and nationally representative surveys.</w:t>
            </w:r>
          </w:p>
        </w:tc>
      </w:tr>
      <w:tr w:rsidR="00D5557B" w:rsidRPr="00E157BD" w14:paraId="643DDD5C" w14:textId="77777777" w:rsidTr="00293001">
        <w:tc>
          <w:tcPr>
            <w:tcW w:w="543" w:type="dxa"/>
          </w:tcPr>
          <w:p w14:paraId="62818352"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S6</w:t>
            </w:r>
          </w:p>
        </w:tc>
        <w:tc>
          <w:tcPr>
            <w:tcW w:w="8671" w:type="dxa"/>
          </w:tcPr>
          <w:p w14:paraId="1D97D11C" w14:textId="77777777" w:rsidR="00D5557B" w:rsidRPr="00D5557B" w:rsidRDefault="00D5557B" w:rsidP="00D5557B">
            <w:pPr>
              <w:spacing w:line="259" w:lineRule="auto"/>
              <w:rPr>
                <w:rFonts w:eastAsia="Times New Roman" w:cstheme="minorHAnsi"/>
                <w:lang w:val="en-GB" w:eastAsia="de-DE"/>
              </w:rPr>
            </w:pPr>
            <w:r w:rsidRPr="00D5557B">
              <w:rPr>
                <w:rFonts w:eastAsia="Times New Roman" w:cstheme="minorHAnsi"/>
                <w:b/>
                <w:bCs/>
                <w:lang w:val="en-GB" w:eastAsia="de-DE"/>
              </w:rPr>
              <w:t>Local networks and initiatives</w:t>
            </w:r>
            <w:r w:rsidRPr="00D5557B">
              <w:rPr>
                <w:rFonts w:eastAsia="Times New Roman" w:cstheme="minorHAnsi"/>
                <w:b/>
                <w:bCs/>
                <w:lang w:val="en-GB" w:eastAsia="de-DE"/>
              </w:rPr>
              <w:br/>
            </w:r>
            <w:r w:rsidRPr="00D5557B">
              <w:rPr>
                <w:rFonts w:eastAsia="Times New Roman" w:cstheme="minorHAnsi"/>
                <w:lang w:val="en-GB" w:eastAsia="de-DE"/>
              </w:rPr>
              <w:t>Strengthen initiatives and networks at the local level, including local food councils to link relevant stakeholders, and participation in the Healthy Cities Network.</w:t>
            </w:r>
          </w:p>
        </w:tc>
      </w:tr>
      <w:tr w:rsidR="00D5557B" w:rsidRPr="00E157BD" w14:paraId="5666D5D6" w14:textId="77777777" w:rsidTr="00293001">
        <w:tc>
          <w:tcPr>
            <w:tcW w:w="543" w:type="dxa"/>
          </w:tcPr>
          <w:p w14:paraId="3462097C"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S7</w:t>
            </w:r>
          </w:p>
        </w:tc>
        <w:tc>
          <w:tcPr>
            <w:tcW w:w="8671" w:type="dxa"/>
          </w:tcPr>
          <w:p w14:paraId="3012A593" w14:textId="6A4B88CA" w:rsidR="00D5557B" w:rsidRPr="00D5557B" w:rsidRDefault="00D5557B" w:rsidP="00D5557B">
            <w:pPr>
              <w:spacing w:line="259" w:lineRule="auto"/>
              <w:rPr>
                <w:rFonts w:cstheme="minorHAnsi"/>
                <w:lang w:val="en-GB"/>
              </w:rPr>
            </w:pPr>
            <w:r w:rsidRPr="00D5557B">
              <w:rPr>
                <w:rFonts w:eastAsia="Times New Roman" w:cstheme="minorHAnsi"/>
                <w:b/>
                <w:bCs/>
                <w:lang w:val="en-GB" w:eastAsia="de-DE"/>
              </w:rPr>
              <w:t>Action plan for healthy nutrition</w:t>
            </w:r>
            <w:r w:rsidRPr="00D5557B">
              <w:rPr>
                <w:rFonts w:eastAsia="Times New Roman" w:cstheme="minorHAnsi"/>
                <w:b/>
                <w:bCs/>
                <w:lang w:val="en-GB" w:eastAsia="de-DE"/>
              </w:rPr>
              <w:br/>
            </w:r>
            <w:r w:rsidRPr="00D5557B">
              <w:rPr>
                <w:rFonts w:cstheme="minorHAnsi"/>
                <w:lang w:val="en-GB"/>
              </w:rPr>
              <w:lastRenderedPageBreak/>
              <w:t xml:space="preserve">Develop and implement a comprehensive action plan for the promotion of healthy diets with the participation of relevant governmental and non-governmental stakeholders, </w:t>
            </w:r>
            <w:r w:rsidR="0050519F" w:rsidRPr="00D5557B">
              <w:rPr>
                <w:rFonts w:cstheme="minorHAnsi"/>
                <w:lang w:val="en-GB"/>
              </w:rPr>
              <w:t>considering</w:t>
            </w:r>
            <w:r w:rsidRPr="00D5557B">
              <w:rPr>
                <w:rFonts w:cstheme="minorHAnsi"/>
                <w:lang w:val="en-GB"/>
              </w:rPr>
              <w:t xml:space="preserve"> all relevant sectors, policy</w:t>
            </w:r>
            <w:r w:rsidR="0050519F">
              <w:rPr>
                <w:rFonts w:cstheme="minorHAnsi"/>
                <w:lang w:val="en-GB"/>
              </w:rPr>
              <w:t xml:space="preserve">, </w:t>
            </w:r>
            <w:r w:rsidRPr="00D5557B">
              <w:rPr>
                <w:rFonts w:cstheme="minorHAnsi"/>
                <w:lang w:val="en-GB"/>
              </w:rPr>
              <w:t>and action areas, based on a transparent, evidence-informed and reflexive process.</w:t>
            </w:r>
          </w:p>
        </w:tc>
      </w:tr>
      <w:tr w:rsidR="00D5557B" w:rsidRPr="00E157BD" w14:paraId="29D8D08C" w14:textId="77777777" w:rsidTr="00293001">
        <w:tc>
          <w:tcPr>
            <w:tcW w:w="543" w:type="dxa"/>
          </w:tcPr>
          <w:p w14:paraId="42265FFD"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lastRenderedPageBreak/>
              <w:t>S8</w:t>
            </w:r>
          </w:p>
        </w:tc>
        <w:tc>
          <w:tcPr>
            <w:tcW w:w="8671" w:type="dxa"/>
          </w:tcPr>
          <w:p w14:paraId="553D404E" w14:textId="77777777" w:rsidR="00D5557B" w:rsidRPr="00D5557B" w:rsidRDefault="00D5557B" w:rsidP="00D5557B">
            <w:pPr>
              <w:spacing w:line="259" w:lineRule="auto"/>
              <w:rPr>
                <w:rFonts w:cstheme="minorHAnsi"/>
                <w:lang w:val="en-GB"/>
              </w:rPr>
            </w:pPr>
            <w:r w:rsidRPr="00D5557B">
              <w:rPr>
                <w:rFonts w:eastAsia="Times New Roman" w:cstheme="minorHAnsi"/>
                <w:b/>
                <w:bCs/>
                <w:lang w:val="en-GB" w:eastAsia="de-DE"/>
              </w:rPr>
              <w:t>Nutrition policy capacity building</w:t>
            </w:r>
            <w:r w:rsidRPr="00D5557B">
              <w:rPr>
                <w:rFonts w:eastAsia="Times New Roman" w:cstheme="minorHAnsi"/>
                <w:b/>
                <w:bCs/>
                <w:lang w:val="en-GB" w:eastAsia="de-DE"/>
              </w:rPr>
              <w:br/>
            </w:r>
            <w:r w:rsidRPr="00D5557B">
              <w:rPr>
                <w:rFonts w:cstheme="minorHAnsi"/>
                <w:lang w:val="en-GB"/>
              </w:rPr>
              <w:t>Capacity building for the development and implementation of an integrated food policy, including the institutional and budgetary upgrading of food policy in the Federal Ministry of Nutrition and Agriculture (relative to agricultural policy), the strengthening of central steering functions as well as coordination between departments and political levels, and the establishment of a consistent system of targets and indicators.</w:t>
            </w:r>
          </w:p>
        </w:tc>
      </w:tr>
      <w:tr w:rsidR="00D5557B" w:rsidRPr="00E157BD" w14:paraId="5CC9F7DD" w14:textId="77777777" w:rsidTr="00293001">
        <w:tc>
          <w:tcPr>
            <w:tcW w:w="543" w:type="dxa"/>
          </w:tcPr>
          <w:p w14:paraId="7DC54706"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S9</w:t>
            </w:r>
          </w:p>
        </w:tc>
        <w:tc>
          <w:tcPr>
            <w:tcW w:w="8671" w:type="dxa"/>
          </w:tcPr>
          <w:p w14:paraId="1442ABEA" w14:textId="5141F33B" w:rsidR="00D5557B" w:rsidRPr="00D5557B" w:rsidRDefault="00D5557B" w:rsidP="00D5557B">
            <w:pPr>
              <w:spacing w:line="259" w:lineRule="auto"/>
              <w:rPr>
                <w:rFonts w:cstheme="minorHAnsi"/>
                <w:lang w:val="en-GB"/>
              </w:rPr>
            </w:pPr>
            <w:r w:rsidRPr="00D5557B">
              <w:rPr>
                <w:rFonts w:eastAsia="Times New Roman" w:cstheme="minorHAnsi"/>
                <w:b/>
                <w:bCs/>
                <w:lang w:val="en-GB" w:eastAsia="de-DE"/>
              </w:rPr>
              <w:t>Availability of data</w:t>
            </w:r>
            <w:r w:rsidRPr="00D5557B">
              <w:rPr>
                <w:rFonts w:eastAsia="Times New Roman" w:cstheme="minorHAnsi"/>
                <w:b/>
                <w:bCs/>
                <w:lang w:val="en-GB" w:eastAsia="de-DE"/>
              </w:rPr>
              <w:br/>
            </w:r>
            <w:r w:rsidRPr="00D5557B">
              <w:rPr>
                <w:rFonts w:cstheme="minorHAnsi"/>
                <w:lang w:val="en-GB"/>
              </w:rPr>
              <w:t>Improved accessibility to data on food environments, nutrition</w:t>
            </w:r>
            <w:r w:rsidR="0050519F">
              <w:rPr>
                <w:rFonts w:cstheme="minorHAnsi"/>
                <w:lang w:val="en-GB"/>
              </w:rPr>
              <w:t>al</w:t>
            </w:r>
            <w:r w:rsidRPr="00D5557B">
              <w:rPr>
                <w:rFonts w:cstheme="minorHAnsi"/>
                <w:lang w:val="en-GB"/>
              </w:rPr>
              <w:t xml:space="preserve"> behaviours, and nutritional status, as well as food composition, to the public, policy makers, academia, and other stakeholders. This could be achieved, among others, with an integrated, user-friendly, freely accessible online platform as part of a national nutrition surveillance programme.</w:t>
            </w:r>
          </w:p>
        </w:tc>
      </w:tr>
      <w:tr w:rsidR="00D5557B" w:rsidRPr="00E157BD" w14:paraId="3020C42D" w14:textId="77777777" w:rsidTr="00293001">
        <w:tc>
          <w:tcPr>
            <w:tcW w:w="543" w:type="dxa"/>
          </w:tcPr>
          <w:p w14:paraId="4B36BA8B" w14:textId="77777777" w:rsidR="00D5557B" w:rsidRPr="00D5557B" w:rsidRDefault="00D5557B" w:rsidP="00D5557B">
            <w:pPr>
              <w:spacing w:after="160" w:line="259" w:lineRule="auto"/>
              <w:rPr>
                <w:rFonts w:cstheme="minorHAnsi"/>
                <w:b/>
                <w:bCs/>
                <w:lang w:val="en-GB"/>
              </w:rPr>
            </w:pPr>
            <w:r w:rsidRPr="00D5557B">
              <w:rPr>
                <w:rFonts w:eastAsia="Times New Roman" w:cstheme="minorHAnsi"/>
                <w:b/>
                <w:bCs/>
                <w:lang w:eastAsia="de-DE"/>
              </w:rPr>
              <w:t>S10</w:t>
            </w:r>
          </w:p>
        </w:tc>
        <w:tc>
          <w:tcPr>
            <w:tcW w:w="8671" w:type="dxa"/>
          </w:tcPr>
          <w:p w14:paraId="0D9F377F" w14:textId="6ECBAFFB" w:rsidR="00D5557B" w:rsidRPr="00D5557B" w:rsidRDefault="00D5557B" w:rsidP="00D5557B">
            <w:pPr>
              <w:spacing w:line="259" w:lineRule="auto"/>
              <w:rPr>
                <w:rFonts w:eastAsia="Times New Roman" w:cstheme="minorHAnsi"/>
                <w:lang w:val="en-GB" w:eastAsia="de-DE"/>
              </w:rPr>
            </w:pPr>
            <w:r w:rsidRPr="00D5557B">
              <w:rPr>
                <w:rFonts w:eastAsia="Times New Roman" w:cstheme="minorHAnsi"/>
                <w:b/>
                <w:bCs/>
                <w:lang w:val="en-GB" w:eastAsia="de-DE"/>
              </w:rPr>
              <w:t>Capacities for the further development of nutritional recommendations</w:t>
            </w:r>
            <w:r w:rsidRPr="00D5557B">
              <w:rPr>
                <w:rFonts w:eastAsia="Times New Roman" w:cstheme="minorHAnsi"/>
                <w:b/>
                <w:bCs/>
                <w:lang w:val="en-GB" w:eastAsia="de-DE"/>
              </w:rPr>
              <w:br/>
            </w:r>
            <w:r w:rsidRPr="00D5557B">
              <w:rPr>
                <w:rFonts w:eastAsia="Times New Roman" w:cstheme="minorHAnsi"/>
                <w:lang w:val="en-GB" w:eastAsia="de-DE"/>
              </w:rPr>
              <w:t>Maintaining and expanding capacities for the independent and evidence-based derivation and dissemination of nutritional recommendations by institutionally strengthening the DGE and BZfE, evaluating and evidence-based further development of existing nutritional recommendations and quality standards for community catering, taking into account nutritional and behavioural science evidence, societal objectives, and aspects of feasibility and acceptance.</w:t>
            </w:r>
          </w:p>
        </w:tc>
      </w:tr>
    </w:tbl>
    <w:p w14:paraId="2034123E" w14:textId="4CCA29FA" w:rsidR="004B4BDC" w:rsidRPr="00D106A2" w:rsidRDefault="004B4BDC" w:rsidP="004B4BDC">
      <w:pPr>
        <w:rPr>
          <w:i/>
          <w:iCs/>
          <w:sz w:val="20"/>
          <w:szCs w:val="20"/>
          <w:lang w:val="en-US"/>
        </w:rPr>
      </w:pPr>
      <w:r w:rsidRPr="00D106A2">
        <w:rPr>
          <w:b/>
          <w:bCs/>
          <w:i/>
          <w:iCs/>
          <w:sz w:val="20"/>
          <w:szCs w:val="20"/>
          <w:lang w:val="en-US"/>
        </w:rPr>
        <w:t>Table s3:</w:t>
      </w:r>
      <w:r w:rsidRPr="00D106A2">
        <w:rPr>
          <w:i/>
          <w:iCs/>
          <w:sz w:val="20"/>
          <w:szCs w:val="20"/>
          <w:lang w:val="en-US"/>
        </w:rPr>
        <w:t xml:space="preserve"> Recommendations on supportive functions and </w:t>
      </w:r>
      <w:r w:rsidR="005C3E88" w:rsidRPr="00D106A2">
        <w:rPr>
          <w:i/>
          <w:iCs/>
          <w:sz w:val="20"/>
          <w:szCs w:val="20"/>
          <w:lang w:val="en-US"/>
        </w:rPr>
        <w:t>structures.</w:t>
      </w:r>
    </w:p>
    <w:p w14:paraId="0456C02B" w14:textId="7078F3BB" w:rsidR="00025627" w:rsidRPr="00D106A2" w:rsidRDefault="00025627" w:rsidP="00ED4459">
      <w:pPr>
        <w:contextualSpacing/>
        <w:rPr>
          <w:rFonts w:eastAsiaTheme="majorEastAsia" w:cstheme="minorHAnsi"/>
          <w:lang w:val="en-US"/>
        </w:rPr>
      </w:pPr>
    </w:p>
    <w:p w14:paraId="79DBDEB8" w14:textId="77777777" w:rsidR="00025627" w:rsidRPr="00D106A2" w:rsidRDefault="00025627" w:rsidP="00025627">
      <w:pPr>
        <w:rPr>
          <w:rFonts w:eastAsiaTheme="majorEastAsia" w:cstheme="minorHAnsi"/>
          <w:lang w:val="en-US"/>
        </w:rPr>
      </w:pPr>
    </w:p>
    <w:p w14:paraId="21700FBF" w14:textId="7282FFD7" w:rsidR="00025627" w:rsidRPr="00D106A2" w:rsidRDefault="0015257F" w:rsidP="00025627">
      <w:pPr>
        <w:pStyle w:val="Listenabsatz"/>
        <w:numPr>
          <w:ilvl w:val="0"/>
          <w:numId w:val="4"/>
        </w:numPr>
        <w:outlineLvl w:val="0"/>
        <w:rPr>
          <w:rFonts w:eastAsiaTheme="majorEastAsia" w:cstheme="minorHAnsi"/>
          <w:b/>
          <w:bCs/>
          <w:lang w:val="en-US"/>
        </w:rPr>
      </w:pPr>
      <w:bookmarkStart w:id="4" w:name="_Toc75179527"/>
      <w:r w:rsidRPr="00D106A2">
        <w:rPr>
          <w:rFonts w:eastAsiaTheme="majorEastAsia" w:cstheme="minorHAnsi"/>
          <w:b/>
          <w:bCs/>
          <w:sz w:val="28"/>
          <w:szCs w:val="28"/>
          <w:lang w:val="en-US"/>
        </w:rPr>
        <w:t>Adaptation of the international Food-EPI framework to Germany</w:t>
      </w:r>
      <w:bookmarkEnd w:id="4"/>
    </w:p>
    <w:p w14:paraId="25D0F42B" w14:textId="77777777" w:rsidR="004178F3" w:rsidRPr="00D106A2" w:rsidRDefault="004178F3" w:rsidP="005500CF">
      <w:pPr>
        <w:outlineLvl w:val="0"/>
        <w:rPr>
          <w:rFonts w:eastAsiaTheme="majorEastAsia" w:cstheme="minorHAnsi"/>
          <w:b/>
          <w:bCs/>
          <w:lang w:val="en-US"/>
        </w:rPr>
      </w:pPr>
    </w:p>
    <w:p w14:paraId="4F328E8A" w14:textId="6A1CEDB5" w:rsidR="00A96363" w:rsidRPr="00564EB7" w:rsidRDefault="00564EB7" w:rsidP="001F31B1">
      <w:pPr>
        <w:spacing w:line="276" w:lineRule="auto"/>
        <w:contextualSpacing/>
        <w:jc w:val="both"/>
        <w:rPr>
          <w:rFonts w:cstheme="minorHAnsi"/>
          <w:lang w:val="en-GB"/>
        </w:rPr>
      </w:pPr>
      <w:r>
        <w:rPr>
          <w:rFonts w:cstheme="minorHAnsi"/>
          <w:lang w:val="en-GB"/>
        </w:rPr>
        <w:t>For the adaptation of the</w:t>
      </w:r>
      <w:r w:rsidR="00FB0BD2">
        <w:rPr>
          <w:rFonts w:cstheme="minorHAnsi"/>
          <w:lang w:val="en-GB"/>
        </w:rPr>
        <w:t xml:space="preserve"> international Food-EPI </w:t>
      </w:r>
      <w:r>
        <w:rPr>
          <w:rFonts w:cstheme="minorHAnsi"/>
          <w:lang w:val="en-GB"/>
        </w:rPr>
        <w:t xml:space="preserve">framework to Germany, we merged </w:t>
      </w:r>
      <w:r w:rsidR="00D208D8">
        <w:rPr>
          <w:rFonts w:cstheme="minorHAnsi"/>
          <w:lang w:val="en-GB"/>
        </w:rPr>
        <w:t>six indicators that we found to be larg</w:t>
      </w:r>
      <w:r w:rsidR="0050519F">
        <w:rPr>
          <w:rFonts w:cstheme="minorHAnsi"/>
          <w:lang w:val="en-GB"/>
        </w:rPr>
        <w:t>e</w:t>
      </w:r>
      <w:r w:rsidR="00D208D8">
        <w:rPr>
          <w:rFonts w:cstheme="minorHAnsi"/>
          <w:lang w:val="en-GB"/>
        </w:rPr>
        <w:t>ly overlapping in the German context</w:t>
      </w:r>
      <w:r w:rsidR="00D208D8" w:rsidRPr="0006343B">
        <w:rPr>
          <w:rFonts w:cstheme="minorHAnsi"/>
          <w:lang w:val="en-GB"/>
        </w:rPr>
        <w:t xml:space="preserve"> into three pairs</w:t>
      </w:r>
      <w:r w:rsidR="00D208D8">
        <w:rPr>
          <w:rFonts w:cstheme="minorHAnsi"/>
          <w:lang w:val="en-GB"/>
        </w:rPr>
        <w:t>, as shown in Table s4.</w:t>
      </w:r>
    </w:p>
    <w:p w14:paraId="091C16F3" w14:textId="77777777" w:rsidR="004178F3" w:rsidRPr="00D106A2" w:rsidRDefault="004178F3" w:rsidP="00F56946">
      <w:pPr>
        <w:spacing w:line="276" w:lineRule="auto"/>
        <w:contextualSpacing/>
        <w:jc w:val="both"/>
        <w:rPr>
          <w:rFonts w:cstheme="minorHAnsi"/>
          <w:b/>
          <w:bCs/>
          <w:i/>
          <w:iCs/>
          <w:lang w:val="en-US"/>
        </w:rPr>
      </w:pPr>
    </w:p>
    <w:tbl>
      <w:tblPr>
        <w:tblStyle w:val="Tabellenraster"/>
        <w:tblW w:w="0" w:type="auto"/>
        <w:tblLook w:val="04A0" w:firstRow="1" w:lastRow="0" w:firstColumn="1" w:lastColumn="0" w:noHBand="0" w:noVBand="1"/>
      </w:tblPr>
      <w:tblGrid>
        <w:gridCol w:w="4531"/>
        <w:gridCol w:w="4531"/>
      </w:tblGrid>
      <w:tr w:rsidR="00BF42C9" w:rsidRPr="00BF42C9" w14:paraId="317DA05A" w14:textId="77777777" w:rsidTr="00414DBC">
        <w:tc>
          <w:tcPr>
            <w:tcW w:w="4531" w:type="dxa"/>
          </w:tcPr>
          <w:p w14:paraId="21891C82" w14:textId="77777777" w:rsidR="00BF42C9" w:rsidRPr="00BF42C9" w:rsidRDefault="00BF42C9" w:rsidP="00BF42C9">
            <w:pPr>
              <w:contextualSpacing/>
              <w:jc w:val="both"/>
              <w:rPr>
                <w:rFonts w:cstheme="minorHAnsi"/>
                <w:b/>
                <w:bCs/>
                <w:lang w:val="en-GB"/>
              </w:rPr>
            </w:pPr>
            <w:r w:rsidRPr="00BF42C9">
              <w:rPr>
                <w:rFonts w:cstheme="minorHAnsi"/>
                <w:b/>
                <w:bCs/>
                <w:lang w:val="en-GB"/>
              </w:rPr>
              <w:t>Original version (international)</w:t>
            </w:r>
          </w:p>
        </w:tc>
        <w:tc>
          <w:tcPr>
            <w:tcW w:w="4531" w:type="dxa"/>
          </w:tcPr>
          <w:p w14:paraId="24176B57" w14:textId="77777777" w:rsidR="00BF42C9" w:rsidRPr="00BF42C9" w:rsidRDefault="00BF42C9" w:rsidP="00BF42C9">
            <w:pPr>
              <w:contextualSpacing/>
              <w:jc w:val="both"/>
              <w:rPr>
                <w:rFonts w:cstheme="minorHAnsi"/>
                <w:b/>
                <w:bCs/>
                <w:lang w:val="en-GB"/>
              </w:rPr>
            </w:pPr>
            <w:r w:rsidRPr="00BF42C9">
              <w:rPr>
                <w:rFonts w:cstheme="minorHAnsi"/>
                <w:b/>
                <w:bCs/>
                <w:lang w:val="en-GB"/>
              </w:rPr>
              <w:t>Merged indicators (for Germany)</w:t>
            </w:r>
          </w:p>
        </w:tc>
      </w:tr>
      <w:tr w:rsidR="00BF42C9" w:rsidRPr="00BF42C9" w14:paraId="4CDE8B91" w14:textId="77777777" w:rsidTr="00414DBC">
        <w:tc>
          <w:tcPr>
            <w:tcW w:w="4531" w:type="dxa"/>
          </w:tcPr>
          <w:p w14:paraId="3B7D7BEE" w14:textId="77777777" w:rsidR="00BF42C9" w:rsidRPr="00BF42C9" w:rsidRDefault="00BF42C9" w:rsidP="00BF42C9">
            <w:pPr>
              <w:contextualSpacing/>
              <w:rPr>
                <w:rFonts w:cstheme="minorHAnsi"/>
                <w:lang w:val="en-GB"/>
              </w:rPr>
            </w:pPr>
            <w:r w:rsidRPr="00BF42C9">
              <w:rPr>
                <w:rFonts w:cstheme="minorHAnsi"/>
                <w:b/>
                <w:bCs/>
                <w:lang w:val="en-GB"/>
              </w:rPr>
              <w:t>PROV2</w:t>
            </w:r>
            <w:r w:rsidRPr="00BF42C9">
              <w:rPr>
                <w:rFonts w:cstheme="minorHAnsi"/>
                <w:lang w:val="en-GB"/>
              </w:rPr>
              <w:t>: The government ensures that there are clear, consistent policies in other public sector settings for food service activities (canteens, food at events, fundraising, promotions, vending machines, etc.) to provide and promote healthy food choices.</w:t>
            </w:r>
          </w:p>
        </w:tc>
        <w:tc>
          <w:tcPr>
            <w:tcW w:w="4531" w:type="dxa"/>
            <w:vMerge w:val="restart"/>
          </w:tcPr>
          <w:p w14:paraId="58082E21" w14:textId="6E65EA84" w:rsidR="00BF42C9" w:rsidRPr="00BF42C9" w:rsidRDefault="00BF42C9" w:rsidP="00BF42C9">
            <w:pPr>
              <w:autoSpaceDE w:val="0"/>
              <w:autoSpaceDN w:val="0"/>
              <w:adjustRightInd w:val="0"/>
              <w:textAlignment w:val="center"/>
              <w:rPr>
                <w:rFonts w:cstheme="minorHAnsi"/>
              </w:rPr>
            </w:pPr>
            <w:r w:rsidRPr="00BF42C9">
              <w:rPr>
                <w:rFonts w:cstheme="minorHAnsi"/>
                <w:b/>
                <w:bCs/>
                <w:lang w:val="en-GB"/>
              </w:rPr>
              <w:t xml:space="preserve">PROV2+3: </w:t>
            </w:r>
            <w:r w:rsidRPr="00BF42C9">
              <w:rPr>
                <w:rFonts w:cstheme="minorHAnsi"/>
                <w:lang w:val="en-GB"/>
              </w:rPr>
              <w:t xml:space="preserve">Quality and nutrition standards in other areas of the public sector: The government ensures that there are clear, consistent quality and nutrition standards for catering in other areas of the public sector (e.g., government agencies). This includes food provided in canteens and at events, as well as vending machines and other outlets in these facilities. </w:t>
            </w:r>
            <w:r w:rsidRPr="00BF42C9">
              <w:rPr>
                <w:rFonts w:cstheme="minorHAnsi"/>
              </w:rPr>
              <w:t>Also included are rules for procurement.</w:t>
            </w:r>
          </w:p>
        </w:tc>
      </w:tr>
      <w:tr w:rsidR="00BF42C9" w:rsidRPr="00E157BD" w14:paraId="4A701F1A" w14:textId="77777777" w:rsidTr="00414DBC">
        <w:tc>
          <w:tcPr>
            <w:tcW w:w="4531" w:type="dxa"/>
          </w:tcPr>
          <w:p w14:paraId="109D22E1" w14:textId="77777777" w:rsidR="00BF42C9" w:rsidRPr="00BF42C9" w:rsidRDefault="00BF42C9" w:rsidP="00BF42C9">
            <w:pPr>
              <w:contextualSpacing/>
              <w:rPr>
                <w:rFonts w:cstheme="minorHAnsi"/>
                <w:lang w:val="en-GB"/>
              </w:rPr>
            </w:pPr>
            <w:r w:rsidRPr="00BF42C9">
              <w:rPr>
                <w:rFonts w:cstheme="minorHAnsi"/>
                <w:b/>
                <w:bCs/>
                <w:lang w:val="en-GB"/>
              </w:rPr>
              <w:t>PROV3</w:t>
            </w:r>
            <w:r w:rsidRPr="00BF42C9">
              <w:rPr>
                <w:rFonts w:cstheme="minorHAnsi"/>
                <w:lang w:val="en-GB"/>
              </w:rPr>
              <w:t>: The government ensures that there are clear, consistent public procurement standards in public sector settings for food service activities to provide and promote healthy food choices.</w:t>
            </w:r>
          </w:p>
        </w:tc>
        <w:tc>
          <w:tcPr>
            <w:tcW w:w="4531" w:type="dxa"/>
            <w:vMerge/>
          </w:tcPr>
          <w:p w14:paraId="774FC61C" w14:textId="77777777" w:rsidR="00BF42C9" w:rsidRPr="00BF42C9" w:rsidRDefault="00BF42C9" w:rsidP="00BF42C9">
            <w:pPr>
              <w:contextualSpacing/>
              <w:jc w:val="both"/>
              <w:rPr>
                <w:rFonts w:cstheme="minorHAnsi"/>
                <w:lang w:val="en-GB"/>
              </w:rPr>
            </w:pPr>
          </w:p>
        </w:tc>
      </w:tr>
      <w:tr w:rsidR="00BF42C9" w:rsidRPr="00E157BD" w14:paraId="37445DCF" w14:textId="77777777" w:rsidTr="00414DBC">
        <w:tc>
          <w:tcPr>
            <w:tcW w:w="4531" w:type="dxa"/>
          </w:tcPr>
          <w:p w14:paraId="4A65F6E5" w14:textId="77777777" w:rsidR="00BF42C9" w:rsidRPr="00BF42C9" w:rsidRDefault="00BF42C9" w:rsidP="00BF42C9">
            <w:pPr>
              <w:contextualSpacing/>
              <w:rPr>
                <w:rFonts w:cstheme="minorHAnsi"/>
                <w:lang w:val="en-GB"/>
              </w:rPr>
            </w:pPr>
            <w:r w:rsidRPr="00BF42C9">
              <w:rPr>
                <w:rFonts w:cstheme="minorHAnsi"/>
                <w:b/>
                <w:bCs/>
                <w:lang w:val="en-GB"/>
              </w:rPr>
              <w:t>GOVER3</w:t>
            </w:r>
            <w:r w:rsidRPr="00BF42C9">
              <w:rPr>
                <w:rFonts w:cstheme="minorHAnsi"/>
                <w:lang w:val="en-GB"/>
              </w:rPr>
              <w:t>: Policies and procedures are implemented to ensure transparency in the development of food and nutrition policies.</w:t>
            </w:r>
          </w:p>
        </w:tc>
        <w:tc>
          <w:tcPr>
            <w:tcW w:w="4531" w:type="dxa"/>
            <w:vMerge w:val="restart"/>
          </w:tcPr>
          <w:p w14:paraId="44BD8FD9" w14:textId="77777777" w:rsidR="00BF42C9" w:rsidRPr="00BF42C9" w:rsidRDefault="00BF42C9" w:rsidP="00BF42C9">
            <w:pPr>
              <w:rPr>
                <w:rFonts w:eastAsia="Calibri" w:cstheme="minorHAnsi"/>
                <w:lang w:val="en-GB"/>
              </w:rPr>
            </w:pPr>
            <w:r w:rsidRPr="00BF42C9">
              <w:rPr>
                <w:rFonts w:cstheme="minorHAnsi"/>
                <w:b/>
                <w:bCs/>
                <w:lang w:val="en-GB"/>
              </w:rPr>
              <w:t xml:space="preserve">GOVER3+4: </w:t>
            </w:r>
            <w:r w:rsidRPr="00BF42C9">
              <w:rPr>
                <w:rFonts w:cstheme="minorHAnsi"/>
                <w:lang w:val="en-GB"/>
              </w:rPr>
              <w:t xml:space="preserve">Transparency and access to information: Structures and procedures are in place to ensure a high level of transparency in the development and implementation of nutrition policies. This includes public access to </w:t>
            </w:r>
            <w:r w:rsidRPr="00BF42C9">
              <w:rPr>
                <w:rFonts w:cstheme="minorHAnsi"/>
                <w:lang w:val="en-GB"/>
              </w:rPr>
              <w:lastRenderedPageBreak/>
              <w:t>comprehensive nutrition information and key documents (e.g., budget documents, annual performance assessments and health indicators).</w:t>
            </w:r>
          </w:p>
        </w:tc>
      </w:tr>
      <w:tr w:rsidR="00BF42C9" w:rsidRPr="00E157BD" w14:paraId="415FF4CF" w14:textId="77777777" w:rsidTr="00414DBC">
        <w:tc>
          <w:tcPr>
            <w:tcW w:w="4531" w:type="dxa"/>
          </w:tcPr>
          <w:p w14:paraId="54CFB034" w14:textId="77777777" w:rsidR="00BF42C9" w:rsidRPr="00BF42C9" w:rsidRDefault="00BF42C9" w:rsidP="00BF42C9">
            <w:pPr>
              <w:contextualSpacing/>
              <w:rPr>
                <w:rFonts w:cstheme="minorHAnsi"/>
                <w:lang w:val="en-GB"/>
              </w:rPr>
            </w:pPr>
            <w:r w:rsidRPr="00BF42C9">
              <w:rPr>
                <w:rFonts w:cstheme="minorHAnsi"/>
                <w:b/>
                <w:bCs/>
                <w:lang w:val="en-GB"/>
              </w:rPr>
              <w:t>GOVER4</w:t>
            </w:r>
            <w:r w:rsidRPr="00BF42C9">
              <w:rPr>
                <w:rFonts w:cstheme="minorHAnsi"/>
                <w:lang w:val="en-GB"/>
              </w:rPr>
              <w:t xml:space="preserve">: The government ensures public access to comprehensive nutrition information and key </w:t>
            </w:r>
            <w:r w:rsidRPr="00BF42C9">
              <w:rPr>
                <w:rFonts w:cstheme="minorHAnsi"/>
                <w:lang w:val="en-GB"/>
              </w:rPr>
              <w:lastRenderedPageBreak/>
              <w:t>documents (e.g., budget documents, annual performance reviews and health indicators) for the public.</w:t>
            </w:r>
          </w:p>
        </w:tc>
        <w:tc>
          <w:tcPr>
            <w:tcW w:w="4531" w:type="dxa"/>
            <w:vMerge/>
          </w:tcPr>
          <w:p w14:paraId="3EA7AB35" w14:textId="77777777" w:rsidR="00BF42C9" w:rsidRPr="00BF42C9" w:rsidRDefault="00BF42C9" w:rsidP="00BF42C9">
            <w:pPr>
              <w:contextualSpacing/>
              <w:jc w:val="both"/>
              <w:rPr>
                <w:rFonts w:cstheme="minorHAnsi"/>
                <w:lang w:val="en-GB"/>
              </w:rPr>
            </w:pPr>
          </w:p>
        </w:tc>
      </w:tr>
      <w:tr w:rsidR="00BF42C9" w:rsidRPr="00E157BD" w14:paraId="75585B10" w14:textId="77777777" w:rsidTr="00414DBC">
        <w:tc>
          <w:tcPr>
            <w:tcW w:w="4531" w:type="dxa"/>
          </w:tcPr>
          <w:p w14:paraId="193F79E6" w14:textId="172B2107" w:rsidR="00BF42C9" w:rsidRPr="00BF42C9" w:rsidRDefault="00BF42C9" w:rsidP="00BF42C9">
            <w:pPr>
              <w:contextualSpacing/>
              <w:rPr>
                <w:rFonts w:cstheme="minorHAnsi"/>
                <w:lang w:val="en-GB"/>
              </w:rPr>
            </w:pPr>
            <w:r w:rsidRPr="00BF42C9">
              <w:rPr>
                <w:rFonts w:cstheme="minorHAnsi"/>
                <w:b/>
                <w:bCs/>
                <w:lang w:val="en-GB"/>
              </w:rPr>
              <w:t>PLAT4:</w:t>
            </w:r>
            <w:r w:rsidRPr="00BF42C9">
              <w:rPr>
                <w:rFonts w:cstheme="minorHAnsi"/>
                <w:lang w:val="en-GB"/>
              </w:rPr>
              <w:t xml:space="preserve"> The government work</w:t>
            </w:r>
            <w:r w:rsidR="0050519F">
              <w:rPr>
                <w:rFonts w:cstheme="minorHAnsi"/>
                <w:lang w:val="en-GB"/>
              </w:rPr>
              <w:t>s</w:t>
            </w:r>
            <w:r w:rsidRPr="00BF42C9">
              <w:rPr>
                <w:rFonts w:cstheme="minorHAnsi"/>
                <w:lang w:val="en-GB"/>
              </w:rPr>
              <w:t xml:space="preserve"> with a system-based approach with (local and national) organisations/partners/groups to improve the healthiness of food environments at a national level.</w:t>
            </w:r>
          </w:p>
        </w:tc>
        <w:tc>
          <w:tcPr>
            <w:tcW w:w="4531" w:type="dxa"/>
            <w:vMerge w:val="restart"/>
          </w:tcPr>
          <w:p w14:paraId="33343815" w14:textId="23F695C3" w:rsidR="00BF42C9" w:rsidRPr="00BF42C9" w:rsidRDefault="00BF42C9" w:rsidP="00BF42C9">
            <w:pPr>
              <w:contextualSpacing/>
              <w:jc w:val="both"/>
              <w:rPr>
                <w:rFonts w:cstheme="minorHAnsi"/>
                <w:lang w:val="en-US"/>
              </w:rPr>
            </w:pPr>
            <w:r w:rsidRPr="00BF42C9">
              <w:rPr>
                <w:rFonts w:cstheme="minorHAnsi"/>
                <w:b/>
                <w:bCs/>
                <w:lang w:val="en-GB"/>
              </w:rPr>
              <w:t>HIAP1 (+PLAT4):</w:t>
            </w:r>
            <w:r w:rsidRPr="00BF42C9">
              <w:rPr>
                <w:rFonts w:cstheme="minorHAnsi"/>
                <w:lang w:val="en-GB"/>
              </w:rPr>
              <w:t xml:space="preserve"> Pursuing a systemic approach: The government takes a systemic approach to promote healthy diets and ensures that impacts on population nutrition and inequalities in nutritional status between social groups are </w:t>
            </w:r>
            <w:r w:rsidR="0050519F" w:rsidRPr="00BF42C9">
              <w:rPr>
                <w:rFonts w:cstheme="minorHAnsi"/>
                <w:lang w:val="en-GB"/>
              </w:rPr>
              <w:t>considered</w:t>
            </w:r>
            <w:r w:rsidRPr="00BF42C9">
              <w:rPr>
                <w:rFonts w:cstheme="minorHAnsi"/>
                <w:lang w:val="en-GB"/>
              </w:rPr>
              <w:t xml:space="preserve"> in all policy areas. </w:t>
            </w:r>
            <w:r w:rsidRPr="00BF42C9">
              <w:rPr>
                <w:rFonts w:cstheme="minorHAnsi"/>
                <w:lang w:val="en-US"/>
              </w:rPr>
              <w:t>This includes policies such as health, agriculture, and education policies.</w:t>
            </w:r>
          </w:p>
        </w:tc>
      </w:tr>
      <w:tr w:rsidR="00BF42C9" w:rsidRPr="00E157BD" w14:paraId="7B797A6A" w14:textId="77777777" w:rsidTr="00414DBC">
        <w:tc>
          <w:tcPr>
            <w:tcW w:w="4531" w:type="dxa"/>
          </w:tcPr>
          <w:p w14:paraId="59AA620F" w14:textId="77777777" w:rsidR="00BF42C9" w:rsidRPr="00BF42C9" w:rsidRDefault="00BF42C9" w:rsidP="00BF42C9">
            <w:pPr>
              <w:contextualSpacing/>
              <w:rPr>
                <w:rFonts w:cstheme="minorHAnsi"/>
                <w:lang w:val="en-GB"/>
              </w:rPr>
            </w:pPr>
            <w:r w:rsidRPr="00BF42C9">
              <w:rPr>
                <w:rFonts w:cstheme="minorHAnsi"/>
                <w:b/>
                <w:bCs/>
                <w:lang w:val="en-GB"/>
              </w:rPr>
              <w:t>HIAP1</w:t>
            </w:r>
            <w:r w:rsidRPr="00BF42C9">
              <w:rPr>
                <w:rFonts w:cstheme="minorHAnsi"/>
                <w:lang w:val="en-GB"/>
              </w:rPr>
              <w:t>: There are processes in place to ensure that population nutrition, health outcomes and reducing health inequalities or health impacts in vulnerable populations are considered and prioritised in the development of all government policies relating to food.</w:t>
            </w:r>
          </w:p>
        </w:tc>
        <w:tc>
          <w:tcPr>
            <w:tcW w:w="4531" w:type="dxa"/>
            <w:vMerge/>
          </w:tcPr>
          <w:p w14:paraId="7880ACFE" w14:textId="77777777" w:rsidR="00BF42C9" w:rsidRPr="00BF42C9" w:rsidRDefault="00BF42C9" w:rsidP="00BF42C9">
            <w:pPr>
              <w:contextualSpacing/>
              <w:jc w:val="both"/>
              <w:rPr>
                <w:rFonts w:cstheme="minorHAnsi"/>
                <w:lang w:val="en-GB"/>
              </w:rPr>
            </w:pPr>
          </w:p>
        </w:tc>
      </w:tr>
    </w:tbl>
    <w:p w14:paraId="3024401A" w14:textId="7B535B63" w:rsidR="0059534D" w:rsidRPr="00D106A2" w:rsidRDefault="005C3E88" w:rsidP="00F56946">
      <w:pPr>
        <w:spacing w:line="276" w:lineRule="auto"/>
        <w:contextualSpacing/>
        <w:jc w:val="both"/>
        <w:rPr>
          <w:rFonts w:cstheme="minorHAnsi"/>
          <w:i/>
          <w:iCs/>
          <w:lang w:val="en-US"/>
        </w:rPr>
      </w:pPr>
      <w:r w:rsidRPr="00D106A2">
        <w:rPr>
          <w:rFonts w:cstheme="minorHAnsi"/>
          <w:b/>
          <w:bCs/>
          <w:i/>
          <w:iCs/>
          <w:lang w:val="en-US"/>
        </w:rPr>
        <w:t>Table</w:t>
      </w:r>
      <w:r w:rsidR="0059534D" w:rsidRPr="00D106A2">
        <w:rPr>
          <w:rFonts w:cstheme="minorHAnsi"/>
          <w:b/>
          <w:bCs/>
          <w:i/>
          <w:iCs/>
          <w:lang w:val="en-US"/>
        </w:rPr>
        <w:t xml:space="preserve"> s4:</w:t>
      </w:r>
      <w:r w:rsidR="0059534D" w:rsidRPr="00D106A2">
        <w:rPr>
          <w:rFonts w:cstheme="minorHAnsi"/>
          <w:i/>
          <w:iCs/>
          <w:lang w:val="en-US"/>
        </w:rPr>
        <w:t xml:space="preserve"> </w:t>
      </w:r>
      <w:r w:rsidRPr="00D106A2">
        <w:rPr>
          <w:rFonts w:cstheme="minorHAnsi"/>
          <w:i/>
          <w:iCs/>
          <w:lang w:val="en-US"/>
        </w:rPr>
        <w:t>Adaptation of the international Food-EPI framework to Germany.</w:t>
      </w:r>
    </w:p>
    <w:p w14:paraId="52815112" w14:textId="460FFC3A" w:rsidR="006407CE" w:rsidRPr="00D106A2" w:rsidRDefault="006407CE" w:rsidP="006407CE">
      <w:pPr>
        <w:rPr>
          <w:rFonts w:eastAsiaTheme="majorEastAsia" w:cstheme="minorHAnsi"/>
          <w:lang w:val="en-US"/>
        </w:rPr>
      </w:pPr>
    </w:p>
    <w:p w14:paraId="6E4C0AFE" w14:textId="77777777" w:rsidR="006407CE" w:rsidRPr="00D106A2" w:rsidRDefault="006407CE" w:rsidP="006407CE">
      <w:pPr>
        <w:rPr>
          <w:rFonts w:eastAsiaTheme="majorEastAsia" w:cstheme="minorHAnsi"/>
          <w:lang w:val="en-US"/>
        </w:rPr>
      </w:pPr>
    </w:p>
    <w:p w14:paraId="60981BDF" w14:textId="6A24435A" w:rsidR="00F66903" w:rsidRDefault="0030162D" w:rsidP="00F66903">
      <w:pPr>
        <w:pStyle w:val="Listenabsatz"/>
        <w:numPr>
          <w:ilvl w:val="0"/>
          <w:numId w:val="4"/>
        </w:numPr>
        <w:outlineLvl w:val="0"/>
        <w:rPr>
          <w:rFonts w:eastAsiaTheme="majorEastAsia" w:cstheme="minorHAnsi"/>
          <w:b/>
          <w:bCs/>
          <w:sz w:val="28"/>
          <w:szCs w:val="28"/>
        </w:rPr>
      </w:pPr>
      <w:bookmarkStart w:id="5" w:name="_Toc75179528"/>
      <w:r w:rsidRPr="00D25B89">
        <w:rPr>
          <w:rFonts w:eastAsiaTheme="majorEastAsia" w:cstheme="minorHAnsi"/>
          <w:b/>
          <w:bCs/>
          <w:sz w:val="28"/>
          <w:szCs w:val="28"/>
        </w:rPr>
        <w:t>COREQ</w:t>
      </w:r>
      <w:r w:rsidR="00AF5449">
        <w:rPr>
          <w:rFonts w:eastAsiaTheme="majorEastAsia" w:cstheme="minorHAnsi"/>
          <w:b/>
          <w:bCs/>
          <w:sz w:val="28"/>
          <w:szCs w:val="28"/>
        </w:rPr>
        <w:t xml:space="preserve"> </w:t>
      </w:r>
      <w:r w:rsidRPr="00D25B89">
        <w:rPr>
          <w:rFonts w:eastAsiaTheme="majorEastAsia" w:cstheme="minorHAnsi"/>
          <w:b/>
          <w:bCs/>
          <w:sz w:val="28"/>
          <w:szCs w:val="28"/>
        </w:rPr>
        <w:t>Checklist</w:t>
      </w:r>
      <w:bookmarkEnd w:id="5"/>
    </w:p>
    <w:p w14:paraId="7C4669D7" w14:textId="1B9FAE5D" w:rsidR="00F66903" w:rsidRDefault="00F66903" w:rsidP="004407CC">
      <w:pPr>
        <w:rPr>
          <w:rFonts w:eastAsiaTheme="majorEastAsia" w:cstheme="minorHAnsi"/>
          <w:b/>
          <w:bCs/>
          <w:sz w:val="28"/>
          <w:szCs w:val="28"/>
        </w:rPr>
      </w:pPr>
    </w:p>
    <w:p w14:paraId="508F8056" w14:textId="3E27FD2A" w:rsidR="004407CC" w:rsidRPr="000614A1" w:rsidRDefault="001B4190" w:rsidP="004407CC">
      <w:pPr>
        <w:spacing w:line="240" w:lineRule="auto"/>
        <w:rPr>
          <w:rFonts w:eastAsia="Calibri" w:cstheme="minorHAnsi"/>
          <w:bCs/>
          <w:lang w:val="en-US"/>
        </w:rPr>
      </w:pPr>
      <w:r>
        <w:rPr>
          <w:rFonts w:eastAsia="Calibri" w:cstheme="minorHAnsi"/>
          <w:bCs/>
          <w:lang w:val="en-US"/>
        </w:rPr>
        <w:t>As recommended by the</w:t>
      </w:r>
      <w:r w:rsidR="004407CC" w:rsidRPr="000614A1">
        <w:rPr>
          <w:rFonts w:eastAsia="Calibri" w:cstheme="minorHAnsi"/>
          <w:bCs/>
          <w:lang w:val="en-US"/>
        </w:rPr>
        <w:t xml:space="preserve"> </w:t>
      </w:r>
      <w:r w:rsidR="004407CC" w:rsidRPr="00935CB6">
        <w:rPr>
          <w:rFonts w:eastAsia="Calibri" w:cstheme="minorHAnsi"/>
          <w:bCs/>
          <w:i/>
          <w:iCs/>
          <w:lang w:val="en-US"/>
        </w:rPr>
        <w:t>Consolidated Criteria for Reporting Qualitative Studies</w:t>
      </w:r>
      <w:r>
        <w:rPr>
          <w:rFonts w:eastAsia="Calibri" w:cstheme="minorHAnsi"/>
          <w:bCs/>
          <w:i/>
          <w:iCs/>
          <w:lang w:val="en-US"/>
        </w:rPr>
        <w:t xml:space="preserve"> </w:t>
      </w:r>
      <w:r>
        <w:rPr>
          <w:rFonts w:eastAsia="Calibri" w:cstheme="minorHAnsi"/>
          <w:bCs/>
          <w:lang w:val="en-US"/>
        </w:rPr>
        <w:fldChar w:fldCharType="begin"/>
      </w:r>
      <w:r>
        <w:rPr>
          <w:rFonts w:eastAsia="Calibri" w:cstheme="minorHAnsi"/>
          <w:bCs/>
          <w:lang w:val="en-US"/>
        </w:rPr>
        <w:instrText xml:space="preserve"> ADDIN EN.CITE &lt;EndNote&gt;&lt;Cite&gt;&lt;Author&gt;Tong&lt;/Author&gt;&lt;Year&gt;2007&lt;/Year&gt;&lt;RecNum&gt;178672&lt;/RecNum&gt;&lt;DisplayText&gt;(15)&lt;/DisplayText&gt;&lt;record&gt;&lt;rec-number&gt;178672&lt;/rec-number&gt;&lt;foreign-keys&gt;&lt;key app="EN" db-id="5522xwadastzf1etvvepeezbzfr9wrtfszr0" timestamp="1486327382"&gt;178672&lt;/key&gt;&lt;/foreign-keys&gt;&lt;ref-type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related-urls&gt;&lt;url&gt;http://dx.doi.org/10.1093/intqhc/mzm042&lt;/url&gt;&lt;/related-urls&gt;&lt;/urls&gt;&lt;electronic-resource-num&gt;10.1093/intqhc/mzm042&lt;/electronic-resource-num&gt;&lt;/record&gt;&lt;/Cite&gt;&lt;/EndNote&gt;</w:instrText>
      </w:r>
      <w:r>
        <w:rPr>
          <w:rFonts w:eastAsia="Calibri" w:cstheme="minorHAnsi"/>
          <w:bCs/>
          <w:lang w:val="en-US"/>
        </w:rPr>
        <w:fldChar w:fldCharType="separate"/>
      </w:r>
      <w:r>
        <w:rPr>
          <w:rFonts w:eastAsia="Calibri" w:cstheme="minorHAnsi"/>
          <w:bCs/>
          <w:noProof/>
          <w:lang w:val="en-US"/>
        </w:rPr>
        <w:t>(15)</w:t>
      </w:r>
      <w:r>
        <w:rPr>
          <w:rFonts w:eastAsia="Calibri" w:cstheme="minorHAnsi"/>
          <w:bCs/>
          <w:lang w:val="en-US"/>
        </w:rPr>
        <w:fldChar w:fldCharType="end"/>
      </w:r>
      <w:r>
        <w:rPr>
          <w:rFonts w:eastAsia="Calibri" w:cstheme="minorHAnsi"/>
          <w:bCs/>
          <w:i/>
          <w:iCs/>
          <w:lang w:val="en-US"/>
        </w:rPr>
        <w:t xml:space="preserve">, </w:t>
      </w:r>
      <w:r>
        <w:rPr>
          <w:rFonts w:eastAsia="Calibri" w:cstheme="minorHAnsi"/>
          <w:bCs/>
          <w:lang w:val="en-US"/>
        </w:rPr>
        <w:t xml:space="preserve">we provide the </w:t>
      </w:r>
      <w:r w:rsidR="004407CC" w:rsidRPr="000614A1">
        <w:rPr>
          <w:rFonts w:eastAsia="Calibri" w:cstheme="minorHAnsi"/>
          <w:bCs/>
          <w:lang w:val="en-US"/>
        </w:rPr>
        <w:t xml:space="preserve">COREQ </w:t>
      </w:r>
      <w:r>
        <w:rPr>
          <w:rFonts w:eastAsia="Calibri" w:cstheme="minorHAnsi"/>
          <w:bCs/>
          <w:lang w:val="en-US"/>
        </w:rPr>
        <w:t>c</w:t>
      </w:r>
      <w:r w:rsidR="004407CC" w:rsidRPr="000614A1">
        <w:rPr>
          <w:rFonts w:eastAsia="Calibri" w:cstheme="minorHAnsi"/>
          <w:bCs/>
          <w:lang w:val="en-US"/>
        </w:rPr>
        <w:t xml:space="preserve">hecklist </w:t>
      </w:r>
      <w:r>
        <w:rPr>
          <w:rFonts w:eastAsia="Calibri" w:cstheme="minorHAnsi"/>
          <w:bCs/>
          <w:lang w:val="en-US"/>
        </w:rPr>
        <w:t>in Table s5.</w:t>
      </w:r>
    </w:p>
    <w:p w14:paraId="413824BE" w14:textId="6B276766" w:rsidR="00520B10" w:rsidRPr="00520B10" w:rsidRDefault="00520B10" w:rsidP="004407CC">
      <w:pPr>
        <w:spacing w:line="240" w:lineRule="auto"/>
        <w:rPr>
          <w:rFonts w:eastAsia="Calibri" w:cstheme="minorHAnsi"/>
          <w:i/>
          <w:iCs/>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4536"/>
      </w:tblGrid>
      <w:tr w:rsidR="004407CC" w:rsidRPr="00E157BD" w14:paraId="7CCB5142" w14:textId="77777777" w:rsidTr="00B77208">
        <w:trPr>
          <w:trHeight w:val="300"/>
        </w:trPr>
        <w:tc>
          <w:tcPr>
            <w:tcW w:w="9351" w:type="dxa"/>
            <w:gridSpan w:val="2"/>
            <w:shd w:val="clear" w:color="auto" w:fill="auto"/>
            <w:vAlign w:val="bottom"/>
            <w:hideMark/>
          </w:tcPr>
          <w:p w14:paraId="7A85DF10" w14:textId="77777777" w:rsidR="004407CC" w:rsidRPr="00CA49AD" w:rsidRDefault="004407CC" w:rsidP="00B77208">
            <w:pPr>
              <w:spacing w:line="240" w:lineRule="auto"/>
              <w:rPr>
                <w:rFonts w:eastAsia="Times New Roman" w:cstheme="minorHAnsi"/>
                <w:b/>
                <w:color w:val="000000"/>
                <w:lang w:val="en-US" w:eastAsia="de-DE"/>
              </w:rPr>
            </w:pPr>
            <w:r w:rsidRPr="00CA49AD">
              <w:rPr>
                <w:rFonts w:eastAsia="Times New Roman" w:cstheme="minorHAnsi"/>
                <w:b/>
                <w:color w:val="000000"/>
                <w:lang w:val="en-US" w:eastAsia="de-DE"/>
              </w:rPr>
              <w:t>Domain 1: Research team and reflexivity</w:t>
            </w:r>
          </w:p>
        </w:tc>
      </w:tr>
      <w:tr w:rsidR="004407CC" w:rsidRPr="00CA49AD" w14:paraId="5EE2957D" w14:textId="77777777" w:rsidTr="00B77208">
        <w:trPr>
          <w:trHeight w:val="300"/>
        </w:trPr>
        <w:tc>
          <w:tcPr>
            <w:tcW w:w="9351" w:type="dxa"/>
            <w:gridSpan w:val="2"/>
            <w:shd w:val="clear" w:color="auto" w:fill="auto"/>
            <w:vAlign w:val="bottom"/>
            <w:hideMark/>
          </w:tcPr>
          <w:p w14:paraId="1EF95946" w14:textId="77777777" w:rsidR="004407CC" w:rsidRPr="00CA49AD" w:rsidRDefault="004407CC" w:rsidP="00B77208">
            <w:pPr>
              <w:spacing w:line="240" w:lineRule="auto"/>
              <w:rPr>
                <w:rFonts w:eastAsia="Times New Roman" w:cstheme="minorHAnsi"/>
                <w:b/>
                <w:color w:val="000000"/>
                <w:lang w:eastAsia="de-DE"/>
              </w:rPr>
            </w:pPr>
            <w:r w:rsidRPr="00CA49AD">
              <w:rPr>
                <w:rFonts w:eastAsia="Times New Roman" w:cstheme="minorHAnsi"/>
                <w:b/>
                <w:color w:val="000000"/>
                <w:lang w:val="en-US" w:eastAsia="de-DE"/>
              </w:rPr>
              <w:t xml:space="preserve">Personal </w:t>
            </w:r>
            <w:r w:rsidRPr="00CA49AD">
              <w:rPr>
                <w:rFonts w:eastAsia="Times New Roman" w:cstheme="minorHAnsi"/>
                <w:b/>
                <w:color w:val="000000"/>
                <w:lang w:eastAsia="de-DE"/>
              </w:rPr>
              <w:t>Characteristics</w:t>
            </w:r>
          </w:p>
        </w:tc>
      </w:tr>
      <w:tr w:rsidR="004407CC" w:rsidRPr="00E157BD" w14:paraId="1570434F" w14:textId="77777777" w:rsidTr="00520B10">
        <w:trPr>
          <w:trHeight w:val="600"/>
        </w:trPr>
        <w:tc>
          <w:tcPr>
            <w:tcW w:w="4815" w:type="dxa"/>
            <w:shd w:val="clear" w:color="auto" w:fill="auto"/>
            <w:hideMark/>
          </w:tcPr>
          <w:p w14:paraId="358DCC0E"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 Interviewer/facilitator: Which author/s conducted the interview or focus group?</w:t>
            </w:r>
          </w:p>
        </w:tc>
        <w:tc>
          <w:tcPr>
            <w:tcW w:w="4536" w:type="dxa"/>
            <w:shd w:val="clear" w:color="auto" w:fill="auto"/>
            <w:hideMark/>
          </w:tcPr>
          <w:p w14:paraId="1BDA014A" w14:textId="3B953641" w:rsidR="004407CC" w:rsidRPr="00873A1B" w:rsidRDefault="004407CC" w:rsidP="00873A1B">
            <w:pPr>
              <w:contextualSpacing/>
              <w:rPr>
                <w:i/>
                <w:iCs/>
                <w:lang w:val="en-US"/>
              </w:rPr>
            </w:pPr>
            <w:r>
              <w:rPr>
                <w:rFonts w:eastAsia="Times New Roman" w:cstheme="minorHAnsi"/>
                <w:color w:val="000000"/>
                <w:lang w:val="en-US" w:eastAsia="de-DE"/>
              </w:rPr>
              <w:t xml:space="preserve">No interviews were conducted for this study. The expert consultation including the workshop was lead by </w:t>
            </w:r>
            <w:r w:rsidR="00873A1B" w:rsidRPr="00873A1B">
              <w:rPr>
                <w:lang w:val="en-US"/>
              </w:rPr>
              <w:t>[Concealed for peer review]</w:t>
            </w:r>
          </w:p>
        </w:tc>
      </w:tr>
      <w:tr w:rsidR="004407CC" w:rsidRPr="00E157BD" w14:paraId="5D1FF7F2" w14:textId="77777777" w:rsidTr="00520B10">
        <w:trPr>
          <w:trHeight w:val="600"/>
        </w:trPr>
        <w:tc>
          <w:tcPr>
            <w:tcW w:w="4815" w:type="dxa"/>
            <w:shd w:val="clear" w:color="auto" w:fill="auto"/>
            <w:hideMark/>
          </w:tcPr>
          <w:p w14:paraId="0ED2F5DC"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 Credentials: What were the researcher’s credentials? E.g. PhD, MD</w:t>
            </w:r>
          </w:p>
        </w:tc>
        <w:tc>
          <w:tcPr>
            <w:tcW w:w="4536" w:type="dxa"/>
            <w:shd w:val="clear" w:color="auto" w:fill="auto"/>
            <w:hideMark/>
          </w:tcPr>
          <w:p w14:paraId="4E2EA953" w14:textId="3E9ED092" w:rsidR="004407CC" w:rsidRPr="00532CF6" w:rsidRDefault="00873A1B">
            <w:pPr>
              <w:spacing w:line="276" w:lineRule="auto"/>
              <w:rPr>
                <w:rFonts w:eastAsia="Times New Roman" w:cstheme="minorHAnsi"/>
                <w:bCs/>
                <w:lang w:val="en-US" w:eastAsia="de-DE"/>
              </w:rPr>
            </w:pPr>
            <w:r w:rsidRPr="00873A1B">
              <w:rPr>
                <w:lang w:val="en-US"/>
              </w:rPr>
              <w:t>[Concealed for peer review]</w:t>
            </w:r>
            <w:r w:rsidR="004407CC" w:rsidRPr="00532CF6">
              <w:rPr>
                <w:rFonts w:eastAsia="Times New Roman" w:cstheme="minorHAnsi"/>
                <w:bCs/>
                <w:lang w:val="en-US" w:eastAsia="de-DE"/>
              </w:rPr>
              <w:t>: MD; MA Politics, Economics and Law; MSc Global Politics.</w:t>
            </w:r>
          </w:p>
          <w:p w14:paraId="6F22BC07" w14:textId="60C23F14" w:rsidR="004407CC" w:rsidRPr="00532CF6" w:rsidRDefault="00873A1B">
            <w:pPr>
              <w:spacing w:line="276" w:lineRule="auto"/>
              <w:rPr>
                <w:rFonts w:eastAsia="Times New Roman" w:cstheme="minorHAnsi"/>
                <w:bCs/>
                <w:lang w:val="en-US" w:eastAsia="de-DE"/>
              </w:rPr>
            </w:pPr>
            <w:r w:rsidRPr="00873A1B">
              <w:rPr>
                <w:lang w:val="en-US"/>
              </w:rPr>
              <w:t>[Concealed for peer review]</w:t>
            </w:r>
            <w:r w:rsidR="004407CC" w:rsidRPr="00532CF6">
              <w:rPr>
                <w:rFonts w:eastAsia="Times New Roman" w:cstheme="minorHAnsi"/>
                <w:bCs/>
                <w:lang w:val="en-US" w:eastAsia="de-DE"/>
              </w:rPr>
              <w:t>: MD</w:t>
            </w:r>
            <w:r w:rsidR="00C90368" w:rsidRPr="00532CF6">
              <w:rPr>
                <w:rFonts w:eastAsia="Times New Roman" w:cstheme="minorHAnsi"/>
                <w:bCs/>
                <w:lang w:val="en-US" w:eastAsia="de-DE"/>
              </w:rPr>
              <w:t>;</w:t>
            </w:r>
            <w:r w:rsidR="004407CC" w:rsidRPr="00532CF6">
              <w:rPr>
                <w:rFonts w:eastAsia="Times New Roman" w:cstheme="minorHAnsi"/>
                <w:bCs/>
                <w:lang w:val="en-US" w:eastAsia="de-DE"/>
              </w:rPr>
              <w:t xml:space="preserve"> cand. MSc Public Health</w:t>
            </w:r>
          </w:p>
          <w:p w14:paraId="22944172" w14:textId="67691D66" w:rsidR="004407CC" w:rsidRPr="00532CF6" w:rsidRDefault="00873A1B">
            <w:pPr>
              <w:spacing w:line="276" w:lineRule="auto"/>
              <w:rPr>
                <w:rFonts w:eastAsia="Times New Roman" w:cstheme="minorHAnsi"/>
                <w:bCs/>
                <w:lang w:val="en-US" w:eastAsia="de-DE"/>
              </w:rPr>
            </w:pPr>
            <w:r w:rsidRPr="00873A1B">
              <w:rPr>
                <w:lang w:val="en-US"/>
              </w:rPr>
              <w:t>[Concealed for peer review]</w:t>
            </w:r>
            <w:r w:rsidR="004407CC" w:rsidRPr="00532CF6">
              <w:rPr>
                <w:rFonts w:eastAsia="Times New Roman" w:cstheme="minorHAnsi"/>
                <w:bCs/>
                <w:lang w:val="en-US" w:eastAsia="de-DE"/>
              </w:rPr>
              <w:t>: BSc Nutritional Sciences</w:t>
            </w:r>
            <w:r w:rsidR="00C90368" w:rsidRPr="00532CF6">
              <w:rPr>
                <w:rFonts w:eastAsia="Times New Roman" w:cstheme="minorHAnsi"/>
                <w:bCs/>
                <w:lang w:val="en-US" w:eastAsia="de-DE"/>
              </w:rPr>
              <w:t>;</w:t>
            </w:r>
            <w:r w:rsidR="004407CC" w:rsidRPr="00532CF6">
              <w:rPr>
                <w:rFonts w:eastAsia="Times New Roman" w:cstheme="minorHAnsi"/>
                <w:bCs/>
                <w:lang w:val="en-US" w:eastAsia="de-DE"/>
              </w:rPr>
              <w:t xml:space="preserve"> MSc Public Health</w:t>
            </w:r>
          </w:p>
          <w:p w14:paraId="2C9F7148" w14:textId="1BA9A5AF" w:rsidR="004407CC" w:rsidRPr="00532CF6" w:rsidRDefault="00873A1B">
            <w:pPr>
              <w:spacing w:line="276" w:lineRule="auto"/>
              <w:rPr>
                <w:rFonts w:eastAsia="Times New Roman" w:cstheme="minorHAnsi"/>
                <w:bCs/>
                <w:lang w:val="en-US" w:eastAsia="de-DE"/>
              </w:rPr>
            </w:pPr>
            <w:r w:rsidRPr="00873A1B">
              <w:rPr>
                <w:lang w:val="en-US"/>
              </w:rPr>
              <w:t>[Concealed for peer review]</w:t>
            </w:r>
            <w:r w:rsidR="004407CC" w:rsidRPr="00532CF6">
              <w:rPr>
                <w:rFonts w:eastAsia="Times New Roman" w:cstheme="minorHAnsi"/>
                <w:bCs/>
                <w:lang w:val="en-US" w:eastAsia="de-DE"/>
              </w:rPr>
              <w:t>: MD</w:t>
            </w:r>
            <w:r w:rsidR="00C90368" w:rsidRPr="00532CF6">
              <w:rPr>
                <w:rFonts w:eastAsia="Times New Roman" w:cstheme="minorHAnsi"/>
                <w:bCs/>
                <w:lang w:val="en-US" w:eastAsia="de-DE"/>
              </w:rPr>
              <w:t>;</w:t>
            </w:r>
            <w:r w:rsidR="004407CC" w:rsidRPr="00532CF6">
              <w:rPr>
                <w:rFonts w:eastAsia="Times New Roman" w:cstheme="minorHAnsi"/>
                <w:bCs/>
                <w:lang w:val="en-US" w:eastAsia="de-DE"/>
              </w:rPr>
              <w:t xml:space="preserve"> BSc Geography</w:t>
            </w:r>
            <w:r w:rsidR="00C90368" w:rsidRPr="00532CF6">
              <w:rPr>
                <w:rFonts w:eastAsia="Times New Roman" w:cstheme="minorHAnsi"/>
                <w:bCs/>
                <w:lang w:val="en-US" w:eastAsia="de-DE"/>
              </w:rPr>
              <w:t>;</w:t>
            </w:r>
            <w:r w:rsidR="004407CC" w:rsidRPr="00532CF6">
              <w:rPr>
                <w:rFonts w:eastAsia="Times New Roman" w:cstheme="minorHAnsi"/>
                <w:bCs/>
                <w:lang w:val="en-US" w:eastAsia="de-DE"/>
              </w:rPr>
              <w:t xml:space="preserve"> cand. PhD Public Health and Epidemiology</w:t>
            </w:r>
          </w:p>
          <w:p w14:paraId="7BC999D7" w14:textId="46B5E19D" w:rsidR="004407CC" w:rsidRPr="00532CF6" w:rsidRDefault="00873A1B">
            <w:pPr>
              <w:spacing w:line="276" w:lineRule="auto"/>
              <w:rPr>
                <w:rFonts w:eastAsia="Times New Roman" w:cstheme="minorHAnsi"/>
                <w:bCs/>
                <w:lang w:val="en-US" w:eastAsia="de-DE"/>
              </w:rPr>
            </w:pPr>
            <w:r w:rsidRPr="00873A1B">
              <w:rPr>
                <w:lang w:val="en-US"/>
              </w:rPr>
              <w:t>[Concealed for peer review]</w:t>
            </w:r>
            <w:r w:rsidR="004407CC" w:rsidRPr="00532CF6">
              <w:rPr>
                <w:rFonts w:eastAsia="Times New Roman" w:cstheme="minorHAnsi"/>
                <w:bCs/>
                <w:lang w:val="en-US" w:eastAsia="de-DE"/>
              </w:rPr>
              <w:t xml:space="preserve">: Diploma </w:t>
            </w:r>
            <w:r w:rsidR="003920A5" w:rsidRPr="00532CF6">
              <w:rPr>
                <w:rFonts w:eastAsia="Times New Roman" w:cstheme="minorHAnsi"/>
                <w:bCs/>
                <w:lang w:val="en-US" w:eastAsia="de-DE"/>
              </w:rPr>
              <w:t xml:space="preserve">and PhD </w:t>
            </w:r>
            <w:r w:rsidR="004407CC" w:rsidRPr="00532CF6">
              <w:rPr>
                <w:rFonts w:eastAsia="Times New Roman" w:cstheme="minorHAnsi"/>
                <w:bCs/>
                <w:lang w:val="en-US" w:eastAsia="de-DE"/>
              </w:rPr>
              <w:t xml:space="preserve">in </w:t>
            </w:r>
            <w:r w:rsidR="003920A5" w:rsidRPr="00532CF6">
              <w:rPr>
                <w:rFonts w:eastAsia="Times New Roman" w:cstheme="minorHAnsi"/>
                <w:bCs/>
                <w:lang w:val="en-US" w:eastAsia="de-DE"/>
              </w:rPr>
              <w:t xml:space="preserve">Home Economics and </w:t>
            </w:r>
            <w:r w:rsidR="004407CC" w:rsidRPr="00532CF6">
              <w:rPr>
                <w:rFonts w:eastAsia="Times New Roman" w:cstheme="minorHAnsi"/>
                <w:bCs/>
                <w:lang w:val="en-US" w:eastAsia="de-DE"/>
              </w:rPr>
              <w:t xml:space="preserve">Nutritional Sciences </w:t>
            </w:r>
          </w:p>
          <w:p w14:paraId="001FC046" w14:textId="3A882954"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sidRPr="00532CF6">
              <w:rPr>
                <w:rFonts w:eastAsia="Times New Roman" w:cstheme="minorHAnsi"/>
                <w:bCs/>
                <w:lang w:val="en-US" w:eastAsia="de-DE"/>
              </w:rPr>
              <w:t>:</w:t>
            </w:r>
            <w:r w:rsidR="004407CC" w:rsidRPr="00CA49AD">
              <w:rPr>
                <w:rFonts w:eastAsia="Times New Roman" w:cstheme="minorHAnsi"/>
                <w:lang w:val="en-US" w:eastAsia="de-DE"/>
              </w:rPr>
              <w:t xml:space="preserve"> BA </w:t>
            </w:r>
            <w:r w:rsidR="004407CC">
              <w:rPr>
                <w:rFonts w:eastAsia="Times New Roman" w:cstheme="minorHAnsi"/>
                <w:lang w:val="en-US" w:eastAsia="de-DE"/>
              </w:rPr>
              <w:t>and</w:t>
            </w:r>
            <w:r w:rsidR="004407CC" w:rsidRPr="00CA49AD">
              <w:rPr>
                <w:rFonts w:eastAsia="Times New Roman" w:cstheme="minorHAnsi"/>
                <w:lang w:val="en-US" w:eastAsia="de-DE"/>
              </w:rPr>
              <w:t xml:space="preserve"> MA (Oxon, </w:t>
            </w:r>
            <w:r w:rsidR="004407CC">
              <w:rPr>
                <w:rFonts w:eastAsia="Times New Roman" w:cstheme="minorHAnsi"/>
                <w:lang w:val="en-US" w:eastAsia="de-DE"/>
              </w:rPr>
              <w:t>Biology</w:t>
            </w:r>
            <w:r w:rsidR="004407CC" w:rsidRPr="00CA49AD">
              <w:rPr>
                <w:rFonts w:eastAsia="Times New Roman" w:cstheme="minorHAnsi"/>
                <w:lang w:val="en-US" w:eastAsia="de-DE"/>
              </w:rPr>
              <w:t>)</w:t>
            </w:r>
            <w:r w:rsidR="00C90368">
              <w:rPr>
                <w:rFonts w:eastAsia="Times New Roman" w:cstheme="minorHAnsi"/>
                <w:lang w:val="en-US" w:eastAsia="de-DE"/>
              </w:rPr>
              <w:t>;</w:t>
            </w:r>
            <w:r w:rsidR="004407CC" w:rsidRPr="00CA49AD">
              <w:rPr>
                <w:rFonts w:eastAsia="Times New Roman" w:cstheme="minorHAnsi"/>
                <w:lang w:val="en-US" w:eastAsia="de-DE"/>
              </w:rPr>
              <w:t xml:space="preserve"> PhD Public Health and Epidemiology</w:t>
            </w:r>
          </w:p>
        </w:tc>
      </w:tr>
      <w:tr w:rsidR="004407CC" w:rsidRPr="00E157BD" w14:paraId="0CB984FC" w14:textId="77777777" w:rsidTr="00293001">
        <w:trPr>
          <w:trHeight w:val="283"/>
        </w:trPr>
        <w:tc>
          <w:tcPr>
            <w:tcW w:w="4815" w:type="dxa"/>
            <w:shd w:val="clear" w:color="auto" w:fill="auto"/>
            <w:hideMark/>
          </w:tcPr>
          <w:p w14:paraId="2E77F9CD"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3. Occupation: What was their occupation at the time of the study?</w:t>
            </w:r>
          </w:p>
        </w:tc>
        <w:tc>
          <w:tcPr>
            <w:tcW w:w="4536" w:type="dxa"/>
            <w:shd w:val="clear" w:color="auto" w:fill="auto"/>
            <w:hideMark/>
          </w:tcPr>
          <w:p w14:paraId="4BB6EB23" w14:textId="1E3B2C7B" w:rsidR="004407CC"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xml:space="preserve">: </w:t>
            </w:r>
            <w:r w:rsidR="004407CC">
              <w:rPr>
                <w:rFonts w:eastAsia="Times New Roman" w:cstheme="minorHAnsi"/>
                <w:lang w:val="en-US" w:eastAsia="de-DE"/>
              </w:rPr>
              <w:t>Research Associate and Medical Doctor</w:t>
            </w:r>
          </w:p>
          <w:p w14:paraId="43678A5C" w14:textId="5585BADC" w:rsidR="004407CC"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Research Associate</w:t>
            </w:r>
          </w:p>
          <w:p w14:paraId="7633D3CB" w14:textId="27CE0EAC" w:rsidR="004407CC"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xml:space="preserve">: Research Associate </w:t>
            </w:r>
          </w:p>
          <w:p w14:paraId="3D5113EC" w14:textId="0564D967" w:rsidR="004407CC"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xml:space="preserve">: </w:t>
            </w:r>
            <w:r w:rsidR="004407CC">
              <w:rPr>
                <w:rFonts w:eastAsia="Times New Roman" w:cstheme="minorHAnsi"/>
                <w:lang w:val="en-US" w:eastAsia="de-DE"/>
              </w:rPr>
              <w:t>Research Associate</w:t>
            </w:r>
          </w:p>
          <w:p w14:paraId="6A762444" w14:textId="46DFB087"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xml:space="preserve">: </w:t>
            </w:r>
            <w:r w:rsidR="003920A5">
              <w:rPr>
                <w:rFonts w:eastAsia="Times New Roman" w:cstheme="minorHAnsi"/>
                <w:lang w:val="en-US" w:eastAsia="de-DE"/>
              </w:rPr>
              <w:t>Head of Unit</w:t>
            </w:r>
          </w:p>
          <w:p w14:paraId="515A353F" w14:textId="0ED90E45" w:rsidR="004407CC" w:rsidRPr="00CA49AD" w:rsidRDefault="00873A1B">
            <w:pPr>
              <w:spacing w:line="276" w:lineRule="auto"/>
              <w:rPr>
                <w:rFonts w:eastAsia="Times New Roman" w:cstheme="minorHAnsi"/>
                <w:lang w:val="en-US" w:eastAsia="de-DE"/>
              </w:rPr>
            </w:pPr>
            <w:r w:rsidRPr="00873A1B">
              <w:rPr>
                <w:lang w:val="en-US"/>
              </w:rPr>
              <w:lastRenderedPageBreak/>
              <w:t>[Concealed for peer review]</w:t>
            </w:r>
            <w:r w:rsidR="004407CC" w:rsidRPr="00CA49AD">
              <w:rPr>
                <w:rFonts w:eastAsia="Times New Roman" w:cstheme="minorHAnsi"/>
                <w:lang w:val="en-US" w:eastAsia="de-DE"/>
              </w:rPr>
              <w:t xml:space="preserve">: </w:t>
            </w:r>
            <w:r w:rsidR="004407CC">
              <w:rPr>
                <w:rFonts w:eastAsia="Times New Roman" w:cstheme="minorHAnsi"/>
                <w:lang w:val="en-US" w:eastAsia="de-DE"/>
              </w:rPr>
              <w:t>University Professor</w:t>
            </w:r>
          </w:p>
        </w:tc>
      </w:tr>
      <w:tr w:rsidR="004407CC" w:rsidRPr="00E157BD" w14:paraId="12E37956" w14:textId="77777777" w:rsidTr="00520B10">
        <w:trPr>
          <w:trHeight w:val="300"/>
        </w:trPr>
        <w:tc>
          <w:tcPr>
            <w:tcW w:w="4815" w:type="dxa"/>
            <w:shd w:val="clear" w:color="auto" w:fill="auto"/>
            <w:hideMark/>
          </w:tcPr>
          <w:p w14:paraId="442F7BE2"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lastRenderedPageBreak/>
              <w:t>4. Gender: Was the researcher male or female?</w:t>
            </w:r>
          </w:p>
        </w:tc>
        <w:tc>
          <w:tcPr>
            <w:tcW w:w="4536" w:type="dxa"/>
            <w:shd w:val="clear" w:color="auto" w:fill="auto"/>
            <w:hideMark/>
          </w:tcPr>
          <w:p w14:paraId="6CB059C0" w14:textId="6EA3A951" w:rsidR="004407CC"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xml:space="preserve">: </w:t>
            </w:r>
            <w:r w:rsidR="004407CC">
              <w:rPr>
                <w:rFonts w:eastAsia="Times New Roman" w:cstheme="minorHAnsi"/>
                <w:lang w:val="en-US" w:eastAsia="de-DE"/>
              </w:rPr>
              <w:t>Male</w:t>
            </w:r>
          </w:p>
          <w:p w14:paraId="447013FC" w14:textId="56F490F6" w:rsidR="004407CC"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Female</w:t>
            </w:r>
          </w:p>
          <w:p w14:paraId="1ABB807E" w14:textId="2750A856" w:rsidR="004407CC"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Female</w:t>
            </w:r>
          </w:p>
          <w:p w14:paraId="263D225D" w14:textId="3BD77347"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Female</w:t>
            </w:r>
          </w:p>
          <w:p w14:paraId="125C134B" w14:textId="086F66D3"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xml:space="preserve">: </w:t>
            </w:r>
            <w:r w:rsidR="004407CC">
              <w:rPr>
                <w:rFonts w:eastAsia="Times New Roman" w:cstheme="minorHAnsi"/>
                <w:lang w:val="en-US" w:eastAsia="de-DE"/>
              </w:rPr>
              <w:t>Male</w:t>
            </w:r>
          </w:p>
          <w:p w14:paraId="715CDEFD" w14:textId="59634F28"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xml:space="preserve">: </w:t>
            </w:r>
            <w:r w:rsidR="00C90368">
              <w:rPr>
                <w:rFonts w:eastAsia="Times New Roman" w:cstheme="minorHAnsi"/>
                <w:lang w:val="en-US" w:eastAsia="de-DE"/>
              </w:rPr>
              <w:t>Fem</w:t>
            </w:r>
            <w:r w:rsidR="004407CC">
              <w:rPr>
                <w:rFonts w:eastAsia="Times New Roman" w:cstheme="minorHAnsi"/>
                <w:lang w:val="en-US" w:eastAsia="de-DE"/>
              </w:rPr>
              <w:t>ale</w:t>
            </w:r>
          </w:p>
        </w:tc>
      </w:tr>
      <w:tr w:rsidR="004407CC" w:rsidRPr="00E157BD" w14:paraId="4A94A90C" w14:textId="77777777" w:rsidTr="00520B10">
        <w:trPr>
          <w:trHeight w:val="600"/>
        </w:trPr>
        <w:tc>
          <w:tcPr>
            <w:tcW w:w="4815" w:type="dxa"/>
            <w:shd w:val="clear" w:color="auto" w:fill="auto"/>
            <w:hideMark/>
          </w:tcPr>
          <w:p w14:paraId="3BB2A199"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5. Experience and training: What experience or training did the researcher have?</w:t>
            </w:r>
          </w:p>
        </w:tc>
        <w:tc>
          <w:tcPr>
            <w:tcW w:w="4536" w:type="dxa"/>
            <w:shd w:val="clear" w:color="auto" w:fill="auto"/>
            <w:hideMark/>
          </w:tcPr>
          <w:p w14:paraId="4EEE3DC0" w14:textId="5F2BFF1C" w:rsidR="004407CC"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xml:space="preserve">: Evidence-based public health, nutrition and health, qualitative and quantitative social science research methods. </w:t>
            </w:r>
          </w:p>
          <w:p w14:paraId="24C3E06B" w14:textId="3C801233" w:rsidR="004407CC"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xml:space="preserve">: </w:t>
            </w:r>
            <w:r w:rsidR="004407CC" w:rsidRPr="00CA49AD">
              <w:rPr>
                <w:rFonts w:eastAsia="Times New Roman" w:cstheme="minorHAnsi"/>
                <w:lang w:val="en-US" w:eastAsia="de-DE"/>
              </w:rPr>
              <w:t>Evidence-based public health, nutrition and health</w:t>
            </w:r>
            <w:r w:rsidR="004407CC">
              <w:rPr>
                <w:rFonts w:eastAsia="Times New Roman" w:cstheme="minorHAnsi"/>
                <w:lang w:val="en-US" w:eastAsia="de-DE"/>
              </w:rPr>
              <w:t>, global health.</w:t>
            </w:r>
          </w:p>
          <w:p w14:paraId="09853168" w14:textId="222C75EB" w:rsidR="004407CC"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xml:space="preserve">: </w:t>
            </w:r>
            <w:r w:rsidR="00C90368">
              <w:rPr>
                <w:rFonts w:eastAsia="Times New Roman" w:cstheme="minorHAnsi"/>
                <w:lang w:val="en-US" w:eastAsia="de-DE"/>
              </w:rPr>
              <w:t>Evidence-based public health, n</w:t>
            </w:r>
            <w:r w:rsidR="004407CC">
              <w:rPr>
                <w:rFonts w:eastAsia="Times New Roman" w:cstheme="minorHAnsi"/>
                <w:lang w:val="en-US" w:eastAsia="de-DE"/>
              </w:rPr>
              <w:t>utritional sciences, public health.</w:t>
            </w:r>
          </w:p>
          <w:p w14:paraId="55C50FAA" w14:textId="1D191056"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Pr>
                <w:rFonts w:eastAsia="Times New Roman" w:cstheme="minorHAnsi"/>
                <w:lang w:val="en-US" w:eastAsia="de-DE"/>
              </w:rPr>
              <w:t>: Nutritional epidemiology, public health</w:t>
            </w:r>
            <w:r w:rsidR="003920A5">
              <w:rPr>
                <w:rFonts w:eastAsia="Times New Roman" w:cstheme="minorHAnsi"/>
                <w:lang w:val="en-US" w:eastAsia="de-DE"/>
              </w:rPr>
              <w:t>, global health</w:t>
            </w:r>
            <w:r w:rsidR="004407CC">
              <w:rPr>
                <w:rFonts w:eastAsia="Times New Roman" w:cstheme="minorHAnsi"/>
                <w:lang w:val="en-US" w:eastAsia="de-DE"/>
              </w:rPr>
              <w:t>.</w:t>
            </w:r>
          </w:p>
          <w:p w14:paraId="03F6BF08" w14:textId="71987B92" w:rsidR="004407CC" w:rsidRPr="00CA49AD" w:rsidRDefault="00873A1B">
            <w:pPr>
              <w:spacing w:line="276" w:lineRule="auto"/>
              <w:rPr>
                <w:rFonts w:eastAsia="Times New Roman" w:cstheme="minorHAnsi"/>
                <w:lang w:val="en-US" w:eastAsia="de-DE"/>
              </w:rPr>
            </w:pPr>
            <w:r w:rsidRPr="00873A1B">
              <w:rPr>
                <w:lang w:val="en-US"/>
              </w:rPr>
              <w:t>[Concealed for peer review]</w:t>
            </w:r>
            <w:r w:rsidR="004407CC" w:rsidRPr="00CA49AD">
              <w:rPr>
                <w:rFonts w:eastAsia="Times New Roman" w:cstheme="minorHAnsi"/>
                <w:lang w:val="en-US" w:eastAsia="de-DE"/>
              </w:rPr>
              <w:t>: Social science research methods, including qualitative methods (content analysis, grounded theory); geographical research methods; public health and clinical medicine.</w:t>
            </w:r>
          </w:p>
          <w:p w14:paraId="2C0B5A51" w14:textId="64987C02" w:rsidR="004407CC" w:rsidRPr="00CA49AD" w:rsidRDefault="004407CC">
            <w:pPr>
              <w:spacing w:line="276" w:lineRule="auto"/>
              <w:rPr>
                <w:rFonts w:eastAsia="Times New Roman" w:cstheme="minorHAnsi"/>
                <w:lang w:val="en-US" w:eastAsia="de-DE"/>
              </w:rPr>
            </w:pPr>
            <w:r w:rsidRPr="00CA49AD">
              <w:rPr>
                <w:rFonts w:eastAsia="Times New Roman" w:cstheme="minorHAnsi"/>
                <w:lang w:val="en-US" w:eastAsia="de-DE"/>
              </w:rPr>
              <w:t>ER</w:t>
            </w:r>
            <w:r w:rsidR="00873A1B" w:rsidRPr="00873A1B">
              <w:rPr>
                <w:lang w:val="en-US"/>
              </w:rPr>
              <w:t>[Concealed for peer review]</w:t>
            </w:r>
            <w:r w:rsidRPr="00CA49AD">
              <w:rPr>
                <w:rFonts w:eastAsia="Times New Roman" w:cstheme="minorHAnsi"/>
                <w:lang w:val="en-US" w:eastAsia="de-DE"/>
              </w:rPr>
              <w:t xml:space="preserve">Methods for evidence-based public health; evaluation of complex interventions. </w:t>
            </w:r>
          </w:p>
        </w:tc>
      </w:tr>
      <w:tr w:rsidR="004407CC" w:rsidRPr="00CA49AD" w14:paraId="00DF0858" w14:textId="77777777" w:rsidTr="00520B10">
        <w:trPr>
          <w:trHeight w:val="300"/>
        </w:trPr>
        <w:tc>
          <w:tcPr>
            <w:tcW w:w="9351" w:type="dxa"/>
            <w:gridSpan w:val="2"/>
            <w:shd w:val="clear" w:color="auto" w:fill="auto"/>
            <w:hideMark/>
          </w:tcPr>
          <w:p w14:paraId="4426001C" w14:textId="77777777" w:rsidR="004407CC" w:rsidRPr="00CA49AD" w:rsidRDefault="004407CC" w:rsidP="00C90368">
            <w:pPr>
              <w:spacing w:line="240" w:lineRule="auto"/>
              <w:rPr>
                <w:rFonts w:eastAsia="Times New Roman" w:cstheme="minorHAnsi"/>
                <w:b/>
                <w:color w:val="000000"/>
                <w:lang w:eastAsia="de-DE"/>
              </w:rPr>
            </w:pPr>
            <w:r w:rsidRPr="00CA49AD">
              <w:rPr>
                <w:rFonts w:eastAsia="Times New Roman" w:cstheme="minorHAnsi"/>
                <w:b/>
                <w:color w:val="000000"/>
                <w:lang w:eastAsia="de-DE"/>
              </w:rPr>
              <w:t>Relationship with participants</w:t>
            </w:r>
          </w:p>
        </w:tc>
      </w:tr>
      <w:tr w:rsidR="004407CC" w:rsidRPr="00E157BD" w14:paraId="04C8813B" w14:textId="77777777" w:rsidTr="00520B10">
        <w:trPr>
          <w:trHeight w:val="600"/>
        </w:trPr>
        <w:tc>
          <w:tcPr>
            <w:tcW w:w="4815" w:type="dxa"/>
            <w:shd w:val="clear" w:color="auto" w:fill="auto"/>
            <w:hideMark/>
          </w:tcPr>
          <w:p w14:paraId="074FC71A"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6. Relationship established: Was a relationship established prior to study commencement?</w:t>
            </w:r>
          </w:p>
        </w:tc>
        <w:tc>
          <w:tcPr>
            <w:tcW w:w="4536" w:type="dxa"/>
            <w:shd w:val="clear" w:color="auto" w:fill="auto"/>
            <w:hideMark/>
          </w:tcPr>
          <w:p w14:paraId="1A95ED97" w14:textId="006B16A0" w:rsidR="004407CC" w:rsidRPr="00CA49AD" w:rsidRDefault="004407CC" w:rsidP="0096171A">
            <w:pPr>
              <w:spacing w:line="240" w:lineRule="auto"/>
              <w:rPr>
                <w:rFonts w:eastAsia="Times New Roman" w:cstheme="minorHAnsi"/>
                <w:color w:val="000000"/>
                <w:lang w:val="en-US" w:eastAsia="de-DE"/>
              </w:rPr>
            </w:pPr>
            <w:r>
              <w:rPr>
                <w:rFonts w:eastAsia="Times New Roman" w:cstheme="minorHAnsi"/>
                <w:color w:val="000000"/>
                <w:lang w:val="en-US" w:eastAsia="de-DE"/>
              </w:rPr>
              <w:t xml:space="preserve">Yes, to </w:t>
            </w:r>
            <w:r w:rsidR="0096171A">
              <w:rPr>
                <w:rFonts w:eastAsia="Times New Roman" w:cstheme="minorHAnsi"/>
                <w:color w:val="000000"/>
                <w:lang w:val="en-US" w:eastAsia="de-DE"/>
              </w:rPr>
              <w:t xml:space="preserve">part </w:t>
            </w:r>
            <w:r>
              <w:rPr>
                <w:rFonts w:eastAsia="Times New Roman" w:cstheme="minorHAnsi"/>
                <w:color w:val="000000"/>
                <w:lang w:val="en-US" w:eastAsia="de-DE"/>
              </w:rPr>
              <w:t>of the participants</w:t>
            </w:r>
            <w:r w:rsidR="00C90368">
              <w:rPr>
                <w:rFonts w:eastAsia="Times New Roman" w:cstheme="minorHAnsi"/>
                <w:color w:val="000000"/>
                <w:lang w:val="en-US" w:eastAsia="de-DE"/>
              </w:rPr>
              <w:t>.</w:t>
            </w:r>
          </w:p>
        </w:tc>
      </w:tr>
      <w:tr w:rsidR="004407CC" w:rsidRPr="00E157BD" w14:paraId="58E2208F" w14:textId="77777777" w:rsidTr="00520B10">
        <w:trPr>
          <w:trHeight w:val="300"/>
        </w:trPr>
        <w:tc>
          <w:tcPr>
            <w:tcW w:w="4815" w:type="dxa"/>
            <w:shd w:val="clear" w:color="auto" w:fill="auto"/>
            <w:hideMark/>
          </w:tcPr>
          <w:p w14:paraId="1B125538"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7. Participant knowledge of the interviewer: What did the participants know about the researcher? e.g. personal goals, reasons for doing the</w:t>
            </w:r>
          </w:p>
          <w:p w14:paraId="295BF796" w14:textId="77777777" w:rsidR="004407CC" w:rsidRPr="00CA49AD" w:rsidRDefault="004407CC">
            <w:pPr>
              <w:spacing w:line="240" w:lineRule="auto"/>
              <w:rPr>
                <w:rFonts w:eastAsia="Times New Roman" w:cstheme="minorHAnsi"/>
                <w:color w:val="000000"/>
                <w:lang w:val="en-US" w:eastAsia="de-DE"/>
              </w:rPr>
            </w:pPr>
            <w:r w:rsidRPr="00CA49AD">
              <w:rPr>
                <w:rFonts w:eastAsia="Times New Roman" w:cstheme="minorHAnsi"/>
                <w:color w:val="000000"/>
                <w:lang w:eastAsia="de-DE"/>
              </w:rPr>
              <w:t>research</w:t>
            </w:r>
          </w:p>
        </w:tc>
        <w:tc>
          <w:tcPr>
            <w:tcW w:w="4536" w:type="dxa"/>
            <w:shd w:val="clear" w:color="auto" w:fill="auto"/>
            <w:hideMark/>
          </w:tcPr>
          <w:p w14:paraId="4835F418" w14:textId="10028232" w:rsidR="004407CC" w:rsidRPr="00CA49AD" w:rsidRDefault="004407CC">
            <w:pPr>
              <w:spacing w:line="240" w:lineRule="auto"/>
              <w:rPr>
                <w:rFonts w:eastAsia="Times New Roman" w:cstheme="minorHAnsi"/>
                <w:color w:val="000000"/>
                <w:lang w:val="en-US" w:eastAsia="de-DE"/>
              </w:rPr>
            </w:pPr>
            <w:r>
              <w:rPr>
                <w:rFonts w:eastAsia="Times New Roman" w:cstheme="minorHAnsi"/>
                <w:color w:val="000000"/>
                <w:lang w:val="en-US" w:eastAsia="de-DE"/>
              </w:rPr>
              <w:t>The goals of the project and the reasons for doing the research were clearly communicated to the participants (see</w:t>
            </w:r>
            <w:r w:rsidR="007F5900">
              <w:rPr>
                <w:rFonts w:eastAsia="Times New Roman" w:cstheme="minorHAnsi"/>
                <w:color w:val="000000"/>
                <w:lang w:val="en-US" w:eastAsia="de-DE"/>
              </w:rPr>
              <w:t xml:space="preserve"> section 6 of the online appendix)</w:t>
            </w:r>
            <w:r w:rsidR="00C90368">
              <w:rPr>
                <w:rFonts w:eastAsia="Times New Roman" w:cstheme="minorHAnsi"/>
                <w:color w:val="000000"/>
                <w:lang w:val="en-US" w:eastAsia="de-DE"/>
              </w:rPr>
              <w:t>.</w:t>
            </w:r>
          </w:p>
        </w:tc>
      </w:tr>
      <w:tr w:rsidR="004407CC" w:rsidRPr="00E157BD" w14:paraId="5FE59A2D" w14:textId="77777777" w:rsidTr="00520B10">
        <w:trPr>
          <w:trHeight w:val="301"/>
        </w:trPr>
        <w:tc>
          <w:tcPr>
            <w:tcW w:w="4815" w:type="dxa"/>
            <w:shd w:val="clear" w:color="auto" w:fill="auto"/>
            <w:hideMark/>
          </w:tcPr>
          <w:p w14:paraId="7607FC64"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8. Interviewer characteristics: What characteristics were reported about the interviewer/facilitator? e.g. Bias, assumptions, reasons and interests in the research topic</w:t>
            </w:r>
          </w:p>
        </w:tc>
        <w:tc>
          <w:tcPr>
            <w:tcW w:w="4536" w:type="dxa"/>
            <w:shd w:val="clear" w:color="auto" w:fill="auto"/>
            <w:hideMark/>
          </w:tcPr>
          <w:p w14:paraId="2F836C7C" w14:textId="224D79A5" w:rsidR="004407CC" w:rsidRPr="00CA49AD" w:rsidRDefault="000C7022"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At the beginning of the online expert workshop, all members of the research team shortly introduced themselves</w:t>
            </w:r>
            <w:r w:rsidR="001B20D1">
              <w:rPr>
                <w:rFonts w:eastAsia="Times New Roman" w:cstheme="minorHAnsi"/>
                <w:color w:val="000000"/>
                <w:lang w:val="en-US" w:eastAsia="de-DE"/>
              </w:rPr>
              <w:t>.</w:t>
            </w:r>
            <w:r>
              <w:rPr>
                <w:rFonts w:eastAsia="Times New Roman" w:cstheme="minorHAnsi"/>
                <w:color w:val="000000"/>
                <w:lang w:val="en-US" w:eastAsia="de-DE"/>
              </w:rPr>
              <w:t xml:space="preserve"> </w:t>
            </w:r>
          </w:p>
        </w:tc>
      </w:tr>
      <w:tr w:rsidR="004407CC" w:rsidRPr="00CA49AD" w14:paraId="0F58127D" w14:textId="77777777" w:rsidTr="00520B10">
        <w:trPr>
          <w:trHeight w:val="300"/>
        </w:trPr>
        <w:tc>
          <w:tcPr>
            <w:tcW w:w="9351" w:type="dxa"/>
            <w:gridSpan w:val="2"/>
            <w:shd w:val="clear" w:color="auto" w:fill="auto"/>
            <w:hideMark/>
          </w:tcPr>
          <w:p w14:paraId="065894FB" w14:textId="77777777" w:rsidR="004407CC" w:rsidRPr="00CA49AD" w:rsidRDefault="004407CC" w:rsidP="00C90368">
            <w:pPr>
              <w:spacing w:line="240" w:lineRule="auto"/>
              <w:rPr>
                <w:rFonts w:eastAsia="Times New Roman" w:cstheme="minorHAnsi"/>
                <w:b/>
                <w:color w:val="000000"/>
                <w:lang w:val="en-US" w:eastAsia="de-DE"/>
              </w:rPr>
            </w:pPr>
            <w:r w:rsidRPr="00CA49AD">
              <w:rPr>
                <w:rFonts w:eastAsia="Times New Roman" w:cstheme="minorHAnsi"/>
                <w:b/>
                <w:color w:val="000000"/>
                <w:lang w:val="en-US" w:eastAsia="de-DE"/>
              </w:rPr>
              <w:t>Domain 2: study design</w:t>
            </w:r>
          </w:p>
        </w:tc>
      </w:tr>
      <w:tr w:rsidR="004407CC" w:rsidRPr="00CA49AD" w14:paraId="225A8BBD" w14:textId="77777777" w:rsidTr="00520B10">
        <w:trPr>
          <w:trHeight w:val="300"/>
        </w:trPr>
        <w:tc>
          <w:tcPr>
            <w:tcW w:w="9351" w:type="dxa"/>
            <w:gridSpan w:val="2"/>
            <w:shd w:val="clear" w:color="auto" w:fill="auto"/>
            <w:hideMark/>
          </w:tcPr>
          <w:p w14:paraId="40CA0CD1" w14:textId="77777777" w:rsidR="004407CC" w:rsidRPr="00CA49AD" w:rsidRDefault="004407CC" w:rsidP="00C90368">
            <w:pPr>
              <w:spacing w:line="240" w:lineRule="auto"/>
              <w:rPr>
                <w:rFonts w:eastAsia="Times New Roman" w:cstheme="minorHAnsi"/>
                <w:b/>
                <w:color w:val="000000"/>
                <w:lang w:val="en-US" w:eastAsia="de-DE"/>
              </w:rPr>
            </w:pPr>
            <w:r w:rsidRPr="00CA49AD">
              <w:rPr>
                <w:rFonts w:eastAsia="Times New Roman" w:cstheme="minorHAnsi"/>
                <w:b/>
                <w:color w:val="000000"/>
                <w:lang w:val="en-US" w:eastAsia="de-DE"/>
              </w:rPr>
              <w:t>Theoretical framework</w:t>
            </w:r>
          </w:p>
        </w:tc>
      </w:tr>
      <w:tr w:rsidR="004407CC" w:rsidRPr="00E157BD" w14:paraId="015B9D2E" w14:textId="77777777" w:rsidTr="00520B10">
        <w:trPr>
          <w:trHeight w:val="300"/>
        </w:trPr>
        <w:tc>
          <w:tcPr>
            <w:tcW w:w="4815" w:type="dxa"/>
            <w:shd w:val="clear" w:color="auto" w:fill="auto"/>
            <w:hideMark/>
          </w:tcPr>
          <w:p w14:paraId="06AF9506"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9. Methodological orientation and Theory: What methodological orientation was stated to underpin the study? e.g. grounded theory, discourse analysis, ethnography, phenomenology, content analysis</w:t>
            </w:r>
          </w:p>
        </w:tc>
        <w:tc>
          <w:tcPr>
            <w:tcW w:w="4536" w:type="dxa"/>
            <w:shd w:val="clear" w:color="auto" w:fill="auto"/>
            <w:hideMark/>
          </w:tcPr>
          <w:p w14:paraId="18F4C5F9" w14:textId="4B497B13" w:rsidR="004407CC" w:rsidRPr="00CA49AD" w:rsidRDefault="001B20D1"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Policy analysis and q</w:t>
            </w:r>
            <w:r w:rsidR="004407CC" w:rsidRPr="00CA49AD">
              <w:rPr>
                <w:rFonts w:eastAsia="Times New Roman" w:cstheme="minorHAnsi"/>
                <w:color w:val="000000"/>
                <w:lang w:val="en-US" w:eastAsia="de-DE"/>
              </w:rPr>
              <w:t>ualitative content analysis</w:t>
            </w:r>
            <w:r w:rsidR="00C90368">
              <w:rPr>
                <w:rFonts w:eastAsia="Times New Roman" w:cstheme="minorHAnsi"/>
                <w:color w:val="000000"/>
                <w:lang w:val="en-US" w:eastAsia="de-DE"/>
              </w:rPr>
              <w:t>.</w:t>
            </w:r>
          </w:p>
        </w:tc>
      </w:tr>
      <w:tr w:rsidR="004407CC" w:rsidRPr="00CA49AD" w14:paraId="2F436F80" w14:textId="77777777" w:rsidTr="00520B10">
        <w:trPr>
          <w:trHeight w:val="300"/>
        </w:trPr>
        <w:tc>
          <w:tcPr>
            <w:tcW w:w="9351" w:type="dxa"/>
            <w:gridSpan w:val="2"/>
            <w:shd w:val="clear" w:color="auto" w:fill="auto"/>
            <w:hideMark/>
          </w:tcPr>
          <w:p w14:paraId="32A99845" w14:textId="77777777" w:rsidR="004407CC" w:rsidRPr="00CA49AD" w:rsidRDefault="004407CC" w:rsidP="00C90368">
            <w:pPr>
              <w:spacing w:line="240" w:lineRule="auto"/>
              <w:rPr>
                <w:rFonts w:eastAsia="Times New Roman" w:cstheme="minorHAnsi"/>
                <w:b/>
                <w:color w:val="000000"/>
                <w:lang w:eastAsia="de-DE"/>
              </w:rPr>
            </w:pPr>
            <w:r w:rsidRPr="00CA49AD">
              <w:rPr>
                <w:rFonts w:eastAsia="Times New Roman" w:cstheme="minorHAnsi"/>
                <w:b/>
                <w:color w:val="000000"/>
                <w:lang w:eastAsia="de-DE"/>
              </w:rPr>
              <w:t>Participant selection</w:t>
            </w:r>
          </w:p>
        </w:tc>
      </w:tr>
      <w:tr w:rsidR="004407CC" w:rsidRPr="00CA49AD" w14:paraId="051F983C" w14:textId="77777777" w:rsidTr="00520B10">
        <w:trPr>
          <w:trHeight w:val="600"/>
        </w:trPr>
        <w:tc>
          <w:tcPr>
            <w:tcW w:w="4815" w:type="dxa"/>
            <w:shd w:val="clear" w:color="auto" w:fill="auto"/>
            <w:hideMark/>
          </w:tcPr>
          <w:p w14:paraId="49195E13"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10. Sampling: How were participants selected? e.g. purposive, convenience, consecutive, snowball</w:t>
            </w:r>
          </w:p>
        </w:tc>
        <w:tc>
          <w:tcPr>
            <w:tcW w:w="4536" w:type="dxa"/>
            <w:shd w:val="clear" w:color="auto" w:fill="auto"/>
            <w:hideMark/>
          </w:tcPr>
          <w:p w14:paraId="6D3AD58E" w14:textId="1D81799B" w:rsidR="004407CC" w:rsidRPr="00CA49AD" w:rsidRDefault="00772B4B"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Purposive sampling</w:t>
            </w:r>
          </w:p>
        </w:tc>
      </w:tr>
      <w:tr w:rsidR="004407CC" w:rsidRPr="00CA49AD" w14:paraId="45D2EE84" w14:textId="77777777" w:rsidTr="00520B10">
        <w:trPr>
          <w:trHeight w:val="900"/>
        </w:trPr>
        <w:tc>
          <w:tcPr>
            <w:tcW w:w="4815" w:type="dxa"/>
            <w:shd w:val="clear" w:color="auto" w:fill="auto"/>
            <w:hideMark/>
          </w:tcPr>
          <w:p w14:paraId="281FDBCA"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lastRenderedPageBreak/>
              <w:t>11. Method of approach: How were participants approached? e.g. face-to-face, telephone, mail, email</w:t>
            </w:r>
          </w:p>
        </w:tc>
        <w:tc>
          <w:tcPr>
            <w:tcW w:w="4536" w:type="dxa"/>
            <w:shd w:val="clear" w:color="auto" w:fill="auto"/>
            <w:hideMark/>
          </w:tcPr>
          <w:p w14:paraId="693F8B61" w14:textId="3A48FF93" w:rsidR="004407CC" w:rsidRPr="00CA49AD" w:rsidRDefault="00772B4B"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By email</w:t>
            </w:r>
          </w:p>
        </w:tc>
      </w:tr>
      <w:tr w:rsidR="004407CC" w:rsidRPr="00CA49AD" w14:paraId="5DE347A6" w14:textId="77777777" w:rsidTr="00520B10">
        <w:trPr>
          <w:trHeight w:val="600"/>
        </w:trPr>
        <w:tc>
          <w:tcPr>
            <w:tcW w:w="4815" w:type="dxa"/>
            <w:shd w:val="clear" w:color="auto" w:fill="auto"/>
            <w:hideMark/>
          </w:tcPr>
          <w:p w14:paraId="48151578"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12. Sample size: How many participants were in the study?</w:t>
            </w:r>
          </w:p>
        </w:tc>
        <w:tc>
          <w:tcPr>
            <w:tcW w:w="4536" w:type="dxa"/>
            <w:shd w:val="clear" w:color="auto" w:fill="auto"/>
            <w:hideMark/>
          </w:tcPr>
          <w:p w14:paraId="6BE57C6D" w14:textId="30C2C360" w:rsidR="004407CC" w:rsidRPr="00CA49AD" w:rsidRDefault="00772B4B"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55</w:t>
            </w:r>
          </w:p>
        </w:tc>
      </w:tr>
      <w:tr w:rsidR="004407CC" w:rsidRPr="00E157BD" w14:paraId="6580C9C5" w14:textId="77777777" w:rsidTr="00520B10">
        <w:trPr>
          <w:trHeight w:val="600"/>
        </w:trPr>
        <w:tc>
          <w:tcPr>
            <w:tcW w:w="4815" w:type="dxa"/>
            <w:shd w:val="clear" w:color="auto" w:fill="auto"/>
            <w:hideMark/>
          </w:tcPr>
          <w:p w14:paraId="7340946D"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13. Non-participation: How many people refused to participate or dropped out? Reasons?</w:t>
            </w:r>
          </w:p>
        </w:tc>
        <w:tc>
          <w:tcPr>
            <w:tcW w:w="4536" w:type="dxa"/>
            <w:shd w:val="clear" w:color="auto" w:fill="auto"/>
            <w:hideMark/>
          </w:tcPr>
          <w:p w14:paraId="0F8B13BC" w14:textId="259F1FB6" w:rsidR="004407CC" w:rsidRPr="00CA49AD" w:rsidRDefault="00E10CA1"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We contacted 72 experts, of which 17 did not r</w:t>
            </w:r>
            <w:r w:rsidR="007B572C">
              <w:rPr>
                <w:rFonts w:eastAsia="Times New Roman" w:cstheme="minorHAnsi"/>
                <w:color w:val="000000"/>
                <w:lang w:val="en-US" w:eastAsia="de-DE"/>
              </w:rPr>
              <w:t xml:space="preserve">eply, for reasons which </w:t>
            </w:r>
            <w:r w:rsidR="00C90368">
              <w:rPr>
                <w:rFonts w:eastAsia="Times New Roman" w:cstheme="minorHAnsi"/>
                <w:color w:val="000000"/>
                <w:lang w:val="en-US" w:eastAsia="de-DE"/>
              </w:rPr>
              <w:t xml:space="preserve">are </w:t>
            </w:r>
            <w:r w:rsidR="007B572C">
              <w:rPr>
                <w:rFonts w:eastAsia="Times New Roman" w:cstheme="minorHAnsi"/>
                <w:color w:val="000000"/>
                <w:lang w:val="en-US" w:eastAsia="de-DE"/>
              </w:rPr>
              <w:t xml:space="preserve">unknown to us. </w:t>
            </w:r>
            <w:r w:rsidR="00406915">
              <w:rPr>
                <w:rFonts w:eastAsia="Times New Roman" w:cstheme="minorHAnsi"/>
                <w:color w:val="000000"/>
                <w:lang w:val="en-US" w:eastAsia="de-DE"/>
              </w:rPr>
              <w:t xml:space="preserve">Not all experts participated in all steps of the consultation phase, but none withdrew from </w:t>
            </w:r>
            <w:r w:rsidR="0049740B">
              <w:rPr>
                <w:rFonts w:eastAsia="Times New Roman" w:cstheme="minorHAnsi"/>
                <w:color w:val="000000"/>
                <w:lang w:val="en-US" w:eastAsia="de-DE"/>
              </w:rPr>
              <w:t>their participation.</w:t>
            </w:r>
          </w:p>
        </w:tc>
      </w:tr>
      <w:tr w:rsidR="004407CC" w:rsidRPr="00CA49AD" w14:paraId="016B57F7" w14:textId="77777777" w:rsidTr="00520B10">
        <w:trPr>
          <w:trHeight w:val="300"/>
        </w:trPr>
        <w:tc>
          <w:tcPr>
            <w:tcW w:w="9351" w:type="dxa"/>
            <w:gridSpan w:val="2"/>
            <w:shd w:val="clear" w:color="auto" w:fill="auto"/>
            <w:hideMark/>
          </w:tcPr>
          <w:p w14:paraId="18C9666E" w14:textId="77777777" w:rsidR="004407CC" w:rsidRPr="00CA49AD" w:rsidRDefault="004407CC" w:rsidP="00C90368">
            <w:pPr>
              <w:spacing w:line="240" w:lineRule="auto"/>
              <w:rPr>
                <w:rFonts w:eastAsia="Times New Roman" w:cstheme="minorHAnsi"/>
                <w:b/>
                <w:color w:val="000000"/>
                <w:lang w:eastAsia="de-DE"/>
              </w:rPr>
            </w:pPr>
            <w:r w:rsidRPr="00CA49AD">
              <w:rPr>
                <w:rFonts w:eastAsia="Times New Roman" w:cstheme="minorHAnsi"/>
                <w:b/>
                <w:color w:val="000000"/>
                <w:lang w:eastAsia="de-DE"/>
              </w:rPr>
              <w:t>Setting</w:t>
            </w:r>
          </w:p>
        </w:tc>
      </w:tr>
      <w:tr w:rsidR="004407CC" w:rsidRPr="00E157BD" w14:paraId="181BE212" w14:textId="77777777" w:rsidTr="00520B10">
        <w:trPr>
          <w:trHeight w:val="600"/>
        </w:trPr>
        <w:tc>
          <w:tcPr>
            <w:tcW w:w="4815" w:type="dxa"/>
            <w:shd w:val="clear" w:color="auto" w:fill="auto"/>
            <w:hideMark/>
          </w:tcPr>
          <w:p w14:paraId="0E1A5595"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14. Setting of data collection: Where was the data collected? e.g. home, clinic, workplace</w:t>
            </w:r>
          </w:p>
        </w:tc>
        <w:tc>
          <w:tcPr>
            <w:tcW w:w="4536" w:type="dxa"/>
            <w:shd w:val="clear" w:color="auto" w:fill="auto"/>
            <w:hideMark/>
          </w:tcPr>
          <w:p w14:paraId="2351E71C" w14:textId="76CFE10A" w:rsidR="004407CC" w:rsidRPr="00CA49AD" w:rsidRDefault="0049740B">
            <w:pPr>
              <w:spacing w:line="240" w:lineRule="auto"/>
              <w:rPr>
                <w:rFonts w:eastAsia="Times New Roman" w:cstheme="minorHAnsi"/>
                <w:color w:val="000000"/>
                <w:lang w:val="en-US" w:eastAsia="de-DE"/>
              </w:rPr>
            </w:pPr>
            <w:r>
              <w:rPr>
                <w:rFonts w:eastAsia="Times New Roman" w:cstheme="minorHAnsi"/>
                <w:color w:val="000000"/>
                <w:lang w:val="en-US" w:eastAsia="de-DE"/>
              </w:rPr>
              <w:t>Data was collected paper-based (</w:t>
            </w:r>
            <w:r w:rsidR="0063302D">
              <w:rPr>
                <w:rFonts w:eastAsia="Times New Roman" w:cstheme="minorHAnsi"/>
                <w:color w:val="000000"/>
                <w:lang w:val="en-US" w:eastAsia="de-DE"/>
              </w:rPr>
              <w:t>with questionnaires, as email text, and as comments and edits to MS Word files which were provided to the participating experts</w:t>
            </w:r>
            <w:r w:rsidR="003740C7">
              <w:rPr>
                <w:rFonts w:eastAsia="Times New Roman" w:cstheme="minorHAnsi"/>
                <w:color w:val="000000"/>
                <w:lang w:val="en-US" w:eastAsia="de-DE"/>
              </w:rPr>
              <w:t>), as well as during an online workshop.</w:t>
            </w:r>
          </w:p>
        </w:tc>
      </w:tr>
      <w:tr w:rsidR="004407CC" w:rsidRPr="00CA49AD" w14:paraId="095AD5FE" w14:textId="77777777" w:rsidTr="00520B10">
        <w:trPr>
          <w:trHeight w:val="600"/>
        </w:trPr>
        <w:tc>
          <w:tcPr>
            <w:tcW w:w="4815" w:type="dxa"/>
            <w:shd w:val="clear" w:color="auto" w:fill="auto"/>
            <w:hideMark/>
          </w:tcPr>
          <w:p w14:paraId="00BC93EA"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15. Presence of non-participants: Was anyone else present besides the participants and researchers?</w:t>
            </w:r>
          </w:p>
        </w:tc>
        <w:tc>
          <w:tcPr>
            <w:tcW w:w="4536" w:type="dxa"/>
            <w:shd w:val="clear" w:color="auto" w:fill="auto"/>
            <w:hideMark/>
          </w:tcPr>
          <w:p w14:paraId="5D8318CA" w14:textId="70D90BEA" w:rsidR="004407CC" w:rsidRPr="00CA49AD" w:rsidRDefault="003740C7">
            <w:pPr>
              <w:spacing w:line="240" w:lineRule="auto"/>
              <w:rPr>
                <w:rFonts w:eastAsia="Times New Roman" w:cstheme="minorHAnsi"/>
                <w:color w:val="000000"/>
                <w:lang w:val="en-US" w:eastAsia="de-DE"/>
              </w:rPr>
            </w:pPr>
            <w:r>
              <w:rPr>
                <w:rFonts w:eastAsia="Times New Roman" w:cstheme="minorHAnsi"/>
                <w:color w:val="000000"/>
                <w:lang w:val="en-US" w:eastAsia="de-DE"/>
              </w:rPr>
              <w:t>No</w:t>
            </w:r>
          </w:p>
        </w:tc>
      </w:tr>
      <w:tr w:rsidR="004407CC" w:rsidRPr="00E157BD" w14:paraId="35E04A96" w14:textId="77777777" w:rsidTr="00520B10">
        <w:trPr>
          <w:trHeight w:val="900"/>
        </w:trPr>
        <w:tc>
          <w:tcPr>
            <w:tcW w:w="4815" w:type="dxa"/>
            <w:shd w:val="clear" w:color="auto" w:fill="auto"/>
            <w:hideMark/>
          </w:tcPr>
          <w:p w14:paraId="7CD01503"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16. Description of sample: What are the important characteristics of the sample? e.g. demographic data, date</w:t>
            </w:r>
          </w:p>
        </w:tc>
        <w:tc>
          <w:tcPr>
            <w:tcW w:w="4536" w:type="dxa"/>
            <w:shd w:val="clear" w:color="auto" w:fill="auto"/>
            <w:hideMark/>
          </w:tcPr>
          <w:p w14:paraId="55C30694" w14:textId="6BF50F42" w:rsidR="004407CC" w:rsidRPr="00CA49AD" w:rsidRDefault="003740C7"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See section 1 of the online appendix</w:t>
            </w:r>
            <w:r w:rsidR="00C90368">
              <w:rPr>
                <w:rFonts w:eastAsia="Times New Roman" w:cstheme="minorHAnsi"/>
                <w:color w:val="000000"/>
                <w:lang w:val="en-US" w:eastAsia="de-DE"/>
              </w:rPr>
              <w:t>.</w:t>
            </w:r>
          </w:p>
        </w:tc>
      </w:tr>
      <w:tr w:rsidR="004407CC" w:rsidRPr="00CA49AD" w14:paraId="4D1AE3F5" w14:textId="77777777" w:rsidTr="00520B10">
        <w:trPr>
          <w:trHeight w:val="300"/>
        </w:trPr>
        <w:tc>
          <w:tcPr>
            <w:tcW w:w="9351" w:type="dxa"/>
            <w:gridSpan w:val="2"/>
            <w:shd w:val="clear" w:color="auto" w:fill="auto"/>
            <w:hideMark/>
          </w:tcPr>
          <w:p w14:paraId="789A28C4" w14:textId="77777777" w:rsidR="004407CC" w:rsidRPr="00CA49AD" w:rsidRDefault="004407CC" w:rsidP="00C90368">
            <w:pPr>
              <w:spacing w:line="240" w:lineRule="auto"/>
              <w:rPr>
                <w:rFonts w:eastAsia="Times New Roman" w:cstheme="minorHAnsi"/>
                <w:color w:val="000000"/>
                <w:lang w:eastAsia="de-DE"/>
              </w:rPr>
            </w:pPr>
            <w:r w:rsidRPr="00CA49AD">
              <w:rPr>
                <w:rFonts w:eastAsia="Times New Roman" w:cstheme="minorHAnsi"/>
                <w:b/>
                <w:color w:val="000000"/>
                <w:lang w:eastAsia="de-DE"/>
              </w:rPr>
              <w:t>Data collection</w:t>
            </w:r>
          </w:p>
        </w:tc>
      </w:tr>
      <w:tr w:rsidR="004407CC" w:rsidRPr="00CA49AD" w14:paraId="4DC50132" w14:textId="77777777" w:rsidTr="00520B10">
        <w:trPr>
          <w:trHeight w:val="446"/>
        </w:trPr>
        <w:tc>
          <w:tcPr>
            <w:tcW w:w="4815" w:type="dxa"/>
            <w:shd w:val="clear" w:color="auto" w:fill="auto"/>
            <w:hideMark/>
          </w:tcPr>
          <w:p w14:paraId="1BA8187B"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17. Interview guide: Were questions, prompts, guides provided by the authors? Was it pilot tested?</w:t>
            </w:r>
          </w:p>
        </w:tc>
        <w:tc>
          <w:tcPr>
            <w:tcW w:w="4536" w:type="dxa"/>
            <w:shd w:val="clear" w:color="auto" w:fill="auto"/>
            <w:hideMark/>
          </w:tcPr>
          <w:p w14:paraId="1ABFDE6F" w14:textId="77777777" w:rsidR="004407CC" w:rsidRPr="00CA49AD" w:rsidRDefault="004407CC">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n.a.</w:t>
            </w:r>
          </w:p>
        </w:tc>
      </w:tr>
      <w:tr w:rsidR="004407CC" w:rsidRPr="00CA49AD" w14:paraId="532BDD34" w14:textId="77777777" w:rsidTr="00520B10">
        <w:trPr>
          <w:trHeight w:val="600"/>
        </w:trPr>
        <w:tc>
          <w:tcPr>
            <w:tcW w:w="4815" w:type="dxa"/>
            <w:shd w:val="clear" w:color="auto" w:fill="auto"/>
            <w:hideMark/>
          </w:tcPr>
          <w:p w14:paraId="19CBAFD6"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18. Repeat interviews: Were repeat interviews carried out? If yes, how many?</w:t>
            </w:r>
          </w:p>
        </w:tc>
        <w:tc>
          <w:tcPr>
            <w:tcW w:w="4536" w:type="dxa"/>
            <w:shd w:val="clear" w:color="auto" w:fill="auto"/>
            <w:hideMark/>
          </w:tcPr>
          <w:p w14:paraId="362561F6" w14:textId="77777777" w:rsidR="004407CC" w:rsidRPr="00CA49AD" w:rsidRDefault="004407CC">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n.a.</w:t>
            </w:r>
          </w:p>
        </w:tc>
      </w:tr>
      <w:tr w:rsidR="004407CC" w:rsidRPr="00E157BD" w14:paraId="1BFD3A63" w14:textId="77777777" w:rsidTr="00520B10">
        <w:trPr>
          <w:trHeight w:val="600"/>
        </w:trPr>
        <w:tc>
          <w:tcPr>
            <w:tcW w:w="4815" w:type="dxa"/>
            <w:shd w:val="clear" w:color="auto" w:fill="auto"/>
            <w:hideMark/>
          </w:tcPr>
          <w:p w14:paraId="54D1EEA1"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19. Audio/visual recording: Did the research use audio or visual recording to collect the data?</w:t>
            </w:r>
          </w:p>
        </w:tc>
        <w:tc>
          <w:tcPr>
            <w:tcW w:w="4536" w:type="dxa"/>
            <w:shd w:val="clear" w:color="auto" w:fill="auto"/>
            <w:hideMark/>
          </w:tcPr>
          <w:p w14:paraId="14BC6F0E" w14:textId="33574173" w:rsidR="004407CC" w:rsidRPr="00CA49AD" w:rsidRDefault="00774CF7"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The online workshop was recorded</w:t>
            </w:r>
            <w:r w:rsidR="00C90368">
              <w:rPr>
                <w:rFonts w:eastAsia="Times New Roman" w:cstheme="minorHAnsi"/>
                <w:color w:val="000000"/>
                <w:lang w:val="en-US" w:eastAsia="de-DE"/>
              </w:rPr>
              <w:t>.</w:t>
            </w:r>
          </w:p>
        </w:tc>
      </w:tr>
      <w:tr w:rsidR="004407CC" w:rsidRPr="00E157BD" w14:paraId="032F8202" w14:textId="77777777" w:rsidTr="00520B10">
        <w:trPr>
          <w:trHeight w:val="600"/>
        </w:trPr>
        <w:tc>
          <w:tcPr>
            <w:tcW w:w="4815" w:type="dxa"/>
            <w:shd w:val="clear" w:color="auto" w:fill="auto"/>
            <w:hideMark/>
          </w:tcPr>
          <w:p w14:paraId="5CB5BAAF"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20. Field notes: Were field notes made during and/or after the interview or focus group?</w:t>
            </w:r>
          </w:p>
        </w:tc>
        <w:tc>
          <w:tcPr>
            <w:tcW w:w="4536" w:type="dxa"/>
            <w:shd w:val="clear" w:color="auto" w:fill="auto"/>
            <w:hideMark/>
          </w:tcPr>
          <w:p w14:paraId="42C7B9CB" w14:textId="3576B6F7" w:rsidR="004407CC" w:rsidRPr="00CA49AD" w:rsidRDefault="00774CF7"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Notes were taken during the online workshop</w:t>
            </w:r>
            <w:r w:rsidR="00C90368">
              <w:rPr>
                <w:rFonts w:eastAsia="Times New Roman" w:cstheme="minorHAnsi"/>
                <w:color w:val="000000"/>
                <w:lang w:val="en-US" w:eastAsia="de-DE"/>
              </w:rPr>
              <w:t>.</w:t>
            </w:r>
          </w:p>
        </w:tc>
      </w:tr>
      <w:tr w:rsidR="004407CC" w:rsidRPr="00E157BD" w14:paraId="5604EB9B" w14:textId="77777777" w:rsidTr="00520B10">
        <w:trPr>
          <w:trHeight w:val="600"/>
        </w:trPr>
        <w:tc>
          <w:tcPr>
            <w:tcW w:w="4815" w:type="dxa"/>
            <w:shd w:val="clear" w:color="auto" w:fill="auto"/>
            <w:hideMark/>
          </w:tcPr>
          <w:p w14:paraId="509B315C"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21. Duration: What was the duration of the interviews or focus group?</w:t>
            </w:r>
          </w:p>
        </w:tc>
        <w:tc>
          <w:tcPr>
            <w:tcW w:w="4536" w:type="dxa"/>
            <w:shd w:val="clear" w:color="auto" w:fill="auto"/>
            <w:hideMark/>
          </w:tcPr>
          <w:p w14:paraId="6CC17DD3" w14:textId="2655E192" w:rsidR="004407CC" w:rsidRPr="00CA49AD" w:rsidRDefault="00FE1275" w:rsidP="00C90368">
            <w:pPr>
              <w:spacing w:line="240" w:lineRule="auto"/>
              <w:rPr>
                <w:rFonts w:eastAsia="Times New Roman" w:cstheme="minorHAnsi"/>
                <w:color w:val="000000"/>
                <w:lang w:val="en-US" w:eastAsia="de-DE"/>
              </w:rPr>
            </w:pPr>
            <w:r>
              <w:rPr>
                <w:rFonts w:eastAsia="Times New Roman" w:cstheme="minorHAnsi"/>
                <w:color w:val="000000"/>
                <w:lang w:val="en-US" w:eastAsia="de-DE"/>
              </w:rPr>
              <w:t>The online workshop lasted for two hours</w:t>
            </w:r>
            <w:r w:rsidR="00C90368">
              <w:rPr>
                <w:rFonts w:eastAsia="Times New Roman" w:cstheme="minorHAnsi"/>
                <w:color w:val="000000"/>
                <w:lang w:val="en-US" w:eastAsia="de-DE"/>
              </w:rPr>
              <w:t>.</w:t>
            </w:r>
          </w:p>
        </w:tc>
      </w:tr>
      <w:tr w:rsidR="004407CC" w:rsidRPr="00E157BD" w14:paraId="31153238" w14:textId="77777777" w:rsidTr="00520B10">
        <w:trPr>
          <w:trHeight w:val="300"/>
        </w:trPr>
        <w:tc>
          <w:tcPr>
            <w:tcW w:w="4815" w:type="dxa"/>
            <w:shd w:val="clear" w:color="auto" w:fill="auto"/>
            <w:hideMark/>
          </w:tcPr>
          <w:p w14:paraId="15CF7F24"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22. Data saturation: Was data saturation discussed?</w:t>
            </w:r>
          </w:p>
        </w:tc>
        <w:tc>
          <w:tcPr>
            <w:tcW w:w="4536" w:type="dxa"/>
            <w:shd w:val="clear" w:color="auto" w:fill="auto"/>
            <w:hideMark/>
          </w:tcPr>
          <w:p w14:paraId="544D35C9" w14:textId="47BB6E96" w:rsidR="004407CC" w:rsidRPr="00CA49AD" w:rsidRDefault="00FE1275">
            <w:pPr>
              <w:spacing w:line="240" w:lineRule="auto"/>
              <w:rPr>
                <w:rFonts w:eastAsia="Times New Roman" w:cstheme="minorHAnsi"/>
                <w:color w:val="000000"/>
                <w:lang w:val="en-US" w:eastAsia="de-DE"/>
              </w:rPr>
            </w:pPr>
            <w:r>
              <w:rPr>
                <w:rFonts w:eastAsia="Times New Roman" w:cstheme="minorHAnsi"/>
                <w:color w:val="000000"/>
                <w:lang w:val="en-US" w:eastAsia="de-DE"/>
              </w:rPr>
              <w:t xml:space="preserve">In the preparation of the evidence report, </w:t>
            </w:r>
            <w:r w:rsidR="005E2546">
              <w:rPr>
                <w:rFonts w:eastAsia="Times New Roman" w:cstheme="minorHAnsi"/>
                <w:color w:val="000000"/>
                <w:lang w:val="en-US" w:eastAsia="de-DE"/>
              </w:rPr>
              <w:t xml:space="preserve">we strived for </w:t>
            </w:r>
            <w:r>
              <w:rPr>
                <w:rFonts w:eastAsia="Times New Roman" w:cstheme="minorHAnsi"/>
                <w:color w:val="000000"/>
                <w:lang w:val="en-US" w:eastAsia="de-DE"/>
              </w:rPr>
              <w:t>data saturation</w:t>
            </w:r>
            <w:r w:rsidR="00C90368">
              <w:rPr>
                <w:rFonts w:eastAsia="Times New Roman" w:cstheme="minorHAnsi"/>
                <w:color w:val="000000"/>
                <w:lang w:val="en-US" w:eastAsia="de-DE"/>
              </w:rPr>
              <w:t>.</w:t>
            </w:r>
            <w:r>
              <w:rPr>
                <w:rFonts w:eastAsia="Times New Roman" w:cstheme="minorHAnsi"/>
                <w:color w:val="000000"/>
                <w:lang w:val="en-US" w:eastAsia="de-DE"/>
              </w:rPr>
              <w:t xml:space="preserve"> </w:t>
            </w:r>
          </w:p>
        </w:tc>
      </w:tr>
      <w:tr w:rsidR="004407CC" w:rsidRPr="00CA49AD" w14:paraId="10B74838" w14:textId="77777777" w:rsidTr="00520B10">
        <w:trPr>
          <w:trHeight w:val="600"/>
        </w:trPr>
        <w:tc>
          <w:tcPr>
            <w:tcW w:w="4815" w:type="dxa"/>
            <w:shd w:val="clear" w:color="auto" w:fill="auto"/>
            <w:hideMark/>
          </w:tcPr>
          <w:p w14:paraId="15344BCA"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23. Transcripts returned: Were transcripts returned to participants for comment and/or correction?</w:t>
            </w:r>
          </w:p>
        </w:tc>
        <w:tc>
          <w:tcPr>
            <w:tcW w:w="4536" w:type="dxa"/>
            <w:shd w:val="clear" w:color="auto" w:fill="auto"/>
            <w:hideMark/>
          </w:tcPr>
          <w:p w14:paraId="124C35C4" w14:textId="45DC1FE6" w:rsidR="004407CC" w:rsidRPr="00CA49AD" w:rsidRDefault="005E2546">
            <w:pPr>
              <w:spacing w:line="240" w:lineRule="auto"/>
              <w:rPr>
                <w:rFonts w:eastAsia="Times New Roman" w:cstheme="minorHAnsi"/>
                <w:color w:val="000000"/>
                <w:lang w:val="en-US" w:eastAsia="de-DE"/>
              </w:rPr>
            </w:pPr>
            <w:r>
              <w:rPr>
                <w:rFonts w:eastAsia="Times New Roman" w:cstheme="minorHAnsi"/>
                <w:color w:val="000000"/>
                <w:lang w:val="en-US" w:eastAsia="de-DE"/>
              </w:rPr>
              <w:t>A full transcript of the online workshop was produced but used internally only. A two-page summary was provided to the participants.</w:t>
            </w:r>
          </w:p>
        </w:tc>
      </w:tr>
      <w:tr w:rsidR="004407CC" w:rsidRPr="00CA49AD" w14:paraId="3B496D38" w14:textId="77777777" w:rsidTr="00520B10">
        <w:trPr>
          <w:trHeight w:val="300"/>
        </w:trPr>
        <w:tc>
          <w:tcPr>
            <w:tcW w:w="9351" w:type="dxa"/>
            <w:gridSpan w:val="2"/>
            <w:shd w:val="clear" w:color="auto" w:fill="auto"/>
            <w:hideMark/>
          </w:tcPr>
          <w:p w14:paraId="625A3FAB" w14:textId="77777777" w:rsidR="004407CC" w:rsidRPr="00CA49AD" w:rsidRDefault="004407CC" w:rsidP="00C90368">
            <w:pPr>
              <w:spacing w:line="240" w:lineRule="auto"/>
              <w:rPr>
                <w:rFonts w:eastAsia="Times New Roman" w:cstheme="minorHAnsi"/>
                <w:b/>
                <w:color w:val="000000"/>
                <w:lang w:eastAsia="de-DE"/>
              </w:rPr>
            </w:pPr>
            <w:r w:rsidRPr="00CA49AD">
              <w:rPr>
                <w:rFonts w:eastAsia="Times New Roman" w:cstheme="minorHAnsi"/>
                <w:b/>
                <w:color w:val="000000"/>
                <w:lang w:eastAsia="de-DE"/>
              </w:rPr>
              <w:t>Domain 3: analysis and findings</w:t>
            </w:r>
          </w:p>
        </w:tc>
      </w:tr>
      <w:tr w:rsidR="004407CC" w:rsidRPr="00CA49AD" w14:paraId="2F49EA4C" w14:textId="77777777" w:rsidTr="00520B10">
        <w:trPr>
          <w:trHeight w:val="300"/>
        </w:trPr>
        <w:tc>
          <w:tcPr>
            <w:tcW w:w="9351" w:type="dxa"/>
            <w:gridSpan w:val="2"/>
            <w:shd w:val="clear" w:color="auto" w:fill="auto"/>
            <w:hideMark/>
          </w:tcPr>
          <w:p w14:paraId="0AEFDEFB" w14:textId="77777777" w:rsidR="004407CC" w:rsidRPr="00CA49AD" w:rsidRDefault="004407CC" w:rsidP="00C90368">
            <w:pPr>
              <w:spacing w:line="240" w:lineRule="auto"/>
              <w:rPr>
                <w:rFonts w:eastAsia="Times New Roman" w:cstheme="minorHAnsi"/>
                <w:b/>
                <w:color w:val="000000"/>
                <w:lang w:eastAsia="de-DE"/>
              </w:rPr>
            </w:pPr>
            <w:r w:rsidRPr="00CA49AD">
              <w:rPr>
                <w:rFonts w:eastAsia="Times New Roman" w:cstheme="minorHAnsi"/>
                <w:b/>
                <w:color w:val="000000"/>
                <w:lang w:eastAsia="de-DE"/>
              </w:rPr>
              <w:t>Data analysis</w:t>
            </w:r>
          </w:p>
        </w:tc>
      </w:tr>
      <w:tr w:rsidR="004407CC" w:rsidRPr="00E157BD" w14:paraId="246E6372" w14:textId="77777777" w:rsidTr="00520B10">
        <w:trPr>
          <w:trHeight w:val="600"/>
        </w:trPr>
        <w:tc>
          <w:tcPr>
            <w:tcW w:w="4815" w:type="dxa"/>
            <w:shd w:val="clear" w:color="auto" w:fill="auto"/>
            <w:hideMark/>
          </w:tcPr>
          <w:p w14:paraId="41AE3868"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24. Number of data coders: How many data coders coded the data?</w:t>
            </w:r>
          </w:p>
        </w:tc>
        <w:tc>
          <w:tcPr>
            <w:tcW w:w="4536" w:type="dxa"/>
            <w:shd w:val="clear" w:color="auto" w:fill="auto"/>
            <w:hideMark/>
          </w:tcPr>
          <w:p w14:paraId="53B6BC9B" w14:textId="01998E0A" w:rsidR="004407CC" w:rsidRPr="00CA49AD" w:rsidRDefault="004407CC">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 xml:space="preserve">Two </w:t>
            </w:r>
            <w:r w:rsidR="00110966" w:rsidRPr="00873A1B">
              <w:rPr>
                <w:lang w:val="en-US"/>
              </w:rPr>
              <w:t>[Concealed for peer review]</w:t>
            </w:r>
          </w:p>
        </w:tc>
      </w:tr>
      <w:tr w:rsidR="004407CC" w:rsidRPr="00E157BD" w14:paraId="5FE29543" w14:textId="77777777" w:rsidTr="00520B10">
        <w:trPr>
          <w:trHeight w:val="600"/>
        </w:trPr>
        <w:tc>
          <w:tcPr>
            <w:tcW w:w="4815" w:type="dxa"/>
            <w:shd w:val="clear" w:color="auto" w:fill="auto"/>
            <w:hideMark/>
          </w:tcPr>
          <w:p w14:paraId="39E9DDC9"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25. Description of the coding tree: Did authors provide a description of the coding tree?</w:t>
            </w:r>
          </w:p>
        </w:tc>
        <w:tc>
          <w:tcPr>
            <w:tcW w:w="4536" w:type="dxa"/>
            <w:shd w:val="clear" w:color="auto" w:fill="auto"/>
            <w:hideMark/>
          </w:tcPr>
          <w:p w14:paraId="5BEE4BE6" w14:textId="68EDF90E" w:rsidR="004407CC" w:rsidRPr="00CA49AD" w:rsidRDefault="005E2546">
            <w:pPr>
              <w:spacing w:line="240" w:lineRule="auto"/>
              <w:rPr>
                <w:rFonts w:eastAsia="Times New Roman" w:cstheme="minorHAnsi"/>
                <w:color w:val="000000"/>
                <w:lang w:val="en-US" w:eastAsia="de-DE"/>
              </w:rPr>
            </w:pPr>
            <w:r>
              <w:rPr>
                <w:rFonts w:eastAsia="Times New Roman" w:cstheme="minorHAnsi"/>
                <w:color w:val="000000"/>
                <w:lang w:val="en-US" w:eastAsia="de-DE"/>
              </w:rPr>
              <w:t xml:space="preserve">We </w:t>
            </w:r>
            <w:r w:rsidR="00910B83">
              <w:rPr>
                <w:rFonts w:eastAsia="Times New Roman" w:cstheme="minorHAnsi"/>
                <w:color w:val="000000"/>
                <w:lang w:val="en-US" w:eastAsia="de-DE"/>
              </w:rPr>
              <w:t>used the indicator system of the Food-EPI framework (see table 1 of the main manuscript) as</w:t>
            </w:r>
            <w:r w:rsidR="003F2175">
              <w:rPr>
                <w:rFonts w:eastAsia="Times New Roman" w:cstheme="minorHAnsi"/>
                <w:color w:val="000000"/>
                <w:lang w:val="en-US" w:eastAsia="de-DE"/>
              </w:rPr>
              <w:t xml:space="preserve"> a</w:t>
            </w:r>
            <w:r w:rsidR="00910B83">
              <w:rPr>
                <w:rFonts w:eastAsia="Times New Roman" w:cstheme="minorHAnsi"/>
                <w:color w:val="000000"/>
                <w:lang w:val="en-US" w:eastAsia="de-DE"/>
              </w:rPr>
              <w:t xml:space="preserve"> deductive coding tree.</w:t>
            </w:r>
          </w:p>
        </w:tc>
      </w:tr>
      <w:tr w:rsidR="004407CC" w:rsidRPr="00E157BD" w14:paraId="4C0852C1" w14:textId="77777777" w:rsidTr="00520B10">
        <w:trPr>
          <w:trHeight w:val="600"/>
        </w:trPr>
        <w:tc>
          <w:tcPr>
            <w:tcW w:w="4815" w:type="dxa"/>
            <w:shd w:val="clear" w:color="auto" w:fill="auto"/>
            <w:hideMark/>
          </w:tcPr>
          <w:p w14:paraId="12851BF6"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26. Derivation of themes: Were themes identified in advance or derived from the data?</w:t>
            </w:r>
          </w:p>
        </w:tc>
        <w:tc>
          <w:tcPr>
            <w:tcW w:w="4536" w:type="dxa"/>
            <w:shd w:val="clear" w:color="auto" w:fill="auto"/>
            <w:hideMark/>
          </w:tcPr>
          <w:p w14:paraId="178E6012" w14:textId="7C8E5471" w:rsidR="004407CC" w:rsidRPr="00CA49AD" w:rsidRDefault="00910B83">
            <w:pPr>
              <w:spacing w:line="240" w:lineRule="auto"/>
              <w:rPr>
                <w:rFonts w:eastAsia="Times New Roman" w:cstheme="minorHAnsi"/>
                <w:color w:val="000000"/>
                <w:lang w:val="en-US" w:eastAsia="de-DE"/>
              </w:rPr>
            </w:pPr>
            <w:r>
              <w:rPr>
                <w:rFonts w:eastAsia="Times New Roman" w:cstheme="minorHAnsi"/>
                <w:color w:val="000000"/>
                <w:lang w:val="en-US" w:eastAsia="de-DE"/>
              </w:rPr>
              <w:t>Themes were identified in advance based on the Food-EPI framework</w:t>
            </w:r>
            <w:r w:rsidR="00C90368">
              <w:rPr>
                <w:rFonts w:eastAsia="Times New Roman" w:cstheme="minorHAnsi"/>
                <w:color w:val="000000"/>
                <w:lang w:val="en-US" w:eastAsia="de-DE"/>
              </w:rPr>
              <w:t>.</w:t>
            </w:r>
          </w:p>
        </w:tc>
      </w:tr>
      <w:tr w:rsidR="004407CC" w:rsidRPr="00CA49AD" w14:paraId="5F02FC39" w14:textId="77777777" w:rsidTr="00520B10">
        <w:trPr>
          <w:trHeight w:val="600"/>
        </w:trPr>
        <w:tc>
          <w:tcPr>
            <w:tcW w:w="4815" w:type="dxa"/>
            <w:shd w:val="clear" w:color="auto" w:fill="auto"/>
            <w:hideMark/>
          </w:tcPr>
          <w:p w14:paraId="765B8323"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27. Software: What software, if applicable, was used to manage the data?</w:t>
            </w:r>
          </w:p>
        </w:tc>
        <w:tc>
          <w:tcPr>
            <w:tcW w:w="4536" w:type="dxa"/>
            <w:shd w:val="clear" w:color="auto" w:fill="auto"/>
            <w:hideMark/>
          </w:tcPr>
          <w:p w14:paraId="2FC2CB6E" w14:textId="77777777" w:rsidR="004407CC" w:rsidRPr="00CA49AD" w:rsidRDefault="004407CC">
            <w:pPr>
              <w:spacing w:line="240" w:lineRule="auto"/>
              <w:rPr>
                <w:rFonts w:eastAsia="Times New Roman" w:cstheme="minorHAnsi"/>
                <w:color w:val="000000"/>
                <w:lang w:eastAsia="de-DE"/>
              </w:rPr>
            </w:pPr>
            <w:r w:rsidRPr="00CA49AD">
              <w:rPr>
                <w:rFonts w:eastAsia="Times New Roman" w:cstheme="minorHAnsi"/>
                <w:color w:val="000000"/>
                <w:lang w:eastAsia="de-DE"/>
              </w:rPr>
              <w:t xml:space="preserve">MAXQDA (Verbi GmbH, Berlin, Germany) </w:t>
            </w:r>
          </w:p>
        </w:tc>
      </w:tr>
      <w:tr w:rsidR="004407CC" w:rsidRPr="00E157BD" w14:paraId="20AD0919" w14:textId="77777777" w:rsidTr="00520B10">
        <w:trPr>
          <w:trHeight w:val="600"/>
        </w:trPr>
        <w:tc>
          <w:tcPr>
            <w:tcW w:w="4815" w:type="dxa"/>
            <w:shd w:val="clear" w:color="auto" w:fill="auto"/>
            <w:hideMark/>
          </w:tcPr>
          <w:p w14:paraId="1092F891"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lastRenderedPageBreak/>
              <w:t>28. Participant checking: Did participants provide feedback on the findings?</w:t>
            </w:r>
          </w:p>
        </w:tc>
        <w:tc>
          <w:tcPr>
            <w:tcW w:w="4536" w:type="dxa"/>
            <w:shd w:val="clear" w:color="auto" w:fill="auto"/>
            <w:hideMark/>
          </w:tcPr>
          <w:p w14:paraId="71568EB1" w14:textId="59934E92" w:rsidR="004407CC" w:rsidRPr="00CA49AD" w:rsidRDefault="004407CC">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 xml:space="preserve">Yes </w:t>
            </w:r>
            <w:r w:rsidR="00B275E3">
              <w:rPr>
                <w:rFonts w:eastAsia="Times New Roman" w:cstheme="minorHAnsi"/>
                <w:color w:val="000000"/>
                <w:lang w:val="en-US" w:eastAsia="de-DE"/>
              </w:rPr>
              <w:t xml:space="preserve">(the evidence report, and various parts of the </w:t>
            </w:r>
            <w:r w:rsidR="00317865">
              <w:rPr>
                <w:rFonts w:eastAsia="Times New Roman" w:cstheme="minorHAnsi"/>
                <w:color w:val="000000"/>
                <w:lang w:val="en-US" w:eastAsia="de-DE"/>
              </w:rPr>
              <w:t>data on which the manuscript is based were provided to the participants, who were asked to provide feedback).</w:t>
            </w:r>
          </w:p>
        </w:tc>
      </w:tr>
      <w:tr w:rsidR="004407CC" w:rsidRPr="00CA49AD" w14:paraId="03CD097B" w14:textId="77777777" w:rsidTr="00520B10">
        <w:trPr>
          <w:trHeight w:val="300"/>
        </w:trPr>
        <w:tc>
          <w:tcPr>
            <w:tcW w:w="9351" w:type="dxa"/>
            <w:gridSpan w:val="2"/>
            <w:shd w:val="clear" w:color="auto" w:fill="auto"/>
            <w:hideMark/>
          </w:tcPr>
          <w:p w14:paraId="2942D408" w14:textId="77777777" w:rsidR="004407CC" w:rsidRPr="00CA49AD" w:rsidRDefault="004407CC" w:rsidP="00C90368">
            <w:pPr>
              <w:spacing w:line="240" w:lineRule="auto"/>
              <w:rPr>
                <w:rFonts w:eastAsia="Times New Roman" w:cstheme="minorHAnsi"/>
                <w:b/>
                <w:color w:val="000000"/>
                <w:lang w:eastAsia="de-DE"/>
              </w:rPr>
            </w:pPr>
            <w:r w:rsidRPr="00CA49AD">
              <w:rPr>
                <w:rFonts w:eastAsia="Times New Roman" w:cstheme="minorHAnsi"/>
                <w:b/>
                <w:color w:val="000000"/>
                <w:lang w:eastAsia="de-DE"/>
              </w:rPr>
              <w:t>Reporting</w:t>
            </w:r>
          </w:p>
        </w:tc>
      </w:tr>
      <w:tr w:rsidR="004407CC" w:rsidRPr="00CA49AD" w14:paraId="1FC663AA" w14:textId="77777777" w:rsidTr="00520B10">
        <w:trPr>
          <w:trHeight w:val="900"/>
        </w:trPr>
        <w:tc>
          <w:tcPr>
            <w:tcW w:w="4815" w:type="dxa"/>
            <w:shd w:val="clear" w:color="auto" w:fill="auto"/>
            <w:hideMark/>
          </w:tcPr>
          <w:p w14:paraId="6BF16D9A"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29. Quotations presented: Were participant quotations presented to illustrate the themes / findings? Was each quotation identified? e.g. participant number</w:t>
            </w:r>
          </w:p>
        </w:tc>
        <w:tc>
          <w:tcPr>
            <w:tcW w:w="4536" w:type="dxa"/>
            <w:shd w:val="clear" w:color="auto" w:fill="auto"/>
            <w:hideMark/>
          </w:tcPr>
          <w:p w14:paraId="28069672" w14:textId="7BD23367" w:rsidR="004407CC" w:rsidRPr="00CA49AD" w:rsidRDefault="00E053BA">
            <w:pPr>
              <w:spacing w:line="240" w:lineRule="auto"/>
              <w:rPr>
                <w:rFonts w:eastAsia="Times New Roman" w:cstheme="minorHAnsi"/>
                <w:color w:val="000000"/>
                <w:lang w:val="en-US" w:eastAsia="de-DE"/>
              </w:rPr>
            </w:pPr>
            <w:r>
              <w:rPr>
                <w:rFonts w:eastAsia="Times New Roman" w:cstheme="minorHAnsi"/>
                <w:color w:val="000000"/>
                <w:lang w:val="en-US" w:eastAsia="de-DE"/>
              </w:rPr>
              <w:t>n.a.</w:t>
            </w:r>
          </w:p>
        </w:tc>
      </w:tr>
      <w:tr w:rsidR="004407CC" w:rsidRPr="00CA49AD" w14:paraId="6CD30BEA" w14:textId="77777777" w:rsidTr="00520B10">
        <w:trPr>
          <w:trHeight w:val="900"/>
        </w:trPr>
        <w:tc>
          <w:tcPr>
            <w:tcW w:w="4815" w:type="dxa"/>
            <w:shd w:val="clear" w:color="auto" w:fill="auto"/>
            <w:hideMark/>
          </w:tcPr>
          <w:p w14:paraId="18EA38D7"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30. Data and findings consistent: Was there consistency between the data presented and the findings?</w:t>
            </w:r>
          </w:p>
        </w:tc>
        <w:tc>
          <w:tcPr>
            <w:tcW w:w="4536" w:type="dxa"/>
            <w:shd w:val="clear" w:color="auto" w:fill="auto"/>
            <w:hideMark/>
          </w:tcPr>
          <w:p w14:paraId="6C935FE7" w14:textId="7B4A7F1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 xml:space="preserve">Yes </w:t>
            </w:r>
            <w:r w:rsidR="00E053BA">
              <w:rPr>
                <w:rFonts w:eastAsia="Times New Roman" w:cstheme="minorHAnsi"/>
                <w:color w:val="000000"/>
                <w:lang w:val="en-US" w:eastAsia="de-DE"/>
              </w:rPr>
              <w:t>(see results section)</w:t>
            </w:r>
            <w:r w:rsidR="00C90368">
              <w:rPr>
                <w:rFonts w:eastAsia="Times New Roman" w:cstheme="minorHAnsi"/>
                <w:color w:val="000000"/>
                <w:lang w:val="en-US" w:eastAsia="de-DE"/>
              </w:rPr>
              <w:t>.</w:t>
            </w:r>
          </w:p>
        </w:tc>
      </w:tr>
      <w:tr w:rsidR="004407CC" w:rsidRPr="00CA49AD" w14:paraId="03604FC6" w14:textId="77777777" w:rsidTr="00520B10">
        <w:trPr>
          <w:trHeight w:val="600"/>
        </w:trPr>
        <w:tc>
          <w:tcPr>
            <w:tcW w:w="4815" w:type="dxa"/>
            <w:shd w:val="clear" w:color="auto" w:fill="auto"/>
            <w:hideMark/>
          </w:tcPr>
          <w:p w14:paraId="777CF888"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31. Clarity of major themes: Were major themes clearly presented in the findings?</w:t>
            </w:r>
          </w:p>
        </w:tc>
        <w:tc>
          <w:tcPr>
            <w:tcW w:w="4536" w:type="dxa"/>
            <w:shd w:val="clear" w:color="auto" w:fill="auto"/>
            <w:hideMark/>
          </w:tcPr>
          <w:p w14:paraId="1057623C" w14:textId="73FA81EC" w:rsidR="004407CC" w:rsidRPr="00CA49AD" w:rsidRDefault="00E053BA"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 xml:space="preserve">Yes </w:t>
            </w:r>
            <w:r>
              <w:rPr>
                <w:rFonts w:eastAsia="Times New Roman" w:cstheme="minorHAnsi"/>
                <w:color w:val="000000"/>
                <w:lang w:val="en-US" w:eastAsia="de-DE"/>
              </w:rPr>
              <w:t>(see results section)</w:t>
            </w:r>
            <w:r w:rsidR="00C90368">
              <w:rPr>
                <w:rFonts w:eastAsia="Times New Roman" w:cstheme="minorHAnsi"/>
                <w:color w:val="000000"/>
                <w:lang w:val="en-US" w:eastAsia="de-DE"/>
              </w:rPr>
              <w:t>.</w:t>
            </w:r>
          </w:p>
        </w:tc>
      </w:tr>
      <w:tr w:rsidR="004407CC" w:rsidRPr="00E157BD" w14:paraId="3A723022" w14:textId="77777777" w:rsidTr="00520B10">
        <w:trPr>
          <w:trHeight w:val="600"/>
        </w:trPr>
        <w:tc>
          <w:tcPr>
            <w:tcW w:w="4815" w:type="dxa"/>
            <w:shd w:val="clear" w:color="auto" w:fill="auto"/>
            <w:hideMark/>
          </w:tcPr>
          <w:p w14:paraId="20E10658" w14:textId="77777777" w:rsidR="004407CC" w:rsidRPr="00CA49AD" w:rsidRDefault="004407CC"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32. Clarity of minor themes: Is there a description of diverse cases or discussion of minor themes?</w:t>
            </w:r>
          </w:p>
        </w:tc>
        <w:tc>
          <w:tcPr>
            <w:tcW w:w="4536" w:type="dxa"/>
            <w:shd w:val="clear" w:color="auto" w:fill="auto"/>
            <w:hideMark/>
          </w:tcPr>
          <w:p w14:paraId="73BD2646" w14:textId="6C574294" w:rsidR="004407CC" w:rsidRPr="00CA49AD" w:rsidRDefault="00E053BA" w:rsidP="00C90368">
            <w:pPr>
              <w:spacing w:line="240" w:lineRule="auto"/>
              <w:rPr>
                <w:rFonts w:eastAsia="Times New Roman" w:cstheme="minorHAnsi"/>
                <w:color w:val="000000"/>
                <w:lang w:val="en-US" w:eastAsia="de-DE"/>
              </w:rPr>
            </w:pPr>
            <w:r w:rsidRPr="00CA49AD">
              <w:rPr>
                <w:rFonts w:eastAsia="Times New Roman" w:cstheme="minorHAnsi"/>
                <w:color w:val="000000"/>
                <w:lang w:val="en-US" w:eastAsia="de-DE"/>
              </w:rPr>
              <w:t xml:space="preserve">Yes </w:t>
            </w:r>
            <w:r>
              <w:rPr>
                <w:rFonts w:eastAsia="Times New Roman" w:cstheme="minorHAnsi"/>
                <w:color w:val="000000"/>
                <w:lang w:val="en-US" w:eastAsia="de-DE"/>
              </w:rPr>
              <w:t>(see results and discussion section)</w:t>
            </w:r>
            <w:r w:rsidR="00C90368">
              <w:rPr>
                <w:rFonts w:eastAsia="Times New Roman" w:cstheme="minorHAnsi"/>
                <w:color w:val="000000"/>
                <w:lang w:val="en-US" w:eastAsia="de-DE"/>
              </w:rPr>
              <w:t>.</w:t>
            </w:r>
          </w:p>
        </w:tc>
      </w:tr>
    </w:tbl>
    <w:p w14:paraId="585F4FE4" w14:textId="18C871E4" w:rsidR="00935CB6" w:rsidRPr="00520B10" w:rsidRDefault="00935CB6" w:rsidP="00935CB6">
      <w:pPr>
        <w:spacing w:line="240" w:lineRule="auto"/>
        <w:rPr>
          <w:rFonts w:eastAsia="Calibri" w:cstheme="minorHAnsi"/>
          <w:i/>
          <w:iCs/>
          <w:lang w:val="en-US"/>
        </w:rPr>
      </w:pPr>
      <w:r w:rsidRPr="00520B10">
        <w:rPr>
          <w:rFonts w:eastAsia="Calibri" w:cstheme="minorHAnsi"/>
          <w:b/>
          <w:bCs/>
          <w:i/>
          <w:iCs/>
          <w:lang w:val="en-US"/>
        </w:rPr>
        <w:t>Tab</w:t>
      </w:r>
      <w:r w:rsidR="000F684A">
        <w:rPr>
          <w:rFonts w:eastAsia="Calibri" w:cstheme="minorHAnsi"/>
          <w:b/>
          <w:bCs/>
          <w:i/>
          <w:iCs/>
          <w:lang w:val="en-US"/>
        </w:rPr>
        <w:t>le</w:t>
      </w:r>
      <w:r w:rsidRPr="00520B10">
        <w:rPr>
          <w:rFonts w:eastAsia="Calibri" w:cstheme="minorHAnsi"/>
          <w:b/>
          <w:bCs/>
          <w:i/>
          <w:iCs/>
          <w:lang w:val="en-US"/>
        </w:rPr>
        <w:t xml:space="preserve"> s5:</w:t>
      </w:r>
      <w:r w:rsidRPr="00520B10">
        <w:rPr>
          <w:rFonts w:eastAsia="Calibri" w:cstheme="minorHAnsi"/>
          <w:i/>
          <w:iCs/>
          <w:lang w:val="en-US"/>
        </w:rPr>
        <w:t xml:space="preserve"> </w:t>
      </w:r>
      <w:r w:rsidR="000F684A">
        <w:rPr>
          <w:rFonts w:eastAsia="Calibri" w:cstheme="minorHAnsi"/>
          <w:i/>
          <w:iCs/>
          <w:lang w:val="en-US"/>
        </w:rPr>
        <w:t>The</w:t>
      </w:r>
      <w:r w:rsidRPr="00520B10">
        <w:rPr>
          <w:rFonts w:eastAsia="Calibri" w:cstheme="minorHAnsi"/>
          <w:i/>
          <w:iCs/>
          <w:lang w:val="en-US"/>
        </w:rPr>
        <w:t xml:space="preserve"> COREQ</w:t>
      </w:r>
      <w:r w:rsidR="000F684A">
        <w:rPr>
          <w:rFonts w:eastAsia="Calibri" w:cstheme="minorHAnsi"/>
          <w:i/>
          <w:iCs/>
          <w:lang w:val="en-US"/>
        </w:rPr>
        <w:t xml:space="preserve"> c</w:t>
      </w:r>
      <w:r w:rsidRPr="00520B10">
        <w:rPr>
          <w:rFonts w:eastAsia="Calibri" w:cstheme="minorHAnsi"/>
          <w:i/>
          <w:iCs/>
          <w:lang w:val="en-US"/>
        </w:rPr>
        <w:t>hecklist</w:t>
      </w:r>
    </w:p>
    <w:p w14:paraId="49AD66FC" w14:textId="77777777" w:rsidR="004407CC" w:rsidRPr="00CA49AD" w:rsidRDefault="004407CC" w:rsidP="004407CC">
      <w:pPr>
        <w:spacing w:line="240" w:lineRule="auto"/>
        <w:rPr>
          <w:rFonts w:eastAsia="Calibri" w:cstheme="minorHAnsi"/>
          <w:lang w:val="en-US"/>
        </w:rPr>
      </w:pPr>
    </w:p>
    <w:p w14:paraId="641DCAA0" w14:textId="77777777" w:rsidR="00F66903" w:rsidRPr="0054504E" w:rsidRDefault="00F66903" w:rsidP="004407CC">
      <w:pPr>
        <w:rPr>
          <w:rFonts w:eastAsiaTheme="majorEastAsia" w:cstheme="minorHAnsi"/>
          <w:b/>
          <w:bCs/>
          <w:sz w:val="28"/>
          <w:szCs w:val="28"/>
          <w:lang w:val="en-US"/>
        </w:rPr>
      </w:pPr>
    </w:p>
    <w:p w14:paraId="275FBCC6" w14:textId="614C90DA" w:rsidR="00D97185" w:rsidRPr="00D106A2" w:rsidRDefault="00AF5449" w:rsidP="001F31B1">
      <w:pPr>
        <w:pStyle w:val="Listenabsatz"/>
        <w:numPr>
          <w:ilvl w:val="0"/>
          <w:numId w:val="4"/>
        </w:numPr>
        <w:outlineLvl w:val="0"/>
        <w:rPr>
          <w:rFonts w:eastAsiaTheme="majorEastAsia" w:cstheme="minorHAnsi"/>
          <w:b/>
          <w:bCs/>
          <w:sz w:val="28"/>
          <w:szCs w:val="28"/>
          <w:lang w:val="en-US"/>
        </w:rPr>
      </w:pPr>
      <w:bookmarkStart w:id="6" w:name="_Toc75179529"/>
      <w:r w:rsidRPr="00D106A2">
        <w:rPr>
          <w:rFonts w:eastAsiaTheme="majorEastAsia" w:cstheme="minorHAnsi"/>
          <w:b/>
          <w:bCs/>
          <w:sz w:val="28"/>
          <w:szCs w:val="28"/>
          <w:lang w:val="en-US"/>
        </w:rPr>
        <w:t>Recruitment email and information sheet provided to participating experts</w:t>
      </w:r>
      <w:bookmarkEnd w:id="6"/>
    </w:p>
    <w:p w14:paraId="11859B6D" w14:textId="5147B4B3" w:rsidR="00F70D6C" w:rsidRPr="00D106A2" w:rsidRDefault="00F70D6C" w:rsidP="006407CE">
      <w:pPr>
        <w:rPr>
          <w:rFonts w:cstheme="minorHAnsi"/>
          <w:lang w:val="en-US"/>
        </w:rPr>
      </w:pPr>
    </w:p>
    <w:p w14:paraId="4175135B" w14:textId="3DA3779B" w:rsidR="00F66903" w:rsidRPr="00D106A2" w:rsidRDefault="000F684A" w:rsidP="0011014A">
      <w:pPr>
        <w:spacing w:line="240" w:lineRule="auto"/>
        <w:rPr>
          <w:rFonts w:eastAsia="Calibri" w:cstheme="minorHAnsi"/>
          <w:b/>
          <w:lang w:val="en-US"/>
        </w:rPr>
      </w:pPr>
      <w:r w:rsidRPr="00D106A2">
        <w:rPr>
          <w:rFonts w:eastAsia="Calibri" w:cstheme="minorHAnsi"/>
          <w:b/>
          <w:lang w:val="en-US"/>
        </w:rPr>
        <w:t xml:space="preserve">The following </w:t>
      </w:r>
      <w:r w:rsidR="00A22062" w:rsidRPr="00D106A2">
        <w:rPr>
          <w:rFonts w:eastAsia="Calibri" w:cstheme="minorHAnsi"/>
          <w:b/>
          <w:lang w:val="en-US"/>
        </w:rPr>
        <w:t xml:space="preserve">invitation </w:t>
      </w:r>
      <w:r w:rsidRPr="00D106A2">
        <w:rPr>
          <w:rFonts w:eastAsia="Calibri" w:cstheme="minorHAnsi"/>
          <w:b/>
          <w:lang w:val="en-US"/>
        </w:rPr>
        <w:t xml:space="preserve">email was sent to </w:t>
      </w:r>
      <w:r w:rsidR="00A22062" w:rsidRPr="00D106A2">
        <w:rPr>
          <w:rFonts w:eastAsia="Calibri" w:cstheme="minorHAnsi"/>
          <w:b/>
          <w:lang w:val="en-US"/>
        </w:rPr>
        <w:t>potential members of the expert panel</w:t>
      </w:r>
      <w:r w:rsidR="00A77B0B" w:rsidRPr="00D106A2">
        <w:rPr>
          <w:rFonts w:eastAsia="Calibri" w:cstheme="minorHAnsi"/>
          <w:b/>
          <w:lang w:val="en-US"/>
        </w:rPr>
        <w:t xml:space="preserve"> (in German)</w:t>
      </w:r>
      <w:r w:rsidR="00A22062" w:rsidRPr="00D106A2">
        <w:rPr>
          <w:rFonts w:eastAsia="Calibri" w:cstheme="minorHAnsi"/>
          <w:b/>
          <w:lang w:val="en-US"/>
        </w:rPr>
        <w:t>:</w:t>
      </w:r>
    </w:p>
    <w:p w14:paraId="6DF77593" w14:textId="496678DF" w:rsidR="00B22519" w:rsidRPr="00D106A2" w:rsidRDefault="00B22519" w:rsidP="0011014A">
      <w:pPr>
        <w:spacing w:line="240" w:lineRule="auto"/>
        <w:rPr>
          <w:rFonts w:eastAsia="Calibri" w:cstheme="minorHAnsi"/>
          <w:bCs/>
          <w:lang w:val="en-US"/>
        </w:rPr>
      </w:pPr>
    </w:p>
    <w:p w14:paraId="2B092872" w14:textId="77777777" w:rsidR="00B22519" w:rsidRPr="00B22519" w:rsidRDefault="00B22519" w:rsidP="00B22519">
      <w:pPr>
        <w:contextualSpacing/>
        <w:rPr>
          <w:i/>
          <w:iCs/>
        </w:rPr>
      </w:pPr>
      <w:r w:rsidRPr="00B22519">
        <w:rPr>
          <w:i/>
          <w:iCs/>
        </w:rPr>
        <w:t>Sehr geehrter Herr XY,</w:t>
      </w:r>
    </w:p>
    <w:p w14:paraId="196167E5" w14:textId="77777777" w:rsidR="00B22519" w:rsidRPr="00B22519" w:rsidRDefault="00B22519" w:rsidP="00B22519">
      <w:pPr>
        <w:contextualSpacing/>
        <w:rPr>
          <w:i/>
          <w:iCs/>
        </w:rPr>
      </w:pPr>
      <w:bookmarkStart w:id="7" w:name="_Hlk45541675"/>
      <w:r w:rsidRPr="00B22519">
        <w:rPr>
          <w:i/>
          <w:iCs/>
        </w:rPr>
        <w:t>Sehr geehrte Frau XY,</w:t>
      </w:r>
    </w:p>
    <w:p w14:paraId="48DB84CC" w14:textId="77777777" w:rsidR="00B22519" w:rsidRPr="00B22519" w:rsidRDefault="00B22519" w:rsidP="00B22519">
      <w:pPr>
        <w:contextualSpacing/>
        <w:rPr>
          <w:i/>
          <w:iCs/>
        </w:rPr>
      </w:pPr>
    </w:p>
    <w:p w14:paraId="28826053" w14:textId="77777777" w:rsidR="00B22519" w:rsidRPr="00B22519" w:rsidRDefault="00B22519" w:rsidP="00B22519">
      <w:pPr>
        <w:contextualSpacing/>
        <w:rPr>
          <w:i/>
          <w:iCs/>
        </w:rPr>
      </w:pPr>
      <w:r w:rsidRPr="00B22519">
        <w:rPr>
          <w:i/>
          <w:iCs/>
        </w:rPr>
        <w:t>für ein Forschungsprojekt an der LMU München zu den politischen Rahmenbedingungen gesunder Ernährung in Deutschland führen wir eine Expertenbefragung durch – für diese würden wir Sie gerne gewinnen!</w:t>
      </w:r>
    </w:p>
    <w:p w14:paraId="2CB61E4E" w14:textId="77777777" w:rsidR="00B22519" w:rsidRPr="00B22519" w:rsidRDefault="00B22519" w:rsidP="00B22519">
      <w:pPr>
        <w:contextualSpacing/>
        <w:rPr>
          <w:i/>
          <w:iCs/>
        </w:rPr>
      </w:pPr>
    </w:p>
    <w:p w14:paraId="61B55B1E" w14:textId="77777777" w:rsidR="00B22519" w:rsidRPr="00B22519" w:rsidRDefault="00B22519" w:rsidP="00B22519">
      <w:pPr>
        <w:contextualSpacing/>
        <w:rPr>
          <w:i/>
          <w:iCs/>
        </w:rPr>
      </w:pPr>
      <w:r w:rsidRPr="00B22519">
        <w:rPr>
          <w:i/>
          <w:iCs/>
        </w:rPr>
        <w:t xml:space="preserve">Gegenstand des Projekts ist die Anwendung des sog. </w:t>
      </w:r>
      <w:r w:rsidRPr="00B22519">
        <w:rPr>
          <w:i/>
          <w:iCs/>
          <w:lang w:val="en-US"/>
        </w:rPr>
        <w:t xml:space="preserve">Food Environment Policy Index (Food-EPI) in Deutschland. </w:t>
      </w:r>
      <w:r w:rsidRPr="00B22519">
        <w:rPr>
          <w:i/>
          <w:iCs/>
        </w:rPr>
        <w:t>Der Food-EPI ist ein methodisches Rahmenwerk für die systematische und strukturierte Erfassung von politischen Regeln und Maßnahmen (engl. policies) im Ernährungsbereich, sowie für die Identifikation und die Priorisierung von Reformoptionen.</w:t>
      </w:r>
    </w:p>
    <w:p w14:paraId="0575845D" w14:textId="77777777" w:rsidR="00B22519" w:rsidRPr="00B22519" w:rsidRDefault="00B22519" w:rsidP="00B22519">
      <w:pPr>
        <w:contextualSpacing/>
        <w:rPr>
          <w:i/>
          <w:iCs/>
        </w:rPr>
      </w:pPr>
    </w:p>
    <w:p w14:paraId="08639DEF" w14:textId="77777777" w:rsidR="00B22519" w:rsidRPr="00B22519" w:rsidRDefault="00B22519" w:rsidP="00B22519">
      <w:pPr>
        <w:contextualSpacing/>
        <w:rPr>
          <w:i/>
          <w:iCs/>
        </w:rPr>
      </w:pPr>
      <w:r w:rsidRPr="00B22519">
        <w:rPr>
          <w:i/>
          <w:iCs/>
        </w:rPr>
        <w:t>Die Expertenbefragung umfasst drei Runden. Sie können an allen drei oder auch nur an einzelnen Runden teilnehmen. Weitere Informationen finden Sie im Informationsblatt im Anhang.</w:t>
      </w:r>
    </w:p>
    <w:p w14:paraId="70AE8B80" w14:textId="77777777" w:rsidR="00B22519" w:rsidRPr="00B22519" w:rsidRDefault="00B22519" w:rsidP="00B22519">
      <w:pPr>
        <w:contextualSpacing/>
        <w:rPr>
          <w:i/>
          <w:iCs/>
        </w:rPr>
      </w:pPr>
    </w:p>
    <w:p w14:paraId="732A97BF" w14:textId="77777777" w:rsidR="00B22519" w:rsidRPr="00B22519" w:rsidRDefault="00B22519" w:rsidP="00B22519">
      <w:pPr>
        <w:contextualSpacing/>
        <w:rPr>
          <w:i/>
          <w:iCs/>
        </w:rPr>
      </w:pPr>
      <w:r w:rsidRPr="00B22519">
        <w:rPr>
          <w:i/>
          <w:iCs/>
        </w:rPr>
        <w:t>Die erste Runde beinhaltet die Prüfung des sog. Evidenzdokuments (im Anhang) auf Vollständigkeit. Wie viel Zeit Sie hierauf verwenden möchten, hängt vor allem von Ihnen ab – wir würden zwischen 15 Minuten und zwei Stunden veranschlagen. Wir würden uns freuen, die erste Runde bis zum 1. Autugst abschließen zu können. Sollten Sie mehr Zeit benötigen, können Sie uns dies gerne mitteilen. Auch wenn Sie nur an der zweiten oder dritten Runde teilnehmen können, ist dies sehr willkommen.</w:t>
      </w:r>
    </w:p>
    <w:p w14:paraId="440C6A1B" w14:textId="77777777" w:rsidR="00B22519" w:rsidRPr="00B22519" w:rsidRDefault="00B22519" w:rsidP="00B22519">
      <w:pPr>
        <w:contextualSpacing/>
        <w:rPr>
          <w:i/>
          <w:iCs/>
        </w:rPr>
      </w:pPr>
    </w:p>
    <w:p w14:paraId="2B4F610E" w14:textId="77777777" w:rsidR="00B22519" w:rsidRPr="00B22519" w:rsidRDefault="00B22519" w:rsidP="00B22519">
      <w:pPr>
        <w:contextualSpacing/>
        <w:rPr>
          <w:i/>
          <w:iCs/>
        </w:rPr>
      </w:pPr>
      <w:r w:rsidRPr="00B22519">
        <w:rPr>
          <w:i/>
          <w:iCs/>
        </w:rPr>
        <w:t>Für Rückfragen stehen wir selbstverständlich jederzeit gerne zur Verfügung. Ihre möglichen Beiträge wissen wir sehr zu schätzen. Wir freuen uns über Ihre Rückmeldung!</w:t>
      </w:r>
    </w:p>
    <w:p w14:paraId="1F4B285C" w14:textId="77777777" w:rsidR="00B22519" w:rsidRPr="00B22519" w:rsidRDefault="00B22519" w:rsidP="00B22519">
      <w:pPr>
        <w:contextualSpacing/>
        <w:rPr>
          <w:i/>
          <w:iCs/>
        </w:rPr>
      </w:pPr>
    </w:p>
    <w:p w14:paraId="215815D5" w14:textId="77777777" w:rsidR="00B22519" w:rsidRPr="00B22519" w:rsidRDefault="00B22519" w:rsidP="00B22519">
      <w:pPr>
        <w:contextualSpacing/>
        <w:rPr>
          <w:i/>
          <w:iCs/>
        </w:rPr>
      </w:pPr>
      <w:r w:rsidRPr="00B22519">
        <w:rPr>
          <w:i/>
          <w:iCs/>
        </w:rPr>
        <w:t>Mit herzlichen Dank und Grüßen,</w:t>
      </w:r>
    </w:p>
    <w:p w14:paraId="4B4A6000" w14:textId="77777777" w:rsidR="00B22519" w:rsidRPr="00B22519" w:rsidRDefault="00B22519" w:rsidP="00B22519">
      <w:pPr>
        <w:contextualSpacing/>
        <w:rPr>
          <w:i/>
          <w:iCs/>
        </w:rPr>
      </w:pPr>
    </w:p>
    <w:p w14:paraId="7F51AEBF" w14:textId="1C1DDB47" w:rsidR="00B22519" w:rsidRPr="00D106A2" w:rsidRDefault="003646A3" w:rsidP="00B22519">
      <w:pPr>
        <w:contextualSpacing/>
        <w:rPr>
          <w:i/>
          <w:iCs/>
          <w:lang w:val="en-US"/>
        </w:rPr>
      </w:pPr>
      <w:r>
        <w:rPr>
          <w:i/>
          <w:iCs/>
          <w:lang w:val="en-US"/>
        </w:rPr>
        <w:t>[Concealed for peer review]</w:t>
      </w:r>
    </w:p>
    <w:bookmarkEnd w:id="7"/>
    <w:p w14:paraId="7B37CF36" w14:textId="77777777" w:rsidR="00B22519" w:rsidRPr="00D106A2" w:rsidRDefault="00B22519" w:rsidP="0011014A">
      <w:pPr>
        <w:spacing w:line="240" w:lineRule="auto"/>
        <w:rPr>
          <w:rFonts w:eastAsia="Calibri" w:cstheme="minorHAnsi"/>
          <w:bCs/>
          <w:lang w:val="en-US"/>
        </w:rPr>
      </w:pPr>
    </w:p>
    <w:p w14:paraId="6274285F" w14:textId="1F21F60A" w:rsidR="00F66903" w:rsidRPr="00D106A2" w:rsidRDefault="00A22062" w:rsidP="0011014A">
      <w:pPr>
        <w:spacing w:line="240" w:lineRule="auto"/>
        <w:rPr>
          <w:rFonts w:eastAsia="Calibri" w:cstheme="minorHAnsi"/>
          <w:b/>
          <w:lang w:val="en-US"/>
        </w:rPr>
      </w:pPr>
      <w:r w:rsidRPr="00D106A2">
        <w:rPr>
          <w:rFonts w:eastAsia="Calibri" w:cstheme="minorHAnsi"/>
          <w:b/>
          <w:lang w:val="en-US"/>
        </w:rPr>
        <w:t xml:space="preserve">The email included an information sheet with the following </w:t>
      </w:r>
      <w:r w:rsidR="00A77B0B" w:rsidRPr="00D106A2">
        <w:rPr>
          <w:rFonts w:eastAsia="Calibri" w:cstheme="minorHAnsi"/>
          <w:b/>
          <w:lang w:val="en-US"/>
        </w:rPr>
        <w:t>content (in German):</w:t>
      </w:r>
    </w:p>
    <w:p w14:paraId="42FA0FBD" w14:textId="0E3AAFB0" w:rsidR="00FD5E6D" w:rsidRPr="00D106A2" w:rsidRDefault="00FD5E6D" w:rsidP="0011014A">
      <w:pPr>
        <w:spacing w:line="240" w:lineRule="auto"/>
        <w:rPr>
          <w:rFonts w:eastAsia="Calibri" w:cstheme="minorHAnsi"/>
          <w:bCs/>
          <w:lang w:val="en-US"/>
        </w:rPr>
      </w:pPr>
    </w:p>
    <w:p w14:paraId="2BFFB622" w14:textId="77777777" w:rsidR="00FD5E6D" w:rsidRPr="00FD5E6D" w:rsidRDefault="00FD5E6D" w:rsidP="00FD5E6D">
      <w:pPr>
        <w:contextualSpacing/>
        <w:jc w:val="center"/>
        <w:rPr>
          <w:i/>
          <w:iCs/>
        </w:rPr>
      </w:pPr>
      <w:r w:rsidRPr="00FD5E6D">
        <w:rPr>
          <w:i/>
          <w:iCs/>
        </w:rPr>
        <w:t>Umsetzung des Food Environment Policy Index (Food-EPI) in Deutschland</w:t>
      </w:r>
    </w:p>
    <w:p w14:paraId="0BFAF273" w14:textId="77777777" w:rsidR="00FD5E6D" w:rsidRPr="00FD5E6D" w:rsidRDefault="00FD5E6D" w:rsidP="00FD5E6D">
      <w:pPr>
        <w:contextualSpacing/>
        <w:jc w:val="center"/>
        <w:rPr>
          <w:i/>
          <w:iCs/>
        </w:rPr>
      </w:pPr>
      <w:r w:rsidRPr="00FD5E6D">
        <w:rPr>
          <w:i/>
          <w:iCs/>
        </w:rPr>
        <w:t>Informationsblatt für teilnehmende ExpertInnen</w:t>
      </w:r>
    </w:p>
    <w:p w14:paraId="3533CCD1" w14:textId="77777777" w:rsidR="00FD5E6D" w:rsidRPr="00FD5E6D" w:rsidRDefault="00FD5E6D" w:rsidP="00FD5E6D">
      <w:pPr>
        <w:contextualSpacing/>
        <w:rPr>
          <w:i/>
          <w:iCs/>
        </w:rPr>
      </w:pPr>
    </w:p>
    <w:p w14:paraId="1F4539C1" w14:textId="77777777" w:rsidR="00FD5E6D" w:rsidRPr="00FD5E6D" w:rsidRDefault="00FD5E6D" w:rsidP="00FD5E6D">
      <w:pPr>
        <w:contextualSpacing/>
        <w:rPr>
          <w:i/>
          <w:iCs/>
        </w:rPr>
      </w:pPr>
    </w:p>
    <w:p w14:paraId="3DC5740F" w14:textId="77777777" w:rsidR="00FD5E6D" w:rsidRPr="00FD5E6D" w:rsidRDefault="00FD5E6D" w:rsidP="00FD5E6D">
      <w:pPr>
        <w:contextualSpacing/>
        <w:rPr>
          <w:i/>
          <w:iCs/>
        </w:rPr>
      </w:pPr>
      <w:r w:rsidRPr="00FD5E6D">
        <w:rPr>
          <w:i/>
          <w:iCs/>
        </w:rPr>
        <w:t>Sehr geehrte Damen und Herren,</w:t>
      </w:r>
    </w:p>
    <w:p w14:paraId="5B024036" w14:textId="77777777" w:rsidR="00FD5E6D" w:rsidRPr="00FD5E6D" w:rsidRDefault="00FD5E6D" w:rsidP="00FD5E6D">
      <w:pPr>
        <w:contextualSpacing/>
        <w:rPr>
          <w:i/>
          <w:iCs/>
        </w:rPr>
      </w:pPr>
    </w:p>
    <w:p w14:paraId="00662C84" w14:textId="77777777" w:rsidR="00FD5E6D" w:rsidRPr="00FD5E6D" w:rsidRDefault="00FD5E6D" w:rsidP="00FD5E6D">
      <w:pPr>
        <w:contextualSpacing/>
        <w:rPr>
          <w:i/>
          <w:iCs/>
        </w:rPr>
      </w:pPr>
      <w:r w:rsidRPr="00FD5E6D">
        <w:rPr>
          <w:i/>
          <w:iCs/>
        </w:rPr>
        <w:t>herzlichen Dank, dass Sie eine Teilnahme an unserer ExpertInnenkonsultation in Betracht ziehen. Mit diesem Informationsblatt möchten wir Sie über die Hintergründe der Studie und die konkreten Schritte des Konsultationsverfahrens informieren.</w:t>
      </w:r>
    </w:p>
    <w:p w14:paraId="6AC66FB5" w14:textId="77777777" w:rsidR="00FD5E6D" w:rsidRPr="00FD5E6D" w:rsidRDefault="00FD5E6D" w:rsidP="00FD5E6D">
      <w:pPr>
        <w:contextualSpacing/>
        <w:rPr>
          <w:i/>
          <w:iCs/>
        </w:rPr>
      </w:pPr>
    </w:p>
    <w:p w14:paraId="59B875F4" w14:textId="77777777" w:rsidR="00FD5E6D" w:rsidRPr="00FD5E6D" w:rsidRDefault="00FD5E6D" w:rsidP="00FD5E6D">
      <w:pPr>
        <w:contextualSpacing/>
        <w:rPr>
          <w:i/>
          <w:iCs/>
        </w:rPr>
      </w:pPr>
      <w:r w:rsidRPr="00FD5E6D">
        <w:rPr>
          <w:i/>
          <w:iCs/>
        </w:rPr>
        <w:t>Der Food Environment Policy Index (Food-EPI) ist ein internationales methodisches Rahmenwerk für die systematische und strukturierte Erfassung der politischen Rahmenbedingungen von Ernährung auf Bevölkerungsebene, sowie für die Identifikation und die Priorisierung relevanter Reformoptionen. Er wurde von dem internationalen Wissenschaftsnetzwerk INFORMAS entwickelt und bislang in rund 30 Ländern umgesetzt (</w:t>
      </w:r>
      <w:hyperlink r:id="rId8" w:history="1">
        <w:r w:rsidRPr="00FD5E6D">
          <w:rPr>
            <w:i/>
            <w:iCs/>
            <w:color w:val="0563C1" w:themeColor="hyperlink"/>
            <w:u w:val="single"/>
          </w:rPr>
          <w:t>www.informas.org/modules/public-sector</w:t>
        </w:r>
      </w:hyperlink>
      <w:r w:rsidRPr="00FD5E6D">
        <w:rPr>
          <w:i/>
          <w:iCs/>
        </w:rPr>
        <w:t>). Im Mittelpunkt stehen direkte politische Determinanten von Ernährungsumfeldern (engl. food environments), sowie ausgewählte weitere Aspekte des  Ernährungssystems. Der Bereich der Ernährungsbildung wird nicht erfasst. Zur Illustration haben wir den Food-EPI-Bericht zu Australien angehängt.</w:t>
      </w:r>
    </w:p>
    <w:p w14:paraId="1491FBF8" w14:textId="77777777" w:rsidR="00FD5E6D" w:rsidRPr="00FD5E6D" w:rsidRDefault="00FD5E6D" w:rsidP="00FD5E6D">
      <w:pPr>
        <w:contextualSpacing/>
        <w:rPr>
          <w:i/>
          <w:iCs/>
        </w:rPr>
      </w:pPr>
    </w:p>
    <w:p w14:paraId="3F7C02E7" w14:textId="77777777" w:rsidR="00FD5E6D" w:rsidRPr="00FD5E6D" w:rsidRDefault="00FD5E6D" w:rsidP="00FD5E6D">
      <w:pPr>
        <w:contextualSpacing/>
        <w:rPr>
          <w:i/>
          <w:iCs/>
        </w:rPr>
      </w:pPr>
      <w:r w:rsidRPr="00FD5E6D">
        <w:rPr>
          <w:i/>
          <w:iCs/>
        </w:rPr>
        <w:t>Die Umsetzung in Deutschland erfolgt im Rahmen eines vom BMBF geförderten europäischen Forschungskonsortiums, dem Policy Evaluation Network (</w:t>
      </w:r>
      <w:hyperlink r:id="rId9" w:history="1">
        <w:r w:rsidRPr="00FD5E6D">
          <w:rPr>
            <w:i/>
            <w:iCs/>
            <w:color w:val="0563C1" w:themeColor="hyperlink"/>
            <w:u w:val="single"/>
          </w:rPr>
          <w:t>www.jpi-pen.eu</w:t>
        </w:r>
      </w:hyperlink>
      <w:r w:rsidRPr="00FD5E6D">
        <w:rPr>
          <w:i/>
          <w:iCs/>
        </w:rPr>
        <w:t>). Die Federführung für die Umsetzung des Food-EPI liegt beim Lehrstuhl für Public Health und Versorgungsforschung der Ludwig-Maximilians-Universität München und dem Leibniz-Institut für Präventionsforschung und Epidemiologie - BIPS in Bremen.</w:t>
      </w:r>
    </w:p>
    <w:p w14:paraId="13883F66" w14:textId="77777777" w:rsidR="00FD5E6D" w:rsidRPr="00FD5E6D" w:rsidRDefault="00FD5E6D" w:rsidP="00FD5E6D">
      <w:pPr>
        <w:contextualSpacing/>
        <w:rPr>
          <w:i/>
          <w:iCs/>
        </w:rPr>
      </w:pPr>
    </w:p>
    <w:p w14:paraId="6CF4D99C" w14:textId="77777777" w:rsidR="00FD5E6D" w:rsidRPr="00FD5E6D" w:rsidRDefault="00FD5E6D" w:rsidP="00FD5E6D">
      <w:pPr>
        <w:contextualSpacing/>
        <w:rPr>
          <w:i/>
          <w:iCs/>
        </w:rPr>
      </w:pPr>
      <w:r w:rsidRPr="00FD5E6D">
        <w:rPr>
          <w:i/>
          <w:iCs/>
        </w:rPr>
        <w:t>Als Teil des Projekts wird eine Online-ExpertInnenkonsultation durchgeführt, die drei Phasen umfasst. Sie können an allen drei oder auch nur an einzelnen Phasen teilnehmen. Die Teilnahme ist selbstverständlich freiwillig, und Sie können jederzeit ohne Angabe von Gründen von der Teilnahme zurücktreten, ohne dass Ihnen hierdurch ein Nachteil entsteht. Ihre Beiträge sind für uns auch dann sehr wertvoll, wenn Sie nur an einzelnen Teilen des Verfahrens teilnehmen können.</w:t>
      </w:r>
    </w:p>
    <w:p w14:paraId="084D204C" w14:textId="77777777" w:rsidR="00FD5E6D" w:rsidRPr="00FD5E6D" w:rsidRDefault="00FD5E6D" w:rsidP="00FD5E6D">
      <w:pPr>
        <w:contextualSpacing/>
        <w:rPr>
          <w:i/>
          <w:iCs/>
        </w:rPr>
      </w:pPr>
    </w:p>
    <w:p w14:paraId="11DCC95F" w14:textId="77777777" w:rsidR="00FD5E6D" w:rsidRPr="00FD5E6D" w:rsidRDefault="00FD5E6D" w:rsidP="00FD5E6D">
      <w:pPr>
        <w:contextualSpacing/>
        <w:rPr>
          <w:i/>
          <w:iCs/>
        </w:rPr>
      </w:pPr>
      <w:r w:rsidRPr="00FD5E6D">
        <w:rPr>
          <w:i/>
          <w:iCs/>
        </w:rPr>
        <w:t>Die ExpertInnenkonsultation umfasst die folgenden Schritte:</w:t>
      </w:r>
    </w:p>
    <w:p w14:paraId="5E25F91B" w14:textId="77777777" w:rsidR="00FD5E6D" w:rsidRPr="00FD5E6D" w:rsidRDefault="00FD5E6D" w:rsidP="00FD5E6D">
      <w:pPr>
        <w:contextualSpacing/>
        <w:rPr>
          <w:i/>
          <w:iCs/>
        </w:rPr>
      </w:pPr>
    </w:p>
    <w:p w14:paraId="71D27877" w14:textId="77777777" w:rsidR="00FD5E6D" w:rsidRPr="00FD5E6D" w:rsidRDefault="00FD5E6D" w:rsidP="00FD5E6D">
      <w:pPr>
        <w:numPr>
          <w:ilvl w:val="0"/>
          <w:numId w:val="5"/>
        </w:numPr>
        <w:spacing w:after="160"/>
        <w:contextualSpacing/>
        <w:rPr>
          <w:i/>
          <w:iCs/>
        </w:rPr>
      </w:pPr>
      <w:r w:rsidRPr="00FD5E6D">
        <w:rPr>
          <w:i/>
          <w:iCs/>
        </w:rPr>
        <w:t xml:space="preserve">Im ersten Schritt bitten wir Sie, das von uns zusammengestellte Evidenzdokument (im Anhang) auf Vollständigkeit zu prüfen. Das Evidenzdokument beschreibt für die 47 Indikatoren des Food-EPI den Stand der Umsetzung in Deutschland. Sie können das gesamte Dokument prüfen, oder sich auf Indikatoren beschränken, die Ihren Interessen- und Arbeitsgebieten entsprechen. Sie können Ergänzungen im Änderungen-Nachverfolgen-Modus vornehmen, die Kommentarfunktion nutzen, oder uns Ihre Rückmeldung per Email oder telefonisch (0178 49 83 817 / 089 231 538 61) übermitteln. Weitere Informationen zu diesem ersten Schritt finden Sie auf Seite zwei des Evidenzdokuments. Über eine Rückmeldung bis zum 23. Juli 2020 würden wir uns sehr freuen – lassen Sie es uns bitte wissen, falls Sie mehr Zeit benötigen. </w:t>
      </w:r>
    </w:p>
    <w:p w14:paraId="32647082" w14:textId="77777777" w:rsidR="00FD5E6D" w:rsidRPr="00FD5E6D" w:rsidRDefault="00FD5E6D" w:rsidP="00FD5E6D">
      <w:pPr>
        <w:ind w:left="720"/>
        <w:contextualSpacing/>
        <w:rPr>
          <w:i/>
          <w:iCs/>
        </w:rPr>
      </w:pPr>
    </w:p>
    <w:p w14:paraId="523CE7B1" w14:textId="77777777" w:rsidR="00FD5E6D" w:rsidRPr="00FD5E6D" w:rsidRDefault="00FD5E6D" w:rsidP="00FD5E6D">
      <w:pPr>
        <w:numPr>
          <w:ilvl w:val="0"/>
          <w:numId w:val="5"/>
        </w:numPr>
        <w:spacing w:after="160"/>
        <w:contextualSpacing/>
        <w:rPr>
          <w:i/>
          <w:iCs/>
        </w:rPr>
      </w:pPr>
      <w:r w:rsidRPr="00FD5E6D">
        <w:rPr>
          <w:i/>
          <w:iCs/>
        </w:rPr>
        <w:lastRenderedPageBreak/>
        <w:t>Im zweiten Schritt bitten wir Sie, in einer Online-Umfrage den Umsetzungsgrad in Deutschland anhand des Evidenzdokuments relativ zu internationalen Best-Practice-Beispielen zu bewerten. Hierbei werden die vier Kategorien hoch, mittel, niedrig und sehr niedrig verwendet. Auch hierbei können Sie auf Indikatoren fokussieren, die Ihren Interessen- und Arbeitsgebieten entsprechen.</w:t>
      </w:r>
    </w:p>
    <w:p w14:paraId="0591618C" w14:textId="77777777" w:rsidR="00FD5E6D" w:rsidRPr="00FD5E6D" w:rsidRDefault="00FD5E6D" w:rsidP="00FD5E6D">
      <w:pPr>
        <w:rPr>
          <w:i/>
          <w:iCs/>
        </w:rPr>
      </w:pPr>
    </w:p>
    <w:p w14:paraId="3557EF15" w14:textId="77777777" w:rsidR="00FD5E6D" w:rsidRPr="00FD5E6D" w:rsidRDefault="00FD5E6D" w:rsidP="00FD5E6D">
      <w:pPr>
        <w:numPr>
          <w:ilvl w:val="0"/>
          <w:numId w:val="5"/>
        </w:numPr>
        <w:spacing w:after="160"/>
        <w:contextualSpacing/>
        <w:rPr>
          <w:i/>
          <w:iCs/>
        </w:rPr>
      </w:pPr>
      <w:r w:rsidRPr="00FD5E6D">
        <w:rPr>
          <w:i/>
          <w:iCs/>
        </w:rPr>
        <w:t>Im dritten Schritt bitten wir Sie, auf Grundlage dieser Bewertung Bereiche mit Optimierungspotential sowie Reformvorschläge zu identifizieren und zu priorisieren. Dies geschieht im Rahmen eines iterativen Online-Abfrage-Verfahrens sowie eines optionalen interaktiven Workshops, der Online oder sofern möglich im Spätherbst 2020 in einem hybriden Format (Präsenzworkshop in Berlin mit Möglichkeit einer Online-Teilnahme) stattfinden wird.</w:t>
      </w:r>
    </w:p>
    <w:p w14:paraId="097BCD74" w14:textId="77777777" w:rsidR="00FD5E6D" w:rsidRPr="00FD5E6D" w:rsidRDefault="00FD5E6D" w:rsidP="00FD5E6D">
      <w:pPr>
        <w:rPr>
          <w:i/>
          <w:iCs/>
        </w:rPr>
      </w:pPr>
    </w:p>
    <w:p w14:paraId="6D857FEE" w14:textId="77777777" w:rsidR="00FD5E6D" w:rsidRPr="00FD5E6D" w:rsidRDefault="00FD5E6D" w:rsidP="00FD5E6D">
      <w:pPr>
        <w:rPr>
          <w:i/>
          <w:iCs/>
        </w:rPr>
      </w:pPr>
      <w:r w:rsidRPr="00FD5E6D">
        <w:rPr>
          <w:i/>
          <w:iCs/>
        </w:rPr>
        <w:t xml:space="preserve">Für die beiden ersten Schritte rechnen wir mit einem Zeitaufwand von zwischen 20 Minuten (wenn Sie sich auf einzelne Indikatoren fokussieren) und zwei Stunden. Für den dritten Schritt rechnen wir mit einem Zeitaufwand von zwischen einer Stunde (bei ausschließlicher Teilnahme am Online-Abfrage-Verfahren) und einem Tag (bei Teilnahme am optionalen Präsenzworkshop).  </w:t>
      </w:r>
    </w:p>
    <w:p w14:paraId="3589AE6B" w14:textId="77777777" w:rsidR="00FD5E6D" w:rsidRPr="00FD5E6D" w:rsidRDefault="00FD5E6D" w:rsidP="00FD5E6D">
      <w:pPr>
        <w:rPr>
          <w:i/>
          <w:iCs/>
        </w:rPr>
      </w:pPr>
    </w:p>
    <w:p w14:paraId="7DF51A81" w14:textId="77777777" w:rsidR="00FD5E6D" w:rsidRPr="00FD5E6D" w:rsidRDefault="00FD5E6D" w:rsidP="00FD5E6D">
      <w:pPr>
        <w:contextualSpacing/>
        <w:rPr>
          <w:i/>
          <w:iCs/>
        </w:rPr>
      </w:pPr>
      <w:r w:rsidRPr="00FD5E6D">
        <w:rPr>
          <w:i/>
          <w:iCs/>
        </w:rPr>
        <w:t xml:space="preserve">Die Ergebnisse werden nur in summarischer Form veröffentlicht, ohne dass Rückschlüsse auf Ihre Beiträge möglich sind, welche selbstverständlich vertraulich behandelt werden. Mit Ihrem Einverständnis würden wir Ihre Mitwirkung am Projekt in der Danksagung sowie als Anlage zu Projektveröffentlichungen erwähnen. Auf Wunsch ist auch eine anonyme Teilnahme möglich. Sie können als VertreterIn Ihrer Organisation oder als Privatperson teilnehmen. Im Falle einer Teilnahme bitten wir Sie, etwaige Interessenkonflikte offen zu legen. </w:t>
      </w:r>
    </w:p>
    <w:p w14:paraId="3F06CCB0" w14:textId="77777777" w:rsidR="00FD5E6D" w:rsidRPr="00FD5E6D" w:rsidRDefault="00FD5E6D" w:rsidP="00FD5E6D">
      <w:pPr>
        <w:contextualSpacing/>
        <w:rPr>
          <w:i/>
          <w:iCs/>
        </w:rPr>
      </w:pPr>
    </w:p>
    <w:p w14:paraId="02E73F4D" w14:textId="77777777" w:rsidR="00FD5E6D" w:rsidRPr="00FD5E6D" w:rsidRDefault="00FD5E6D" w:rsidP="00FD5E6D">
      <w:pPr>
        <w:contextualSpacing/>
        <w:rPr>
          <w:i/>
          <w:iCs/>
        </w:rPr>
      </w:pPr>
      <w:r w:rsidRPr="00FD5E6D">
        <w:rPr>
          <w:i/>
          <w:iCs/>
        </w:rPr>
        <w:t xml:space="preserve">Die Ergebnisse des Projekts werden als wissenschaftliche Fachveröffentlichung sowie in weiteren, an politische EntscheidungsträgerInnen gerichteten Formaten veröffentlicht. Wir hoffen, mit dem Projekt die Stärkung der politischen Rahmenbedingung von gesunder Ernährung in Deutschland zu unterstützen, und damit zur Förderung ausgewogener Ernährungsmuster auf Bevölkerungsebene beizutragen. </w:t>
      </w:r>
    </w:p>
    <w:p w14:paraId="7C742BC2" w14:textId="77777777" w:rsidR="00FD5E6D" w:rsidRPr="00FD5E6D" w:rsidRDefault="00FD5E6D" w:rsidP="00FD5E6D">
      <w:pPr>
        <w:contextualSpacing/>
        <w:rPr>
          <w:i/>
          <w:iCs/>
        </w:rPr>
      </w:pPr>
    </w:p>
    <w:p w14:paraId="0FBFB9ED" w14:textId="77777777" w:rsidR="00FD5E6D" w:rsidRPr="00FD5E6D" w:rsidRDefault="00FD5E6D" w:rsidP="00FD5E6D">
      <w:pPr>
        <w:contextualSpacing/>
        <w:rPr>
          <w:i/>
          <w:iCs/>
        </w:rPr>
      </w:pPr>
      <w:r w:rsidRPr="00FD5E6D">
        <w:rPr>
          <w:i/>
          <w:iCs/>
        </w:rPr>
        <w:t xml:space="preserve">Mit Ihrer Teilnahme tragen Sie zu diesen wichtigen Zielen bei. Des Weiteren erhalten Sie die Möglichkeit, auf dem Workshop mit anderen teilnehmenden ExpertInnen in Austausch zu treten. Falls der Workshop als Präsenzworkshop stattfinden kann werden Reisekosten selbstverständlich übernommen. </w:t>
      </w:r>
    </w:p>
    <w:p w14:paraId="494C7AA9" w14:textId="77777777" w:rsidR="00FD5E6D" w:rsidRPr="00FD5E6D" w:rsidRDefault="00FD5E6D" w:rsidP="00FD5E6D">
      <w:pPr>
        <w:contextualSpacing/>
        <w:rPr>
          <w:i/>
          <w:iCs/>
        </w:rPr>
      </w:pPr>
    </w:p>
    <w:p w14:paraId="160A7CC4" w14:textId="708ECFBD" w:rsidR="00FD5E6D" w:rsidRPr="00FD5E6D" w:rsidRDefault="00FD5E6D" w:rsidP="00FD5E6D">
      <w:pPr>
        <w:contextualSpacing/>
        <w:rPr>
          <w:i/>
          <w:iCs/>
        </w:rPr>
      </w:pPr>
      <w:r w:rsidRPr="00FD5E6D">
        <w:rPr>
          <w:i/>
          <w:iCs/>
        </w:rPr>
        <w:t>Wir würden uns sehr freuen, wenn eine Teilnahme an dem Konsultationsverfahren für Sie in Frage kommt. Bei Fragen stehen wir Ihnen selbstverständlich jederzeit gerne zur Verfügung, per Email oder telefonisch</w:t>
      </w:r>
      <w:r w:rsidR="00374397">
        <w:rPr>
          <w:i/>
          <w:iCs/>
        </w:rPr>
        <w:t>.</w:t>
      </w:r>
    </w:p>
    <w:p w14:paraId="2B6116BD" w14:textId="77777777" w:rsidR="00FD5E6D" w:rsidRPr="00FD5E6D" w:rsidRDefault="00FD5E6D" w:rsidP="00FD5E6D">
      <w:pPr>
        <w:contextualSpacing/>
        <w:rPr>
          <w:i/>
          <w:iCs/>
        </w:rPr>
      </w:pPr>
    </w:p>
    <w:p w14:paraId="46B21897" w14:textId="77777777" w:rsidR="00FD5E6D" w:rsidRPr="00FD5E6D" w:rsidRDefault="00FD5E6D" w:rsidP="00FD5E6D">
      <w:pPr>
        <w:contextualSpacing/>
        <w:rPr>
          <w:i/>
          <w:iCs/>
        </w:rPr>
      </w:pPr>
      <w:r w:rsidRPr="00FD5E6D">
        <w:rPr>
          <w:i/>
          <w:iCs/>
        </w:rPr>
        <w:t>Mit bestem Dank und freundlichen Grüßen,</w:t>
      </w:r>
    </w:p>
    <w:p w14:paraId="39664115" w14:textId="77777777" w:rsidR="00FD5E6D" w:rsidRPr="00FD5E6D" w:rsidRDefault="00FD5E6D" w:rsidP="00FD5E6D">
      <w:pPr>
        <w:contextualSpacing/>
        <w:rPr>
          <w:i/>
          <w:iCs/>
        </w:rPr>
      </w:pPr>
    </w:p>
    <w:p w14:paraId="479DFB93" w14:textId="77777777" w:rsidR="003646A3" w:rsidRPr="00E157BD" w:rsidRDefault="003646A3" w:rsidP="003646A3">
      <w:pPr>
        <w:contextualSpacing/>
        <w:rPr>
          <w:i/>
          <w:iCs/>
        </w:rPr>
      </w:pPr>
      <w:r w:rsidRPr="00E157BD">
        <w:rPr>
          <w:i/>
          <w:iCs/>
        </w:rPr>
        <w:t>[Concealed for peer review]</w:t>
      </w:r>
    </w:p>
    <w:p w14:paraId="4E08B96F" w14:textId="77777777" w:rsidR="00FD5E6D" w:rsidRPr="00FD5E6D" w:rsidRDefault="00FD5E6D" w:rsidP="00FD5E6D">
      <w:pPr>
        <w:contextualSpacing/>
      </w:pPr>
    </w:p>
    <w:p w14:paraId="7C72A73C" w14:textId="77777777" w:rsidR="00FD5E6D" w:rsidRPr="00520B10" w:rsidRDefault="00FD5E6D" w:rsidP="0011014A">
      <w:pPr>
        <w:spacing w:line="240" w:lineRule="auto"/>
        <w:rPr>
          <w:rFonts w:eastAsia="Calibri" w:cstheme="minorHAnsi"/>
          <w:bCs/>
        </w:rPr>
      </w:pPr>
    </w:p>
    <w:p w14:paraId="583F8C48" w14:textId="6ABDF3F0" w:rsidR="003F33F3" w:rsidRPr="00D25B89" w:rsidRDefault="00D25B89" w:rsidP="00D25B89">
      <w:pPr>
        <w:pStyle w:val="berschrift1"/>
        <w:rPr>
          <w:rFonts w:asciiTheme="minorHAnsi" w:hAnsiTheme="minorHAnsi" w:cstheme="minorHAnsi"/>
          <w:b/>
          <w:bCs/>
          <w:color w:val="auto"/>
          <w:sz w:val="28"/>
          <w:szCs w:val="28"/>
        </w:rPr>
      </w:pPr>
      <w:bookmarkStart w:id="8" w:name="_Toc75179530"/>
      <w:r w:rsidRPr="00D25B89">
        <w:rPr>
          <w:rFonts w:asciiTheme="minorHAnsi" w:hAnsiTheme="minorHAnsi" w:cstheme="minorHAnsi"/>
          <w:b/>
          <w:bCs/>
          <w:color w:val="auto"/>
          <w:sz w:val="28"/>
          <w:szCs w:val="28"/>
        </w:rPr>
        <w:t>Referen</w:t>
      </w:r>
      <w:r w:rsidR="003B4E2E">
        <w:rPr>
          <w:rFonts w:asciiTheme="minorHAnsi" w:hAnsiTheme="minorHAnsi" w:cstheme="minorHAnsi"/>
          <w:b/>
          <w:bCs/>
          <w:color w:val="auto"/>
          <w:sz w:val="28"/>
          <w:szCs w:val="28"/>
        </w:rPr>
        <w:t>ces</w:t>
      </w:r>
      <w:bookmarkEnd w:id="8"/>
    </w:p>
    <w:p w14:paraId="22872A90" w14:textId="2E731AA4" w:rsidR="00D25B89" w:rsidRDefault="00D25B89" w:rsidP="0011014A">
      <w:pPr>
        <w:rPr>
          <w:rFonts w:cstheme="minorHAnsi"/>
        </w:rPr>
      </w:pPr>
    </w:p>
    <w:p w14:paraId="65A2B5A5" w14:textId="77777777" w:rsidR="009A0DBD" w:rsidRDefault="009A0DBD" w:rsidP="0011014A">
      <w:pPr>
        <w:rPr>
          <w:rFonts w:cstheme="minorHAnsi"/>
        </w:rPr>
      </w:pPr>
    </w:p>
    <w:p w14:paraId="4884219D" w14:textId="77777777" w:rsidR="008F099E" w:rsidRPr="003E1C42" w:rsidRDefault="009A0DBD" w:rsidP="008F099E">
      <w:pPr>
        <w:pStyle w:val="EndNoteBibliography"/>
        <w:rPr>
          <w:lang w:val="de-DE"/>
        </w:rPr>
      </w:pPr>
      <w:r>
        <w:rPr>
          <w:rFonts w:cstheme="minorHAnsi"/>
        </w:rPr>
        <w:fldChar w:fldCharType="begin"/>
      </w:r>
      <w:r w:rsidRPr="00520B10">
        <w:rPr>
          <w:rFonts w:cstheme="minorHAnsi"/>
          <w:lang w:val="de-DE"/>
        </w:rPr>
        <w:instrText xml:space="preserve"> ADDIN EN.REFLIST </w:instrText>
      </w:r>
      <w:r>
        <w:rPr>
          <w:rFonts w:cstheme="minorHAnsi"/>
        </w:rPr>
        <w:fldChar w:fldCharType="separate"/>
      </w:r>
      <w:r w:rsidR="008F099E" w:rsidRPr="003E1C42">
        <w:rPr>
          <w:lang w:val="de-DE"/>
        </w:rPr>
        <w:t>1.</w:t>
      </w:r>
      <w:r w:rsidR="008F099E" w:rsidRPr="003E1C42">
        <w:rPr>
          <w:lang w:val="de-DE"/>
        </w:rPr>
        <w:tab/>
        <w:t>Schaller K, Effertz T, Gerlach S, Grabfelder M, Müller MJ: Prävention nichtübertragbarer Krankheiten – eine gesamtgesellschaftliche Aufgabe. Grundsatzpapier der Deutschen Allianz Nichtübertragbare Krankheiten (DANK). Berlin: Deutsche Allianz Nichtübertragbare Krankheiten (DANK) 2016.</w:t>
      </w:r>
    </w:p>
    <w:p w14:paraId="7A04FD6E" w14:textId="33498938" w:rsidR="008F099E" w:rsidRPr="008F099E" w:rsidRDefault="008F099E" w:rsidP="008F099E">
      <w:pPr>
        <w:pStyle w:val="EndNoteBibliography"/>
      </w:pPr>
      <w:r w:rsidRPr="008F099E">
        <w:t>2.</w:t>
      </w:r>
      <w:r w:rsidRPr="008F099E">
        <w:tab/>
        <w:t xml:space="preserve">WHO Regional Office for Europe: European Food and Nutrition Action Plan 2015–2020 </w:t>
      </w:r>
      <w:hyperlink r:id="rId10" w:history="1">
        <w:r w:rsidRPr="008F099E">
          <w:rPr>
            <w:rStyle w:val="Hyperlink"/>
          </w:rPr>
          <w:t>www.euro.who.int/en/publications/abstracts/european-food-and-nutrition-action-plan-20152020</w:t>
        </w:r>
      </w:hyperlink>
      <w:r w:rsidRPr="008F099E">
        <w:t xml:space="preserve"> (last accessed on November 22, 2019.</w:t>
      </w:r>
    </w:p>
    <w:p w14:paraId="7D94E302" w14:textId="77777777" w:rsidR="008F099E" w:rsidRPr="003E1C42" w:rsidRDefault="008F099E" w:rsidP="008F099E">
      <w:pPr>
        <w:pStyle w:val="EndNoteBibliography"/>
        <w:rPr>
          <w:lang w:val="de-DE"/>
        </w:rPr>
      </w:pPr>
      <w:r w:rsidRPr="008F099E">
        <w:t>3.</w:t>
      </w:r>
      <w:r w:rsidRPr="008F099E">
        <w:tab/>
        <w:t xml:space="preserve">WHO-EURO: Vienna Declaration on Nutrition and Noncommunicable Diseases in the Context of Health 2020. </w:t>
      </w:r>
      <w:r w:rsidRPr="003E1C42">
        <w:rPr>
          <w:lang w:val="de-DE"/>
        </w:rPr>
        <w:t>WHO-EURO 2013.</w:t>
      </w:r>
    </w:p>
    <w:p w14:paraId="46B92D28" w14:textId="364B92B0" w:rsidR="008F099E" w:rsidRPr="003E1C42" w:rsidRDefault="008F099E" w:rsidP="008F099E">
      <w:pPr>
        <w:pStyle w:val="EndNoteBibliography"/>
        <w:rPr>
          <w:lang w:val="de-DE"/>
        </w:rPr>
      </w:pPr>
      <w:r w:rsidRPr="003E1C42">
        <w:rPr>
          <w:lang w:val="de-DE"/>
        </w:rPr>
        <w:t>4.</w:t>
      </w:r>
      <w:r w:rsidRPr="003E1C42">
        <w:rPr>
          <w:lang w:val="de-DE"/>
        </w:rPr>
        <w:tab/>
        <w:t xml:space="preserve">Wissenschaftlicher Beirat für Agrarpolitik Ernährung und gesundheitlichen Verbraucherschutz (WBAE) beim BMEL: Politik für eine nachhaltigere Ernährung: Eine integrierte Ernährungspolitik entwickeln und faire Ernährungsumgebungen gestalten </w:t>
      </w:r>
      <w:hyperlink r:id="rId11" w:history="1">
        <w:r w:rsidRPr="003E1C42">
          <w:rPr>
            <w:rStyle w:val="Hyperlink"/>
            <w:lang w:val="de-DE"/>
          </w:rPr>
          <w:t>https://www.bmel.de/SharedDocs/Downloads/DE/_Ministerium/Beiraete/agrarpolitik/wbae-gutachten-nachhaltige-ernaehrung.html</w:t>
        </w:r>
      </w:hyperlink>
      <w:r w:rsidRPr="003E1C42">
        <w:rPr>
          <w:lang w:val="de-DE"/>
        </w:rPr>
        <w:t xml:space="preserve"> (last accessed on September 24, 2020.</w:t>
      </w:r>
    </w:p>
    <w:p w14:paraId="0F69E6A0" w14:textId="63DE6007" w:rsidR="008F099E" w:rsidRPr="008F099E" w:rsidRDefault="008F099E" w:rsidP="008F099E">
      <w:pPr>
        <w:pStyle w:val="EndNoteBibliography"/>
      </w:pPr>
      <w:r w:rsidRPr="008F099E">
        <w:t>5.</w:t>
      </w:r>
      <w:r w:rsidRPr="008F099E">
        <w:tab/>
        <w:t xml:space="preserve">WHO: Tackling NCDs: 'best buys' and other recommended interventions for the prevention and control of noncommunicable diseases </w:t>
      </w:r>
      <w:hyperlink r:id="rId12" w:history="1">
        <w:r w:rsidRPr="008F099E">
          <w:rPr>
            <w:rStyle w:val="Hyperlink"/>
          </w:rPr>
          <w:t>https://apps.who.int/iris/handle/10665/259232</w:t>
        </w:r>
      </w:hyperlink>
      <w:r w:rsidRPr="008F099E">
        <w:t xml:space="preserve"> (last accessed on November 24, 2019.</w:t>
      </w:r>
    </w:p>
    <w:p w14:paraId="1D859A01" w14:textId="5D16785F" w:rsidR="008F099E" w:rsidRPr="003E1C42" w:rsidRDefault="008F099E" w:rsidP="008F099E">
      <w:pPr>
        <w:pStyle w:val="EndNoteBibliography"/>
        <w:rPr>
          <w:lang w:val="de-DE"/>
        </w:rPr>
      </w:pPr>
      <w:r w:rsidRPr="003E1C42">
        <w:rPr>
          <w:lang w:val="de-DE"/>
        </w:rPr>
        <w:t>6.</w:t>
      </w:r>
      <w:r w:rsidRPr="003E1C42">
        <w:rPr>
          <w:lang w:val="de-DE"/>
        </w:rPr>
        <w:tab/>
        <w:t xml:space="preserve">vzbv und VBE: Einflussnahme von Wirtschaft in Schule: Ergebnisse einer Befragung aller Kultusministerien </w:t>
      </w:r>
      <w:hyperlink r:id="rId13" w:history="1">
        <w:r w:rsidRPr="003E1C42">
          <w:rPr>
            <w:rStyle w:val="Hyperlink"/>
            <w:lang w:val="de-DE"/>
          </w:rPr>
          <w:t>www.vbe.de/fileadmin/user_upload/VBE/Presse/2020-03-11_Langfassung_Sponsoring_Analyse-und-Forderungen_vzbv-und-VBE.pdf</w:t>
        </w:r>
      </w:hyperlink>
      <w:r w:rsidRPr="003E1C42">
        <w:rPr>
          <w:lang w:val="de-DE"/>
        </w:rPr>
        <w:t xml:space="preserve"> (last accessed on June 5, 2020.</w:t>
      </w:r>
    </w:p>
    <w:p w14:paraId="4937422D" w14:textId="645E837E" w:rsidR="008F099E" w:rsidRPr="008F099E" w:rsidRDefault="008F099E" w:rsidP="008F099E">
      <w:pPr>
        <w:pStyle w:val="EndNoteBibliography"/>
      </w:pPr>
      <w:r w:rsidRPr="008F099E">
        <w:t>7.</w:t>
      </w:r>
      <w:r w:rsidRPr="008F099E">
        <w:tab/>
        <w:t xml:space="preserve">World Health Organization: A framework for implementing the set of recommendations on the marketing of foods and non-alcoholic beverages to children </w:t>
      </w:r>
      <w:hyperlink r:id="rId14" w:history="1">
        <w:r w:rsidRPr="008F099E">
          <w:rPr>
            <w:rStyle w:val="Hyperlink"/>
          </w:rPr>
          <w:t>https://www.who.int/dietphysicalactivity/framework_marketing_food_to_children/en/</w:t>
        </w:r>
      </w:hyperlink>
      <w:r w:rsidRPr="008F099E">
        <w:t xml:space="preserve"> (last accessed on July 1, 2020.</w:t>
      </w:r>
    </w:p>
    <w:p w14:paraId="46AF0173" w14:textId="251E92E5" w:rsidR="008F099E" w:rsidRPr="003E1C42" w:rsidRDefault="008F099E" w:rsidP="008F099E">
      <w:pPr>
        <w:pStyle w:val="EndNoteBibliography"/>
        <w:rPr>
          <w:lang w:val="de-DE"/>
        </w:rPr>
      </w:pPr>
      <w:r w:rsidRPr="003E1C42">
        <w:rPr>
          <w:lang w:val="de-DE"/>
        </w:rPr>
        <w:t>8.</w:t>
      </w:r>
      <w:r w:rsidRPr="003E1C42">
        <w:rPr>
          <w:lang w:val="de-DE"/>
        </w:rPr>
        <w:tab/>
        <w:t xml:space="preserve">Verbraucherzentrale Bundesverband (vzbv): Nationale Reduktions- und Innovationsstrategie: Mehr Tempo und strengere Vorgaben für Produkte mit Kinderoptik gefordert </w:t>
      </w:r>
      <w:hyperlink r:id="rId15" w:history="1">
        <w:r w:rsidRPr="003E1C42">
          <w:rPr>
            <w:rStyle w:val="Hyperlink"/>
            <w:lang w:val="de-DE"/>
          </w:rPr>
          <w:t>https://www.vzbv.de/dokument/zucker-fett-und-salzreduktion-bisher-ohne-ueberzeugende-erfolge</w:t>
        </w:r>
      </w:hyperlink>
      <w:r w:rsidRPr="003E1C42">
        <w:rPr>
          <w:lang w:val="de-DE"/>
        </w:rPr>
        <w:t xml:space="preserve"> (last accessed on July 1, 2020.</w:t>
      </w:r>
    </w:p>
    <w:p w14:paraId="5F5D5D2C" w14:textId="77777777" w:rsidR="008F099E" w:rsidRPr="008F099E" w:rsidRDefault="008F099E" w:rsidP="008F099E">
      <w:pPr>
        <w:pStyle w:val="EndNoteBibliography"/>
      </w:pPr>
      <w:r w:rsidRPr="008F099E">
        <w:t>9.</w:t>
      </w:r>
      <w:r w:rsidRPr="008F099E">
        <w:tab/>
        <w:t>WHO: Follow-up to the Political Declaration of the High-level Meeting of the General Assembly on the Prevention and Control of Non-communicable DiseasesWHA 66.10 Agenda item 13.1 and 13.2).</w:t>
      </w:r>
    </w:p>
    <w:p w14:paraId="35E3D9A3" w14:textId="77777777" w:rsidR="008F099E" w:rsidRPr="008F099E" w:rsidRDefault="008F099E" w:rsidP="008F099E">
      <w:pPr>
        <w:pStyle w:val="EndNoteBibliography"/>
      </w:pPr>
      <w:r w:rsidRPr="008F099E">
        <w:t>10.</w:t>
      </w:r>
      <w:r w:rsidRPr="008F099E">
        <w:tab/>
        <w:t>Hsieh H-F, Shannon SE: Three Approaches to Qualitative Content Analysis. Qualitative Health Research 2005; 15: 1277-88.</w:t>
      </w:r>
    </w:p>
    <w:p w14:paraId="689D7B4B" w14:textId="77777777" w:rsidR="008F099E" w:rsidRPr="008F099E" w:rsidRDefault="008F099E" w:rsidP="008F099E">
      <w:pPr>
        <w:pStyle w:val="EndNoteBibliography"/>
      </w:pPr>
      <w:r w:rsidRPr="008F099E">
        <w:t>11.</w:t>
      </w:r>
      <w:r w:rsidRPr="008F099E">
        <w:tab/>
        <w:t>Swinburn B, Vandevijvere S, Kraak V, et al.: Monitoring and benchmarking government policies and actions to improve the healthiness of food environments: a proposed Government Healthy Food Environment Policy Index. Obesity Reviews 2013; 14: 24-37.</w:t>
      </w:r>
    </w:p>
    <w:p w14:paraId="356CF75F" w14:textId="47AA03D3" w:rsidR="008F099E" w:rsidRPr="008F099E" w:rsidRDefault="008F099E" w:rsidP="008F099E">
      <w:pPr>
        <w:pStyle w:val="EndNoteBibliography"/>
      </w:pPr>
      <w:r w:rsidRPr="008F099E">
        <w:t>12.</w:t>
      </w:r>
      <w:r w:rsidRPr="008F099E">
        <w:tab/>
        <w:t xml:space="preserve">INFORMAS: INFORMAS Protocol: Public Sector Module. Healthy Food Environment Policy Index (Food-EPI) </w:t>
      </w:r>
      <w:hyperlink r:id="rId16" w:history="1">
        <w:r w:rsidRPr="008F099E">
          <w:rPr>
            <w:rStyle w:val="Hyperlink"/>
          </w:rPr>
          <w:t>https://figshare.com/articles/INFORMAS_Protocol_Public_Sector_Module_-_Healthy_Food_Environment_Policy_Index_Food-EPI_/5673439</w:t>
        </w:r>
      </w:hyperlink>
      <w:r w:rsidRPr="008F099E">
        <w:t xml:space="preserve"> (last accessed on March 2, 2020.</w:t>
      </w:r>
    </w:p>
    <w:p w14:paraId="05A6B393" w14:textId="13C46BDA" w:rsidR="008F099E" w:rsidRPr="008F099E" w:rsidRDefault="008F099E" w:rsidP="008F099E">
      <w:pPr>
        <w:pStyle w:val="EndNoteBibliography"/>
      </w:pPr>
      <w:r w:rsidRPr="008F099E">
        <w:t>13.</w:t>
      </w:r>
      <w:r w:rsidRPr="008F099E">
        <w:tab/>
        <w:t xml:space="preserve">von Philipsborn P, Geffert K, Klinger C, Hebestreit A, Stratil J, Rehfuess E: Food Environment Policy Index (Food-EPI) Evidenzbericht für Deutschland </w:t>
      </w:r>
      <w:hyperlink r:id="rId17" w:history="1">
        <w:r w:rsidRPr="008F099E">
          <w:rPr>
            <w:rStyle w:val="Hyperlink"/>
          </w:rPr>
          <w:t>https://www.jpi-pen.eu/images/reports/Food-EPI_Germany_Evidence_Report.pdf</w:t>
        </w:r>
      </w:hyperlink>
      <w:r w:rsidRPr="008F099E">
        <w:t xml:space="preserve"> (last accessed on 18. Mai 2021.</w:t>
      </w:r>
    </w:p>
    <w:p w14:paraId="01BE8FBB" w14:textId="5ACEE2B3" w:rsidR="008F099E" w:rsidRPr="008F099E" w:rsidRDefault="008F099E" w:rsidP="008F099E">
      <w:pPr>
        <w:pStyle w:val="EndNoteBibliography"/>
      </w:pPr>
      <w:r w:rsidRPr="008F099E">
        <w:t>14.</w:t>
      </w:r>
      <w:r w:rsidRPr="008F099E">
        <w:tab/>
        <w:t xml:space="preserve">World Cancer Research Fund International: NOURISHING framework </w:t>
      </w:r>
      <w:hyperlink r:id="rId18" w:history="1">
        <w:r w:rsidRPr="008F099E">
          <w:rPr>
            <w:rStyle w:val="Hyperlink"/>
          </w:rPr>
          <w:t>https://www.wcrf.org/int/policy/nourishing/our-policy-framework-promote-healthy-diets-reduce-obesity</w:t>
        </w:r>
      </w:hyperlink>
      <w:r w:rsidRPr="008F099E">
        <w:t xml:space="preserve"> (last accessed on January 15, 2019.</w:t>
      </w:r>
    </w:p>
    <w:p w14:paraId="2C89FF32" w14:textId="77777777" w:rsidR="008F099E" w:rsidRPr="008F099E" w:rsidRDefault="008F099E" w:rsidP="008F099E">
      <w:pPr>
        <w:pStyle w:val="EndNoteBibliography"/>
      </w:pPr>
      <w:r w:rsidRPr="008F099E">
        <w:t>15.</w:t>
      </w:r>
      <w:r w:rsidRPr="008F099E">
        <w:tab/>
        <w:t>Tong A, Sainsbury P, Craig J: Consolidated criteria for reporting qualitative research (COREQ): a 32-item checklist for interviews and focus groups. International Journal for Quality in Health Care 2007; 19: 349-57.</w:t>
      </w:r>
    </w:p>
    <w:p w14:paraId="4CD73330" w14:textId="4221FA3E" w:rsidR="00D25B89" w:rsidRPr="00CA49AD" w:rsidRDefault="009A0DBD" w:rsidP="0011014A">
      <w:pPr>
        <w:rPr>
          <w:rFonts w:cstheme="minorHAnsi"/>
        </w:rPr>
      </w:pPr>
      <w:r>
        <w:rPr>
          <w:rFonts w:cstheme="minorHAnsi"/>
        </w:rPr>
        <w:fldChar w:fldCharType="end"/>
      </w:r>
    </w:p>
    <w:sectPr w:rsidR="00D25B89" w:rsidRPr="00CA49AD">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0AAE" w14:textId="77777777" w:rsidR="00A64979" w:rsidRDefault="00A64979" w:rsidP="00296AA2">
      <w:pPr>
        <w:spacing w:line="240" w:lineRule="auto"/>
      </w:pPr>
      <w:r>
        <w:separator/>
      </w:r>
    </w:p>
  </w:endnote>
  <w:endnote w:type="continuationSeparator" w:id="0">
    <w:p w14:paraId="4F3B2E9A" w14:textId="77777777" w:rsidR="00A64979" w:rsidRDefault="00A64979" w:rsidP="00296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09721"/>
      <w:docPartObj>
        <w:docPartGallery w:val="Page Numbers (Bottom of Page)"/>
        <w:docPartUnique/>
      </w:docPartObj>
    </w:sdtPr>
    <w:sdtEndPr/>
    <w:sdtContent>
      <w:p w14:paraId="4995CF3F" w14:textId="15761A4D" w:rsidR="00414DBC" w:rsidRDefault="00414DBC">
        <w:pPr>
          <w:pStyle w:val="Fuzeile"/>
          <w:jc w:val="right"/>
        </w:pPr>
        <w:r>
          <w:fldChar w:fldCharType="begin"/>
        </w:r>
        <w:r>
          <w:instrText>PAGE   \* MERGEFORMAT</w:instrText>
        </w:r>
        <w:r>
          <w:fldChar w:fldCharType="separate"/>
        </w:r>
        <w:r w:rsidR="0096171A">
          <w:rPr>
            <w:noProof/>
          </w:rPr>
          <w:t>1</w:t>
        </w:r>
        <w:r>
          <w:fldChar w:fldCharType="end"/>
        </w:r>
      </w:p>
    </w:sdtContent>
  </w:sdt>
  <w:p w14:paraId="48E9A03A" w14:textId="77777777" w:rsidR="00414DBC" w:rsidRDefault="00414D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D54C" w14:textId="77777777" w:rsidR="00A64979" w:rsidRDefault="00A64979" w:rsidP="00296AA2">
      <w:pPr>
        <w:spacing w:line="240" w:lineRule="auto"/>
      </w:pPr>
      <w:r>
        <w:separator/>
      </w:r>
    </w:p>
  </w:footnote>
  <w:footnote w:type="continuationSeparator" w:id="0">
    <w:p w14:paraId="6E922908" w14:textId="77777777" w:rsidR="00A64979" w:rsidRDefault="00A64979" w:rsidP="00296A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562"/>
    <w:multiLevelType w:val="hybridMultilevel"/>
    <w:tmpl w:val="70DACAF0"/>
    <w:lvl w:ilvl="0" w:tplc="883E2B88">
      <w:start w:val="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37973"/>
    <w:multiLevelType w:val="multilevel"/>
    <w:tmpl w:val="8766D1D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643A29"/>
    <w:multiLevelType w:val="hybridMultilevel"/>
    <w:tmpl w:val="BF9C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0C6188"/>
    <w:multiLevelType w:val="hybridMultilevel"/>
    <w:tmpl w:val="D2D4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16081"/>
    <w:multiLevelType w:val="hybridMultilevel"/>
    <w:tmpl w:val="3B6E77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Layout" w:val="&lt;ENLayout&gt;&lt;Style&gt;Deutsches Arzteblat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22xwadastzf1etvvepeezbzfr9wrtfszr0&quot;&gt;My EndNote Library&lt;record-ids&gt;&lt;item&gt;72&lt;/item&gt;&lt;item&gt;475&lt;/item&gt;&lt;item&gt;178133&lt;/item&gt;&lt;item&gt;178498&lt;/item&gt;&lt;item&gt;178672&lt;/item&gt;&lt;item&gt;181165&lt;/item&gt;&lt;item&gt;229447&lt;/item&gt;&lt;item&gt;241418&lt;/item&gt;&lt;item&gt;241561&lt;/item&gt;&lt;item&gt;241960&lt;/item&gt;&lt;item&gt;246580&lt;/item&gt;&lt;item&gt;247243&lt;/item&gt;&lt;item&gt;247247&lt;/item&gt;&lt;item&gt;247703&lt;/item&gt;&lt;item&gt;247845&lt;/item&gt;&lt;/record-ids&gt;&lt;/item&gt;&lt;/Libraries&gt;"/>
  </w:docVars>
  <w:rsids>
    <w:rsidRoot w:val="00F51E86"/>
    <w:rsid w:val="00017C1D"/>
    <w:rsid w:val="00025627"/>
    <w:rsid w:val="0004028A"/>
    <w:rsid w:val="000405F5"/>
    <w:rsid w:val="00040DD6"/>
    <w:rsid w:val="000465F9"/>
    <w:rsid w:val="000614A1"/>
    <w:rsid w:val="00067FF3"/>
    <w:rsid w:val="00093773"/>
    <w:rsid w:val="000A47E0"/>
    <w:rsid w:val="000B398F"/>
    <w:rsid w:val="000C7022"/>
    <w:rsid w:val="000D39F3"/>
    <w:rsid w:val="000E5F0C"/>
    <w:rsid w:val="000F5E7D"/>
    <w:rsid w:val="000F684A"/>
    <w:rsid w:val="00106862"/>
    <w:rsid w:val="0011014A"/>
    <w:rsid w:val="00110966"/>
    <w:rsid w:val="00120BAD"/>
    <w:rsid w:val="00145A2D"/>
    <w:rsid w:val="00146121"/>
    <w:rsid w:val="0015257F"/>
    <w:rsid w:val="00160D5E"/>
    <w:rsid w:val="001A32A0"/>
    <w:rsid w:val="001A5B35"/>
    <w:rsid w:val="001B20D1"/>
    <w:rsid w:val="001B4190"/>
    <w:rsid w:val="001B6749"/>
    <w:rsid w:val="001D487C"/>
    <w:rsid w:val="001D75E2"/>
    <w:rsid w:val="001E057D"/>
    <w:rsid w:val="001F11DC"/>
    <w:rsid w:val="001F31B1"/>
    <w:rsid w:val="001F3241"/>
    <w:rsid w:val="001F66B6"/>
    <w:rsid w:val="00205217"/>
    <w:rsid w:val="002068FA"/>
    <w:rsid w:val="0021778E"/>
    <w:rsid w:val="00227254"/>
    <w:rsid w:val="002333F5"/>
    <w:rsid w:val="00236473"/>
    <w:rsid w:val="00251B0B"/>
    <w:rsid w:val="00252E7B"/>
    <w:rsid w:val="002535F4"/>
    <w:rsid w:val="00277A65"/>
    <w:rsid w:val="00281C0F"/>
    <w:rsid w:val="00293001"/>
    <w:rsid w:val="00296AA2"/>
    <w:rsid w:val="00297C20"/>
    <w:rsid w:val="002B7661"/>
    <w:rsid w:val="0030162D"/>
    <w:rsid w:val="0031303D"/>
    <w:rsid w:val="00317865"/>
    <w:rsid w:val="003370E5"/>
    <w:rsid w:val="003424EB"/>
    <w:rsid w:val="003531BE"/>
    <w:rsid w:val="0035481B"/>
    <w:rsid w:val="00363A86"/>
    <w:rsid w:val="00364560"/>
    <w:rsid w:val="003646A3"/>
    <w:rsid w:val="003718CC"/>
    <w:rsid w:val="00373D5E"/>
    <w:rsid w:val="003740C7"/>
    <w:rsid w:val="00374397"/>
    <w:rsid w:val="0037723C"/>
    <w:rsid w:val="00384FD3"/>
    <w:rsid w:val="003920A5"/>
    <w:rsid w:val="003B11B8"/>
    <w:rsid w:val="003B4E2E"/>
    <w:rsid w:val="003B71DE"/>
    <w:rsid w:val="003C6223"/>
    <w:rsid w:val="003C7065"/>
    <w:rsid w:val="003E1C42"/>
    <w:rsid w:val="003F2175"/>
    <w:rsid w:val="003F33F3"/>
    <w:rsid w:val="003F4DF6"/>
    <w:rsid w:val="00406915"/>
    <w:rsid w:val="00414DBC"/>
    <w:rsid w:val="004178F3"/>
    <w:rsid w:val="00420B58"/>
    <w:rsid w:val="00424075"/>
    <w:rsid w:val="0042532A"/>
    <w:rsid w:val="00426130"/>
    <w:rsid w:val="00433822"/>
    <w:rsid w:val="0043579D"/>
    <w:rsid w:val="004407CC"/>
    <w:rsid w:val="004830B2"/>
    <w:rsid w:val="0048467F"/>
    <w:rsid w:val="0049659D"/>
    <w:rsid w:val="0049740B"/>
    <w:rsid w:val="004B1B18"/>
    <w:rsid w:val="004B4BDC"/>
    <w:rsid w:val="004D2766"/>
    <w:rsid w:val="004D4AFC"/>
    <w:rsid w:val="0050519F"/>
    <w:rsid w:val="00512CF0"/>
    <w:rsid w:val="00513326"/>
    <w:rsid w:val="00516574"/>
    <w:rsid w:val="0052079F"/>
    <w:rsid w:val="00520B10"/>
    <w:rsid w:val="005274B6"/>
    <w:rsid w:val="00532CF6"/>
    <w:rsid w:val="0054504E"/>
    <w:rsid w:val="005500CF"/>
    <w:rsid w:val="005646BD"/>
    <w:rsid w:val="00564EB7"/>
    <w:rsid w:val="00572DCF"/>
    <w:rsid w:val="0059534D"/>
    <w:rsid w:val="0059631F"/>
    <w:rsid w:val="00596F4D"/>
    <w:rsid w:val="005B33BB"/>
    <w:rsid w:val="005C3E88"/>
    <w:rsid w:val="005C6CDF"/>
    <w:rsid w:val="005C7F10"/>
    <w:rsid w:val="005D7EE6"/>
    <w:rsid w:val="005E2546"/>
    <w:rsid w:val="005E2B0B"/>
    <w:rsid w:val="005E527B"/>
    <w:rsid w:val="00600EEC"/>
    <w:rsid w:val="0063302D"/>
    <w:rsid w:val="00635D69"/>
    <w:rsid w:val="006407CE"/>
    <w:rsid w:val="006537AD"/>
    <w:rsid w:val="00657179"/>
    <w:rsid w:val="00657C73"/>
    <w:rsid w:val="00664130"/>
    <w:rsid w:val="00666F1E"/>
    <w:rsid w:val="006C034C"/>
    <w:rsid w:val="006C15C4"/>
    <w:rsid w:val="006C3E1C"/>
    <w:rsid w:val="006E7923"/>
    <w:rsid w:val="00712E50"/>
    <w:rsid w:val="00727E31"/>
    <w:rsid w:val="00741AFA"/>
    <w:rsid w:val="00767354"/>
    <w:rsid w:val="00772B4B"/>
    <w:rsid w:val="00774CF7"/>
    <w:rsid w:val="00783787"/>
    <w:rsid w:val="00787630"/>
    <w:rsid w:val="007B572C"/>
    <w:rsid w:val="007F5900"/>
    <w:rsid w:val="00810805"/>
    <w:rsid w:val="00833737"/>
    <w:rsid w:val="008344F4"/>
    <w:rsid w:val="008350EB"/>
    <w:rsid w:val="00857A7C"/>
    <w:rsid w:val="008668C4"/>
    <w:rsid w:val="00866DF8"/>
    <w:rsid w:val="0087028A"/>
    <w:rsid w:val="00870F8E"/>
    <w:rsid w:val="00873A1B"/>
    <w:rsid w:val="00877C51"/>
    <w:rsid w:val="008847A2"/>
    <w:rsid w:val="0088555E"/>
    <w:rsid w:val="008A790C"/>
    <w:rsid w:val="008C169C"/>
    <w:rsid w:val="008D0D94"/>
    <w:rsid w:val="008D66D0"/>
    <w:rsid w:val="008F099E"/>
    <w:rsid w:val="00905E09"/>
    <w:rsid w:val="00910B83"/>
    <w:rsid w:val="00912A66"/>
    <w:rsid w:val="009203F9"/>
    <w:rsid w:val="00925F0A"/>
    <w:rsid w:val="00935CB6"/>
    <w:rsid w:val="0094775D"/>
    <w:rsid w:val="0096171A"/>
    <w:rsid w:val="009659BC"/>
    <w:rsid w:val="009A0DBD"/>
    <w:rsid w:val="009C09C2"/>
    <w:rsid w:val="00A1605D"/>
    <w:rsid w:val="00A22062"/>
    <w:rsid w:val="00A508A1"/>
    <w:rsid w:val="00A5119A"/>
    <w:rsid w:val="00A51CF8"/>
    <w:rsid w:val="00A5459F"/>
    <w:rsid w:val="00A62206"/>
    <w:rsid w:val="00A64979"/>
    <w:rsid w:val="00A75C2B"/>
    <w:rsid w:val="00A77B0B"/>
    <w:rsid w:val="00A85952"/>
    <w:rsid w:val="00A86F6B"/>
    <w:rsid w:val="00A96363"/>
    <w:rsid w:val="00AC6C60"/>
    <w:rsid w:val="00AD24BE"/>
    <w:rsid w:val="00AD7E79"/>
    <w:rsid w:val="00AE4FB1"/>
    <w:rsid w:val="00AF4996"/>
    <w:rsid w:val="00AF5449"/>
    <w:rsid w:val="00B22519"/>
    <w:rsid w:val="00B22AC9"/>
    <w:rsid w:val="00B275E3"/>
    <w:rsid w:val="00B31EC3"/>
    <w:rsid w:val="00B37EA3"/>
    <w:rsid w:val="00B405A8"/>
    <w:rsid w:val="00B731AF"/>
    <w:rsid w:val="00B77208"/>
    <w:rsid w:val="00B8762B"/>
    <w:rsid w:val="00B87B18"/>
    <w:rsid w:val="00BB3A7B"/>
    <w:rsid w:val="00BC5464"/>
    <w:rsid w:val="00BE0827"/>
    <w:rsid w:val="00BF42C9"/>
    <w:rsid w:val="00BF46A7"/>
    <w:rsid w:val="00BF5996"/>
    <w:rsid w:val="00BF7D01"/>
    <w:rsid w:val="00C27294"/>
    <w:rsid w:val="00C7633A"/>
    <w:rsid w:val="00C90368"/>
    <w:rsid w:val="00CA2BA1"/>
    <w:rsid w:val="00CA49AD"/>
    <w:rsid w:val="00CA624C"/>
    <w:rsid w:val="00CC30AE"/>
    <w:rsid w:val="00CE1937"/>
    <w:rsid w:val="00CE461A"/>
    <w:rsid w:val="00D0172E"/>
    <w:rsid w:val="00D106A2"/>
    <w:rsid w:val="00D13B83"/>
    <w:rsid w:val="00D208D8"/>
    <w:rsid w:val="00D22AEC"/>
    <w:rsid w:val="00D25B89"/>
    <w:rsid w:val="00D5557B"/>
    <w:rsid w:val="00D625D5"/>
    <w:rsid w:val="00D62EF8"/>
    <w:rsid w:val="00D74865"/>
    <w:rsid w:val="00D834B1"/>
    <w:rsid w:val="00D97185"/>
    <w:rsid w:val="00DC0146"/>
    <w:rsid w:val="00DD225C"/>
    <w:rsid w:val="00DE6AAA"/>
    <w:rsid w:val="00DF4B1D"/>
    <w:rsid w:val="00E053BA"/>
    <w:rsid w:val="00E10CA1"/>
    <w:rsid w:val="00E1153A"/>
    <w:rsid w:val="00E157BD"/>
    <w:rsid w:val="00E2151B"/>
    <w:rsid w:val="00E47948"/>
    <w:rsid w:val="00E9684A"/>
    <w:rsid w:val="00EA27B9"/>
    <w:rsid w:val="00EB6304"/>
    <w:rsid w:val="00EC4CDD"/>
    <w:rsid w:val="00ED0BB0"/>
    <w:rsid w:val="00ED2F0F"/>
    <w:rsid w:val="00ED3FEE"/>
    <w:rsid w:val="00ED4459"/>
    <w:rsid w:val="00ED4DF9"/>
    <w:rsid w:val="00EF4783"/>
    <w:rsid w:val="00F0484D"/>
    <w:rsid w:val="00F26E32"/>
    <w:rsid w:val="00F27913"/>
    <w:rsid w:val="00F3413B"/>
    <w:rsid w:val="00F37DA0"/>
    <w:rsid w:val="00F40D5E"/>
    <w:rsid w:val="00F47CBC"/>
    <w:rsid w:val="00F51E86"/>
    <w:rsid w:val="00F53FC9"/>
    <w:rsid w:val="00F55F70"/>
    <w:rsid w:val="00F56946"/>
    <w:rsid w:val="00F66903"/>
    <w:rsid w:val="00F70D6C"/>
    <w:rsid w:val="00F822C5"/>
    <w:rsid w:val="00F83BF4"/>
    <w:rsid w:val="00F85B5E"/>
    <w:rsid w:val="00F955AC"/>
    <w:rsid w:val="00FA2B3F"/>
    <w:rsid w:val="00FA78D5"/>
    <w:rsid w:val="00FB0BD2"/>
    <w:rsid w:val="00FD1D4E"/>
    <w:rsid w:val="00FD5E6D"/>
    <w:rsid w:val="00FD7DDD"/>
    <w:rsid w:val="00FE1275"/>
    <w:rsid w:val="00FF0D6A"/>
    <w:rsid w:val="00FF20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E22651"/>
  <w15:docId w15:val="{0338C0DB-4E89-42ED-A07B-50039287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A1B"/>
  </w:style>
  <w:style w:type="paragraph" w:styleId="berschrift1">
    <w:name w:val="heading 1"/>
    <w:basedOn w:val="Standard"/>
    <w:next w:val="Standard"/>
    <w:link w:val="berschrift1Zchn"/>
    <w:uiPriority w:val="9"/>
    <w:qFormat/>
    <w:rsid w:val="005E52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E52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rsid w:val="00F70D6C"/>
    <w:pPr>
      <w:spacing w:line="240" w:lineRule="auto"/>
    </w:pPr>
    <w:rPr>
      <w:sz w:val="20"/>
      <w:szCs w:val="20"/>
    </w:rPr>
  </w:style>
  <w:style w:type="character" w:customStyle="1" w:styleId="KommentartextZchn">
    <w:name w:val="Kommentartext Zchn"/>
    <w:basedOn w:val="Absatz-Standardschriftart"/>
    <w:link w:val="Kommentartext"/>
    <w:uiPriority w:val="99"/>
    <w:rsid w:val="00F70D6C"/>
    <w:rPr>
      <w:sz w:val="20"/>
      <w:szCs w:val="20"/>
    </w:rPr>
  </w:style>
  <w:style w:type="table" w:styleId="Tabellenraster">
    <w:name w:val="Table Grid"/>
    <w:basedOn w:val="NormaleTabelle"/>
    <w:uiPriority w:val="39"/>
    <w:rsid w:val="00F70D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70D6C"/>
    <w:rPr>
      <w:sz w:val="16"/>
      <w:szCs w:val="16"/>
    </w:rPr>
  </w:style>
  <w:style w:type="table" w:customStyle="1" w:styleId="Tabellenraster1">
    <w:name w:val="Tabellenraster1"/>
    <w:basedOn w:val="NormaleTabelle"/>
    <w:uiPriority w:val="39"/>
    <w:rsid w:val="00F70D6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E527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E527B"/>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30162D"/>
    <w:pPr>
      <w:ind w:left="720"/>
      <w:contextualSpacing/>
    </w:pPr>
  </w:style>
  <w:style w:type="paragraph" w:styleId="Inhaltsverzeichnisberschrift">
    <w:name w:val="TOC Heading"/>
    <w:basedOn w:val="berschrift1"/>
    <w:next w:val="Standard"/>
    <w:uiPriority w:val="39"/>
    <w:unhideWhenUsed/>
    <w:qFormat/>
    <w:rsid w:val="00833737"/>
    <w:pPr>
      <w:outlineLvl w:val="9"/>
    </w:pPr>
    <w:rPr>
      <w:lang w:eastAsia="de-DE"/>
    </w:rPr>
  </w:style>
  <w:style w:type="paragraph" w:styleId="Verzeichnis1">
    <w:name w:val="toc 1"/>
    <w:basedOn w:val="Standard"/>
    <w:next w:val="Standard"/>
    <w:autoRedefine/>
    <w:uiPriority w:val="39"/>
    <w:unhideWhenUsed/>
    <w:rsid w:val="00833737"/>
    <w:pPr>
      <w:spacing w:after="100"/>
    </w:pPr>
  </w:style>
  <w:style w:type="paragraph" w:styleId="Verzeichnis2">
    <w:name w:val="toc 2"/>
    <w:basedOn w:val="Standard"/>
    <w:next w:val="Standard"/>
    <w:autoRedefine/>
    <w:uiPriority w:val="39"/>
    <w:unhideWhenUsed/>
    <w:rsid w:val="00833737"/>
    <w:pPr>
      <w:spacing w:after="100"/>
      <w:ind w:left="220"/>
    </w:pPr>
  </w:style>
  <w:style w:type="character" w:styleId="Hyperlink">
    <w:name w:val="Hyperlink"/>
    <w:basedOn w:val="Absatz-Standardschriftart"/>
    <w:uiPriority w:val="99"/>
    <w:unhideWhenUsed/>
    <w:rsid w:val="00833737"/>
    <w:rPr>
      <w:color w:val="0563C1" w:themeColor="hyperlink"/>
      <w:u w:val="single"/>
    </w:rPr>
  </w:style>
  <w:style w:type="paragraph" w:styleId="Kopfzeile">
    <w:name w:val="header"/>
    <w:basedOn w:val="Standard"/>
    <w:link w:val="KopfzeileZchn"/>
    <w:uiPriority w:val="99"/>
    <w:unhideWhenUsed/>
    <w:rsid w:val="00296AA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96AA2"/>
  </w:style>
  <w:style w:type="paragraph" w:styleId="Fuzeile">
    <w:name w:val="footer"/>
    <w:basedOn w:val="Standard"/>
    <w:link w:val="FuzeileZchn"/>
    <w:uiPriority w:val="99"/>
    <w:unhideWhenUsed/>
    <w:rsid w:val="00296AA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96AA2"/>
  </w:style>
  <w:style w:type="paragraph" w:customStyle="1" w:styleId="EndNoteBibliographyTitle">
    <w:name w:val="EndNote Bibliography Title"/>
    <w:basedOn w:val="Standard"/>
    <w:link w:val="EndNoteBibliographyTitleZchn"/>
    <w:rsid w:val="009A0DBD"/>
    <w:pPr>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9A0DBD"/>
    <w:rPr>
      <w:rFonts w:ascii="Calibri" w:hAnsi="Calibri" w:cs="Calibri"/>
      <w:noProof/>
      <w:lang w:val="en-US"/>
    </w:rPr>
  </w:style>
  <w:style w:type="paragraph" w:customStyle="1" w:styleId="EndNoteBibliography">
    <w:name w:val="EndNote Bibliography"/>
    <w:basedOn w:val="Standard"/>
    <w:link w:val="EndNoteBibliographyZchn"/>
    <w:rsid w:val="009A0DBD"/>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9A0DBD"/>
    <w:rPr>
      <w:rFonts w:ascii="Calibri" w:hAnsi="Calibri" w:cs="Calibri"/>
      <w:noProof/>
      <w:lang w:val="en-US"/>
    </w:rPr>
  </w:style>
  <w:style w:type="character" w:customStyle="1" w:styleId="NichtaufgelsteErwhnung1">
    <w:name w:val="Nicht aufgelöste Erwähnung1"/>
    <w:basedOn w:val="Absatz-Standardschriftart"/>
    <w:uiPriority w:val="99"/>
    <w:semiHidden/>
    <w:unhideWhenUsed/>
    <w:rsid w:val="009A0DBD"/>
    <w:rPr>
      <w:color w:val="605E5C"/>
      <w:shd w:val="clear" w:color="auto" w:fill="E1DFDD"/>
    </w:rPr>
  </w:style>
  <w:style w:type="paragraph" w:customStyle="1" w:styleId="TEXT1">
    <w:name w:val="TEXT_1"/>
    <w:basedOn w:val="Standard"/>
    <w:link w:val="TEXT1Zchn"/>
    <w:qFormat/>
    <w:rsid w:val="001D487C"/>
    <w:pPr>
      <w:autoSpaceDE w:val="0"/>
      <w:autoSpaceDN w:val="0"/>
      <w:adjustRightInd w:val="0"/>
      <w:spacing w:line="288" w:lineRule="auto"/>
      <w:textAlignment w:val="center"/>
    </w:pPr>
    <w:rPr>
      <w:rFonts w:ascii="Arial" w:hAnsi="Arial" w:cs="Arial"/>
      <w:color w:val="000000"/>
      <w:sz w:val="24"/>
      <w:szCs w:val="24"/>
    </w:rPr>
  </w:style>
  <w:style w:type="character" w:customStyle="1" w:styleId="TEXT1Zchn">
    <w:name w:val="TEXT_1 Zchn"/>
    <w:basedOn w:val="Absatz-Standardschriftart"/>
    <w:link w:val="TEXT1"/>
    <w:rsid w:val="001D487C"/>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450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04E"/>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B77208"/>
    <w:rPr>
      <w:b/>
      <w:bCs/>
    </w:rPr>
  </w:style>
  <w:style w:type="character" w:customStyle="1" w:styleId="KommentarthemaZchn">
    <w:name w:val="Kommentarthema Zchn"/>
    <w:basedOn w:val="KommentartextZchn"/>
    <w:link w:val="Kommentarthema"/>
    <w:uiPriority w:val="99"/>
    <w:semiHidden/>
    <w:rsid w:val="00B77208"/>
    <w:rPr>
      <w:b/>
      <w:bCs/>
      <w:sz w:val="20"/>
      <w:szCs w:val="20"/>
    </w:rPr>
  </w:style>
  <w:style w:type="character" w:customStyle="1" w:styleId="NichtaufgelsteErwhnung2">
    <w:name w:val="Nicht aufgelöste Erwähnung2"/>
    <w:basedOn w:val="Absatz-Standardschriftart"/>
    <w:uiPriority w:val="99"/>
    <w:semiHidden/>
    <w:unhideWhenUsed/>
    <w:rsid w:val="00B37EA3"/>
    <w:rPr>
      <w:color w:val="605E5C"/>
      <w:shd w:val="clear" w:color="auto" w:fill="E1DFDD"/>
    </w:rPr>
  </w:style>
  <w:style w:type="table" w:customStyle="1" w:styleId="Tabellenraster11">
    <w:name w:val="Tabellenraster11"/>
    <w:basedOn w:val="NormaleTabelle"/>
    <w:uiPriority w:val="39"/>
    <w:rsid w:val="00FF0D6A"/>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8305">
      <w:bodyDiv w:val="1"/>
      <w:marLeft w:val="0"/>
      <w:marRight w:val="0"/>
      <w:marTop w:val="0"/>
      <w:marBottom w:val="0"/>
      <w:divBdr>
        <w:top w:val="none" w:sz="0" w:space="0" w:color="auto"/>
        <w:left w:val="none" w:sz="0" w:space="0" w:color="auto"/>
        <w:bottom w:val="none" w:sz="0" w:space="0" w:color="auto"/>
        <w:right w:val="none" w:sz="0" w:space="0" w:color="auto"/>
      </w:divBdr>
    </w:div>
    <w:div w:id="9136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s.org/modules/public-sector" TargetMode="External"/><Relationship Id="rId13" Type="http://schemas.openxmlformats.org/officeDocument/2006/relationships/hyperlink" Target="file:///\\srvwork\Users\carmenklinger\Documents\Food%20EPI\U&#776;bersetzung%20Manuskript\Final%20versions\www.vbe.de\fileadmin\user_upload\VBE\Presse\2020-03-11_Langfassung_Sponsoring_Analyse-und-Forderungen_vzbv-und-VBE.pdf" TargetMode="External"/><Relationship Id="rId18" Type="http://schemas.openxmlformats.org/officeDocument/2006/relationships/hyperlink" Target="https://www.wcrf.org/int/policy/nourishing/our-policy-framework-promote-healthy-diets-reduce-obes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ps.who.int/iris/handle/10665/259232" TargetMode="External"/><Relationship Id="rId17" Type="http://schemas.openxmlformats.org/officeDocument/2006/relationships/hyperlink" Target="https://www.jpi-pen.eu/images/reports/Food-EPI_Germany_Evidence_Report.pdf" TargetMode="External"/><Relationship Id="rId2" Type="http://schemas.openxmlformats.org/officeDocument/2006/relationships/numbering" Target="numbering.xml"/><Relationship Id="rId16" Type="http://schemas.openxmlformats.org/officeDocument/2006/relationships/hyperlink" Target="https://figshare.com/articles/INFORMAS_Protocol_Public_Sector_Module_-_Healthy_Food_Environment_Policy_Index_Food-EPI_/567343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el.de/SharedDocs/Downloads/DE/_Ministerium/Beiraete/agrarpolitik/wbae-gutachten-nachhaltige-ernaehrung.html" TargetMode="External"/><Relationship Id="rId5" Type="http://schemas.openxmlformats.org/officeDocument/2006/relationships/webSettings" Target="webSettings.xml"/><Relationship Id="rId15" Type="http://schemas.openxmlformats.org/officeDocument/2006/relationships/hyperlink" Target="https://www.vzbv.de/dokument/zucker-fett-und-salzreduktion-bisher-ohne-ueberzeugende-erfolge" TargetMode="External"/><Relationship Id="rId10" Type="http://schemas.openxmlformats.org/officeDocument/2006/relationships/hyperlink" Target="file:///\\srvwork\Users\carmenklinger\Documents\Food%20EPI\U&#776;bersetzung%20Manuskript\Final%20versions\www.euro.who.int\en\publications\abstracts\european-food-and-nutrition-action-plan-20152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pi-pen.eu" TargetMode="External"/><Relationship Id="rId14" Type="http://schemas.openxmlformats.org/officeDocument/2006/relationships/hyperlink" Target="https://www.who.int/dietphysicalactivity/framework_marketing_food_to_childre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6549-07F0-46D3-883D-2536ACE2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5853</Words>
  <Characters>33368</Characters>
  <Application>Microsoft Office Word</Application>
  <DocSecurity>0</DocSecurity>
  <Lines>278</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von Philipsborn</dc:creator>
  <cp:lastModifiedBy>Peter von Philipsborn</cp:lastModifiedBy>
  <cp:revision>24</cp:revision>
  <dcterms:created xsi:type="dcterms:W3CDTF">2021-06-29T14:09:00Z</dcterms:created>
  <dcterms:modified xsi:type="dcterms:W3CDTF">2021-08-13T04:20:00Z</dcterms:modified>
</cp:coreProperties>
</file>