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2198B" w14:textId="77777777" w:rsidR="00F10628" w:rsidRPr="006E1F4C" w:rsidRDefault="00F10628" w:rsidP="00F10628">
      <w:pPr>
        <w:pStyle w:val="Caption"/>
        <w:spacing w:after="0"/>
        <w:rPr>
          <w:rFonts w:ascii="Segoe UI" w:hAnsi="Segoe UI" w:cs="Segoe UI"/>
          <w:i w:val="0"/>
          <w:color w:val="auto"/>
          <w:sz w:val="24"/>
          <w:szCs w:val="24"/>
        </w:rPr>
      </w:pPr>
      <w:bookmarkStart w:id="0" w:name="_Ref74069364"/>
      <w:bookmarkStart w:id="1" w:name="_Ref74069355"/>
      <w:r w:rsidRPr="006E1F4C">
        <w:rPr>
          <w:rFonts w:ascii="Segoe UI" w:hAnsi="Segoe UI" w:cs="Segoe UI"/>
          <w:i w:val="0"/>
          <w:color w:val="auto"/>
          <w:sz w:val="24"/>
          <w:szCs w:val="24"/>
        </w:rPr>
        <w:t xml:space="preserve">Appendix </w:t>
      </w:r>
      <w:r w:rsidRPr="006E1F4C">
        <w:rPr>
          <w:rFonts w:ascii="Segoe UI" w:hAnsi="Segoe UI" w:cs="Segoe UI"/>
          <w:i w:val="0"/>
          <w:color w:val="auto"/>
          <w:sz w:val="24"/>
          <w:szCs w:val="24"/>
        </w:rPr>
        <w:fldChar w:fldCharType="begin"/>
      </w:r>
      <w:r w:rsidRPr="006E1F4C">
        <w:rPr>
          <w:rFonts w:ascii="Segoe UI" w:hAnsi="Segoe UI" w:cs="Segoe UI"/>
          <w:i w:val="0"/>
          <w:color w:val="auto"/>
          <w:sz w:val="24"/>
          <w:szCs w:val="24"/>
        </w:rPr>
        <w:instrText xml:space="preserve"> SEQ Appendix \* ARABIC </w:instrText>
      </w:r>
      <w:r w:rsidRPr="006E1F4C">
        <w:rPr>
          <w:rFonts w:ascii="Segoe UI" w:hAnsi="Segoe UI" w:cs="Segoe UI"/>
          <w:i w:val="0"/>
          <w:color w:val="auto"/>
          <w:sz w:val="24"/>
          <w:szCs w:val="24"/>
        </w:rPr>
        <w:fldChar w:fldCharType="separate"/>
      </w:r>
      <w:r w:rsidRPr="006E1F4C">
        <w:rPr>
          <w:rFonts w:ascii="Segoe UI" w:hAnsi="Segoe UI" w:cs="Segoe UI"/>
          <w:i w:val="0"/>
          <w:noProof/>
          <w:color w:val="auto"/>
          <w:sz w:val="24"/>
          <w:szCs w:val="24"/>
        </w:rPr>
        <w:t>1</w:t>
      </w:r>
      <w:r w:rsidRPr="006E1F4C">
        <w:rPr>
          <w:rFonts w:ascii="Segoe UI" w:hAnsi="Segoe UI" w:cs="Segoe UI"/>
          <w:i w:val="0"/>
          <w:color w:val="auto"/>
          <w:sz w:val="24"/>
          <w:szCs w:val="24"/>
        </w:rPr>
        <w:fldChar w:fldCharType="end"/>
      </w:r>
      <w:bookmarkEnd w:id="0"/>
      <w:r w:rsidRPr="006E1F4C">
        <w:rPr>
          <w:rFonts w:ascii="Segoe UI" w:hAnsi="Segoe UI" w:cs="Segoe UI"/>
          <w:i w:val="0"/>
          <w:color w:val="auto"/>
          <w:sz w:val="24"/>
          <w:szCs w:val="24"/>
        </w:rPr>
        <w:t>. Definition of the variables</w:t>
      </w:r>
      <w:bookmarkEnd w:id="1"/>
    </w:p>
    <w:tbl>
      <w:tblPr>
        <w:tblpPr w:leftFromText="180" w:rightFromText="180" w:vertAnchor="text" w:horzAnchor="margin" w:tblpXSpec="center" w:tblpY="210"/>
        <w:tblW w:w="11413" w:type="dxa"/>
        <w:tblBorders>
          <w:top w:val="single" w:sz="4" w:space="0" w:color="auto"/>
          <w:bottom w:val="single" w:sz="4" w:space="0" w:color="auto"/>
        </w:tblBorders>
        <w:tblLook w:val="04A0" w:firstRow="1" w:lastRow="0" w:firstColumn="1" w:lastColumn="0" w:noHBand="0" w:noVBand="1"/>
      </w:tblPr>
      <w:tblGrid>
        <w:gridCol w:w="3272"/>
        <w:gridCol w:w="8141"/>
      </w:tblGrid>
      <w:tr w:rsidR="00F10628" w:rsidRPr="006E1F4C" w14:paraId="2AE2FBF1" w14:textId="77777777" w:rsidTr="00263A15">
        <w:trPr>
          <w:trHeight w:val="293"/>
        </w:trPr>
        <w:tc>
          <w:tcPr>
            <w:tcW w:w="3272" w:type="dxa"/>
            <w:vMerge w:val="restart"/>
            <w:tcBorders>
              <w:top w:val="single" w:sz="4" w:space="0" w:color="auto"/>
              <w:bottom w:val="single" w:sz="4" w:space="0" w:color="auto"/>
            </w:tcBorders>
            <w:shd w:val="clear" w:color="auto" w:fill="auto"/>
            <w:vAlign w:val="center"/>
            <w:hideMark/>
          </w:tcPr>
          <w:p w14:paraId="6E9ADA43" w14:textId="77777777" w:rsidR="00F10628" w:rsidRPr="006E1F4C" w:rsidRDefault="00F10628" w:rsidP="00263A15">
            <w:pPr>
              <w:spacing w:after="0" w:line="240" w:lineRule="auto"/>
              <w:rPr>
                <w:rFonts w:ascii="Segoe UI" w:eastAsia="Times New Roman" w:hAnsi="Segoe UI" w:cs="Segoe UI"/>
                <w:b/>
                <w:bCs/>
              </w:rPr>
            </w:pPr>
            <w:r w:rsidRPr="006E1F4C">
              <w:rPr>
                <w:rFonts w:ascii="Segoe UI" w:eastAsia="Times New Roman" w:hAnsi="Segoe UI" w:cs="Segoe UI"/>
                <w:b/>
                <w:bCs/>
              </w:rPr>
              <w:t>Variables</w:t>
            </w:r>
          </w:p>
        </w:tc>
        <w:tc>
          <w:tcPr>
            <w:tcW w:w="8141" w:type="dxa"/>
            <w:vMerge w:val="restart"/>
            <w:tcBorders>
              <w:top w:val="single" w:sz="4" w:space="0" w:color="auto"/>
              <w:bottom w:val="single" w:sz="4" w:space="0" w:color="auto"/>
            </w:tcBorders>
            <w:shd w:val="clear" w:color="auto" w:fill="auto"/>
            <w:noWrap/>
            <w:vAlign w:val="center"/>
            <w:hideMark/>
          </w:tcPr>
          <w:p w14:paraId="45B42457" w14:textId="77777777" w:rsidR="00F10628" w:rsidRPr="006E1F4C" w:rsidRDefault="00F10628" w:rsidP="00263A15">
            <w:pPr>
              <w:spacing w:after="0" w:line="240" w:lineRule="auto"/>
              <w:jc w:val="center"/>
              <w:rPr>
                <w:rFonts w:ascii="Segoe UI" w:eastAsia="Times New Roman" w:hAnsi="Segoe UI" w:cs="Segoe UI"/>
                <w:b/>
              </w:rPr>
            </w:pPr>
            <w:r w:rsidRPr="006E1F4C">
              <w:rPr>
                <w:rFonts w:ascii="Segoe UI" w:eastAsia="Times New Roman" w:hAnsi="Segoe UI" w:cs="Segoe UI"/>
                <w:b/>
              </w:rPr>
              <w:t>Definitions</w:t>
            </w:r>
          </w:p>
        </w:tc>
      </w:tr>
      <w:tr w:rsidR="00F10628" w:rsidRPr="006E1F4C" w14:paraId="0EC5ECFF" w14:textId="77777777" w:rsidTr="00263A15">
        <w:trPr>
          <w:trHeight w:val="476"/>
        </w:trPr>
        <w:tc>
          <w:tcPr>
            <w:tcW w:w="3272" w:type="dxa"/>
            <w:vMerge/>
            <w:tcBorders>
              <w:top w:val="nil"/>
              <w:bottom w:val="single" w:sz="4" w:space="0" w:color="auto"/>
            </w:tcBorders>
            <w:vAlign w:val="center"/>
            <w:hideMark/>
          </w:tcPr>
          <w:p w14:paraId="60E81A53" w14:textId="77777777" w:rsidR="00F10628" w:rsidRPr="006E1F4C" w:rsidRDefault="00F10628" w:rsidP="00263A15">
            <w:pPr>
              <w:spacing w:after="0" w:line="240" w:lineRule="auto"/>
              <w:jc w:val="both"/>
              <w:rPr>
                <w:rFonts w:ascii="Segoe UI" w:eastAsia="Times New Roman" w:hAnsi="Segoe UI" w:cs="Segoe UI"/>
                <w:bCs/>
              </w:rPr>
            </w:pPr>
          </w:p>
        </w:tc>
        <w:tc>
          <w:tcPr>
            <w:tcW w:w="8141" w:type="dxa"/>
            <w:vMerge/>
            <w:tcBorders>
              <w:top w:val="nil"/>
              <w:bottom w:val="single" w:sz="4" w:space="0" w:color="auto"/>
            </w:tcBorders>
            <w:vAlign w:val="center"/>
            <w:hideMark/>
          </w:tcPr>
          <w:p w14:paraId="4346D0D2" w14:textId="77777777" w:rsidR="00F10628" w:rsidRPr="006E1F4C" w:rsidRDefault="00F10628" w:rsidP="00263A15">
            <w:pPr>
              <w:spacing w:after="0" w:line="240" w:lineRule="auto"/>
              <w:jc w:val="both"/>
              <w:rPr>
                <w:rFonts w:ascii="Segoe UI" w:eastAsia="Times New Roman" w:hAnsi="Segoe UI" w:cs="Segoe UI"/>
              </w:rPr>
            </w:pPr>
          </w:p>
        </w:tc>
      </w:tr>
      <w:tr w:rsidR="00F10628" w:rsidRPr="006E1F4C" w14:paraId="0420DBA6" w14:textId="77777777" w:rsidTr="00263A15">
        <w:trPr>
          <w:trHeight w:val="293"/>
        </w:trPr>
        <w:tc>
          <w:tcPr>
            <w:tcW w:w="3272" w:type="dxa"/>
            <w:vMerge w:val="restart"/>
            <w:tcBorders>
              <w:top w:val="single" w:sz="4" w:space="0" w:color="auto"/>
            </w:tcBorders>
            <w:shd w:val="clear" w:color="auto" w:fill="auto"/>
            <w:hideMark/>
          </w:tcPr>
          <w:p w14:paraId="5A21AAE8" w14:textId="77777777" w:rsidR="00F10628" w:rsidRPr="006E1F4C" w:rsidRDefault="00F10628" w:rsidP="00263A15">
            <w:pPr>
              <w:spacing w:after="0" w:line="240" w:lineRule="auto"/>
              <w:rPr>
                <w:rFonts w:ascii="Segoe UI" w:eastAsia="Times New Roman" w:hAnsi="Segoe UI" w:cs="Segoe UI"/>
                <w:bCs/>
              </w:rPr>
            </w:pPr>
            <w:r w:rsidRPr="006E1F4C">
              <w:rPr>
                <w:rFonts w:ascii="Segoe UI" w:eastAsia="Times New Roman" w:hAnsi="Segoe UI" w:cs="Segoe UI"/>
                <w:bCs/>
              </w:rPr>
              <w:t>Childhood stunting</w:t>
            </w:r>
          </w:p>
        </w:tc>
        <w:tc>
          <w:tcPr>
            <w:tcW w:w="8141" w:type="dxa"/>
            <w:vMerge w:val="restart"/>
            <w:tcBorders>
              <w:top w:val="single" w:sz="4" w:space="0" w:color="auto"/>
            </w:tcBorders>
            <w:shd w:val="clear" w:color="auto" w:fill="auto"/>
            <w:hideMark/>
          </w:tcPr>
          <w:p w14:paraId="58A66FEE" w14:textId="77777777" w:rsidR="00F10628" w:rsidRPr="006E1F4C" w:rsidRDefault="00F10628" w:rsidP="00263A15">
            <w:pPr>
              <w:spacing w:after="0" w:line="240" w:lineRule="auto"/>
              <w:rPr>
                <w:rFonts w:ascii="Segoe UI" w:eastAsia="Times New Roman" w:hAnsi="Segoe UI" w:cs="Segoe UI"/>
              </w:rPr>
            </w:pPr>
            <w:r w:rsidRPr="006E1F4C">
              <w:rPr>
                <w:rFonts w:ascii="Segoe UI" w:eastAsia="Times New Roman" w:hAnsi="Segoe UI" w:cs="Segoe UI"/>
              </w:rPr>
              <w:t>Percentage of under-fives falling below minus 2 standard deviations (moderate and severe) from the median height-for-a</w:t>
            </w:r>
            <w:r>
              <w:rPr>
                <w:rFonts w:ascii="Segoe UI" w:eastAsia="Times New Roman" w:hAnsi="Segoe UI" w:cs="Segoe UI"/>
              </w:rPr>
              <w:t>ge of the reference population1</w:t>
            </w:r>
          </w:p>
        </w:tc>
      </w:tr>
      <w:tr w:rsidR="00F10628" w:rsidRPr="006E1F4C" w14:paraId="62C6C3F0" w14:textId="77777777" w:rsidTr="00263A15">
        <w:trPr>
          <w:trHeight w:val="476"/>
        </w:trPr>
        <w:tc>
          <w:tcPr>
            <w:tcW w:w="3272" w:type="dxa"/>
            <w:vMerge/>
            <w:hideMark/>
          </w:tcPr>
          <w:p w14:paraId="7B972F24" w14:textId="77777777" w:rsidR="00F10628" w:rsidRPr="006E1F4C" w:rsidRDefault="00F10628" w:rsidP="00263A15">
            <w:pPr>
              <w:spacing w:after="0" w:line="240" w:lineRule="auto"/>
              <w:rPr>
                <w:rFonts w:ascii="Segoe UI" w:eastAsia="Times New Roman" w:hAnsi="Segoe UI" w:cs="Segoe UI"/>
                <w:bCs/>
              </w:rPr>
            </w:pPr>
          </w:p>
        </w:tc>
        <w:tc>
          <w:tcPr>
            <w:tcW w:w="8141" w:type="dxa"/>
            <w:vMerge/>
            <w:hideMark/>
          </w:tcPr>
          <w:p w14:paraId="71F86EFD" w14:textId="77777777" w:rsidR="00F10628" w:rsidRPr="006E1F4C" w:rsidRDefault="00F10628" w:rsidP="00263A15">
            <w:pPr>
              <w:spacing w:after="0" w:line="240" w:lineRule="auto"/>
              <w:rPr>
                <w:rFonts w:ascii="Segoe UI" w:eastAsia="Times New Roman" w:hAnsi="Segoe UI" w:cs="Segoe UI"/>
              </w:rPr>
            </w:pPr>
          </w:p>
        </w:tc>
      </w:tr>
      <w:tr w:rsidR="00F10628" w:rsidRPr="006E1F4C" w14:paraId="4D3DE1F7" w14:textId="77777777" w:rsidTr="00263A15">
        <w:trPr>
          <w:trHeight w:val="293"/>
        </w:trPr>
        <w:tc>
          <w:tcPr>
            <w:tcW w:w="3272" w:type="dxa"/>
            <w:vMerge w:val="restart"/>
            <w:shd w:val="clear" w:color="auto" w:fill="auto"/>
            <w:hideMark/>
          </w:tcPr>
          <w:p w14:paraId="7E57BAE8" w14:textId="77777777" w:rsidR="00F10628" w:rsidRPr="006E1F4C" w:rsidRDefault="00F10628" w:rsidP="00263A15">
            <w:pPr>
              <w:spacing w:after="0" w:line="240" w:lineRule="auto"/>
              <w:rPr>
                <w:rFonts w:ascii="Segoe UI" w:eastAsia="Times New Roman" w:hAnsi="Segoe UI" w:cs="Segoe UI"/>
                <w:bCs/>
              </w:rPr>
            </w:pPr>
            <w:r w:rsidRPr="006E1F4C">
              <w:rPr>
                <w:rFonts w:ascii="Segoe UI" w:eastAsia="Times New Roman" w:hAnsi="Segoe UI" w:cs="Segoe UI"/>
                <w:bCs/>
              </w:rPr>
              <w:t>Poverty head count ratio</w:t>
            </w:r>
          </w:p>
        </w:tc>
        <w:tc>
          <w:tcPr>
            <w:tcW w:w="8141" w:type="dxa"/>
            <w:vMerge w:val="restart"/>
            <w:shd w:val="clear" w:color="auto" w:fill="auto"/>
            <w:hideMark/>
          </w:tcPr>
          <w:p w14:paraId="06AA45A1" w14:textId="77777777" w:rsidR="00F10628" w:rsidRPr="006E1F4C" w:rsidRDefault="00F10628" w:rsidP="00263A15">
            <w:pPr>
              <w:spacing w:after="0" w:line="240" w:lineRule="auto"/>
              <w:rPr>
                <w:rFonts w:ascii="Segoe UI" w:eastAsia="Times New Roman" w:hAnsi="Segoe UI" w:cs="Segoe UI"/>
              </w:rPr>
            </w:pPr>
            <w:r w:rsidRPr="006E1F4C">
              <w:rPr>
                <w:rFonts w:ascii="Segoe UI" w:eastAsia="Times New Roman" w:hAnsi="Segoe UI" w:cs="Segoe UI"/>
              </w:rPr>
              <w:t>The percentage of the population living with less than $1.90 a da</w:t>
            </w:r>
            <w:r>
              <w:rPr>
                <w:rFonts w:ascii="Segoe UI" w:eastAsia="Times New Roman" w:hAnsi="Segoe UI" w:cs="Segoe UI"/>
              </w:rPr>
              <w:t>y at 2011 international prices.</w:t>
            </w:r>
          </w:p>
        </w:tc>
      </w:tr>
      <w:tr w:rsidR="00F10628" w:rsidRPr="006E1F4C" w14:paraId="7AEC244F" w14:textId="77777777" w:rsidTr="00263A15">
        <w:trPr>
          <w:trHeight w:val="476"/>
        </w:trPr>
        <w:tc>
          <w:tcPr>
            <w:tcW w:w="3272" w:type="dxa"/>
            <w:vMerge/>
            <w:hideMark/>
          </w:tcPr>
          <w:p w14:paraId="5A12AE93" w14:textId="77777777" w:rsidR="00F10628" w:rsidRPr="006E1F4C" w:rsidRDefault="00F10628" w:rsidP="00263A15">
            <w:pPr>
              <w:spacing w:after="0" w:line="240" w:lineRule="auto"/>
              <w:rPr>
                <w:rFonts w:ascii="Segoe UI" w:eastAsia="Times New Roman" w:hAnsi="Segoe UI" w:cs="Segoe UI"/>
                <w:bCs/>
              </w:rPr>
            </w:pPr>
          </w:p>
        </w:tc>
        <w:tc>
          <w:tcPr>
            <w:tcW w:w="8141" w:type="dxa"/>
            <w:vMerge/>
            <w:hideMark/>
          </w:tcPr>
          <w:p w14:paraId="19C0222F" w14:textId="77777777" w:rsidR="00F10628" w:rsidRPr="006E1F4C" w:rsidRDefault="00F10628" w:rsidP="00263A15">
            <w:pPr>
              <w:spacing w:after="0" w:line="240" w:lineRule="auto"/>
              <w:rPr>
                <w:rFonts w:ascii="Segoe UI" w:eastAsia="Times New Roman" w:hAnsi="Segoe UI" w:cs="Segoe UI"/>
              </w:rPr>
            </w:pPr>
          </w:p>
        </w:tc>
      </w:tr>
      <w:tr w:rsidR="00F10628" w:rsidRPr="006E1F4C" w14:paraId="0DFEEE10" w14:textId="77777777" w:rsidTr="00263A15">
        <w:trPr>
          <w:trHeight w:val="293"/>
        </w:trPr>
        <w:tc>
          <w:tcPr>
            <w:tcW w:w="3272" w:type="dxa"/>
            <w:vMerge w:val="restart"/>
            <w:shd w:val="clear" w:color="auto" w:fill="auto"/>
            <w:hideMark/>
          </w:tcPr>
          <w:p w14:paraId="5039F697" w14:textId="77777777" w:rsidR="00F10628" w:rsidRPr="006E1F4C" w:rsidRDefault="00F10628" w:rsidP="00263A15">
            <w:pPr>
              <w:spacing w:after="0" w:line="240" w:lineRule="auto"/>
              <w:rPr>
                <w:rFonts w:ascii="Segoe UI" w:eastAsia="Times New Roman" w:hAnsi="Segoe UI" w:cs="Segoe UI"/>
                <w:bCs/>
              </w:rPr>
            </w:pPr>
            <w:r w:rsidRPr="006E1F4C">
              <w:rPr>
                <w:rFonts w:ascii="Segoe UI" w:eastAsia="Times New Roman" w:hAnsi="Segoe UI" w:cs="Segoe UI"/>
                <w:bCs/>
              </w:rPr>
              <w:t>Gini index</w:t>
            </w:r>
          </w:p>
        </w:tc>
        <w:tc>
          <w:tcPr>
            <w:tcW w:w="8141" w:type="dxa"/>
            <w:vMerge w:val="restart"/>
            <w:shd w:val="clear" w:color="auto" w:fill="auto"/>
            <w:hideMark/>
          </w:tcPr>
          <w:p w14:paraId="5AB5DD7D" w14:textId="77777777" w:rsidR="00F10628" w:rsidRPr="006E1F4C" w:rsidRDefault="00F10628" w:rsidP="00263A15">
            <w:pPr>
              <w:spacing w:after="0" w:line="240" w:lineRule="auto"/>
              <w:rPr>
                <w:rFonts w:ascii="Segoe UI" w:eastAsia="Times New Roman" w:hAnsi="Segoe UI" w:cs="Segoe UI"/>
              </w:rPr>
            </w:pPr>
            <w:r w:rsidRPr="006E1F4C">
              <w:rPr>
                <w:rFonts w:ascii="Segoe UI" w:eastAsia="Times New Roman" w:hAnsi="Segoe UI" w:cs="Segoe UI"/>
              </w:rPr>
              <w:t xml:space="preserve">Gini index measures the extent to which the distribution of income among individuals or households within an economy deviates from a perfectly equal distribution. Thus, a Gini index of 0 represents perfect equality, while an index of </w:t>
            </w:r>
            <w:r>
              <w:rPr>
                <w:rFonts w:ascii="Segoe UI" w:eastAsia="Times New Roman" w:hAnsi="Segoe UI" w:cs="Segoe UI"/>
              </w:rPr>
              <w:t>100 implies perfect inequality.</w:t>
            </w:r>
          </w:p>
        </w:tc>
      </w:tr>
      <w:tr w:rsidR="00F10628" w:rsidRPr="006E1F4C" w14:paraId="206FADA3" w14:textId="77777777" w:rsidTr="00263A15">
        <w:trPr>
          <w:trHeight w:val="476"/>
        </w:trPr>
        <w:tc>
          <w:tcPr>
            <w:tcW w:w="3272" w:type="dxa"/>
            <w:vMerge/>
            <w:hideMark/>
          </w:tcPr>
          <w:p w14:paraId="07FF93A3" w14:textId="77777777" w:rsidR="00F10628" w:rsidRPr="006E1F4C" w:rsidRDefault="00F10628" w:rsidP="00263A15">
            <w:pPr>
              <w:spacing w:after="0" w:line="240" w:lineRule="auto"/>
              <w:rPr>
                <w:rFonts w:ascii="Segoe UI" w:eastAsia="Times New Roman" w:hAnsi="Segoe UI" w:cs="Segoe UI"/>
                <w:bCs/>
              </w:rPr>
            </w:pPr>
          </w:p>
        </w:tc>
        <w:tc>
          <w:tcPr>
            <w:tcW w:w="8141" w:type="dxa"/>
            <w:vMerge/>
            <w:hideMark/>
          </w:tcPr>
          <w:p w14:paraId="72CF940D" w14:textId="77777777" w:rsidR="00F10628" w:rsidRPr="006E1F4C" w:rsidRDefault="00F10628" w:rsidP="00263A15">
            <w:pPr>
              <w:spacing w:after="0" w:line="240" w:lineRule="auto"/>
              <w:rPr>
                <w:rFonts w:ascii="Segoe UI" w:eastAsia="Times New Roman" w:hAnsi="Segoe UI" w:cs="Segoe UI"/>
              </w:rPr>
            </w:pPr>
          </w:p>
        </w:tc>
      </w:tr>
      <w:tr w:rsidR="00F10628" w:rsidRPr="006E1F4C" w14:paraId="75EB8720" w14:textId="77777777" w:rsidTr="00263A15">
        <w:trPr>
          <w:trHeight w:val="293"/>
        </w:trPr>
        <w:tc>
          <w:tcPr>
            <w:tcW w:w="3272" w:type="dxa"/>
            <w:vMerge w:val="restart"/>
            <w:shd w:val="clear" w:color="auto" w:fill="auto"/>
            <w:hideMark/>
          </w:tcPr>
          <w:p w14:paraId="776503E1" w14:textId="77777777" w:rsidR="00F10628" w:rsidRPr="006E1F4C" w:rsidRDefault="00F10628" w:rsidP="00263A15">
            <w:pPr>
              <w:spacing w:after="0" w:line="240" w:lineRule="auto"/>
              <w:rPr>
                <w:rFonts w:ascii="Segoe UI" w:eastAsia="Times New Roman" w:hAnsi="Segoe UI" w:cs="Segoe UI"/>
                <w:bCs/>
              </w:rPr>
            </w:pPr>
            <w:r w:rsidRPr="006E1F4C">
              <w:rPr>
                <w:rFonts w:ascii="Segoe UI" w:eastAsia="Times New Roman" w:hAnsi="Segoe UI" w:cs="Segoe UI"/>
                <w:bCs/>
              </w:rPr>
              <w:t>GDP per capita (in US $)</w:t>
            </w:r>
          </w:p>
        </w:tc>
        <w:tc>
          <w:tcPr>
            <w:tcW w:w="8141" w:type="dxa"/>
            <w:vMerge w:val="restart"/>
            <w:shd w:val="clear" w:color="auto" w:fill="auto"/>
            <w:hideMark/>
          </w:tcPr>
          <w:p w14:paraId="7952BB62" w14:textId="77777777" w:rsidR="00F10628" w:rsidRPr="006E1F4C" w:rsidRDefault="00F10628" w:rsidP="00263A15">
            <w:pPr>
              <w:spacing w:after="0" w:line="240" w:lineRule="auto"/>
              <w:rPr>
                <w:rFonts w:ascii="Segoe UI" w:eastAsia="Times New Roman" w:hAnsi="Segoe UI" w:cs="Segoe UI"/>
              </w:rPr>
            </w:pPr>
            <w:r w:rsidRPr="006E1F4C">
              <w:rPr>
                <w:rFonts w:ascii="Segoe UI" w:eastAsia="Times New Roman" w:hAnsi="Segoe UI" w:cs="Segoe UI"/>
              </w:rPr>
              <w:t>GDP per capita is gross domestic product divided by midyear population. GDP at purchaser's prices is the sum of gross value added by all resident producers in the economy plus any product taxes and minus any subsidies not include</w:t>
            </w:r>
            <w:r>
              <w:rPr>
                <w:rFonts w:ascii="Segoe UI" w:eastAsia="Times New Roman" w:hAnsi="Segoe UI" w:cs="Segoe UI"/>
              </w:rPr>
              <w:t>d in the value of the products.</w:t>
            </w:r>
          </w:p>
        </w:tc>
      </w:tr>
      <w:tr w:rsidR="00F10628" w:rsidRPr="006E1F4C" w14:paraId="1FB88F50" w14:textId="77777777" w:rsidTr="00263A15">
        <w:trPr>
          <w:trHeight w:val="476"/>
        </w:trPr>
        <w:tc>
          <w:tcPr>
            <w:tcW w:w="3272" w:type="dxa"/>
            <w:vMerge/>
            <w:hideMark/>
          </w:tcPr>
          <w:p w14:paraId="67ABBF73" w14:textId="77777777" w:rsidR="00F10628" w:rsidRPr="006E1F4C" w:rsidRDefault="00F10628" w:rsidP="00263A15">
            <w:pPr>
              <w:spacing w:after="0" w:line="240" w:lineRule="auto"/>
              <w:rPr>
                <w:rFonts w:ascii="Segoe UI" w:eastAsia="Times New Roman" w:hAnsi="Segoe UI" w:cs="Segoe UI"/>
                <w:bCs/>
              </w:rPr>
            </w:pPr>
          </w:p>
        </w:tc>
        <w:tc>
          <w:tcPr>
            <w:tcW w:w="8141" w:type="dxa"/>
            <w:vMerge/>
            <w:hideMark/>
          </w:tcPr>
          <w:p w14:paraId="42DC7D1D" w14:textId="77777777" w:rsidR="00F10628" w:rsidRPr="006E1F4C" w:rsidRDefault="00F10628" w:rsidP="00263A15">
            <w:pPr>
              <w:spacing w:after="0" w:line="240" w:lineRule="auto"/>
              <w:rPr>
                <w:rFonts w:ascii="Segoe UI" w:eastAsia="Times New Roman" w:hAnsi="Segoe UI" w:cs="Segoe UI"/>
              </w:rPr>
            </w:pPr>
          </w:p>
        </w:tc>
      </w:tr>
      <w:tr w:rsidR="00F10628" w:rsidRPr="006E1F4C" w14:paraId="2B4CD3D5" w14:textId="77777777" w:rsidTr="00263A15">
        <w:trPr>
          <w:trHeight w:val="293"/>
        </w:trPr>
        <w:tc>
          <w:tcPr>
            <w:tcW w:w="3272" w:type="dxa"/>
            <w:vMerge w:val="restart"/>
            <w:shd w:val="clear" w:color="auto" w:fill="auto"/>
            <w:hideMark/>
          </w:tcPr>
          <w:p w14:paraId="065EB85F" w14:textId="77777777" w:rsidR="00F10628" w:rsidRPr="006E1F4C" w:rsidRDefault="00F10628" w:rsidP="00263A15">
            <w:pPr>
              <w:spacing w:after="0" w:line="240" w:lineRule="auto"/>
              <w:rPr>
                <w:rFonts w:ascii="Segoe UI" w:eastAsia="Times New Roman" w:hAnsi="Segoe UI" w:cs="Segoe UI"/>
                <w:bCs/>
              </w:rPr>
            </w:pPr>
            <w:r w:rsidRPr="006E1F4C">
              <w:rPr>
                <w:rFonts w:ascii="Segoe UI" w:eastAsia="Times New Roman" w:hAnsi="Segoe UI" w:cs="Segoe UI"/>
                <w:bCs/>
              </w:rPr>
              <w:t>Female literacy rate (age 15-49)</w:t>
            </w:r>
          </w:p>
        </w:tc>
        <w:tc>
          <w:tcPr>
            <w:tcW w:w="8141" w:type="dxa"/>
            <w:vMerge w:val="restart"/>
            <w:shd w:val="clear" w:color="auto" w:fill="auto"/>
            <w:hideMark/>
          </w:tcPr>
          <w:p w14:paraId="7AD3D2D9" w14:textId="77777777" w:rsidR="00F10628" w:rsidRPr="006E1F4C" w:rsidRDefault="00F10628" w:rsidP="00263A15">
            <w:pPr>
              <w:spacing w:after="0" w:line="240" w:lineRule="auto"/>
              <w:rPr>
                <w:rFonts w:ascii="Segoe UI" w:eastAsia="Times New Roman" w:hAnsi="Segoe UI" w:cs="Segoe UI"/>
              </w:rPr>
            </w:pPr>
            <w:r w:rsidRPr="006E1F4C">
              <w:rPr>
                <w:rFonts w:ascii="Segoe UI" w:eastAsia="Times New Roman" w:hAnsi="Segoe UI" w:cs="Segoe UI"/>
              </w:rPr>
              <w:t>The percentage of female ages 15 and above who can both read and write with understanding a short simple state</w:t>
            </w:r>
            <w:r>
              <w:rPr>
                <w:rFonts w:ascii="Segoe UI" w:eastAsia="Times New Roman" w:hAnsi="Segoe UI" w:cs="Segoe UI"/>
              </w:rPr>
              <w:t>ment about their everyday life.</w:t>
            </w:r>
          </w:p>
        </w:tc>
      </w:tr>
      <w:tr w:rsidR="00F10628" w:rsidRPr="006E1F4C" w14:paraId="0231C5A6" w14:textId="77777777" w:rsidTr="00263A15">
        <w:trPr>
          <w:trHeight w:val="476"/>
        </w:trPr>
        <w:tc>
          <w:tcPr>
            <w:tcW w:w="3272" w:type="dxa"/>
            <w:vMerge/>
            <w:hideMark/>
          </w:tcPr>
          <w:p w14:paraId="3D6755BD" w14:textId="77777777" w:rsidR="00F10628" w:rsidRPr="006E1F4C" w:rsidRDefault="00F10628" w:rsidP="00263A15">
            <w:pPr>
              <w:spacing w:after="0" w:line="240" w:lineRule="auto"/>
              <w:rPr>
                <w:rFonts w:ascii="Segoe UI" w:eastAsia="Times New Roman" w:hAnsi="Segoe UI" w:cs="Segoe UI"/>
                <w:bCs/>
              </w:rPr>
            </w:pPr>
          </w:p>
        </w:tc>
        <w:tc>
          <w:tcPr>
            <w:tcW w:w="8141" w:type="dxa"/>
            <w:vMerge/>
            <w:hideMark/>
          </w:tcPr>
          <w:p w14:paraId="405118D0" w14:textId="77777777" w:rsidR="00F10628" w:rsidRPr="006E1F4C" w:rsidRDefault="00F10628" w:rsidP="00263A15">
            <w:pPr>
              <w:spacing w:after="0" w:line="240" w:lineRule="auto"/>
              <w:rPr>
                <w:rFonts w:ascii="Segoe UI" w:eastAsia="Times New Roman" w:hAnsi="Segoe UI" w:cs="Segoe UI"/>
              </w:rPr>
            </w:pPr>
          </w:p>
        </w:tc>
      </w:tr>
      <w:tr w:rsidR="00F10628" w:rsidRPr="006E1F4C" w14:paraId="17CDF3EC" w14:textId="77777777" w:rsidTr="00263A15">
        <w:trPr>
          <w:trHeight w:val="293"/>
        </w:trPr>
        <w:tc>
          <w:tcPr>
            <w:tcW w:w="3272" w:type="dxa"/>
            <w:vMerge w:val="restart"/>
            <w:shd w:val="clear" w:color="auto" w:fill="auto"/>
            <w:hideMark/>
          </w:tcPr>
          <w:p w14:paraId="4A781BDD" w14:textId="77777777" w:rsidR="00F10628" w:rsidRPr="006E1F4C" w:rsidRDefault="00F10628" w:rsidP="00263A15">
            <w:pPr>
              <w:spacing w:after="0" w:line="240" w:lineRule="auto"/>
              <w:rPr>
                <w:rFonts w:ascii="Segoe UI" w:eastAsia="Times New Roman" w:hAnsi="Segoe UI" w:cs="Segoe UI"/>
                <w:bCs/>
              </w:rPr>
            </w:pPr>
            <w:r w:rsidRPr="006E1F4C">
              <w:rPr>
                <w:rFonts w:ascii="Segoe UI" w:eastAsia="Times New Roman" w:hAnsi="Segoe UI" w:cs="Segoe UI"/>
                <w:bCs/>
              </w:rPr>
              <w:t xml:space="preserve">GDP as health expenditure </w:t>
            </w:r>
          </w:p>
        </w:tc>
        <w:tc>
          <w:tcPr>
            <w:tcW w:w="8141" w:type="dxa"/>
            <w:vMerge w:val="restart"/>
            <w:shd w:val="clear" w:color="auto" w:fill="auto"/>
            <w:hideMark/>
          </w:tcPr>
          <w:p w14:paraId="7CD1CDB8" w14:textId="77777777" w:rsidR="00F10628" w:rsidRPr="006E1F4C" w:rsidRDefault="00F10628" w:rsidP="00263A15">
            <w:pPr>
              <w:spacing w:after="0" w:line="240" w:lineRule="auto"/>
              <w:rPr>
                <w:rFonts w:ascii="Segoe UI" w:eastAsia="Times New Roman" w:hAnsi="Segoe UI" w:cs="Segoe UI"/>
              </w:rPr>
            </w:pPr>
            <w:r w:rsidRPr="006E1F4C">
              <w:rPr>
                <w:rFonts w:ascii="Segoe UI" w:eastAsia="Times New Roman" w:hAnsi="Segoe UI" w:cs="Segoe UI"/>
              </w:rPr>
              <w:t>Level of current health expenditure expressed as a percentage of GDP. Estimates of current health expenditures include healthcare goods and services consumed during each year. This indicator does not include capital health expenditures such as buildings, machinery, IT and stocks of vacci</w:t>
            </w:r>
            <w:r>
              <w:rPr>
                <w:rFonts w:ascii="Segoe UI" w:eastAsia="Times New Roman" w:hAnsi="Segoe UI" w:cs="Segoe UI"/>
              </w:rPr>
              <w:t>nes for emergency or outbreaks.</w:t>
            </w:r>
          </w:p>
        </w:tc>
      </w:tr>
      <w:tr w:rsidR="00F10628" w:rsidRPr="006E1F4C" w14:paraId="0CCA6070" w14:textId="77777777" w:rsidTr="00263A15">
        <w:trPr>
          <w:trHeight w:val="476"/>
        </w:trPr>
        <w:tc>
          <w:tcPr>
            <w:tcW w:w="3272" w:type="dxa"/>
            <w:vMerge/>
            <w:hideMark/>
          </w:tcPr>
          <w:p w14:paraId="531363C0" w14:textId="77777777" w:rsidR="00F10628" w:rsidRPr="006E1F4C" w:rsidRDefault="00F10628" w:rsidP="00263A15">
            <w:pPr>
              <w:spacing w:after="0" w:line="240" w:lineRule="auto"/>
              <w:rPr>
                <w:rFonts w:ascii="Segoe UI" w:eastAsia="Times New Roman" w:hAnsi="Segoe UI" w:cs="Segoe UI"/>
                <w:bCs/>
              </w:rPr>
            </w:pPr>
          </w:p>
        </w:tc>
        <w:tc>
          <w:tcPr>
            <w:tcW w:w="8141" w:type="dxa"/>
            <w:vMerge/>
            <w:hideMark/>
          </w:tcPr>
          <w:p w14:paraId="29E68D60" w14:textId="77777777" w:rsidR="00F10628" w:rsidRPr="006E1F4C" w:rsidRDefault="00F10628" w:rsidP="00263A15">
            <w:pPr>
              <w:spacing w:after="0" w:line="240" w:lineRule="auto"/>
              <w:rPr>
                <w:rFonts w:ascii="Segoe UI" w:eastAsia="Times New Roman" w:hAnsi="Segoe UI" w:cs="Segoe UI"/>
              </w:rPr>
            </w:pPr>
          </w:p>
        </w:tc>
      </w:tr>
      <w:tr w:rsidR="00F10628" w:rsidRPr="006E1F4C" w14:paraId="33448697" w14:textId="77777777" w:rsidTr="00263A15">
        <w:trPr>
          <w:trHeight w:val="293"/>
        </w:trPr>
        <w:tc>
          <w:tcPr>
            <w:tcW w:w="3272" w:type="dxa"/>
            <w:vMerge w:val="restart"/>
            <w:shd w:val="clear" w:color="auto" w:fill="auto"/>
            <w:hideMark/>
          </w:tcPr>
          <w:p w14:paraId="4AE263E1" w14:textId="77777777" w:rsidR="00F10628" w:rsidRPr="006E1F4C" w:rsidRDefault="00F10628" w:rsidP="00263A15">
            <w:pPr>
              <w:spacing w:after="0" w:line="240" w:lineRule="auto"/>
              <w:rPr>
                <w:rFonts w:ascii="Segoe UI" w:eastAsia="Times New Roman" w:hAnsi="Segoe UI" w:cs="Segoe UI"/>
                <w:bCs/>
              </w:rPr>
            </w:pPr>
            <w:r w:rsidRPr="006E1F4C">
              <w:rPr>
                <w:rFonts w:ascii="Segoe UI" w:eastAsia="Times New Roman" w:hAnsi="Segoe UI" w:cs="Segoe UI"/>
                <w:bCs/>
              </w:rPr>
              <w:t>Basic sanitation facilities</w:t>
            </w:r>
          </w:p>
        </w:tc>
        <w:tc>
          <w:tcPr>
            <w:tcW w:w="8141" w:type="dxa"/>
            <w:vMerge w:val="restart"/>
            <w:shd w:val="clear" w:color="auto" w:fill="auto"/>
            <w:hideMark/>
          </w:tcPr>
          <w:p w14:paraId="6A1E9B9B" w14:textId="77777777" w:rsidR="00F10628" w:rsidRPr="006E1F4C" w:rsidRDefault="00F10628" w:rsidP="00263A15">
            <w:pPr>
              <w:spacing w:after="0" w:line="240" w:lineRule="auto"/>
              <w:rPr>
                <w:rFonts w:ascii="Segoe UI" w:eastAsia="Times New Roman" w:hAnsi="Segoe UI" w:cs="Segoe UI"/>
              </w:rPr>
            </w:pPr>
            <w:r w:rsidRPr="006E1F4C">
              <w:rPr>
                <w:rFonts w:ascii="Segoe UI" w:eastAsia="Times New Roman" w:hAnsi="Segoe UI" w:cs="Segoe UI"/>
              </w:rPr>
              <w:t>The percentage of households having access to basic sanitation services, that is, improved sanitation facilities that are not shared with other households.  This indicator encompasses both people using basic sanitation services as well as those using safe</w:t>
            </w:r>
            <w:r>
              <w:rPr>
                <w:rFonts w:ascii="Segoe UI" w:eastAsia="Times New Roman" w:hAnsi="Segoe UI" w:cs="Segoe UI"/>
              </w:rPr>
              <w:t>ly managed sanitation services.</w:t>
            </w:r>
          </w:p>
        </w:tc>
      </w:tr>
      <w:tr w:rsidR="00F10628" w:rsidRPr="006E1F4C" w14:paraId="5C4B0B40" w14:textId="77777777" w:rsidTr="00263A15">
        <w:trPr>
          <w:trHeight w:val="476"/>
        </w:trPr>
        <w:tc>
          <w:tcPr>
            <w:tcW w:w="3272" w:type="dxa"/>
            <w:vMerge/>
            <w:hideMark/>
          </w:tcPr>
          <w:p w14:paraId="66EC1D4E" w14:textId="77777777" w:rsidR="00F10628" w:rsidRPr="006E1F4C" w:rsidRDefault="00F10628" w:rsidP="00263A15">
            <w:pPr>
              <w:spacing w:after="0" w:line="240" w:lineRule="auto"/>
              <w:rPr>
                <w:rFonts w:ascii="Segoe UI" w:eastAsia="Times New Roman" w:hAnsi="Segoe UI" w:cs="Segoe UI"/>
                <w:bCs/>
              </w:rPr>
            </w:pPr>
          </w:p>
        </w:tc>
        <w:tc>
          <w:tcPr>
            <w:tcW w:w="8141" w:type="dxa"/>
            <w:vMerge/>
            <w:hideMark/>
          </w:tcPr>
          <w:p w14:paraId="0B2D19FF" w14:textId="77777777" w:rsidR="00F10628" w:rsidRPr="006E1F4C" w:rsidRDefault="00F10628" w:rsidP="00263A15">
            <w:pPr>
              <w:spacing w:after="0" w:line="240" w:lineRule="auto"/>
              <w:rPr>
                <w:rFonts w:ascii="Segoe UI" w:eastAsia="Times New Roman" w:hAnsi="Segoe UI" w:cs="Segoe UI"/>
              </w:rPr>
            </w:pPr>
          </w:p>
        </w:tc>
      </w:tr>
      <w:tr w:rsidR="00F10628" w:rsidRPr="006E1F4C" w14:paraId="7224A003" w14:textId="77777777" w:rsidTr="00263A15">
        <w:trPr>
          <w:trHeight w:val="293"/>
        </w:trPr>
        <w:tc>
          <w:tcPr>
            <w:tcW w:w="3272" w:type="dxa"/>
            <w:vMerge w:val="restart"/>
            <w:shd w:val="clear" w:color="auto" w:fill="auto"/>
            <w:hideMark/>
          </w:tcPr>
          <w:p w14:paraId="45FB7842" w14:textId="77777777" w:rsidR="00F10628" w:rsidRPr="006E1F4C" w:rsidRDefault="00F10628" w:rsidP="00263A15">
            <w:pPr>
              <w:spacing w:after="0" w:line="240" w:lineRule="auto"/>
              <w:rPr>
                <w:rFonts w:ascii="Segoe UI" w:eastAsia="Times New Roman" w:hAnsi="Segoe UI" w:cs="Segoe UI"/>
                <w:bCs/>
              </w:rPr>
            </w:pPr>
            <w:r w:rsidRPr="006E1F4C">
              <w:rPr>
                <w:rFonts w:ascii="Segoe UI" w:eastAsia="Times New Roman" w:hAnsi="Segoe UI" w:cs="Segoe UI"/>
                <w:bCs/>
              </w:rPr>
              <w:t>Basic drinking water</w:t>
            </w:r>
          </w:p>
        </w:tc>
        <w:tc>
          <w:tcPr>
            <w:tcW w:w="8141" w:type="dxa"/>
            <w:vMerge w:val="restart"/>
            <w:shd w:val="clear" w:color="auto" w:fill="auto"/>
            <w:hideMark/>
          </w:tcPr>
          <w:p w14:paraId="5B4145EE" w14:textId="77777777" w:rsidR="00F10628" w:rsidRPr="006E1F4C" w:rsidRDefault="00F10628" w:rsidP="00263A15">
            <w:pPr>
              <w:spacing w:after="0" w:line="240" w:lineRule="auto"/>
              <w:rPr>
                <w:rFonts w:ascii="Segoe UI" w:eastAsia="Times New Roman" w:hAnsi="Segoe UI" w:cs="Segoe UI"/>
              </w:rPr>
            </w:pPr>
            <w:r w:rsidRPr="006E1F4C">
              <w:rPr>
                <w:rFonts w:ascii="Segoe UI" w:eastAsia="Times New Roman" w:hAnsi="Segoe UI" w:cs="Segoe UI"/>
              </w:rPr>
              <w:t>The percentage of people using at least basic water services.  This indicator encompasses both people using basic water services as well as those using safely managed water services. Basic drinking water services is defined as drinking water from an improved source, provided collection time is not more th</w:t>
            </w:r>
            <w:r>
              <w:rPr>
                <w:rFonts w:ascii="Segoe UI" w:eastAsia="Times New Roman" w:hAnsi="Segoe UI" w:cs="Segoe UI"/>
              </w:rPr>
              <w:t>an 30 minutes for a round trip.</w:t>
            </w:r>
          </w:p>
        </w:tc>
      </w:tr>
      <w:tr w:rsidR="00F10628" w:rsidRPr="006E1F4C" w14:paraId="27A2FAF9" w14:textId="77777777" w:rsidTr="00263A15">
        <w:trPr>
          <w:trHeight w:val="476"/>
        </w:trPr>
        <w:tc>
          <w:tcPr>
            <w:tcW w:w="3272" w:type="dxa"/>
            <w:vMerge/>
            <w:hideMark/>
          </w:tcPr>
          <w:p w14:paraId="021B8A28" w14:textId="77777777" w:rsidR="00F10628" w:rsidRPr="006E1F4C" w:rsidRDefault="00F10628" w:rsidP="00263A15">
            <w:pPr>
              <w:spacing w:after="0" w:line="240" w:lineRule="auto"/>
              <w:rPr>
                <w:rFonts w:ascii="Segoe UI" w:eastAsia="Times New Roman" w:hAnsi="Segoe UI" w:cs="Segoe UI"/>
                <w:bCs/>
              </w:rPr>
            </w:pPr>
          </w:p>
        </w:tc>
        <w:tc>
          <w:tcPr>
            <w:tcW w:w="8141" w:type="dxa"/>
            <w:vMerge/>
            <w:hideMark/>
          </w:tcPr>
          <w:p w14:paraId="758FC5C5" w14:textId="77777777" w:rsidR="00F10628" w:rsidRPr="006E1F4C" w:rsidRDefault="00F10628" w:rsidP="00263A15">
            <w:pPr>
              <w:spacing w:after="0" w:line="240" w:lineRule="auto"/>
              <w:rPr>
                <w:rFonts w:ascii="Segoe UI" w:eastAsia="Times New Roman" w:hAnsi="Segoe UI" w:cs="Segoe UI"/>
              </w:rPr>
            </w:pPr>
          </w:p>
        </w:tc>
      </w:tr>
      <w:tr w:rsidR="00F10628" w:rsidRPr="006E1F4C" w14:paraId="6BA4C08B" w14:textId="77777777" w:rsidTr="00263A15">
        <w:trPr>
          <w:trHeight w:val="293"/>
        </w:trPr>
        <w:tc>
          <w:tcPr>
            <w:tcW w:w="3272" w:type="dxa"/>
            <w:vMerge w:val="restart"/>
            <w:shd w:val="clear" w:color="auto" w:fill="auto"/>
            <w:hideMark/>
          </w:tcPr>
          <w:p w14:paraId="3282FC4C" w14:textId="77777777" w:rsidR="00F10628" w:rsidRPr="006E1F4C" w:rsidRDefault="00F10628" w:rsidP="00263A15">
            <w:pPr>
              <w:spacing w:after="0" w:line="240" w:lineRule="auto"/>
              <w:rPr>
                <w:rFonts w:ascii="Segoe UI" w:eastAsia="Times New Roman" w:hAnsi="Segoe UI" w:cs="Segoe UI"/>
                <w:bCs/>
              </w:rPr>
            </w:pPr>
            <w:r w:rsidRPr="006E1F4C">
              <w:rPr>
                <w:rFonts w:ascii="Segoe UI" w:eastAsia="Times New Roman" w:hAnsi="Segoe UI" w:cs="Segoe UI"/>
                <w:bCs/>
              </w:rPr>
              <w:t>Air pollution</w:t>
            </w:r>
          </w:p>
        </w:tc>
        <w:tc>
          <w:tcPr>
            <w:tcW w:w="8141" w:type="dxa"/>
            <w:vMerge w:val="restart"/>
            <w:shd w:val="clear" w:color="auto" w:fill="auto"/>
            <w:hideMark/>
          </w:tcPr>
          <w:p w14:paraId="6615C147" w14:textId="77777777" w:rsidR="00F10628" w:rsidRPr="006E1F4C" w:rsidRDefault="00F10628" w:rsidP="00263A15">
            <w:pPr>
              <w:spacing w:after="0" w:line="240" w:lineRule="auto"/>
              <w:jc w:val="both"/>
              <w:rPr>
                <w:rFonts w:ascii="Segoe UI" w:eastAsia="Times New Roman" w:hAnsi="Segoe UI" w:cs="Segoe UI"/>
              </w:rPr>
            </w:pPr>
            <w:r w:rsidRPr="006E1F4C">
              <w:rPr>
                <w:rFonts w:ascii="Segoe UI" w:eastAsia="Times New Roman" w:hAnsi="Segoe UI" w:cs="Segoe UI"/>
              </w:rPr>
              <w:t>Population-weighted exposure to ambient PM2.5 pollution is defined as the average level of exposure of a nation's population to concentrations of suspended particles measuring less than 2.5 microns in aerodynamic diameter, which are capable of penetrating deep into the respiratory tract and causing severe health damage. Exposure is calculated by weighting mean annual concentrations of PM2.5 by population in both urban and rural areas.</w:t>
            </w:r>
          </w:p>
        </w:tc>
      </w:tr>
      <w:tr w:rsidR="00F10628" w:rsidRPr="006E1F4C" w14:paraId="198F575E" w14:textId="77777777" w:rsidTr="00263A15">
        <w:trPr>
          <w:trHeight w:val="476"/>
        </w:trPr>
        <w:tc>
          <w:tcPr>
            <w:tcW w:w="3272" w:type="dxa"/>
            <w:vMerge/>
            <w:vAlign w:val="center"/>
            <w:hideMark/>
          </w:tcPr>
          <w:p w14:paraId="2A7B8916" w14:textId="77777777" w:rsidR="00F10628" w:rsidRPr="006E1F4C" w:rsidRDefault="00F10628" w:rsidP="00263A15">
            <w:pPr>
              <w:spacing w:after="0" w:line="240" w:lineRule="auto"/>
              <w:jc w:val="both"/>
              <w:rPr>
                <w:rFonts w:ascii="Segoe UI" w:eastAsia="Times New Roman" w:hAnsi="Segoe UI" w:cs="Segoe UI"/>
                <w:bCs/>
              </w:rPr>
            </w:pPr>
          </w:p>
        </w:tc>
        <w:tc>
          <w:tcPr>
            <w:tcW w:w="8141" w:type="dxa"/>
            <w:vMerge/>
            <w:vAlign w:val="center"/>
            <w:hideMark/>
          </w:tcPr>
          <w:p w14:paraId="6046DCBE" w14:textId="77777777" w:rsidR="00F10628" w:rsidRPr="006E1F4C" w:rsidRDefault="00F10628" w:rsidP="00263A15">
            <w:pPr>
              <w:keepNext/>
              <w:spacing w:after="0" w:line="240" w:lineRule="auto"/>
              <w:jc w:val="both"/>
              <w:rPr>
                <w:rFonts w:ascii="Segoe UI" w:eastAsia="Times New Roman" w:hAnsi="Segoe UI" w:cs="Segoe UI"/>
              </w:rPr>
            </w:pPr>
          </w:p>
        </w:tc>
      </w:tr>
    </w:tbl>
    <w:p w14:paraId="2B176BAB" w14:textId="77777777" w:rsidR="00F10628" w:rsidRPr="006E1F4C" w:rsidRDefault="00F10628" w:rsidP="00F10628">
      <w:pPr>
        <w:spacing w:line="240" w:lineRule="auto"/>
        <w:rPr>
          <w:rFonts w:ascii="Segoe UI" w:hAnsi="Segoe UI" w:cs="Segoe UI"/>
          <w:b/>
          <w:sz w:val="24"/>
          <w:szCs w:val="24"/>
        </w:rPr>
      </w:pPr>
    </w:p>
    <w:p w14:paraId="3C8A53A4" w14:textId="77777777" w:rsidR="00F10628" w:rsidRPr="006E1F4C" w:rsidRDefault="00F10628" w:rsidP="00F10628">
      <w:pPr>
        <w:pStyle w:val="Caption"/>
        <w:spacing w:after="0"/>
        <w:rPr>
          <w:rFonts w:ascii="Segoe UI" w:hAnsi="Segoe UI" w:cs="Segoe UI"/>
          <w:i w:val="0"/>
          <w:color w:val="auto"/>
          <w:sz w:val="24"/>
          <w:szCs w:val="24"/>
        </w:rPr>
      </w:pPr>
    </w:p>
    <w:p w14:paraId="21B79039" w14:textId="77777777" w:rsidR="00561E37" w:rsidRDefault="00F10628">
      <w:bookmarkStart w:id="2" w:name="_GoBack"/>
      <w:bookmarkEnd w:id="2"/>
    </w:p>
    <w:sectPr w:rsidR="00561E37" w:rsidSect="00F10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28"/>
    <w:rsid w:val="00033844"/>
    <w:rsid w:val="0083116C"/>
    <w:rsid w:val="00F10628"/>
    <w:rsid w:val="00F95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D142"/>
  <w15:chartTrackingRefBased/>
  <w15:docId w15:val="{CC30A6D0-D74F-403E-A44B-4EE5B546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28"/>
    <w:rPr>
      <w:rFonts w:eastAsiaTheme="minorEastAsia"/>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1062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2" ma:contentTypeDescription="Create a new document." ma:contentTypeScope="" ma:versionID="3226cb51b4cc4aa52f4d405f3f4da24c">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370e5302283351224d2d61499544617d"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07548F-C73E-491C-8BA7-A91E66BDC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3F354-2B89-4DCC-B544-DF5C5D101653}">
  <ds:schemaRefs>
    <ds:schemaRef ds:uri="http://schemas.microsoft.com/sharepoint/v3/contenttype/forms"/>
  </ds:schemaRefs>
</ds:datastoreItem>
</file>

<file path=customXml/itemProps3.xml><?xml version="1.0" encoding="utf-8"?>
<ds:datastoreItem xmlns:ds="http://schemas.openxmlformats.org/officeDocument/2006/customXml" ds:itemID="{5F6BECF6-94C0-4BD1-AF28-4583DAFD5C9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424a7236-42d0-4b59-9a8f-b62230abed0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Gooch</dc:creator>
  <cp:keywords/>
  <dc:description/>
  <cp:lastModifiedBy>Alice Gooch</cp:lastModifiedBy>
  <cp:revision>1</cp:revision>
  <dcterms:created xsi:type="dcterms:W3CDTF">2021-08-25T08:09:00Z</dcterms:created>
  <dcterms:modified xsi:type="dcterms:W3CDTF">2021-08-25T08:09:00Z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0x010100178E165393A5544881DABF1AE57CB826</vt:lpwstr>
  </property>
</Properties>
</file>