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CB" w:rsidRDefault="00F432CB" w:rsidP="00F432CB">
      <w:pPr>
        <w:pStyle w:val="Caption"/>
        <w:spacing w:before="240"/>
      </w:pPr>
      <w:r>
        <w:t>Supplemental Table 1. Keywords generated from open-text responses</w:t>
      </w:r>
      <w:r w:rsidR="00674B3E">
        <w:t xml:space="preserve"> to the question “</w:t>
      </w:r>
      <w:r w:rsidR="00674B3E" w:rsidRPr="00961334">
        <w:t>Do you remember seeing any educational messages or campaigns on healthy eating from the government or health authorities in the past 12 months?</w:t>
      </w:r>
      <w:r w:rsidR="00674B3E">
        <w:t>”</w:t>
      </w:r>
      <w:r>
        <w:t xml:space="preserve"> by country (weighted data</w:t>
      </w:r>
      <w:r w:rsidR="008B75CE">
        <w:t>, all respondents</w:t>
      </w:r>
      <w:r>
        <w:t>) (n=22,463)</w:t>
      </w:r>
    </w:p>
    <w:tbl>
      <w:tblPr>
        <w:tblStyle w:val="TableGrid"/>
        <w:tblW w:w="131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2"/>
        <w:gridCol w:w="1255"/>
        <w:gridCol w:w="1124"/>
        <w:gridCol w:w="1124"/>
        <w:gridCol w:w="140"/>
        <w:gridCol w:w="984"/>
        <w:gridCol w:w="1254"/>
      </w:tblGrid>
      <w:tr w:rsidR="002721C3" w:rsidRPr="00F26B57" w:rsidTr="002721C3">
        <w:trPr>
          <w:trHeight w:val="319"/>
        </w:trPr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:rsidR="002721C3" w:rsidRPr="00F26B57" w:rsidRDefault="002721C3" w:rsidP="00674B3E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721C3" w:rsidRPr="001240EF" w:rsidRDefault="002721C3" w:rsidP="00674B3E">
            <w:pPr>
              <w:jc w:val="center"/>
              <w:rPr>
                <w:b/>
                <w:sz w:val="20"/>
                <w:szCs w:val="20"/>
              </w:rPr>
            </w:pPr>
            <w:r w:rsidRPr="001240EF">
              <w:rPr>
                <w:b/>
                <w:sz w:val="20"/>
                <w:szCs w:val="20"/>
              </w:rPr>
              <w:t>Australia</w:t>
            </w:r>
            <w:r>
              <w:rPr>
                <w:b/>
                <w:sz w:val="20"/>
                <w:szCs w:val="20"/>
              </w:rPr>
              <w:t xml:space="preserve"> (n=4,083)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721C3" w:rsidRPr="001240EF" w:rsidRDefault="002721C3" w:rsidP="00674B3E">
            <w:pPr>
              <w:jc w:val="center"/>
              <w:rPr>
                <w:b/>
                <w:sz w:val="20"/>
                <w:szCs w:val="20"/>
              </w:rPr>
            </w:pPr>
            <w:r w:rsidRPr="001240EF">
              <w:rPr>
                <w:b/>
                <w:sz w:val="20"/>
                <w:szCs w:val="20"/>
              </w:rPr>
              <w:t>Canada</w:t>
            </w:r>
            <w:r>
              <w:rPr>
                <w:b/>
                <w:sz w:val="20"/>
                <w:szCs w:val="20"/>
              </w:rPr>
              <w:t xml:space="preserve"> (n=4,238)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2721C3" w:rsidRPr="00323168" w:rsidRDefault="002721C3" w:rsidP="00674B3E">
            <w:pPr>
              <w:jc w:val="center"/>
              <w:rPr>
                <w:b/>
                <w:sz w:val="20"/>
                <w:szCs w:val="20"/>
              </w:rPr>
            </w:pPr>
            <w:r w:rsidRPr="00323168">
              <w:rPr>
                <w:b/>
                <w:sz w:val="20"/>
                <w:szCs w:val="20"/>
              </w:rPr>
              <w:t>Mexico (n=4,064)</w:t>
            </w:r>
          </w:p>
          <w:p w:rsidR="002721C3" w:rsidRPr="00323168" w:rsidRDefault="002721C3" w:rsidP="00674B3E">
            <w:pPr>
              <w:jc w:val="center"/>
              <w:rPr>
                <w:b/>
                <w:sz w:val="20"/>
                <w:szCs w:val="20"/>
              </w:rPr>
            </w:pPr>
            <w:r w:rsidRPr="00323168">
              <w:rPr>
                <w:b/>
                <w:sz w:val="20"/>
                <w:szCs w:val="20"/>
              </w:rPr>
              <w:t>% (n)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21C3" w:rsidRPr="001240EF" w:rsidRDefault="002721C3" w:rsidP="00674B3E">
            <w:pPr>
              <w:jc w:val="center"/>
              <w:rPr>
                <w:b/>
                <w:sz w:val="20"/>
                <w:szCs w:val="20"/>
              </w:rPr>
            </w:pPr>
            <w:r w:rsidRPr="001240EF">
              <w:rPr>
                <w:b/>
                <w:sz w:val="20"/>
                <w:szCs w:val="20"/>
              </w:rPr>
              <w:t>UK</w:t>
            </w:r>
            <w:r>
              <w:rPr>
                <w:b/>
                <w:sz w:val="20"/>
                <w:szCs w:val="20"/>
              </w:rPr>
              <w:t xml:space="preserve"> (n=5,466)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721C3" w:rsidRPr="001240EF" w:rsidRDefault="002721C3" w:rsidP="00674B3E">
            <w:pPr>
              <w:jc w:val="center"/>
              <w:rPr>
                <w:b/>
                <w:sz w:val="20"/>
                <w:szCs w:val="20"/>
              </w:rPr>
            </w:pPr>
            <w:r w:rsidRPr="001240EF">
              <w:rPr>
                <w:b/>
                <w:sz w:val="20"/>
                <w:szCs w:val="20"/>
              </w:rPr>
              <w:t>US</w:t>
            </w:r>
            <w:r>
              <w:rPr>
                <w:b/>
                <w:sz w:val="20"/>
                <w:szCs w:val="20"/>
              </w:rPr>
              <w:t xml:space="preserve"> (n=4,612)</w:t>
            </w:r>
          </w:p>
        </w:tc>
      </w:tr>
      <w:tr w:rsidR="002721C3" w:rsidRPr="00F26B57" w:rsidTr="002721C3">
        <w:trPr>
          <w:trHeight w:val="70"/>
        </w:trPr>
        <w:tc>
          <w:tcPr>
            <w:tcW w:w="7272" w:type="dxa"/>
            <w:tcBorders>
              <w:top w:val="single" w:sz="4" w:space="0" w:color="auto"/>
              <w:bottom w:val="nil"/>
            </w:tcBorders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Abdomen/gut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(10)</w:t>
            </w: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  <w:tcBorders>
              <w:top w:val="single" w:sz="4" w:space="0" w:color="auto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rPr>
          <w:trHeight w:val="228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Alcohol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0.2% (8)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1C3" w:rsidRPr="004849CE" w:rsidRDefault="003620DF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2721C3" w:rsidRPr="004849CE">
              <w:rPr>
                <w:sz w:val="20"/>
                <w:szCs w:val="20"/>
              </w:rPr>
              <w:t>% (16)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  <w:tcBorders>
              <w:top w:val="nil"/>
              <w:bottom w:val="nil"/>
            </w:tcBorders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‘A</w:t>
            </w:r>
            <w:r w:rsidRPr="00F26B57">
              <w:rPr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’ (i.e. smartphone app)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(13)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  <w:tcBorders>
              <w:top w:val="nil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  <w:tcBorders>
              <w:top w:val="nil"/>
            </w:tcBorders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Artificial sweeteners</w:t>
            </w:r>
          </w:p>
        </w:tc>
        <w:tc>
          <w:tcPr>
            <w:tcW w:w="1255" w:type="dxa"/>
            <w:tcBorders>
              <w:top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  <w:tcBorders>
              <w:top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tcBorders>
              <w:top w:val="nil"/>
            </w:tcBorders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  <w:gridSpan w:val="2"/>
            <w:tcBorders>
              <w:top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  <w:tcBorders>
              <w:top w:val="nil"/>
            </w:tcBorders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Balanced diet/meals</w:t>
            </w:r>
            <w:r>
              <w:rPr>
                <w:sz w:val="20"/>
                <w:szCs w:val="20"/>
              </w:rPr>
              <w:t xml:space="preserve"> or</w:t>
            </w:r>
            <w:r w:rsidRPr="00F26B57">
              <w:rPr>
                <w:sz w:val="20"/>
                <w:szCs w:val="20"/>
              </w:rPr>
              <w:t xml:space="preserve"> food groups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(12)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(14)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1.6% (65)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(6)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0.6% (28)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fat </w:t>
            </w:r>
            <w:r>
              <w:rPr>
                <w:i/>
                <w:sz w:val="20"/>
                <w:szCs w:val="20"/>
              </w:rPr>
              <w:t>(inside body/around organs; excl. dietary fat and obesity)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0.9% (36)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Bone health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</w:t>
            </w:r>
            <w:r w:rsidR="004A2816">
              <w:rPr>
                <w:sz w:val="20"/>
                <w:szCs w:val="20"/>
              </w:rPr>
              <w:t>1</w:t>
            </w:r>
            <w:r w:rsidRPr="004849CE">
              <w:rPr>
                <w:sz w:val="20"/>
                <w:szCs w:val="20"/>
              </w:rPr>
              <w:t>% (3)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4849CE">
              <w:rPr>
                <w:sz w:val="20"/>
                <w:szCs w:val="20"/>
              </w:rPr>
              <w:t>0.1% (</w:t>
            </w:r>
            <w:r>
              <w:rPr>
                <w:sz w:val="20"/>
                <w:szCs w:val="20"/>
              </w:rPr>
              <w:t>1</w:t>
            </w:r>
            <w:r w:rsidRPr="004849CE">
              <w:rPr>
                <w:sz w:val="20"/>
                <w:szCs w:val="20"/>
              </w:rPr>
              <w:t>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Breakfast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(6)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Caffeine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(&lt;1)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Calories</w:t>
            </w:r>
            <w:r w:rsidRPr="00F26B5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excl.</w:t>
            </w:r>
            <w:r w:rsidRPr="00F26B57">
              <w:rPr>
                <w:i/>
                <w:sz w:val="20"/>
                <w:szCs w:val="20"/>
              </w:rPr>
              <w:t xml:space="preserve"> calorie labelling)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 (2)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0.3% (10)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(22)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Cancer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0.7% (29)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(6)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Carbohydrates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0.2% (8)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Cartoon/plasticine/clay family/figures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1.1% (58)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Check </w:t>
            </w:r>
            <w:r>
              <w:rPr>
                <w:sz w:val="20"/>
                <w:szCs w:val="20"/>
              </w:rPr>
              <w:t xml:space="preserve">(in with) </w:t>
            </w:r>
            <w:r w:rsidRPr="00F26B57">
              <w:rPr>
                <w:sz w:val="20"/>
                <w:szCs w:val="20"/>
              </w:rPr>
              <w:t xml:space="preserve">yourself </w:t>
            </w:r>
            <w:r w:rsidRPr="00F26B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Mexico:</w:t>
            </w:r>
            <w:r w:rsidRPr="00F26B57">
              <w:rPr>
                <w:i/>
                <w:sz w:val="20"/>
                <w:szCs w:val="20"/>
              </w:rPr>
              <w:t xml:space="preserve"> ‘</w:t>
            </w:r>
            <w:proofErr w:type="spellStart"/>
            <w:r w:rsidRPr="00314EBE">
              <w:rPr>
                <w:i/>
                <w:sz w:val="20"/>
                <w:szCs w:val="20"/>
              </w:rPr>
              <w:t>chécate</w:t>
            </w:r>
            <w:proofErr w:type="spellEnd"/>
            <w:r w:rsidRPr="00314EBE">
              <w:rPr>
                <w:i/>
                <w:sz w:val="20"/>
                <w:szCs w:val="20"/>
              </w:rPr>
              <w:t>’</w:t>
            </w:r>
            <w:r w:rsidRPr="00F26B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6.0% (246)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Children/youth</w:t>
            </w:r>
            <w:r>
              <w:rPr>
                <w:sz w:val="20"/>
                <w:szCs w:val="20"/>
              </w:rPr>
              <w:t>/girls,</w:t>
            </w:r>
            <w:r w:rsidRPr="00F26B57"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>, lunchboxes or school meal provision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0.7% (27)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0.5% (20)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4.7% (193)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 (96)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 (49)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Colour</w:t>
            </w:r>
            <w:r w:rsidRPr="00584161">
              <w:rPr>
                <w:i/>
                <w:sz w:val="20"/>
                <w:szCs w:val="20"/>
              </w:rPr>
              <w:t xml:space="preserve"> (in</w:t>
            </w:r>
            <w:r>
              <w:rPr>
                <w:i/>
                <w:sz w:val="20"/>
                <w:szCs w:val="20"/>
              </w:rPr>
              <w:t>cl</w:t>
            </w:r>
            <w:r w:rsidRPr="00584161">
              <w:rPr>
                <w:i/>
                <w:sz w:val="20"/>
                <w:szCs w:val="20"/>
              </w:rPr>
              <w:t>. colour wheel)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Cooking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&lt;0.1% (2)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(8)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Death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0.2% (9)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Dental health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1.0% (39)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Diabetes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0.5% (19)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3.4% (138)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0.5% (27)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(18)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Diet/nutrition plan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(4)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Dietary fat </w:t>
            </w:r>
            <w:r w:rsidRPr="00F26B57">
              <w:rPr>
                <w:i/>
                <w:sz w:val="20"/>
                <w:szCs w:val="20"/>
              </w:rPr>
              <w:t>(all types)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0.6% (26)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(8)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1.8% (71)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0.7% (37)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(10)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844F82" w:rsidRDefault="002721C3" w:rsidP="002721C3">
            <w:pPr>
              <w:rPr>
                <w:i/>
                <w:sz w:val="20"/>
                <w:szCs w:val="20"/>
              </w:rPr>
            </w:pPr>
            <w:r w:rsidRPr="00844F82">
              <w:rPr>
                <w:sz w:val="20"/>
                <w:szCs w:val="20"/>
              </w:rPr>
              <w:t xml:space="preserve">Doctor/surgeon </w:t>
            </w:r>
            <w:r w:rsidRPr="00844F82">
              <w:rPr>
                <w:i/>
                <w:sz w:val="20"/>
                <w:szCs w:val="20"/>
              </w:rPr>
              <w:t xml:space="preserve">(Mexico: </w:t>
            </w:r>
            <w:r>
              <w:rPr>
                <w:i/>
                <w:sz w:val="20"/>
                <w:szCs w:val="20"/>
              </w:rPr>
              <w:t>check in with t</w:t>
            </w:r>
            <w:r w:rsidRPr="00844F82">
              <w:rPr>
                <w:i/>
                <w:sz w:val="20"/>
                <w:szCs w:val="20"/>
              </w:rPr>
              <w:t>h</w:t>
            </w:r>
            <w:r>
              <w:rPr>
                <w:i/>
                <w:sz w:val="20"/>
                <w:szCs w:val="20"/>
              </w:rPr>
              <w:t>e doctor/go to the IMSS)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(18)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1.5% (60)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Eat local/seasonal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(4)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&lt;0.1% (2)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(&lt;1)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Eating disorders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&lt;0.1% (2)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Family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0.4% (16)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(23)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Fast/junk/takeaway/unhealthy food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0.8% (31)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3.0% (121)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(24)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(9)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Fibre/whole grains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(6)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Food guide</w:t>
            </w:r>
            <w:r w:rsidRPr="00F26B57">
              <w:rPr>
                <w:i/>
                <w:sz w:val="20"/>
                <w:szCs w:val="20"/>
              </w:rPr>
              <w:t xml:space="preserve"> (incl. name of </w:t>
            </w:r>
            <w:r>
              <w:rPr>
                <w:i/>
                <w:sz w:val="20"/>
                <w:szCs w:val="20"/>
              </w:rPr>
              <w:t xml:space="preserve">country-specific </w:t>
            </w:r>
            <w:r w:rsidRPr="00F26B57">
              <w:rPr>
                <w:i/>
                <w:sz w:val="20"/>
                <w:szCs w:val="20"/>
              </w:rPr>
              <w:t xml:space="preserve">dietary guidelines; </w:t>
            </w:r>
            <w:r>
              <w:rPr>
                <w:i/>
                <w:sz w:val="20"/>
                <w:szCs w:val="20"/>
              </w:rPr>
              <w:t>excl.</w:t>
            </w:r>
            <w:r w:rsidRPr="00F26B57">
              <w:rPr>
                <w:i/>
                <w:sz w:val="20"/>
                <w:szCs w:val="20"/>
              </w:rPr>
              <w:t xml:space="preserve"> Food Pyramid)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(6)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1.0% (41)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2.6% (105)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0.5% (29)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(14)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insecurity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4849C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4849CE">
              <w:rPr>
                <w:sz w:val="20"/>
                <w:szCs w:val="20"/>
              </w:rPr>
              <w:t>% (2)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0.3% (11)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23209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 (6)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Food </w:t>
            </w:r>
            <w:r w:rsidR="009E54D2">
              <w:rPr>
                <w:sz w:val="20"/>
                <w:szCs w:val="20"/>
              </w:rPr>
              <w:t>p</w:t>
            </w:r>
            <w:r w:rsidRPr="00F26B57">
              <w:rPr>
                <w:sz w:val="20"/>
                <w:szCs w:val="20"/>
              </w:rPr>
              <w:t>yramid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(6)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0.4% (16)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0.7% (31)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Food</w:t>
            </w:r>
            <w:r>
              <w:rPr>
                <w:sz w:val="20"/>
                <w:szCs w:val="20"/>
              </w:rPr>
              <w:t xml:space="preserve"> safety or food/lettuce</w:t>
            </w:r>
            <w:r w:rsidRPr="00F26B57">
              <w:rPr>
                <w:sz w:val="20"/>
                <w:szCs w:val="20"/>
              </w:rPr>
              <w:t xml:space="preserve"> recall 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</w:t>
            </w:r>
            <w:r>
              <w:rPr>
                <w:sz w:val="20"/>
                <w:szCs w:val="20"/>
              </w:rPr>
              <w:t>3</w:t>
            </w:r>
            <w:r w:rsidRPr="004849CE"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(4)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(4)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&lt;0.1% (1)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(13)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Fruits and/or vegetables 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1.5% (59)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0.7% (29)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4.0% (161)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2.3% (125)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1.1% (52)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General healthy lifestyle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1.3% (51)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(7)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0.6% (23)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(17)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(9)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Grains </w:t>
            </w:r>
            <w:r w:rsidRPr="00F26B57">
              <w:rPr>
                <w:i/>
                <w:sz w:val="20"/>
                <w:szCs w:val="20"/>
              </w:rPr>
              <w:t xml:space="preserve">(general; </w:t>
            </w:r>
            <w:r>
              <w:rPr>
                <w:i/>
                <w:sz w:val="20"/>
                <w:szCs w:val="20"/>
              </w:rPr>
              <w:t>excl.</w:t>
            </w:r>
            <w:r w:rsidRPr="00F26B57">
              <w:rPr>
                <w:i/>
                <w:sz w:val="20"/>
                <w:szCs w:val="20"/>
              </w:rPr>
              <w:t xml:space="preserve"> whole grains)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0.3% (12)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Health Star Rating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Healthy beverages or water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(7)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1.5% (62)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(8)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(15)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lastRenderedPageBreak/>
              <w:t xml:space="preserve">Healthy choices </w:t>
            </w:r>
            <w:r w:rsidRPr="00F26B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when eating or </w:t>
            </w:r>
            <w:r w:rsidRPr="00F26B57">
              <w:rPr>
                <w:i/>
                <w:sz w:val="20"/>
                <w:szCs w:val="20"/>
              </w:rPr>
              <w:t>grocery shopping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F26B57">
              <w:rPr>
                <w:i/>
                <w:sz w:val="20"/>
                <w:szCs w:val="20"/>
              </w:rPr>
              <w:t>‘breaking up with bad habits’)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0.5% (21)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0.4% (18)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1.5% (85)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(8)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Healthy eating </w:t>
            </w:r>
            <w:r w:rsidRPr="00F26B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generic</w:t>
            </w:r>
            <w:r w:rsidRPr="00F26B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1.0% (40)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1.0% (44)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8.6% (351)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1.3% (71)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1.2% (57)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Heart health </w:t>
            </w:r>
            <w:r w:rsidRPr="00F26B57">
              <w:rPr>
                <w:i/>
                <w:sz w:val="20"/>
                <w:szCs w:val="20"/>
              </w:rPr>
              <w:t>(inc</w:t>
            </w:r>
            <w:r>
              <w:rPr>
                <w:i/>
                <w:sz w:val="20"/>
                <w:szCs w:val="20"/>
              </w:rPr>
              <w:t>l</w:t>
            </w:r>
            <w:r w:rsidRPr="00F26B57">
              <w:rPr>
                <w:i/>
                <w:sz w:val="20"/>
                <w:szCs w:val="20"/>
              </w:rPr>
              <w:t>. heart attack, stroke, hypertension, cholesterol)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(14)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0.7% (28)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(10)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584161" w:rsidRDefault="002721C3" w:rsidP="002721C3">
            <w:pPr>
              <w:rPr>
                <w:sz w:val="20"/>
                <w:szCs w:val="20"/>
              </w:rPr>
            </w:pPr>
            <w:r w:rsidRPr="00584161">
              <w:rPr>
                <w:sz w:val="20"/>
                <w:szCs w:val="20"/>
              </w:rPr>
              <w:t>Holiday eating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Live longer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Measure</w:t>
            </w:r>
            <w:r>
              <w:rPr>
                <w:sz w:val="20"/>
                <w:szCs w:val="20"/>
              </w:rPr>
              <w:t>/weigh</w:t>
            </w:r>
            <w:r w:rsidRPr="00F26B57">
              <w:rPr>
                <w:sz w:val="20"/>
                <w:szCs w:val="20"/>
              </w:rPr>
              <w:t xml:space="preserve"> yourself </w:t>
            </w:r>
            <w:r w:rsidRPr="00F26B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Mexico: </w:t>
            </w:r>
            <w:r w:rsidRPr="00F26B57">
              <w:rPr>
                <w:i/>
                <w:sz w:val="20"/>
                <w:szCs w:val="20"/>
              </w:rPr>
              <w:t>‘</w:t>
            </w:r>
            <w:proofErr w:type="spellStart"/>
            <w:r w:rsidRPr="00844F82">
              <w:rPr>
                <w:i/>
                <w:sz w:val="20"/>
                <w:szCs w:val="20"/>
              </w:rPr>
              <w:t>mídete</w:t>
            </w:r>
            <w:proofErr w:type="spellEnd"/>
            <w:r w:rsidRPr="00844F82">
              <w:rPr>
                <w:i/>
                <w:sz w:val="20"/>
                <w:szCs w:val="20"/>
              </w:rPr>
              <w:t>’ in the context of physical me</w:t>
            </w:r>
            <w:r>
              <w:rPr>
                <w:i/>
                <w:sz w:val="20"/>
                <w:szCs w:val="20"/>
              </w:rPr>
              <w:t>asurements</w:t>
            </w:r>
            <w:r w:rsidRPr="00F26B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8.7% (353)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Meat</w:t>
            </w:r>
            <w:r w:rsidRPr="00F26B5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incl.</w:t>
            </w:r>
            <w:r w:rsidRPr="00F26B57">
              <w:rPr>
                <w:i/>
                <w:sz w:val="20"/>
                <w:szCs w:val="20"/>
              </w:rPr>
              <w:t xml:space="preserve"> seafood)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</w:t>
            </w:r>
            <w:r>
              <w:rPr>
                <w:sz w:val="20"/>
                <w:szCs w:val="20"/>
              </w:rPr>
              <w:t>10</w:t>
            </w:r>
            <w:r w:rsidRPr="004849CE"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0.5% (22)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(11)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(9)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Mental health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Menu/calorie labelling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Milk or dairy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0.6% (24)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(4)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0.3% (15)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844F82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Moderation</w:t>
            </w:r>
            <w:r>
              <w:rPr>
                <w:sz w:val="20"/>
                <w:szCs w:val="20"/>
              </w:rPr>
              <w:t>/restraint</w:t>
            </w:r>
            <w:r w:rsidRPr="00F26B57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(Mexico: ‘</w:t>
            </w:r>
            <w:proofErr w:type="spellStart"/>
            <w:r w:rsidRPr="00844F82">
              <w:rPr>
                <w:i/>
                <w:sz w:val="20"/>
                <w:szCs w:val="20"/>
              </w:rPr>
              <w:t>mídete</w:t>
            </w:r>
            <w:proofErr w:type="spellEnd"/>
            <w:r w:rsidRPr="00844F82">
              <w:rPr>
                <w:i/>
                <w:sz w:val="20"/>
                <w:szCs w:val="20"/>
              </w:rPr>
              <w:t xml:space="preserve">’ in the context of </w:t>
            </w:r>
            <w:r>
              <w:rPr>
                <w:i/>
                <w:sz w:val="20"/>
                <w:szCs w:val="20"/>
              </w:rPr>
              <w:t>dietary moderation/restraint</w:t>
            </w:r>
            <w:r w:rsidRPr="00844F8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0.6% (25)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Natural/whole foods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0.2% (7)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</w:t>
            </w:r>
            <w:r>
              <w:rPr>
                <w:sz w:val="20"/>
                <w:szCs w:val="20"/>
              </w:rPr>
              <w:t>3</w:t>
            </w:r>
            <w:r w:rsidRPr="004849CE">
              <w:rPr>
                <w:sz w:val="20"/>
                <w:szCs w:val="20"/>
              </w:rPr>
              <w:t>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Nutrition facts table</w:t>
            </w:r>
            <w:r>
              <w:rPr>
                <w:sz w:val="20"/>
                <w:szCs w:val="20"/>
              </w:rPr>
              <w:t xml:space="preserve"> or nutrition </w:t>
            </w:r>
            <w:r w:rsidRPr="00F26B57">
              <w:rPr>
                <w:sz w:val="20"/>
                <w:szCs w:val="20"/>
              </w:rPr>
              <w:t xml:space="preserve">labelling </w:t>
            </w:r>
            <w:r w:rsidRPr="00F26B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excl</w:t>
            </w:r>
            <w:r w:rsidRPr="00F26B57">
              <w:rPr>
                <w:i/>
                <w:sz w:val="20"/>
                <w:szCs w:val="20"/>
              </w:rPr>
              <w:t>. Health Star Rating)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(8)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Obesity </w:t>
            </w:r>
            <w:r w:rsidRPr="00F26B57">
              <w:rPr>
                <w:i/>
                <w:sz w:val="20"/>
                <w:szCs w:val="20"/>
              </w:rPr>
              <w:t>(incl. overweight, weight gain, being ‘fat’</w:t>
            </w:r>
            <w:r>
              <w:rPr>
                <w:i/>
                <w:sz w:val="20"/>
                <w:szCs w:val="20"/>
              </w:rPr>
              <w:t>/</w:t>
            </w:r>
            <w:r w:rsidRPr="00F26B57">
              <w:rPr>
                <w:i/>
                <w:sz w:val="20"/>
                <w:szCs w:val="20"/>
              </w:rPr>
              <w:t>‘chubby’)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0.7% (30)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(10)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7.9% (321)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0.7% (36)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(20)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Older adults</w:t>
            </w:r>
            <w:r>
              <w:rPr>
                <w:sz w:val="20"/>
                <w:szCs w:val="20"/>
              </w:rPr>
              <w:t>/</w:t>
            </w:r>
            <w:r w:rsidRPr="00F26B57">
              <w:rPr>
                <w:sz w:val="20"/>
                <w:szCs w:val="20"/>
              </w:rPr>
              <w:t>elderly people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(&lt;1)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0.2% (9)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Organs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(15)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CF6511" w:rsidRDefault="002721C3" w:rsidP="002721C3">
            <w:pPr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Parents/role modelling</w:t>
            </w:r>
          </w:p>
        </w:tc>
        <w:tc>
          <w:tcPr>
            <w:tcW w:w="1255" w:type="dxa"/>
          </w:tcPr>
          <w:p w:rsidR="002721C3" w:rsidRPr="00CF6511" w:rsidRDefault="002721C3" w:rsidP="002721C3">
            <w:pPr>
              <w:jc w:val="center"/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CF6511" w:rsidRDefault="002721C3" w:rsidP="002721C3">
            <w:pPr>
              <w:jc w:val="center"/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&lt;0.1% 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0.4% (17)</w:t>
            </w:r>
          </w:p>
        </w:tc>
        <w:tc>
          <w:tcPr>
            <w:tcW w:w="1124" w:type="dxa"/>
            <w:gridSpan w:val="2"/>
          </w:tcPr>
          <w:p w:rsidR="002721C3" w:rsidRPr="00CF6511" w:rsidRDefault="002721C3" w:rsidP="002721C3">
            <w:pPr>
              <w:jc w:val="center"/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0.4% (19)</w:t>
            </w:r>
          </w:p>
        </w:tc>
        <w:tc>
          <w:tcPr>
            <w:tcW w:w="1254" w:type="dxa"/>
          </w:tcPr>
          <w:p w:rsidR="002721C3" w:rsidRPr="00CF6511" w:rsidRDefault="002721C3" w:rsidP="002721C3">
            <w:pPr>
              <w:jc w:val="center"/>
              <w:rPr>
                <w:sz w:val="20"/>
                <w:szCs w:val="20"/>
              </w:rPr>
            </w:pPr>
            <w:r w:rsidRPr="00CF6511">
              <w:rPr>
                <w:sz w:val="20"/>
                <w:szCs w:val="20"/>
              </w:rPr>
              <w:t>0.1% (3)</w:t>
            </w:r>
          </w:p>
        </w:tc>
      </w:tr>
      <w:tr w:rsidR="002721C3" w:rsidRPr="00F26B57" w:rsidTr="007845A0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Physical activity </w:t>
            </w:r>
            <w:r w:rsidRPr="00F26B57">
              <w:rPr>
                <w:i/>
                <w:sz w:val="20"/>
                <w:szCs w:val="20"/>
              </w:rPr>
              <w:t>(incl. reducing sedentar</w:t>
            </w:r>
            <w:r>
              <w:rPr>
                <w:i/>
                <w:sz w:val="20"/>
                <w:szCs w:val="20"/>
              </w:rPr>
              <w:t>y behaviour, Mexico: ‘</w:t>
            </w:r>
            <w:proofErr w:type="spellStart"/>
            <w:r w:rsidRPr="00314EBE">
              <w:rPr>
                <w:i/>
                <w:sz w:val="20"/>
                <w:szCs w:val="20"/>
              </w:rPr>
              <w:t>muévete</w:t>
            </w:r>
            <w:proofErr w:type="spellEnd"/>
            <w:r>
              <w:rPr>
                <w:i/>
                <w:sz w:val="20"/>
                <w:szCs w:val="20"/>
              </w:rPr>
              <w:t>, ‘</w:t>
            </w:r>
            <w:proofErr w:type="spellStart"/>
            <w:r w:rsidRPr="00314EBE">
              <w:rPr>
                <w:i/>
                <w:sz w:val="20"/>
                <w:szCs w:val="20"/>
              </w:rPr>
              <w:t>actívate</w:t>
            </w:r>
            <w:proofErr w:type="spellEnd"/>
            <w:r w:rsidRPr="00314EBE">
              <w:rPr>
                <w:i/>
                <w:sz w:val="20"/>
                <w:szCs w:val="20"/>
              </w:rPr>
              <w:t>’</w:t>
            </w:r>
            <w:r w:rsidRPr="00F26B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1.7% (69)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0.6% (25)</w:t>
            </w:r>
          </w:p>
        </w:tc>
        <w:tc>
          <w:tcPr>
            <w:tcW w:w="1264" w:type="dxa"/>
            <w:gridSpan w:val="2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16.1% (655)</w:t>
            </w:r>
          </w:p>
        </w:tc>
        <w:tc>
          <w:tcPr>
            <w:tcW w:w="98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1.4% (75)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7</w:t>
            </w:r>
            <w:r w:rsidRPr="004849CE">
              <w:rPr>
                <w:sz w:val="20"/>
                <w:szCs w:val="20"/>
              </w:rPr>
              <w:t>% (3</w:t>
            </w:r>
            <w:r>
              <w:rPr>
                <w:sz w:val="20"/>
                <w:szCs w:val="20"/>
              </w:rPr>
              <w:t>2</w:t>
            </w:r>
            <w:r w:rsidRPr="004849CE">
              <w:rPr>
                <w:sz w:val="20"/>
                <w:szCs w:val="20"/>
              </w:rPr>
              <w:t>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Prevention</w:t>
            </w:r>
            <w:r>
              <w:rPr>
                <w:sz w:val="20"/>
                <w:szCs w:val="20"/>
              </w:rPr>
              <w:t xml:space="preserve"> </w:t>
            </w:r>
            <w:r w:rsidRPr="005F02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Mexico: incl. </w:t>
            </w:r>
            <w:proofErr w:type="spellStart"/>
            <w:r w:rsidRPr="005F0257">
              <w:rPr>
                <w:i/>
                <w:sz w:val="20"/>
                <w:szCs w:val="20"/>
              </w:rPr>
              <w:t>PrevenIMSS</w:t>
            </w:r>
            <w:proofErr w:type="spellEnd"/>
            <w:r w:rsidRPr="005F025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F0257">
              <w:rPr>
                <w:i/>
                <w:sz w:val="20"/>
                <w:szCs w:val="20"/>
              </w:rPr>
              <w:t>PrevenISSSTE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(6)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(&lt;1)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7.1% (288)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(4)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Processed/packaged/canned food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0.3% (11)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(5)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 (2)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Protein or meat alternatives </w:t>
            </w:r>
            <w:r w:rsidRPr="00F26B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excl.</w:t>
            </w:r>
            <w:r w:rsidRPr="00F26B57">
              <w:rPr>
                <w:i/>
                <w:sz w:val="20"/>
                <w:szCs w:val="20"/>
              </w:rPr>
              <w:t xml:space="preserve"> meat)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 (1)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(5)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Quality of life </w:t>
            </w:r>
            <w:r w:rsidRPr="00F26B57">
              <w:rPr>
                <w:i/>
                <w:sz w:val="20"/>
                <w:szCs w:val="20"/>
              </w:rPr>
              <w:t>(incl. ‘live better’)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(17)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0.8% (34)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 (2)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 (</w:t>
            </w:r>
            <w:r>
              <w:rPr>
                <w:sz w:val="20"/>
                <w:szCs w:val="20"/>
              </w:rPr>
              <w:t>3</w:t>
            </w:r>
            <w:r w:rsidRPr="004849CE">
              <w:rPr>
                <w:sz w:val="20"/>
                <w:szCs w:val="20"/>
              </w:rPr>
              <w:t>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>/portions</w:t>
            </w:r>
            <w:r w:rsidRPr="00F26B57">
              <w:rPr>
                <w:sz w:val="20"/>
                <w:szCs w:val="20"/>
              </w:rPr>
              <w:t xml:space="preserve"> </w:t>
            </w:r>
            <w:r w:rsidRPr="00F26B57">
              <w:rPr>
                <w:i/>
                <w:sz w:val="20"/>
                <w:szCs w:val="20"/>
              </w:rPr>
              <w:t xml:space="preserve">(incl. </w:t>
            </w:r>
            <w:r>
              <w:rPr>
                <w:i/>
                <w:sz w:val="20"/>
                <w:szCs w:val="20"/>
              </w:rPr>
              <w:t>specific amounts</w:t>
            </w:r>
            <w:r w:rsidRPr="00F26B57">
              <w:rPr>
                <w:i/>
                <w:sz w:val="20"/>
                <w:szCs w:val="20"/>
              </w:rPr>
              <w:t>, consume les</w:t>
            </w:r>
            <w:r>
              <w:rPr>
                <w:i/>
                <w:sz w:val="20"/>
                <w:szCs w:val="20"/>
              </w:rPr>
              <w:t>s in general, Mexico: ‘</w:t>
            </w:r>
            <w:proofErr w:type="spellStart"/>
            <w:r w:rsidRPr="00D91F63">
              <w:rPr>
                <w:i/>
                <w:sz w:val="20"/>
                <w:szCs w:val="20"/>
              </w:rPr>
              <w:t>suficiente</w:t>
            </w:r>
            <w:proofErr w:type="spellEnd"/>
            <w:r w:rsidRPr="00D91F63">
              <w:rPr>
                <w:i/>
                <w:sz w:val="20"/>
                <w:szCs w:val="20"/>
              </w:rPr>
              <w:t>’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1.1% (47)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</w:t>
            </w:r>
            <w:r w:rsidR="00146405">
              <w:rPr>
                <w:sz w:val="20"/>
                <w:szCs w:val="20"/>
              </w:rPr>
              <w:t>3</w:t>
            </w:r>
            <w:r w:rsidRPr="004849CE">
              <w:rPr>
                <w:sz w:val="20"/>
                <w:szCs w:val="20"/>
              </w:rPr>
              <w:t>% (15)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1.4% (57)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2.3% (126)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(18)</w:t>
            </w:r>
          </w:p>
        </w:tc>
      </w:tr>
      <w:tr w:rsidR="002721C3" w:rsidRPr="00B702ED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Salt/sodium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  <w:highlight w:val="yellow"/>
              </w:rPr>
            </w:pPr>
            <w:r w:rsidRPr="00323168">
              <w:rPr>
                <w:sz w:val="20"/>
                <w:szCs w:val="20"/>
              </w:rPr>
              <w:t>0.5% (21)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(21)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(9)</w:t>
            </w:r>
          </w:p>
        </w:tc>
      </w:tr>
      <w:tr w:rsidR="002721C3" w:rsidRPr="00B702ED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Snacks/snacking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  <w:highlight w:val="yellow"/>
              </w:rPr>
            </w:pPr>
            <w:r w:rsidRPr="00323168">
              <w:rPr>
                <w:sz w:val="20"/>
                <w:szCs w:val="20"/>
              </w:rPr>
              <w:t>0.1% (2)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0.8% (42)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B702ED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  <w:highlight w:val="yellow"/>
              </w:rPr>
            </w:pPr>
            <w:r w:rsidRPr="00323168">
              <w:rPr>
                <w:sz w:val="20"/>
                <w:szCs w:val="20"/>
              </w:rPr>
              <w:t>0.3% (14)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</w:tr>
      <w:tr w:rsidR="002721C3" w:rsidRPr="00B702ED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Sugar </w:t>
            </w:r>
            <w:r w:rsidRPr="00F26B57">
              <w:rPr>
                <w:i/>
                <w:sz w:val="20"/>
                <w:szCs w:val="20"/>
              </w:rPr>
              <w:t xml:space="preserve">(incl. sweets; </w:t>
            </w:r>
            <w:r>
              <w:rPr>
                <w:i/>
                <w:sz w:val="20"/>
                <w:szCs w:val="20"/>
              </w:rPr>
              <w:t>excl.</w:t>
            </w:r>
            <w:r w:rsidRPr="00F26B57">
              <w:rPr>
                <w:i/>
                <w:sz w:val="20"/>
                <w:szCs w:val="20"/>
              </w:rPr>
              <w:t xml:space="preserve"> sugary drinks, sugar tax </w:t>
            </w:r>
            <w:r>
              <w:rPr>
                <w:i/>
                <w:sz w:val="20"/>
                <w:szCs w:val="20"/>
              </w:rPr>
              <w:t>and</w:t>
            </w:r>
            <w:r w:rsidRPr="00F26B57">
              <w:rPr>
                <w:i/>
                <w:sz w:val="20"/>
                <w:szCs w:val="20"/>
              </w:rPr>
              <w:t xml:space="preserve"> carbohydrates)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1.8% (73)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0.9% (37)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3.1% (126)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4.6% (251)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1.0% (47)</w:t>
            </w:r>
          </w:p>
        </w:tc>
      </w:tr>
      <w:tr w:rsidR="002721C3" w:rsidRPr="00B702ED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Sugar tax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0.2% (9)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  <w:highlight w:val="yellow"/>
              </w:rPr>
            </w:pPr>
            <w:r w:rsidRPr="00323168">
              <w:rPr>
                <w:sz w:val="20"/>
                <w:szCs w:val="20"/>
              </w:rPr>
              <w:t>0.3% (14)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1.1% (60)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&lt;0.1% (2)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Sugary</w:t>
            </w:r>
            <w:r>
              <w:rPr>
                <w:sz w:val="20"/>
                <w:szCs w:val="20"/>
              </w:rPr>
              <w:t xml:space="preserve"> drinks </w:t>
            </w:r>
            <w:r w:rsidRPr="005827C6">
              <w:rPr>
                <w:i/>
                <w:sz w:val="20"/>
                <w:szCs w:val="20"/>
              </w:rPr>
              <w:t>(incl. s</w:t>
            </w:r>
            <w:r>
              <w:rPr>
                <w:i/>
                <w:sz w:val="20"/>
                <w:szCs w:val="20"/>
              </w:rPr>
              <w:t>ugary/s</w:t>
            </w:r>
            <w:r w:rsidRPr="005827C6">
              <w:rPr>
                <w:i/>
                <w:sz w:val="20"/>
                <w:szCs w:val="20"/>
              </w:rPr>
              <w:t>oft/frozen drinks or soda/pop)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3.4% (137)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0.4% (16)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1.3% (52)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1.8% (100)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1.1% (49)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care of yourself/love yourself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&lt;0.1%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3.4% (136)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i/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Toxic</w:t>
            </w:r>
            <w:r w:rsidRPr="00F26B5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context </w:t>
            </w:r>
            <w:r w:rsidRPr="00F26B57">
              <w:rPr>
                <w:i/>
                <w:sz w:val="20"/>
                <w:szCs w:val="20"/>
              </w:rPr>
              <w:t>‘toxic fat’)</w:t>
            </w:r>
          </w:p>
        </w:tc>
        <w:tc>
          <w:tcPr>
            <w:tcW w:w="1255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0.5% (20)</w:t>
            </w:r>
          </w:p>
        </w:tc>
        <w:tc>
          <w:tcPr>
            <w:tcW w:w="112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  <w:gridSpan w:val="2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4849CE" w:rsidRDefault="002721C3" w:rsidP="002721C3">
            <w:pPr>
              <w:jc w:val="center"/>
              <w:rPr>
                <w:sz w:val="20"/>
                <w:szCs w:val="20"/>
              </w:rPr>
            </w:pPr>
            <w:r w:rsidRPr="004849CE"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 xml:space="preserve">Variety </w:t>
            </w:r>
            <w:r w:rsidRPr="00F26B57">
              <w:rPr>
                <w:i/>
                <w:sz w:val="20"/>
                <w:szCs w:val="20"/>
              </w:rPr>
              <w:t>(eat a varied/diverse diet)</w:t>
            </w:r>
          </w:p>
        </w:tc>
        <w:tc>
          <w:tcPr>
            <w:tcW w:w="1255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26B57">
              <w:rPr>
                <w:sz w:val="20"/>
                <w:szCs w:val="20"/>
              </w:rPr>
              <w:t>% (3)</w:t>
            </w:r>
          </w:p>
        </w:tc>
        <w:tc>
          <w:tcPr>
            <w:tcW w:w="1124" w:type="dxa"/>
          </w:tcPr>
          <w:p w:rsidR="002721C3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&lt;0.1%</w:t>
            </w:r>
            <w:r w:rsidRPr="00F26B57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0.2% (10)</w:t>
            </w:r>
          </w:p>
        </w:tc>
        <w:tc>
          <w:tcPr>
            <w:tcW w:w="1124" w:type="dxa"/>
            <w:gridSpan w:val="2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Vitamins, minerals or specific nutrients not listed above</w:t>
            </w:r>
          </w:p>
        </w:tc>
        <w:tc>
          <w:tcPr>
            <w:tcW w:w="1255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&lt;0.1%</w:t>
            </w:r>
            <w:r w:rsidRPr="00F26B57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0.1% (3)</w:t>
            </w:r>
          </w:p>
        </w:tc>
        <w:tc>
          <w:tcPr>
            <w:tcW w:w="1124" w:type="dxa"/>
            <w:gridSpan w:val="2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4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 (3)</w:t>
            </w:r>
          </w:p>
        </w:tc>
      </w:tr>
      <w:tr w:rsidR="002721C3" w:rsidRPr="00F26B57" w:rsidTr="002721C3">
        <w:trPr>
          <w:trHeight w:val="80"/>
        </w:trPr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Weight loss/maintenance</w:t>
            </w:r>
          </w:p>
        </w:tc>
        <w:tc>
          <w:tcPr>
            <w:tcW w:w="1255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26B57">
              <w:rPr>
                <w:sz w:val="20"/>
                <w:szCs w:val="20"/>
              </w:rPr>
              <w:t>% (4)</w:t>
            </w:r>
          </w:p>
        </w:tc>
        <w:tc>
          <w:tcPr>
            <w:tcW w:w="1124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26B57">
              <w:rPr>
                <w:sz w:val="20"/>
                <w:szCs w:val="20"/>
              </w:rPr>
              <w:t>% (2)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1.5% (60)</w:t>
            </w:r>
          </w:p>
        </w:tc>
        <w:tc>
          <w:tcPr>
            <w:tcW w:w="1124" w:type="dxa"/>
            <w:gridSpan w:val="2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26B57">
              <w:rPr>
                <w:sz w:val="20"/>
                <w:szCs w:val="20"/>
              </w:rPr>
              <w:t>% (3)</w:t>
            </w:r>
          </w:p>
        </w:tc>
        <w:tc>
          <w:tcPr>
            <w:tcW w:w="1254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 (6)</w:t>
            </w:r>
          </w:p>
        </w:tc>
      </w:tr>
      <w:tr w:rsidR="002721C3" w:rsidRPr="00F26B57" w:rsidTr="002721C3">
        <w:tc>
          <w:tcPr>
            <w:tcW w:w="7272" w:type="dxa"/>
          </w:tcPr>
          <w:p w:rsidR="002721C3" w:rsidRPr="00F26B57" w:rsidRDefault="002721C3" w:rsidP="002721C3">
            <w:pPr>
              <w:rPr>
                <w:sz w:val="20"/>
                <w:szCs w:val="20"/>
              </w:rPr>
            </w:pPr>
            <w:r w:rsidRPr="00F26B57">
              <w:rPr>
                <w:sz w:val="20"/>
                <w:szCs w:val="20"/>
              </w:rPr>
              <w:t>You are what you eat</w:t>
            </w:r>
          </w:p>
        </w:tc>
        <w:tc>
          <w:tcPr>
            <w:tcW w:w="1255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24" w:type="dxa"/>
          </w:tcPr>
          <w:p w:rsidR="002721C3" w:rsidRPr="00323168" w:rsidRDefault="002721C3" w:rsidP="002721C3">
            <w:pPr>
              <w:jc w:val="center"/>
              <w:rPr>
                <w:sz w:val="20"/>
                <w:szCs w:val="20"/>
              </w:rPr>
            </w:pPr>
            <w:r w:rsidRPr="00323168">
              <w:rPr>
                <w:sz w:val="20"/>
                <w:szCs w:val="20"/>
              </w:rPr>
              <w:t>0.2% (8)</w:t>
            </w:r>
          </w:p>
        </w:tc>
        <w:tc>
          <w:tcPr>
            <w:tcW w:w="1124" w:type="dxa"/>
            <w:gridSpan w:val="2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&lt;0.1% (</w:t>
            </w:r>
            <w:r w:rsidRPr="00F26B57">
              <w:rPr>
                <w:sz w:val="20"/>
                <w:szCs w:val="20"/>
              </w:rPr>
              <w:t>1)</w:t>
            </w:r>
          </w:p>
        </w:tc>
        <w:tc>
          <w:tcPr>
            <w:tcW w:w="1254" w:type="dxa"/>
          </w:tcPr>
          <w:p w:rsidR="002721C3" w:rsidRPr="00F26B57" w:rsidRDefault="002721C3" w:rsidP="0027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F432CB" w:rsidRPr="008164B6" w:rsidRDefault="00F432CB" w:rsidP="00F432CB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8164B6">
        <w:rPr>
          <w:sz w:val="16"/>
          <w:szCs w:val="16"/>
          <w:vertAlign w:val="superscript"/>
        </w:rPr>
        <w:t>*</w:t>
      </w:r>
      <w:r>
        <w:rPr>
          <w:sz w:val="16"/>
          <w:szCs w:val="16"/>
          <w:vertAlign w:val="superscript"/>
        </w:rPr>
        <w:t xml:space="preserve"> </w:t>
      </w:r>
      <w:r w:rsidRPr="001706F8">
        <w:rPr>
          <w:i/>
          <w:sz w:val="16"/>
          <w:szCs w:val="16"/>
        </w:rPr>
        <w:t>Quantity</w:t>
      </w:r>
      <w:r w:rsidRPr="008164B6">
        <w:rPr>
          <w:sz w:val="16"/>
          <w:szCs w:val="16"/>
        </w:rPr>
        <w:t xml:space="preserve"> code was not used </w:t>
      </w:r>
      <w:r>
        <w:rPr>
          <w:sz w:val="16"/>
          <w:szCs w:val="16"/>
        </w:rPr>
        <w:t>for responses referring</w:t>
      </w:r>
      <w:r w:rsidRPr="008164B6">
        <w:rPr>
          <w:sz w:val="16"/>
          <w:szCs w:val="16"/>
        </w:rPr>
        <w:t xml:space="preserve"> to reducing</w:t>
      </w:r>
      <w:r>
        <w:rPr>
          <w:sz w:val="16"/>
          <w:szCs w:val="16"/>
        </w:rPr>
        <w:t xml:space="preserve"> consumption of</w:t>
      </w:r>
      <w:r w:rsidRPr="008164B6">
        <w:rPr>
          <w:sz w:val="16"/>
          <w:szCs w:val="16"/>
        </w:rPr>
        <w:t xml:space="preserve"> specific foods/nutrients (e.g., fat, sugar,</w:t>
      </w:r>
      <w:r>
        <w:rPr>
          <w:sz w:val="16"/>
          <w:szCs w:val="16"/>
        </w:rPr>
        <w:t xml:space="preserve"> salt/sodium,</w:t>
      </w:r>
      <w:r w:rsidRPr="008164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fast food, </w:t>
      </w:r>
      <w:r w:rsidRPr="008164B6">
        <w:rPr>
          <w:sz w:val="16"/>
          <w:szCs w:val="16"/>
        </w:rPr>
        <w:t>calories)</w:t>
      </w:r>
      <w:r>
        <w:rPr>
          <w:sz w:val="16"/>
          <w:szCs w:val="16"/>
        </w:rPr>
        <w:t xml:space="preserve">; in these cases, the specific codes for fat, sugar, salt/sodium, fast food, calories, respectively, were used. IMSS: </w:t>
      </w:r>
      <w:r w:rsidRPr="00881586">
        <w:rPr>
          <w:sz w:val="16"/>
          <w:szCs w:val="16"/>
        </w:rPr>
        <w:t>Mexican Institute of Social Security</w:t>
      </w:r>
      <w:r>
        <w:rPr>
          <w:sz w:val="16"/>
          <w:szCs w:val="16"/>
        </w:rPr>
        <w:t xml:space="preserve">, which provides public health care. </w:t>
      </w:r>
    </w:p>
    <w:p w:rsidR="00152038" w:rsidRDefault="00152038"/>
    <w:sectPr w:rsidR="00152038" w:rsidSect="00F432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B"/>
    <w:rsid w:val="00146405"/>
    <w:rsid w:val="00152038"/>
    <w:rsid w:val="001706F8"/>
    <w:rsid w:val="00223209"/>
    <w:rsid w:val="002721C3"/>
    <w:rsid w:val="002B77EF"/>
    <w:rsid w:val="00323168"/>
    <w:rsid w:val="003620DF"/>
    <w:rsid w:val="003B0FBB"/>
    <w:rsid w:val="003F04AB"/>
    <w:rsid w:val="004A2816"/>
    <w:rsid w:val="004C5E80"/>
    <w:rsid w:val="00581240"/>
    <w:rsid w:val="0064630B"/>
    <w:rsid w:val="00674B3E"/>
    <w:rsid w:val="007845A0"/>
    <w:rsid w:val="008B75CE"/>
    <w:rsid w:val="00961137"/>
    <w:rsid w:val="009E54D2"/>
    <w:rsid w:val="00D8266D"/>
    <w:rsid w:val="00F12D86"/>
    <w:rsid w:val="00F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486B2-BCE5-413D-B497-ED14A35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3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2CB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432CB"/>
    <w:pPr>
      <w:keepNext/>
      <w:spacing w:after="200" w:line="240" w:lineRule="auto"/>
    </w:pPr>
    <w:rPr>
      <w:b/>
      <w:iCs/>
    </w:rPr>
  </w:style>
  <w:style w:type="table" w:styleId="TableGrid">
    <w:name w:val="Table Grid"/>
    <w:basedOn w:val="TableNormal"/>
    <w:uiPriority w:val="39"/>
    <w:rsid w:val="00F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Goodman</dc:creator>
  <cp:keywords/>
  <dc:description/>
  <cp:lastModifiedBy>Samantha Goodman</cp:lastModifiedBy>
  <cp:revision>2</cp:revision>
  <dcterms:created xsi:type="dcterms:W3CDTF">2021-01-04T20:43:00Z</dcterms:created>
  <dcterms:modified xsi:type="dcterms:W3CDTF">2021-01-04T20:43:00Z</dcterms:modified>
</cp:coreProperties>
</file>