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E578" w14:textId="77777777" w:rsidR="00B50742" w:rsidRDefault="00B50742" w:rsidP="00691D63">
      <w:pPr>
        <w:ind w:right="-710"/>
        <w:jc w:val="both"/>
        <w:rPr>
          <w:b/>
          <w:lang w:val="en-US"/>
        </w:rPr>
      </w:pPr>
      <w:bookmarkStart w:id="0" w:name="_GoBack"/>
      <w:bookmarkEnd w:id="0"/>
    </w:p>
    <w:p w14:paraId="3CD4EBF9" w14:textId="65CB5247" w:rsidR="00691D63" w:rsidRPr="00B50742" w:rsidRDefault="00B50742" w:rsidP="005E5C8A">
      <w:pPr>
        <w:ind w:right="-710"/>
        <w:jc w:val="both"/>
        <w:outlineLvl w:val="0"/>
        <w:rPr>
          <w:lang w:val="en-US"/>
        </w:rPr>
      </w:pPr>
      <w:r w:rsidRPr="00B50742">
        <w:rPr>
          <w:b/>
          <w:lang w:val="en-US"/>
        </w:rPr>
        <w:t>Supplemental Table 1</w:t>
      </w:r>
      <w:r w:rsidRPr="00B50742">
        <w:rPr>
          <w:lang w:val="en-US"/>
        </w:rPr>
        <w:t>.</w:t>
      </w:r>
      <w:r>
        <w:rPr>
          <w:b/>
          <w:lang w:val="en-US"/>
        </w:rPr>
        <w:t xml:space="preserve"> </w:t>
      </w:r>
      <w:r w:rsidRPr="00B50742">
        <w:rPr>
          <w:lang w:val="en-US"/>
        </w:rPr>
        <w:t>Description and sour</w:t>
      </w:r>
      <w:r>
        <w:rPr>
          <w:lang w:val="en-US"/>
        </w:rPr>
        <w:t>ce of the independent variables.</w:t>
      </w:r>
    </w:p>
    <w:p w14:paraId="059774D5" w14:textId="77777777" w:rsidR="00C06AAA" w:rsidRDefault="00C06AAA" w:rsidP="00691D63">
      <w:pPr>
        <w:ind w:right="-710"/>
        <w:jc w:val="both"/>
        <w:rPr>
          <w:b/>
          <w:sz w:val="23"/>
          <w:szCs w:val="23"/>
          <w:lang w:val="en-US"/>
        </w:rPr>
      </w:pPr>
    </w:p>
    <w:tbl>
      <w:tblPr>
        <w:tblStyle w:val="Tabelacomgrade"/>
        <w:tblW w:w="9500" w:type="dxa"/>
        <w:tblLook w:val="04A0" w:firstRow="1" w:lastRow="0" w:firstColumn="1" w:lastColumn="0" w:noHBand="0" w:noVBand="1"/>
      </w:tblPr>
      <w:tblGrid>
        <w:gridCol w:w="3018"/>
        <w:gridCol w:w="3965"/>
        <w:gridCol w:w="2517"/>
      </w:tblGrid>
      <w:tr w:rsidR="001A1260" w:rsidRPr="00D879C9" w14:paraId="02F79CAA" w14:textId="77777777" w:rsidTr="004B7581">
        <w:trPr>
          <w:trHeight w:val="473"/>
        </w:trPr>
        <w:tc>
          <w:tcPr>
            <w:tcW w:w="3018" w:type="dxa"/>
            <w:vAlign w:val="center"/>
          </w:tcPr>
          <w:p w14:paraId="599BE648" w14:textId="7639572B" w:rsidR="00C06AAA" w:rsidRPr="00D879C9" w:rsidRDefault="00C06AAA" w:rsidP="004B7581">
            <w:pPr>
              <w:rPr>
                <w:b/>
                <w:sz w:val="23"/>
                <w:szCs w:val="23"/>
                <w:lang w:val="en-US"/>
              </w:rPr>
            </w:pPr>
            <w:r w:rsidRPr="00D879C9">
              <w:rPr>
                <w:b/>
                <w:sz w:val="23"/>
                <w:szCs w:val="23"/>
                <w:lang w:val="en-US"/>
              </w:rPr>
              <w:t>Variable</w:t>
            </w:r>
            <w:r w:rsidR="00D879C9">
              <w:rPr>
                <w:b/>
                <w:sz w:val="23"/>
                <w:szCs w:val="23"/>
                <w:lang w:val="en-US"/>
              </w:rPr>
              <w:t>s</w:t>
            </w:r>
          </w:p>
        </w:tc>
        <w:tc>
          <w:tcPr>
            <w:tcW w:w="3965" w:type="dxa"/>
            <w:vAlign w:val="center"/>
          </w:tcPr>
          <w:p w14:paraId="4CDE457A" w14:textId="34C7EF61" w:rsidR="00C06AAA" w:rsidRPr="00D879C9" w:rsidRDefault="00C06AAA" w:rsidP="004B7581">
            <w:pPr>
              <w:rPr>
                <w:b/>
                <w:sz w:val="23"/>
                <w:szCs w:val="23"/>
                <w:lang w:val="en-US"/>
              </w:rPr>
            </w:pPr>
            <w:r w:rsidRPr="00D879C9">
              <w:rPr>
                <w:b/>
                <w:sz w:val="23"/>
                <w:szCs w:val="23"/>
                <w:lang w:val="en-US"/>
              </w:rPr>
              <w:t>Description</w:t>
            </w:r>
          </w:p>
        </w:tc>
        <w:tc>
          <w:tcPr>
            <w:tcW w:w="2517" w:type="dxa"/>
            <w:vAlign w:val="center"/>
          </w:tcPr>
          <w:p w14:paraId="061C33B0" w14:textId="62C64790" w:rsidR="00C06AAA" w:rsidRPr="00D879C9" w:rsidRDefault="00C06AAA" w:rsidP="004B7581">
            <w:pPr>
              <w:rPr>
                <w:b/>
                <w:sz w:val="23"/>
                <w:szCs w:val="23"/>
                <w:lang w:val="en-US"/>
              </w:rPr>
            </w:pPr>
            <w:r w:rsidRPr="00D879C9">
              <w:rPr>
                <w:b/>
                <w:sz w:val="23"/>
                <w:szCs w:val="23"/>
                <w:lang w:val="en-US"/>
              </w:rPr>
              <w:t>Source</w:t>
            </w:r>
          </w:p>
        </w:tc>
      </w:tr>
      <w:tr w:rsidR="001A1260" w:rsidRPr="00D879C9" w14:paraId="7E66101C" w14:textId="77777777" w:rsidTr="004B7581">
        <w:tc>
          <w:tcPr>
            <w:tcW w:w="3018" w:type="dxa"/>
            <w:vAlign w:val="center"/>
          </w:tcPr>
          <w:p w14:paraId="0A7494C5" w14:textId="217FFA32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rStyle w:val="normaltextrun"/>
                <w:color w:val="000000"/>
                <w:sz w:val="23"/>
                <w:szCs w:val="23"/>
                <w:shd w:val="clear" w:color="auto" w:fill="FFFFFF"/>
                <w:lang w:val="en-US"/>
              </w:rPr>
              <w:t>Urban population</w:t>
            </w:r>
            <w:r w:rsidR="001A1260" w:rsidRPr="00D879C9">
              <w:rPr>
                <w:rStyle w:val="normaltextrun"/>
                <w:color w:val="000000"/>
                <w:sz w:val="23"/>
                <w:szCs w:val="23"/>
                <w:shd w:val="clear" w:color="auto" w:fill="FFFFFF"/>
                <w:lang w:val="en-US"/>
              </w:rPr>
              <w:t>*</w:t>
            </w:r>
          </w:p>
        </w:tc>
        <w:tc>
          <w:tcPr>
            <w:tcW w:w="3965" w:type="dxa"/>
            <w:vAlign w:val="center"/>
          </w:tcPr>
          <w:p w14:paraId="357BEF7B" w14:textId="7252EA4E" w:rsidR="00C06AAA" w:rsidRPr="00D879C9" w:rsidRDefault="00154CB0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rStyle w:val="normaltextrun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Percentage </w:t>
            </w:r>
            <w:r w:rsidR="00C06AAA" w:rsidRPr="00D879C9">
              <w:rPr>
                <w:rStyle w:val="normaltextrun"/>
                <w:color w:val="000000"/>
                <w:sz w:val="23"/>
                <w:szCs w:val="23"/>
                <w:shd w:val="clear" w:color="auto" w:fill="FFFFFF"/>
                <w:lang w:val="en-US"/>
              </w:rPr>
              <w:t>of the population residing in urban areas</w:t>
            </w:r>
          </w:p>
        </w:tc>
        <w:tc>
          <w:tcPr>
            <w:tcW w:w="2517" w:type="dxa"/>
            <w:vAlign w:val="center"/>
          </w:tcPr>
          <w:p w14:paraId="686B7B4C" w14:textId="38B45F58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DATASUS TabNet</w:t>
            </w:r>
            <w:r w:rsidR="008D0D96" w:rsidRPr="008D0D96">
              <w:rPr>
                <w:sz w:val="23"/>
                <w:szCs w:val="23"/>
                <w:vertAlign w:val="superscript"/>
                <w:lang w:val="en-US"/>
              </w:rPr>
              <w:t>(</w:t>
            </w:r>
            <w:r w:rsidR="00115A2E" w:rsidRPr="008D0D96">
              <w:rPr>
                <w:sz w:val="23"/>
                <w:szCs w:val="23"/>
                <w:vertAlign w:val="superscript"/>
                <w:lang w:val="en-US"/>
              </w:rPr>
              <w:t>1</w:t>
            </w:r>
            <w:r w:rsidR="008D0D96" w:rsidRPr="008D0D96">
              <w:rPr>
                <w:sz w:val="23"/>
                <w:szCs w:val="23"/>
                <w:vertAlign w:val="superscript"/>
                <w:lang w:val="en-US"/>
              </w:rPr>
              <w:t>)</w:t>
            </w:r>
          </w:p>
        </w:tc>
      </w:tr>
      <w:tr w:rsidR="001A1260" w:rsidRPr="00D879C9" w14:paraId="49435757" w14:textId="77777777" w:rsidTr="004B7581">
        <w:tc>
          <w:tcPr>
            <w:tcW w:w="3018" w:type="dxa"/>
            <w:vAlign w:val="center"/>
          </w:tcPr>
          <w:p w14:paraId="2C850BE4" w14:textId="175924D4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Gross Domestic Product (GDP) per capita</w:t>
            </w:r>
          </w:p>
        </w:tc>
        <w:tc>
          <w:tcPr>
            <w:tcW w:w="3965" w:type="dxa"/>
            <w:vAlign w:val="center"/>
          </w:tcPr>
          <w:p w14:paraId="0725FE47" w14:textId="19B0352D" w:rsidR="00C06AAA" w:rsidRPr="00D879C9" w:rsidRDefault="001C155E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T</w:t>
            </w:r>
            <w:r w:rsidR="002123AE" w:rsidRPr="00D879C9">
              <w:rPr>
                <w:sz w:val="23"/>
                <w:szCs w:val="23"/>
                <w:lang w:val="en-US"/>
              </w:rPr>
              <w:t>otal sum in Brazilian real (R$) of all final goods and services produced divided by the municipality’s population</w:t>
            </w:r>
          </w:p>
        </w:tc>
        <w:tc>
          <w:tcPr>
            <w:tcW w:w="2517" w:type="dxa"/>
            <w:vAlign w:val="center"/>
          </w:tcPr>
          <w:p w14:paraId="1329E503" w14:textId="5EB375A8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rStyle w:val="normaltextrun"/>
                <w:color w:val="000000"/>
                <w:sz w:val="23"/>
                <w:szCs w:val="23"/>
                <w:shd w:val="clear" w:color="auto" w:fill="FFFFFF"/>
                <w:lang w:val="en-US"/>
              </w:rPr>
              <w:t>IBGE Automatic Retrieval System</w:t>
            </w:r>
            <w:r w:rsidR="008D0D96" w:rsidRPr="008D0D96">
              <w:rPr>
                <w:rStyle w:val="normaltextrun"/>
                <w:color w:val="000000"/>
                <w:sz w:val="23"/>
                <w:szCs w:val="23"/>
                <w:shd w:val="clear" w:color="auto" w:fill="FFFFFF"/>
                <w:vertAlign w:val="superscript"/>
                <w:lang w:val="en-US"/>
              </w:rPr>
              <w:t>(</w:t>
            </w:r>
            <w:r w:rsidR="00115A2E" w:rsidRPr="008D0D96">
              <w:rPr>
                <w:rStyle w:val="normaltextrun"/>
                <w:color w:val="000000"/>
                <w:sz w:val="23"/>
                <w:szCs w:val="23"/>
                <w:shd w:val="clear" w:color="auto" w:fill="FFFFFF"/>
                <w:vertAlign w:val="superscript"/>
                <w:lang w:val="en-US"/>
              </w:rPr>
              <w:t>2</w:t>
            </w:r>
            <w:r w:rsidR="008D0D96" w:rsidRPr="008D0D96">
              <w:rPr>
                <w:rStyle w:val="normaltextrun"/>
                <w:color w:val="000000"/>
                <w:sz w:val="23"/>
                <w:szCs w:val="23"/>
                <w:shd w:val="clear" w:color="auto" w:fill="FFFFFF"/>
                <w:vertAlign w:val="superscript"/>
                <w:lang w:val="en-US"/>
              </w:rPr>
              <w:t>)</w:t>
            </w:r>
          </w:p>
        </w:tc>
      </w:tr>
      <w:tr w:rsidR="001A1260" w:rsidRPr="00D21A9D" w14:paraId="05CC0BF6" w14:textId="77777777" w:rsidTr="004B7581">
        <w:tc>
          <w:tcPr>
            <w:tcW w:w="3018" w:type="dxa"/>
            <w:vAlign w:val="center"/>
          </w:tcPr>
          <w:p w14:paraId="11E98ED6" w14:textId="45AE256F" w:rsidR="00C06AAA" w:rsidRPr="00D879C9" w:rsidRDefault="002123AE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bCs/>
                <w:sz w:val="23"/>
                <w:szCs w:val="23"/>
                <w:lang w:val="en-US"/>
              </w:rPr>
              <w:t>Expected years of schooling</w:t>
            </w:r>
            <w:r w:rsidR="001A1260" w:rsidRPr="00D879C9">
              <w:rPr>
                <w:bCs/>
                <w:sz w:val="23"/>
                <w:szCs w:val="23"/>
                <w:lang w:val="en-US"/>
              </w:rPr>
              <w:t>*</w:t>
            </w:r>
          </w:p>
        </w:tc>
        <w:tc>
          <w:tcPr>
            <w:tcW w:w="3965" w:type="dxa"/>
            <w:vAlign w:val="center"/>
          </w:tcPr>
          <w:p w14:paraId="481964BC" w14:textId="0448F26B" w:rsidR="00C06AAA" w:rsidRPr="00D879C9" w:rsidRDefault="001C155E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bCs/>
                <w:sz w:val="23"/>
                <w:szCs w:val="23"/>
                <w:lang w:val="en-US"/>
              </w:rPr>
              <w:t>M</w:t>
            </w:r>
            <w:r w:rsidR="002123AE" w:rsidRPr="00D879C9">
              <w:rPr>
                <w:bCs/>
                <w:sz w:val="23"/>
                <w:szCs w:val="23"/>
                <w:lang w:val="en-US"/>
              </w:rPr>
              <w:t>ean number of years of schooling a generation of children entering school will have completed by age 18 if the current patterns maintain throughout their schooling life</w:t>
            </w:r>
          </w:p>
        </w:tc>
        <w:tc>
          <w:tcPr>
            <w:tcW w:w="2517" w:type="dxa"/>
            <w:vAlign w:val="center"/>
          </w:tcPr>
          <w:p w14:paraId="113A5498" w14:textId="2F025703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rStyle w:val="normaltextrun"/>
                <w:sz w:val="23"/>
                <w:szCs w:val="23"/>
                <w:shd w:val="clear" w:color="auto" w:fill="FFFFFF"/>
                <w:lang w:val="en-US"/>
              </w:rPr>
              <w:t>Atlas of Human Development in Brazil</w:t>
            </w:r>
            <w:r w:rsidR="008D0D96" w:rsidRP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(</w:t>
            </w:r>
            <w:r w:rsidR="00115A2E" w:rsidRP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3</w:t>
            </w:r>
            <w:r w:rsidR="008D0D96" w:rsidRP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)</w:t>
            </w:r>
          </w:p>
        </w:tc>
      </w:tr>
      <w:tr w:rsidR="001A1260" w:rsidRPr="00D879C9" w14:paraId="35983F56" w14:textId="77777777" w:rsidTr="004B7581">
        <w:tc>
          <w:tcPr>
            <w:tcW w:w="3018" w:type="dxa"/>
            <w:vAlign w:val="center"/>
          </w:tcPr>
          <w:p w14:paraId="1B1C0478" w14:textId="44DEE1ED" w:rsidR="00C06AAA" w:rsidRPr="00D879C9" w:rsidRDefault="002123AE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Unemployment rate</w:t>
            </w:r>
            <w:r w:rsidR="001A1260" w:rsidRPr="00D879C9">
              <w:rPr>
                <w:sz w:val="23"/>
                <w:szCs w:val="23"/>
                <w:lang w:val="en-US"/>
              </w:rPr>
              <w:t>*</w:t>
            </w:r>
          </w:p>
        </w:tc>
        <w:tc>
          <w:tcPr>
            <w:tcW w:w="3965" w:type="dxa"/>
            <w:vAlign w:val="center"/>
          </w:tcPr>
          <w:p w14:paraId="1CE43EF2" w14:textId="3B7812AB" w:rsidR="00C06AAA" w:rsidRPr="00D879C9" w:rsidRDefault="00154CB0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Percentage</w:t>
            </w:r>
            <w:r w:rsidR="002123AE" w:rsidRPr="00D879C9">
              <w:rPr>
                <w:sz w:val="23"/>
                <w:szCs w:val="23"/>
                <w:lang w:val="en-US"/>
              </w:rPr>
              <w:t xml:space="preserve"> of the population over 16 years old out of work</w:t>
            </w:r>
          </w:p>
        </w:tc>
        <w:tc>
          <w:tcPr>
            <w:tcW w:w="2517" w:type="dxa"/>
            <w:vAlign w:val="center"/>
          </w:tcPr>
          <w:p w14:paraId="7B4F8B19" w14:textId="3B0ECEDD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DATASUS TabNet</w:t>
            </w:r>
            <w:r w:rsidR="008D0D96" w:rsidRPr="008D0D96">
              <w:rPr>
                <w:sz w:val="23"/>
                <w:szCs w:val="23"/>
                <w:vertAlign w:val="superscript"/>
                <w:lang w:val="en-US"/>
              </w:rPr>
              <w:t>(1)</w:t>
            </w:r>
          </w:p>
        </w:tc>
      </w:tr>
      <w:tr w:rsidR="001A1260" w:rsidRPr="00D879C9" w14:paraId="204AFA91" w14:textId="77777777" w:rsidTr="004B7581">
        <w:tc>
          <w:tcPr>
            <w:tcW w:w="3018" w:type="dxa"/>
            <w:vAlign w:val="center"/>
          </w:tcPr>
          <w:p w14:paraId="08619BC8" w14:textId="5C4BE262" w:rsidR="00C06AAA" w:rsidRPr="00D879C9" w:rsidRDefault="002123AE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Family Health Strategy (FHS) coverage</w:t>
            </w:r>
          </w:p>
        </w:tc>
        <w:tc>
          <w:tcPr>
            <w:tcW w:w="3965" w:type="dxa"/>
            <w:vAlign w:val="center"/>
          </w:tcPr>
          <w:p w14:paraId="23A1FDD5" w14:textId="34AAB37C" w:rsidR="00C06AAA" w:rsidRPr="00D879C9" w:rsidRDefault="00A30E38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Percentage</w:t>
            </w:r>
            <w:r w:rsidR="002123AE" w:rsidRPr="00D879C9">
              <w:rPr>
                <w:sz w:val="23"/>
                <w:szCs w:val="23"/>
                <w:lang w:val="en-US"/>
              </w:rPr>
              <w:t xml:space="preserve"> of the population covered by FHS teams, considering a parameter of 3,450 individuals covered per team</w:t>
            </w:r>
          </w:p>
        </w:tc>
        <w:tc>
          <w:tcPr>
            <w:tcW w:w="2517" w:type="dxa"/>
            <w:vAlign w:val="center"/>
          </w:tcPr>
          <w:p w14:paraId="70AFB8A1" w14:textId="56C01195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rStyle w:val="normaltextrun"/>
                <w:color w:val="000000"/>
                <w:sz w:val="23"/>
                <w:szCs w:val="23"/>
                <w:shd w:val="clear" w:color="auto" w:fill="FFFFFF"/>
                <w:lang w:val="en-US"/>
              </w:rPr>
              <w:t>DATASUS e-Gestor</w:t>
            </w:r>
            <w:r w:rsidR="008D0D96" w:rsidRP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(</w:t>
            </w:r>
            <w:r w:rsid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4</w:t>
            </w:r>
            <w:r w:rsidR="008D0D96" w:rsidRP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)</w:t>
            </w:r>
          </w:p>
        </w:tc>
      </w:tr>
      <w:tr w:rsidR="001A1260" w:rsidRPr="00D21A9D" w14:paraId="1448843E" w14:textId="77777777" w:rsidTr="004B7581">
        <w:tc>
          <w:tcPr>
            <w:tcW w:w="3018" w:type="dxa"/>
            <w:vAlign w:val="center"/>
          </w:tcPr>
          <w:p w14:paraId="0A5E534D" w14:textId="358E0954" w:rsidR="00C06AAA" w:rsidRPr="00D879C9" w:rsidRDefault="002123AE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Household crowding</w:t>
            </w:r>
            <w:r w:rsidR="001A1260" w:rsidRPr="00D879C9">
              <w:rPr>
                <w:sz w:val="23"/>
                <w:szCs w:val="23"/>
                <w:lang w:val="en-US"/>
              </w:rPr>
              <w:t>*</w:t>
            </w:r>
          </w:p>
        </w:tc>
        <w:tc>
          <w:tcPr>
            <w:tcW w:w="3965" w:type="dxa"/>
            <w:vAlign w:val="center"/>
          </w:tcPr>
          <w:p w14:paraId="5FAE596F" w14:textId="28E95009" w:rsidR="00661E72" w:rsidRPr="00D879C9" w:rsidRDefault="00A30E38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sz w:val="23"/>
                <w:szCs w:val="23"/>
                <w:lang w:val="en-US"/>
              </w:rPr>
              <w:t>Percentage</w:t>
            </w:r>
            <w:r w:rsidR="001C155E" w:rsidRPr="00D879C9">
              <w:rPr>
                <w:sz w:val="23"/>
                <w:szCs w:val="23"/>
                <w:lang w:val="en-US"/>
              </w:rPr>
              <w:t xml:space="preserve"> of the population residing in households with more than two individuals</w:t>
            </w:r>
            <w:r w:rsidR="001A1260" w:rsidRPr="00D879C9">
              <w:rPr>
                <w:sz w:val="23"/>
                <w:szCs w:val="23"/>
                <w:lang w:val="en-US"/>
              </w:rPr>
              <w:t xml:space="preserve"> per </w:t>
            </w:r>
            <w:r w:rsidR="001C155E" w:rsidRPr="00D879C9">
              <w:rPr>
                <w:sz w:val="23"/>
                <w:szCs w:val="23"/>
                <w:lang w:val="en-US"/>
              </w:rPr>
              <w:t>bedroom</w:t>
            </w:r>
          </w:p>
        </w:tc>
        <w:tc>
          <w:tcPr>
            <w:tcW w:w="2517" w:type="dxa"/>
            <w:vAlign w:val="center"/>
          </w:tcPr>
          <w:p w14:paraId="3EA9D476" w14:textId="48328B91" w:rsidR="00C06AAA" w:rsidRPr="00D879C9" w:rsidRDefault="00C06AAA" w:rsidP="004B7581">
            <w:pPr>
              <w:rPr>
                <w:sz w:val="23"/>
                <w:szCs w:val="23"/>
                <w:lang w:val="en-US"/>
              </w:rPr>
            </w:pPr>
            <w:r w:rsidRPr="00D879C9">
              <w:rPr>
                <w:rStyle w:val="normaltextrun"/>
                <w:sz w:val="23"/>
                <w:szCs w:val="23"/>
                <w:shd w:val="clear" w:color="auto" w:fill="FFFFFF"/>
                <w:lang w:val="en-US"/>
              </w:rPr>
              <w:t>Atlas of Human Development in Brazil</w:t>
            </w:r>
            <w:r w:rsidR="008D0D96" w:rsidRPr="008D0D96">
              <w:rPr>
                <w:rStyle w:val="normaltextrun"/>
                <w:sz w:val="23"/>
                <w:szCs w:val="23"/>
                <w:shd w:val="clear" w:color="auto" w:fill="FFFFFF"/>
                <w:vertAlign w:val="superscript"/>
                <w:lang w:val="en-US"/>
              </w:rPr>
              <w:t>(3)</w:t>
            </w:r>
          </w:p>
        </w:tc>
      </w:tr>
    </w:tbl>
    <w:p w14:paraId="1E69BD9D" w14:textId="2E741845" w:rsidR="00C06AAA" w:rsidRDefault="00C06AAA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48E1FF0D" w14:textId="77777777" w:rsidR="001A1260" w:rsidRPr="001A1260" w:rsidRDefault="001A1260" w:rsidP="001A1260">
      <w:pPr>
        <w:rPr>
          <w:sz w:val="20"/>
          <w:szCs w:val="20"/>
          <w:lang w:val="en-US"/>
        </w:rPr>
      </w:pPr>
      <w:r w:rsidRPr="001A1260">
        <w:rPr>
          <w:sz w:val="20"/>
          <w:szCs w:val="20"/>
          <w:lang w:val="en-US"/>
        </w:rPr>
        <w:t>* Variables estimated by linear interpolation and extrapolation from 2000 and 2010 demographic census.</w:t>
      </w:r>
    </w:p>
    <w:p w14:paraId="4F6D85C6" w14:textId="77777777" w:rsidR="00691D63" w:rsidRDefault="00691D63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37B1E05C" w14:textId="77777777" w:rsidR="00691D63" w:rsidRDefault="00691D63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3DF904AF" w14:textId="77777777" w:rsidR="00691D63" w:rsidRDefault="00691D63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1535908F" w14:textId="77777777" w:rsidR="00691D63" w:rsidRDefault="00691D63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42F76F67" w14:textId="77777777" w:rsidR="00691D63" w:rsidRDefault="00691D63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38B2A246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38082009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2AC1D37C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68DB0A32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36230B50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7975CC28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37262167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4CDC4475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393B26C1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2D4A8352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1E9CA606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7A9A07B9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0227325B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34C38123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4B3DD869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1EA40392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1529C033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7DBF14ED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2692D557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6A0F2D37" w14:textId="77777777" w:rsidR="00614F9E" w:rsidRDefault="00614F9E" w:rsidP="00614F9E">
      <w:pPr>
        <w:ind w:right="-8"/>
        <w:rPr>
          <w:b/>
          <w:bCs/>
          <w:sz w:val="23"/>
          <w:szCs w:val="23"/>
          <w:lang w:val="en-US"/>
        </w:rPr>
      </w:pPr>
    </w:p>
    <w:p w14:paraId="7448C094" w14:textId="77777777" w:rsidR="00614F9E" w:rsidRDefault="00614F9E" w:rsidP="00614F9E">
      <w:pPr>
        <w:ind w:right="-8"/>
        <w:rPr>
          <w:sz w:val="23"/>
          <w:szCs w:val="23"/>
          <w:lang w:val="en-US"/>
        </w:rPr>
      </w:pPr>
    </w:p>
    <w:p w14:paraId="28DBC5B6" w14:textId="77777777" w:rsidR="00614F9E" w:rsidRDefault="00614F9E" w:rsidP="00614F9E">
      <w:pPr>
        <w:ind w:right="-8"/>
        <w:rPr>
          <w:sz w:val="23"/>
          <w:szCs w:val="23"/>
          <w:lang w:val="en-US"/>
        </w:rPr>
      </w:pPr>
    </w:p>
    <w:p w14:paraId="10D20555" w14:textId="77777777" w:rsidR="00D879C9" w:rsidRDefault="00D879C9" w:rsidP="00614F9E">
      <w:pPr>
        <w:ind w:right="-8"/>
        <w:rPr>
          <w:sz w:val="23"/>
          <w:szCs w:val="23"/>
          <w:lang w:val="en-US"/>
        </w:rPr>
      </w:pPr>
    </w:p>
    <w:p w14:paraId="2610E401" w14:textId="6B099305" w:rsidR="00614F9E" w:rsidRPr="00614F9E" w:rsidRDefault="00614F9E" w:rsidP="00614F9E">
      <w:pPr>
        <w:ind w:left="-142" w:right="-8"/>
        <w:rPr>
          <w:sz w:val="23"/>
          <w:szCs w:val="23"/>
        </w:rPr>
      </w:pPr>
      <w:r w:rsidRPr="00614F9E">
        <w:rPr>
          <w:noProof/>
          <w:sz w:val="23"/>
          <w:szCs w:val="23"/>
        </w:rPr>
        <w:drawing>
          <wp:inline distT="0" distB="0" distL="0" distR="0" wp14:anchorId="695A29F0" wp14:editId="3BE10C79">
            <wp:extent cx="5913177" cy="3163331"/>
            <wp:effectExtent l="0" t="0" r="508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1DEA10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4BD04161" w14:textId="7469A4C8" w:rsidR="00614F9E" w:rsidRPr="00614F9E" w:rsidRDefault="00614F9E" w:rsidP="00095EFD">
      <w:pPr>
        <w:ind w:left="-142" w:right="-292"/>
        <w:rPr>
          <w:sz w:val="23"/>
          <w:szCs w:val="23"/>
          <w:lang w:val="en-US"/>
        </w:rPr>
      </w:pPr>
      <w:r w:rsidRPr="00614F9E">
        <w:rPr>
          <w:b/>
          <w:bCs/>
          <w:sz w:val="23"/>
          <w:szCs w:val="23"/>
          <w:lang w:val="en-US"/>
        </w:rPr>
        <w:t>Supplemental Figure 1</w:t>
      </w:r>
      <w:r w:rsidRPr="00614F9E">
        <w:rPr>
          <w:b/>
          <w:sz w:val="23"/>
          <w:szCs w:val="23"/>
          <w:lang w:val="en-US"/>
        </w:rPr>
        <w:t xml:space="preserve">. </w:t>
      </w:r>
      <w:r w:rsidRPr="00614F9E">
        <w:rPr>
          <w:sz w:val="23"/>
          <w:szCs w:val="23"/>
          <w:lang w:val="en-US"/>
        </w:rPr>
        <w:t xml:space="preserve">Mean prevalence of stunting (HAZ &lt;-2 SD) and overweight (WHZ&gt; +2 SD) among children enrolled in </w:t>
      </w:r>
      <w:r w:rsidRPr="00D21A9D">
        <w:rPr>
          <w:sz w:val="23"/>
          <w:szCs w:val="23"/>
          <w:lang w:val="en-US"/>
        </w:rPr>
        <w:t xml:space="preserve">Bolsa Família </w:t>
      </w:r>
      <w:r w:rsidRPr="00614F9E">
        <w:rPr>
          <w:sz w:val="23"/>
          <w:szCs w:val="23"/>
          <w:lang w:val="en-US"/>
        </w:rPr>
        <w:t>Program in Brazilian municipalities, 2008-2014 (n=4,443)</w:t>
      </w:r>
      <w:r w:rsidR="00D17708">
        <w:rPr>
          <w:sz w:val="23"/>
          <w:szCs w:val="23"/>
          <w:lang w:val="en-US"/>
        </w:rPr>
        <w:t>.</w:t>
      </w:r>
    </w:p>
    <w:p w14:paraId="2FA9579B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0E92AF73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1C88BACC" w14:textId="77777777" w:rsidR="00614F9E" w:rsidRDefault="00614F9E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349BDFED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6CDD85A0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95C3095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30C07582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6268CA9A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69314FA2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23C8E3F4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6CDDC2E8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128B3220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10EA236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2971A804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847765A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389411F5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2381A921" w14:textId="43A8413E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5AEA62CF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123C96F6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3978058D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4C79D62D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791A6206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42F6CAE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2A69034A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617C658" w14:textId="77777777" w:rsidR="00D879C9" w:rsidRDefault="00D879C9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19AFEA94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D68AEF6" w14:textId="77777777" w:rsidR="00095EFD" w:rsidRDefault="00095EFD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40CD9E1" w14:textId="77777777" w:rsidR="00095EFD" w:rsidRDefault="00095EFD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7C0F3D4A" w14:textId="77777777" w:rsidR="00095EFD" w:rsidRDefault="00095EFD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6FAF34B2" w14:textId="77777777" w:rsidR="00095EFD" w:rsidRDefault="00095EFD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055EC933" w14:textId="77777777" w:rsidR="00614F9E" w:rsidRDefault="00614F9E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20594CAC" w14:textId="6A9697F9" w:rsidR="00614F9E" w:rsidRDefault="00095EFD" w:rsidP="00614F9E">
      <w:pPr>
        <w:ind w:right="-710"/>
        <w:jc w:val="both"/>
        <w:rPr>
          <w:b/>
          <w:bCs/>
          <w:sz w:val="23"/>
          <w:szCs w:val="23"/>
          <w:lang w:val="en-US"/>
        </w:rPr>
      </w:pPr>
      <w:r w:rsidRPr="00095EFD">
        <w:rPr>
          <w:b/>
          <w:bCs/>
          <w:noProof/>
          <w:sz w:val="23"/>
          <w:szCs w:val="23"/>
        </w:rPr>
        <w:drawing>
          <wp:inline distT="0" distB="0" distL="0" distR="0" wp14:anchorId="2E51139C" wp14:editId="1EB47E94">
            <wp:extent cx="5749523" cy="38004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44" b="1468"/>
                    <a:stretch/>
                  </pic:blipFill>
                  <pic:spPr bwMode="auto">
                    <a:xfrm>
                      <a:off x="0" y="0"/>
                      <a:ext cx="5774220" cy="38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1B6E8" w14:textId="77777777" w:rsidR="00095EFD" w:rsidRDefault="00095EFD" w:rsidP="00614F9E">
      <w:pPr>
        <w:ind w:right="-710"/>
        <w:jc w:val="both"/>
        <w:rPr>
          <w:b/>
          <w:bCs/>
          <w:sz w:val="23"/>
          <w:szCs w:val="23"/>
          <w:lang w:val="en-US"/>
        </w:rPr>
      </w:pPr>
    </w:p>
    <w:p w14:paraId="75BE8266" w14:textId="33CDACC4" w:rsidR="00614F9E" w:rsidRPr="00D21A9D" w:rsidRDefault="00614F9E" w:rsidP="00095EFD">
      <w:pPr>
        <w:ind w:right="-8"/>
        <w:rPr>
          <w:sz w:val="23"/>
          <w:szCs w:val="23"/>
          <w:lang w:val="en-US"/>
        </w:rPr>
      </w:pPr>
      <w:r w:rsidRPr="00614F9E">
        <w:rPr>
          <w:b/>
          <w:bCs/>
          <w:sz w:val="23"/>
          <w:szCs w:val="23"/>
          <w:lang w:val="en-US"/>
        </w:rPr>
        <w:t>Supplemental Figure 2</w:t>
      </w:r>
      <w:r w:rsidRPr="00614F9E">
        <w:rPr>
          <w:b/>
          <w:sz w:val="23"/>
          <w:szCs w:val="23"/>
          <w:lang w:val="en-US"/>
        </w:rPr>
        <w:t xml:space="preserve">. </w:t>
      </w:r>
      <w:r w:rsidRPr="00614F9E">
        <w:rPr>
          <w:sz w:val="23"/>
          <w:szCs w:val="23"/>
          <w:lang w:val="en-US"/>
        </w:rPr>
        <w:t xml:space="preserve">Mean prevalence of stunting (a) and overweight (b) among children enrolled in </w:t>
      </w:r>
      <w:r w:rsidRPr="00D21A9D">
        <w:rPr>
          <w:sz w:val="23"/>
          <w:szCs w:val="23"/>
          <w:lang w:val="en-US"/>
        </w:rPr>
        <w:t xml:space="preserve">Bolsa Família </w:t>
      </w:r>
      <w:r w:rsidRPr="00614F9E">
        <w:rPr>
          <w:sz w:val="23"/>
          <w:szCs w:val="23"/>
          <w:lang w:val="en-US"/>
        </w:rPr>
        <w:t>in Brazilian municipalities by geograp</w:t>
      </w:r>
      <w:r>
        <w:rPr>
          <w:sz w:val="23"/>
          <w:szCs w:val="23"/>
          <w:lang w:val="en-US"/>
        </w:rPr>
        <w:t>hic region, 2008-2014 (n=4,443)</w:t>
      </w:r>
      <w:r w:rsidR="00D17708">
        <w:rPr>
          <w:sz w:val="23"/>
          <w:szCs w:val="23"/>
          <w:lang w:val="en-US"/>
        </w:rPr>
        <w:t>.</w:t>
      </w:r>
    </w:p>
    <w:p w14:paraId="4472D4F6" w14:textId="77777777" w:rsidR="00614F9E" w:rsidRDefault="00614F9E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2C6195F6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50061D3A" w14:textId="77777777" w:rsidR="00095EFD" w:rsidRDefault="00095EFD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159C1E67" w14:textId="77777777" w:rsidR="00095EFD" w:rsidRDefault="00095EFD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21471137" w14:textId="77777777" w:rsidR="00095EFD" w:rsidRDefault="00095EFD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1917DCF0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4383A5CD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2C7C6F4F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3CC6E844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35C945E1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058AA607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3310137D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0AC87E0D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489871D1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1B534881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65112DB7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5F13AFCD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114C4203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358D2E34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043254D0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19EC73D3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1F242B57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499F593C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012F2838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0926A285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2A35884F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3B54EE26" w14:textId="77777777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</w:p>
    <w:p w14:paraId="3E6C1C82" w14:textId="1BC8CFC9" w:rsidR="00095EFD" w:rsidRDefault="00095EFD" w:rsidP="00095EFD">
      <w:pPr>
        <w:ind w:right="-8"/>
        <w:jc w:val="both"/>
        <w:rPr>
          <w:b/>
          <w:sz w:val="23"/>
          <w:szCs w:val="23"/>
          <w:lang w:val="en-US"/>
        </w:rPr>
      </w:pPr>
      <w:r w:rsidRPr="00095EFD">
        <w:rPr>
          <w:b/>
          <w:noProof/>
          <w:sz w:val="23"/>
          <w:szCs w:val="23"/>
        </w:rPr>
        <w:drawing>
          <wp:inline distT="0" distB="0" distL="0" distR="0" wp14:anchorId="01D80DAB" wp14:editId="5A41604A">
            <wp:extent cx="5755640" cy="3785235"/>
            <wp:effectExtent l="0" t="0" r="1016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9827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151AD9E1" w14:textId="0A3BD100" w:rsidR="00095EFD" w:rsidRPr="00D21A9D" w:rsidRDefault="00095EFD" w:rsidP="00095EFD">
      <w:pPr>
        <w:ind w:right="133"/>
        <w:rPr>
          <w:sz w:val="23"/>
          <w:szCs w:val="23"/>
          <w:lang w:val="en-US"/>
        </w:rPr>
      </w:pPr>
      <w:r w:rsidRPr="00095EFD">
        <w:rPr>
          <w:b/>
          <w:bCs/>
          <w:sz w:val="23"/>
          <w:szCs w:val="23"/>
          <w:lang w:val="en-US"/>
        </w:rPr>
        <w:t>Supplemental Figure 3</w:t>
      </w:r>
      <w:r w:rsidRPr="00095EFD">
        <w:rPr>
          <w:b/>
          <w:sz w:val="23"/>
          <w:szCs w:val="23"/>
          <w:lang w:val="en-US"/>
        </w:rPr>
        <w:t xml:space="preserve">. </w:t>
      </w:r>
      <w:r w:rsidRPr="00095EFD">
        <w:rPr>
          <w:sz w:val="23"/>
          <w:szCs w:val="23"/>
          <w:lang w:val="en-US"/>
        </w:rPr>
        <w:t xml:space="preserve">Mean prevalence of stunting (a) and overweight (b) among children enrolled in </w:t>
      </w:r>
      <w:r w:rsidRPr="00D21A9D">
        <w:rPr>
          <w:sz w:val="23"/>
          <w:szCs w:val="23"/>
          <w:lang w:val="en-US"/>
        </w:rPr>
        <w:t xml:space="preserve">Bolsa Família </w:t>
      </w:r>
      <w:r w:rsidRPr="00095EFD">
        <w:rPr>
          <w:sz w:val="23"/>
          <w:szCs w:val="23"/>
          <w:lang w:val="en-US"/>
        </w:rPr>
        <w:t>in Brazilian municipalities by popul</w:t>
      </w:r>
      <w:r>
        <w:rPr>
          <w:sz w:val="23"/>
          <w:szCs w:val="23"/>
          <w:lang w:val="en-US"/>
        </w:rPr>
        <w:t>ation size, 2008-2014 (n=4,443)</w:t>
      </w:r>
      <w:r w:rsidR="00D17708">
        <w:rPr>
          <w:sz w:val="23"/>
          <w:szCs w:val="23"/>
          <w:lang w:val="en-US"/>
        </w:rPr>
        <w:t>.</w:t>
      </w:r>
    </w:p>
    <w:p w14:paraId="2CD0F433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67350ECF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79860392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</w:pPr>
    </w:p>
    <w:p w14:paraId="4C4D9C22" w14:textId="77777777" w:rsidR="004B7581" w:rsidRDefault="004B7581" w:rsidP="00691D63">
      <w:pPr>
        <w:ind w:right="-710"/>
        <w:jc w:val="both"/>
        <w:rPr>
          <w:b/>
          <w:sz w:val="23"/>
          <w:szCs w:val="23"/>
          <w:lang w:val="en-US"/>
        </w:rPr>
        <w:sectPr w:rsidR="004B7581" w:rsidSect="007918AD">
          <w:headerReference w:type="default" r:id="rId10"/>
          <w:footerReference w:type="even" r:id="rId11"/>
          <w:footerReference w:type="default" r:id="rId12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324A6082" w14:textId="25320022" w:rsidR="00691D63" w:rsidRPr="004B7581" w:rsidRDefault="00B50742" w:rsidP="004B7581">
      <w:pPr>
        <w:ind w:right="-710"/>
        <w:jc w:val="both"/>
        <w:rPr>
          <w:lang w:val="en-US"/>
        </w:rPr>
      </w:pPr>
      <w:r w:rsidRPr="004B7581">
        <w:rPr>
          <w:b/>
          <w:lang w:val="en-US"/>
        </w:rPr>
        <w:lastRenderedPageBreak/>
        <w:t>Supplemental Table 2</w:t>
      </w:r>
      <w:r w:rsidR="00691D63" w:rsidRPr="004B7581">
        <w:rPr>
          <w:lang w:val="en-US"/>
        </w:rPr>
        <w:t>. Demographic and soci</w:t>
      </w:r>
      <w:r w:rsidR="00115A2E">
        <w:rPr>
          <w:lang w:val="en-US"/>
        </w:rPr>
        <w:t>oeconomic characteristics of all</w:t>
      </w:r>
      <w:r w:rsidR="00691D63" w:rsidRPr="004B7581">
        <w:rPr>
          <w:lang w:val="en-US"/>
        </w:rPr>
        <w:t xml:space="preserve"> municipalities</w:t>
      </w:r>
      <w:r w:rsidR="00115A2E">
        <w:rPr>
          <w:lang w:val="en-US"/>
        </w:rPr>
        <w:t xml:space="preserve"> with available </w:t>
      </w:r>
      <w:r w:rsidR="00D17708">
        <w:rPr>
          <w:lang w:val="en-US"/>
        </w:rPr>
        <w:t>data</w:t>
      </w:r>
      <w:r w:rsidRPr="004B7581">
        <w:rPr>
          <w:lang w:val="en-US"/>
        </w:rPr>
        <w:t>, 2008-2014 (n=5,507</w:t>
      </w:r>
      <w:r w:rsidR="00691D63" w:rsidRPr="004B7581">
        <w:rPr>
          <w:lang w:val="en-US"/>
        </w:rPr>
        <w:t>).</w:t>
      </w:r>
    </w:p>
    <w:p w14:paraId="6A652720" w14:textId="77777777" w:rsidR="00691D63" w:rsidRPr="00A14DB7" w:rsidRDefault="00691D63" w:rsidP="001A1260">
      <w:pPr>
        <w:ind w:left="-567" w:right="-8" w:firstLine="567"/>
        <w:rPr>
          <w:b/>
          <w:sz w:val="22"/>
          <w:szCs w:val="22"/>
          <w:lang w:val="en-US"/>
        </w:rPr>
      </w:pPr>
    </w:p>
    <w:tbl>
      <w:tblPr>
        <w:tblStyle w:val="Tabelacomgrade"/>
        <w:tblW w:w="13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984"/>
        <w:gridCol w:w="1000"/>
        <w:gridCol w:w="1100"/>
        <w:gridCol w:w="992"/>
        <w:gridCol w:w="992"/>
        <w:gridCol w:w="992"/>
        <w:gridCol w:w="8"/>
        <w:gridCol w:w="985"/>
        <w:gridCol w:w="1027"/>
        <w:gridCol w:w="1276"/>
      </w:tblGrid>
      <w:tr w:rsidR="00115A2E" w:rsidRPr="004B7581" w14:paraId="0AE465AB" w14:textId="77777777" w:rsidTr="00115A2E">
        <w:tc>
          <w:tcPr>
            <w:tcW w:w="3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F6E7" w14:textId="77777777" w:rsidR="00691D63" w:rsidRPr="004B7581" w:rsidRDefault="00691D63" w:rsidP="001A1260">
            <w:pPr>
              <w:ind w:left="-567" w:firstLine="567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Variables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FED48E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2008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D4738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11FDF2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7F524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BA232F" w14:textId="652B1BC0" w:rsidR="00691D63" w:rsidRPr="004B7581" w:rsidRDefault="00691D63" w:rsidP="004B7581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% change</w:t>
            </w:r>
          </w:p>
        </w:tc>
      </w:tr>
      <w:tr w:rsidR="00115A2E" w:rsidRPr="004B7581" w14:paraId="5ACB0644" w14:textId="77777777" w:rsidTr="00115A2E">
        <w:tc>
          <w:tcPr>
            <w:tcW w:w="3693" w:type="dxa"/>
            <w:vMerge/>
            <w:tcBorders>
              <w:bottom w:val="single" w:sz="4" w:space="0" w:color="auto"/>
            </w:tcBorders>
          </w:tcPr>
          <w:p w14:paraId="771D0F4F" w14:textId="77777777" w:rsidR="00691D63" w:rsidRPr="004B7581" w:rsidRDefault="00691D63" w:rsidP="001A1260">
            <w:pPr>
              <w:ind w:left="-567" w:firstLine="567"/>
              <w:rPr>
                <w:sz w:val="23"/>
                <w:szCs w:val="23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0E140C3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4C7E4471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3148775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9D5643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034279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19F8A4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49FDF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0A55DDE5" w14:textId="77777777" w:rsidR="00691D63" w:rsidRPr="004B7581" w:rsidRDefault="00691D63" w:rsidP="001A1260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2E504B" w14:textId="41D47E2D" w:rsidR="00691D63" w:rsidRPr="004B7581" w:rsidRDefault="004B7581" w:rsidP="001A1260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2008-2014</w:t>
            </w:r>
          </w:p>
        </w:tc>
      </w:tr>
      <w:tr w:rsidR="00115A2E" w:rsidRPr="004B7581" w14:paraId="0996DABA" w14:textId="77777777" w:rsidTr="00095EFD">
        <w:trPr>
          <w:trHeight w:val="292"/>
        </w:trPr>
        <w:tc>
          <w:tcPr>
            <w:tcW w:w="3693" w:type="dxa"/>
            <w:tcBorders>
              <w:top w:val="single" w:sz="4" w:space="0" w:color="auto"/>
            </w:tcBorders>
          </w:tcPr>
          <w:p w14:paraId="39BC414F" w14:textId="77777777" w:rsidR="00115A2E" w:rsidRPr="004B7581" w:rsidRDefault="00115A2E" w:rsidP="001A1260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Urban population (%)*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14:paraId="06224F0A" w14:textId="46B3CB81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63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14:paraId="6D3EF637" w14:textId="6FBBFAD2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35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2378960A" w14:textId="1BAB1C3F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65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420D36C" w14:textId="30DB3F6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35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5BD59C" w14:textId="69FEB3E3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66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01EB9C9" w14:textId="40D2CBE5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34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05CA0E05" w14:textId="766BC125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67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bottom"/>
          </w:tcPr>
          <w:p w14:paraId="3388798F" w14:textId="3599365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34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5AC2F14" w14:textId="52A3E25F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</w:tr>
      <w:tr w:rsidR="00115A2E" w:rsidRPr="004B7581" w14:paraId="03667873" w14:textId="77777777" w:rsidTr="00115A2E">
        <w:tc>
          <w:tcPr>
            <w:tcW w:w="3693" w:type="dxa"/>
          </w:tcPr>
          <w:p w14:paraId="7B51B77B" w14:textId="77777777" w:rsidR="00115A2E" w:rsidRPr="004B7581" w:rsidRDefault="00115A2E" w:rsidP="001A1260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GDP per capita (R$)</w:t>
            </w:r>
          </w:p>
        </w:tc>
        <w:tc>
          <w:tcPr>
            <w:tcW w:w="984" w:type="dxa"/>
            <w:vAlign w:val="bottom"/>
          </w:tcPr>
          <w:p w14:paraId="08F8E671" w14:textId="79230E33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7,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414</w:t>
            </w:r>
          </w:p>
        </w:tc>
        <w:tc>
          <w:tcPr>
            <w:tcW w:w="1000" w:type="dxa"/>
            <w:vAlign w:val="bottom"/>
          </w:tcPr>
          <w:p w14:paraId="4FAD4129" w14:textId="6F5886A6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8,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282</w:t>
            </w:r>
          </w:p>
        </w:tc>
        <w:tc>
          <w:tcPr>
            <w:tcW w:w="1100" w:type="dxa"/>
            <w:vAlign w:val="bottom"/>
          </w:tcPr>
          <w:p w14:paraId="44A9A001" w14:textId="542835DF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9,</w:t>
            </w:r>
            <w:r w:rsidRPr="00115A2E">
              <w:rPr>
                <w:rFonts w:eastAsia="Times New Roman"/>
                <w:sz w:val="23"/>
                <w:szCs w:val="23"/>
              </w:rPr>
              <w:t>249</w:t>
            </w:r>
          </w:p>
        </w:tc>
        <w:tc>
          <w:tcPr>
            <w:tcW w:w="992" w:type="dxa"/>
            <w:vAlign w:val="bottom"/>
          </w:tcPr>
          <w:p w14:paraId="3A6C2599" w14:textId="2A0B483C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10,</w:t>
            </w:r>
            <w:r w:rsidRPr="00115A2E">
              <w:rPr>
                <w:rFonts w:eastAsia="Times New Roman"/>
                <w:sz w:val="23"/>
                <w:szCs w:val="23"/>
              </w:rPr>
              <w:t>023</w:t>
            </w:r>
          </w:p>
        </w:tc>
        <w:tc>
          <w:tcPr>
            <w:tcW w:w="992" w:type="dxa"/>
            <w:vAlign w:val="bottom"/>
          </w:tcPr>
          <w:p w14:paraId="61EB3340" w14:textId="3D7253DD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11,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479</w:t>
            </w:r>
          </w:p>
        </w:tc>
        <w:tc>
          <w:tcPr>
            <w:tcW w:w="992" w:type="dxa"/>
            <w:vAlign w:val="bottom"/>
          </w:tcPr>
          <w:p w14:paraId="171A01D5" w14:textId="6029059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12,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349</w:t>
            </w:r>
          </w:p>
        </w:tc>
        <w:tc>
          <w:tcPr>
            <w:tcW w:w="993" w:type="dxa"/>
            <w:gridSpan w:val="2"/>
            <w:vAlign w:val="bottom"/>
          </w:tcPr>
          <w:p w14:paraId="5BC50B37" w14:textId="4CCDFEE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13,</w:t>
            </w:r>
            <w:r w:rsidRPr="00115A2E">
              <w:rPr>
                <w:rFonts w:eastAsia="Times New Roman"/>
                <w:sz w:val="23"/>
                <w:szCs w:val="23"/>
              </w:rPr>
              <w:t>816</w:t>
            </w:r>
          </w:p>
        </w:tc>
        <w:tc>
          <w:tcPr>
            <w:tcW w:w="1027" w:type="dxa"/>
            <w:vAlign w:val="bottom"/>
          </w:tcPr>
          <w:p w14:paraId="314C17B8" w14:textId="791B8E76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14,</w:t>
            </w:r>
            <w:r w:rsidRPr="00115A2E">
              <w:rPr>
                <w:rFonts w:eastAsia="Times New Roman"/>
                <w:sz w:val="23"/>
                <w:szCs w:val="23"/>
              </w:rPr>
              <w:t>861</w:t>
            </w:r>
          </w:p>
        </w:tc>
        <w:tc>
          <w:tcPr>
            <w:tcW w:w="1276" w:type="dxa"/>
            <w:vAlign w:val="bottom"/>
          </w:tcPr>
          <w:p w14:paraId="4F36C669" w14:textId="64B2E92F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86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3</w:t>
            </w:r>
          </w:p>
        </w:tc>
      </w:tr>
      <w:tr w:rsidR="00115A2E" w:rsidRPr="004B7581" w14:paraId="63F41B10" w14:textId="77777777" w:rsidTr="00115A2E">
        <w:tc>
          <w:tcPr>
            <w:tcW w:w="3693" w:type="dxa"/>
          </w:tcPr>
          <w:p w14:paraId="0D278023" w14:textId="77777777" w:rsidR="00115A2E" w:rsidRPr="004B7581" w:rsidRDefault="00115A2E" w:rsidP="001A1260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Expected years of schooling (years)*</w:t>
            </w:r>
          </w:p>
        </w:tc>
        <w:tc>
          <w:tcPr>
            <w:tcW w:w="984" w:type="dxa"/>
            <w:vAlign w:val="bottom"/>
          </w:tcPr>
          <w:p w14:paraId="3F6B8692" w14:textId="62BCC7CF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00" w:type="dxa"/>
            <w:vAlign w:val="bottom"/>
          </w:tcPr>
          <w:p w14:paraId="1B16704C" w14:textId="5BC86CF7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00" w:type="dxa"/>
            <w:vAlign w:val="bottom"/>
          </w:tcPr>
          <w:p w14:paraId="46DEE49B" w14:textId="0354179B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14:paraId="6FF4F5B5" w14:textId="278F56E3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14:paraId="23831412" w14:textId="76D78AA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14:paraId="76A5BEFE" w14:textId="0ADECA08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4F9D08EA" w14:textId="378BDE1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027" w:type="dxa"/>
            <w:vAlign w:val="bottom"/>
          </w:tcPr>
          <w:p w14:paraId="566BCF8D" w14:textId="645FC4DE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vAlign w:val="bottom"/>
          </w:tcPr>
          <w:p w14:paraId="01062633" w14:textId="1497DBCC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6</w:t>
            </w:r>
          </w:p>
        </w:tc>
      </w:tr>
      <w:tr w:rsidR="00115A2E" w:rsidRPr="004B7581" w14:paraId="67EFC32F" w14:textId="77777777" w:rsidTr="00115A2E">
        <w:tc>
          <w:tcPr>
            <w:tcW w:w="3693" w:type="dxa"/>
          </w:tcPr>
          <w:p w14:paraId="26BF18EB" w14:textId="77777777" w:rsidR="00115A2E" w:rsidRPr="004B7581" w:rsidRDefault="00115A2E" w:rsidP="001A1260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Unemployment rate (%)*</w:t>
            </w:r>
          </w:p>
        </w:tc>
        <w:tc>
          <w:tcPr>
            <w:tcW w:w="984" w:type="dxa"/>
            <w:vAlign w:val="bottom"/>
          </w:tcPr>
          <w:p w14:paraId="0C2BC817" w14:textId="14DD9AD4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00" w:type="dxa"/>
            <w:vAlign w:val="bottom"/>
          </w:tcPr>
          <w:p w14:paraId="06A7D03C" w14:textId="784B43FC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0" w:type="dxa"/>
            <w:vAlign w:val="bottom"/>
          </w:tcPr>
          <w:p w14:paraId="6EEC31E9" w14:textId="03270B70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14:paraId="7643A69C" w14:textId="585C3BE5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14:paraId="1C5BAF54" w14:textId="7A1568D8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14:paraId="0461D85A" w14:textId="786B77F3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14:paraId="38B595F7" w14:textId="7ABFF765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027" w:type="dxa"/>
            <w:vAlign w:val="bottom"/>
          </w:tcPr>
          <w:p w14:paraId="2946F116" w14:textId="03879787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bottom"/>
          </w:tcPr>
          <w:p w14:paraId="219B8FFE" w14:textId="61DA6ACE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-40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</w:tr>
      <w:tr w:rsidR="00115A2E" w:rsidRPr="004B7581" w14:paraId="04D4B7D8" w14:textId="77777777" w:rsidTr="00115A2E">
        <w:tc>
          <w:tcPr>
            <w:tcW w:w="3693" w:type="dxa"/>
          </w:tcPr>
          <w:p w14:paraId="741FDFF3" w14:textId="77777777" w:rsidR="00115A2E" w:rsidRPr="004B7581" w:rsidRDefault="00115A2E" w:rsidP="001A1260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FHS coverage (%)</w:t>
            </w:r>
          </w:p>
        </w:tc>
        <w:tc>
          <w:tcPr>
            <w:tcW w:w="984" w:type="dxa"/>
            <w:vAlign w:val="bottom"/>
          </w:tcPr>
          <w:p w14:paraId="05DF737A" w14:textId="26D1FA13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100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vAlign w:val="bottom"/>
          </w:tcPr>
          <w:p w14:paraId="685DCF15" w14:textId="495C6E58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34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100" w:type="dxa"/>
            <w:vAlign w:val="bottom"/>
          </w:tcPr>
          <w:p w14:paraId="71DE4892" w14:textId="39AB5AC7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14:paraId="7792F11D" w14:textId="3C9AA118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28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14:paraId="5B38CAE9" w14:textId="3F4A073E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14:paraId="2CCD43B5" w14:textId="4A1C333C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27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59AB4248" w14:textId="41F9C029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027" w:type="dxa"/>
            <w:vAlign w:val="bottom"/>
          </w:tcPr>
          <w:p w14:paraId="1A1AA198" w14:textId="2F9E665F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bottom"/>
          </w:tcPr>
          <w:p w14:paraId="0AB60B1B" w14:textId="655D7F56" w:rsidR="00115A2E" w:rsidRPr="00115A2E" w:rsidRDefault="00115A2E" w:rsidP="001A1260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</w:tr>
      <w:tr w:rsidR="00115A2E" w:rsidRPr="004B7581" w14:paraId="7B254369" w14:textId="77777777" w:rsidTr="00115A2E">
        <w:trPr>
          <w:trHeight w:val="239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6F9D9350" w14:textId="77777777" w:rsidR="00115A2E" w:rsidRPr="004B7581" w:rsidRDefault="00115A2E" w:rsidP="001A1260">
            <w:pPr>
              <w:spacing w:after="20"/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Household crowding (%)*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0B294699" w14:textId="23F3D3AF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25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498609AA" w14:textId="697BC9B0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color w:val="000000"/>
                <w:sz w:val="23"/>
                <w:szCs w:val="23"/>
              </w:rPr>
              <w:t>17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362D8D6F" w14:textId="77D225D3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23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C97AA87" w14:textId="6B91F40C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75B04C" w14:textId="63D1FE21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20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AF91061" w14:textId="038431A4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0FF618A2" w14:textId="6C7F7335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6F1BA596" w14:textId="2316569B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16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AC682D" w14:textId="00BE0C13" w:rsidR="00115A2E" w:rsidRPr="00115A2E" w:rsidRDefault="00115A2E" w:rsidP="001A1260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15A2E">
              <w:rPr>
                <w:rFonts w:eastAsia="Times New Roman"/>
                <w:sz w:val="23"/>
                <w:szCs w:val="23"/>
              </w:rPr>
              <w:t>-31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15A2E">
              <w:rPr>
                <w:rFonts w:eastAsia="Times New Roman"/>
                <w:sz w:val="23"/>
                <w:szCs w:val="23"/>
              </w:rPr>
              <w:t>7</w:t>
            </w:r>
          </w:p>
        </w:tc>
      </w:tr>
    </w:tbl>
    <w:p w14:paraId="5F9814C5" w14:textId="77777777" w:rsidR="00691D63" w:rsidRPr="00DA598C" w:rsidRDefault="00691D63" w:rsidP="001A1260">
      <w:pPr>
        <w:ind w:left="-567" w:firstLine="567"/>
        <w:rPr>
          <w:b/>
          <w:sz w:val="17"/>
          <w:szCs w:val="17"/>
        </w:rPr>
      </w:pPr>
    </w:p>
    <w:p w14:paraId="6861ACB2" w14:textId="77777777" w:rsidR="00691D63" w:rsidRPr="00115A2E" w:rsidRDefault="00691D63" w:rsidP="001A1260">
      <w:pPr>
        <w:ind w:left="-567" w:firstLine="567"/>
        <w:jc w:val="both"/>
        <w:rPr>
          <w:sz w:val="18"/>
          <w:szCs w:val="18"/>
          <w:lang w:val="en-US"/>
        </w:rPr>
      </w:pPr>
      <w:r w:rsidRPr="00115A2E">
        <w:rPr>
          <w:sz w:val="18"/>
          <w:szCs w:val="18"/>
          <w:lang w:val="en-US"/>
        </w:rPr>
        <w:t>* Variables estimated by linear interpolation and extrapolation from 2000 and 2010 demographic census.</w:t>
      </w:r>
    </w:p>
    <w:p w14:paraId="062B0E6C" w14:textId="77777777" w:rsidR="00691D63" w:rsidRPr="00754E3B" w:rsidRDefault="00691D63" w:rsidP="001A1260">
      <w:pPr>
        <w:ind w:left="-567" w:right="-292" w:firstLine="567"/>
        <w:rPr>
          <w:sz w:val="18"/>
          <w:szCs w:val="18"/>
          <w:lang w:val="en-US"/>
        </w:rPr>
      </w:pPr>
      <w:r w:rsidRPr="00115A2E">
        <w:rPr>
          <w:sz w:val="18"/>
          <w:szCs w:val="18"/>
          <w:lang w:val="en-US"/>
        </w:rPr>
        <w:t>IQR: interquartile range; FHS</w:t>
      </w:r>
      <w:r w:rsidRPr="00754E3B">
        <w:rPr>
          <w:sz w:val="18"/>
          <w:szCs w:val="18"/>
          <w:lang w:val="en-US"/>
        </w:rPr>
        <w:t xml:space="preserve">: Family Health Strategy; GDP: </w:t>
      </w:r>
      <w:r>
        <w:rPr>
          <w:sz w:val="18"/>
          <w:szCs w:val="18"/>
          <w:lang w:val="en-US"/>
        </w:rPr>
        <w:t>gross domestic p</w:t>
      </w:r>
      <w:r w:rsidRPr="00754E3B">
        <w:rPr>
          <w:sz w:val="18"/>
          <w:szCs w:val="18"/>
          <w:lang w:val="en-US"/>
        </w:rPr>
        <w:t>roduct</w:t>
      </w:r>
      <w:r>
        <w:rPr>
          <w:sz w:val="18"/>
          <w:szCs w:val="18"/>
          <w:lang w:val="en-US"/>
        </w:rPr>
        <w:t>.</w:t>
      </w:r>
    </w:p>
    <w:p w14:paraId="2FCC488C" w14:textId="77777777" w:rsidR="00291430" w:rsidRPr="00D21A9D" w:rsidRDefault="006E5421">
      <w:pPr>
        <w:rPr>
          <w:lang w:val="en-US"/>
        </w:rPr>
      </w:pPr>
    </w:p>
    <w:p w14:paraId="426823B6" w14:textId="77777777" w:rsidR="00115A2E" w:rsidRPr="00D21A9D" w:rsidRDefault="00115A2E">
      <w:pPr>
        <w:rPr>
          <w:lang w:val="en-US"/>
        </w:rPr>
      </w:pPr>
    </w:p>
    <w:p w14:paraId="6CE6FC5D" w14:textId="77777777" w:rsidR="00115A2E" w:rsidRDefault="00115A2E">
      <w:pPr>
        <w:rPr>
          <w:lang w:val="en-US"/>
        </w:rPr>
      </w:pPr>
    </w:p>
    <w:p w14:paraId="4DBCA163" w14:textId="77777777" w:rsidR="005E5C8A" w:rsidRDefault="005E5C8A">
      <w:pPr>
        <w:rPr>
          <w:lang w:val="en-US"/>
        </w:rPr>
      </w:pPr>
    </w:p>
    <w:p w14:paraId="7BB5A64C" w14:textId="77777777" w:rsidR="005E5C8A" w:rsidRDefault="005E5C8A">
      <w:pPr>
        <w:rPr>
          <w:lang w:val="en-US"/>
        </w:rPr>
      </w:pPr>
    </w:p>
    <w:p w14:paraId="02B9AB5F" w14:textId="77777777" w:rsidR="005E5C8A" w:rsidRDefault="005E5C8A">
      <w:pPr>
        <w:rPr>
          <w:lang w:val="en-US"/>
        </w:rPr>
      </w:pPr>
    </w:p>
    <w:p w14:paraId="27F0156F" w14:textId="77777777" w:rsidR="005E5C8A" w:rsidRDefault="005E5C8A">
      <w:pPr>
        <w:rPr>
          <w:lang w:val="en-US"/>
        </w:rPr>
      </w:pPr>
    </w:p>
    <w:p w14:paraId="40730676" w14:textId="77777777" w:rsidR="005E5C8A" w:rsidRDefault="005E5C8A">
      <w:pPr>
        <w:rPr>
          <w:lang w:val="en-US"/>
        </w:rPr>
      </w:pPr>
    </w:p>
    <w:p w14:paraId="17CBC41F" w14:textId="77777777" w:rsidR="005E5C8A" w:rsidRDefault="005E5C8A">
      <w:pPr>
        <w:rPr>
          <w:lang w:val="en-US"/>
        </w:rPr>
      </w:pPr>
    </w:p>
    <w:p w14:paraId="7F2F9846" w14:textId="77777777" w:rsidR="005E5C8A" w:rsidRDefault="005E5C8A">
      <w:pPr>
        <w:rPr>
          <w:lang w:val="en-US"/>
        </w:rPr>
      </w:pPr>
    </w:p>
    <w:p w14:paraId="5FF1AC6A" w14:textId="77777777" w:rsidR="005E5C8A" w:rsidRDefault="005E5C8A">
      <w:pPr>
        <w:rPr>
          <w:lang w:val="en-US"/>
        </w:rPr>
      </w:pPr>
    </w:p>
    <w:p w14:paraId="5570496E" w14:textId="77777777" w:rsidR="005E5C8A" w:rsidRDefault="005E5C8A">
      <w:pPr>
        <w:rPr>
          <w:lang w:val="en-US"/>
        </w:rPr>
      </w:pPr>
    </w:p>
    <w:p w14:paraId="4FBDE284" w14:textId="77777777" w:rsidR="005E5C8A" w:rsidRDefault="005E5C8A">
      <w:pPr>
        <w:rPr>
          <w:lang w:val="en-US"/>
        </w:rPr>
      </w:pPr>
    </w:p>
    <w:p w14:paraId="42A7CED3" w14:textId="77777777" w:rsidR="005E5C8A" w:rsidRDefault="005E5C8A">
      <w:pPr>
        <w:rPr>
          <w:lang w:val="en-US"/>
        </w:rPr>
      </w:pPr>
    </w:p>
    <w:p w14:paraId="3AB64B92" w14:textId="77777777" w:rsidR="005E5C8A" w:rsidRDefault="005E5C8A">
      <w:pPr>
        <w:rPr>
          <w:lang w:val="en-US"/>
        </w:rPr>
      </w:pPr>
    </w:p>
    <w:p w14:paraId="7E7DEE7C" w14:textId="77777777" w:rsidR="005E5C8A" w:rsidRDefault="005E5C8A">
      <w:pPr>
        <w:rPr>
          <w:lang w:val="en-US"/>
        </w:rPr>
      </w:pPr>
    </w:p>
    <w:p w14:paraId="40331211" w14:textId="77777777" w:rsidR="005E5C8A" w:rsidRDefault="005E5C8A">
      <w:pPr>
        <w:rPr>
          <w:lang w:val="en-US"/>
        </w:rPr>
      </w:pPr>
    </w:p>
    <w:p w14:paraId="0248FC4F" w14:textId="77777777" w:rsidR="005E5C8A" w:rsidRDefault="005E5C8A">
      <w:pPr>
        <w:rPr>
          <w:lang w:val="en-US"/>
        </w:rPr>
      </w:pPr>
    </w:p>
    <w:p w14:paraId="7D4C83EE" w14:textId="77777777" w:rsidR="005E5C8A" w:rsidRDefault="005E5C8A">
      <w:pPr>
        <w:rPr>
          <w:lang w:val="en-US"/>
        </w:rPr>
      </w:pPr>
    </w:p>
    <w:p w14:paraId="7B6E4EC6" w14:textId="77777777" w:rsidR="005E5C8A" w:rsidRDefault="005E5C8A">
      <w:pPr>
        <w:rPr>
          <w:lang w:val="en-US"/>
        </w:rPr>
      </w:pPr>
    </w:p>
    <w:p w14:paraId="57DEC008" w14:textId="223A4846" w:rsidR="005E5C8A" w:rsidRPr="004B7581" w:rsidRDefault="005E5C8A" w:rsidP="005E5C8A">
      <w:pPr>
        <w:ind w:right="-710"/>
        <w:jc w:val="both"/>
        <w:outlineLvl w:val="0"/>
        <w:rPr>
          <w:lang w:val="en-US"/>
        </w:rPr>
      </w:pPr>
      <w:r w:rsidRPr="004B7581">
        <w:rPr>
          <w:b/>
          <w:lang w:val="en-US"/>
        </w:rPr>
        <w:lastRenderedPageBreak/>
        <w:t xml:space="preserve">Supplemental Table </w:t>
      </w:r>
      <w:r>
        <w:rPr>
          <w:b/>
          <w:lang w:val="en-US"/>
        </w:rPr>
        <w:t>3</w:t>
      </w:r>
      <w:r w:rsidRPr="004B7581">
        <w:rPr>
          <w:lang w:val="en-US"/>
        </w:rPr>
        <w:t>. Demographic and soci</w:t>
      </w:r>
      <w:r>
        <w:rPr>
          <w:lang w:val="en-US"/>
        </w:rPr>
        <w:t>oeconomic characteristics of the</w:t>
      </w:r>
      <w:r w:rsidRPr="004B7581">
        <w:rPr>
          <w:lang w:val="en-US"/>
        </w:rPr>
        <w:t xml:space="preserve"> municipalities</w:t>
      </w:r>
      <w:r w:rsidR="00191917">
        <w:rPr>
          <w:lang w:val="en-US"/>
        </w:rPr>
        <w:t xml:space="preserve"> included</w:t>
      </w:r>
      <w:r>
        <w:rPr>
          <w:lang w:val="en-US"/>
        </w:rPr>
        <w:t xml:space="preserve"> in the models</w:t>
      </w:r>
      <w:r w:rsidRPr="004B7581">
        <w:rPr>
          <w:lang w:val="en-US"/>
        </w:rPr>
        <w:t>, 2008-2014 (n=</w:t>
      </w:r>
      <w:r w:rsidR="00D129D0">
        <w:rPr>
          <w:lang w:val="en-US"/>
        </w:rPr>
        <w:t>2,670</w:t>
      </w:r>
      <w:r w:rsidRPr="004B7581">
        <w:rPr>
          <w:lang w:val="en-US"/>
        </w:rPr>
        <w:t>).</w:t>
      </w:r>
    </w:p>
    <w:p w14:paraId="1779DB0F" w14:textId="77777777" w:rsidR="005E5C8A" w:rsidRPr="00A14DB7" w:rsidRDefault="005E5C8A" w:rsidP="005E5C8A">
      <w:pPr>
        <w:ind w:left="-567" w:right="-8" w:firstLine="567"/>
        <w:rPr>
          <w:b/>
          <w:sz w:val="22"/>
          <w:szCs w:val="22"/>
          <w:lang w:val="en-US"/>
        </w:rPr>
      </w:pPr>
    </w:p>
    <w:tbl>
      <w:tblPr>
        <w:tblStyle w:val="Tabelacomgrade"/>
        <w:tblW w:w="13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984"/>
        <w:gridCol w:w="1000"/>
        <w:gridCol w:w="1100"/>
        <w:gridCol w:w="992"/>
        <w:gridCol w:w="992"/>
        <w:gridCol w:w="992"/>
        <w:gridCol w:w="8"/>
        <w:gridCol w:w="985"/>
        <w:gridCol w:w="1027"/>
        <w:gridCol w:w="1276"/>
      </w:tblGrid>
      <w:tr w:rsidR="005E5C8A" w:rsidRPr="004B7581" w14:paraId="579B3E97" w14:textId="77777777" w:rsidTr="00B22F58">
        <w:tc>
          <w:tcPr>
            <w:tcW w:w="3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945C" w14:textId="77777777" w:rsidR="005E5C8A" w:rsidRPr="004B7581" w:rsidRDefault="005E5C8A" w:rsidP="00B22F58">
            <w:pPr>
              <w:ind w:left="-567" w:firstLine="567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Variables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952F4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2008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04A10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85FF30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B90D5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0FFE4A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% change</w:t>
            </w:r>
          </w:p>
        </w:tc>
      </w:tr>
      <w:tr w:rsidR="005E5C8A" w:rsidRPr="004B7581" w14:paraId="7AF6AD40" w14:textId="77777777" w:rsidTr="00B22F58">
        <w:tc>
          <w:tcPr>
            <w:tcW w:w="3693" w:type="dxa"/>
            <w:vMerge/>
            <w:tcBorders>
              <w:bottom w:val="single" w:sz="4" w:space="0" w:color="auto"/>
            </w:tcBorders>
          </w:tcPr>
          <w:p w14:paraId="79BCFB4C" w14:textId="77777777" w:rsidR="005E5C8A" w:rsidRPr="004B7581" w:rsidRDefault="005E5C8A" w:rsidP="00B22F58">
            <w:pPr>
              <w:ind w:left="-567" w:firstLine="567"/>
              <w:rPr>
                <w:sz w:val="23"/>
                <w:szCs w:val="23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620187A5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6FBDBAA7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CAE8038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79BF62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AFE0AE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4B3107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4ADC2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6BAAF1F8" w14:textId="77777777" w:rsidR="005E5C8A" w:rsidRPr="004B7581" w:rsidRDefault="005E5C8A" w:rsidP="00B22F58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1B919" w14:textId="77777777" w:rsidR="005E5C8A" w:rsidRPr="004B7581" w:rsidRDefault="005E5C8A" w:rsidP="00B22F58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2008-2014</w:t>
            </w:r>
          </w:p>
        </w:tc>
      </w:tr>
      <w:tr w:rsidR="00191917" w:rsidRPr="004B7581" w14:paraId="7E047514" w14:textId="77777777" w:rsidTr="00B22F58">
        <w:trPr>
          <w:trHeight w:val="292"/>
        </w:trPr>
        <w:tc>
          <w:tcPr>
            <w:tcW w:w="3693" w:type="dxa"/>
            <w:tcBorders>
              <w:top w:val="single" w:sz="4" w:space="0" w:color="auto"/>
            </w:tcBorders>
          </w:tcPr>
          <w:p w14:paraId="646160CA" w14:textId="77777777" w:rsidR="00191917" w:rsidRPr="004B7581" w:rsidRDefault="00191917" w:rsidP="00B22F58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Urban population (%)*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14:paraId="06CB1EFF" w14:textId="246875C5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61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14:paraId="3970C88C" w14:textId="3EBB7899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33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36CA6745" w14:textId="7655D094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62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DE895B1" w14:textId="20CEC4EA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34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EC34FB0" w14:textId="3C46690D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63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5D4E91C" w14:textId="4430FA2C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34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23FF864E" w14:textId="0A6265D9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64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bottom"/>
          </w:tcPr>
          <w:p w14:paraId="1CD01B7B" w14:textId="599C76DE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33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6BAF98C" w14:textId="3E00056D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8</w:t>
            </w:r>
          </w:p>
        </w:tc>
      </w:tr>
      <w:tr w:rsidR="00191917" w:rsidRPr="004B7581" w14:paraId="4ECEBC68" w14:textId="77777777" w:rsidTr="00B22F58">
        <w:tc>
          <w:tcPr>
            <w:tcW w:w="3693" w:type="dxa"/>
          </w:tcPr>
          <w:p w14:paraId="0C0C7EF9" w14:textId="77777777" w:rsidR="00191917" w:rsidRPr="004B7581" w:rsidRDefault="00191917" w:rsidP="00B22F58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GDP per capita (R$)</w:t>
            </w:r>
          </w:p>
        </w:tc>
        <w:tc>
          <w:tcPr>
            <w:tcW w:w="984" w:type="dxa"/>
            <w:vAlign w:val="bottom"/>
          </w:tcPr>
          <w:p w14:paraId="566FCFED" w14:textId="549CC275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000" w:type="dxa"/>
            <w:vAlign w:val="bottom"/>
          </w:tcPr>
          <w:p w14:paraId="1A889D27" w14:textId="6159BDFE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580</w:t>
            </w:r>
          </w:p>
        </w:tc>
        <w:tc>
          <w:tcPr>
            <w:tcW w:w="1100" w:type="dxa"/>
            <w:vAlign w:val="bottom"/>
          </w:tcPr>
          <w:p w14:paraId="0601A3C8" w14:textId="3E3C31DB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7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sz w:val="23"/>
                <w:szCs w:val="23"/>
              </w:rPr>
              <w:t>642</w:t>
            </w:r>
          </w:p>
        </w:tc>
        <w:tc>
          <w:tcPr>
            <w:tcW w:w="992" w:type="dxa"/>
            <w:vAlign w:val="bottom"/>
          </w:tcPr>
          <w:p w14:paraId="07F4F57E" w14:textId="1BCA3228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8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  <w:vAlign w:val="bottom"/>
          </w:tcPr>
          <w:p w14:paraId="5B7AA156" w14:textId="1E762453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472</w:t>
            </w:r>
          </w:p>
        </w:tc>
        <w:tc>
          <w:tcPr>
            <w:tcW w:w="992" w:type="dxa"/>
            <w:vAlign w:val="bottom"/>
          </w:tcPr>
          <w:p w14:paraId="0A8C53C9" w14:textId="2D75D12C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10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350</w:t>
            </w:r>
          </w:p>
        </w:tc>
        <w:tc>
          <w:tcPr>
            <w:tcW w:w="993" w:type="dxa"/>
            <w:gridSpan w:val="2"/>
            <w:vAlign w:val="bottom"/>
          </w:tcPr>
          <w:p w14:paraId="4476FCF1" w14:textId="6BE56375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11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sz w:val="23"/>
                <w:szCs w:val="23"/>
              </w:rPr>
              <w:t>347</w:t>
            </w:r>
          </w:p>
        </w:tc>
        <w:tc>
          <w:tcPr>
            <w:tcW w:w="1027" w:type="dxa"/>
            <w:vAlign w:val="bottom"/>
          </w:tcPr>
          <w:p w14:paraId="23D288DD" w14:textId="68A196F4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12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191917">
              <w:rPr>
                <w:rFonts w:eastAsia="Times New Roman"/>
                <w:sz w:val="23"/>
                <w:szCs w:val="23"/>
              </w:rPr>
              <w:t>050</w:t>
            </w:r>
          </w:p>
        </w:tc>
        <w:tc>
          <w:tcPr>
            <w:tcW w:w="1276" w:type="dxa"/>
            <w:vAlign w:val="bottom"/>
          </w:tcPr>
          <w:p w14:paraId="5ED93B8F" w14:textId="470CE985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86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</w:tr>
      <w:tr w:rsidR="00191917" w:rsidRPr="004B7581" w14:paraId="5F019C6B" w14:textId="77777777" w:rsidTr="00B22F58">
        <w:tc>
          <w:tcPr>
            <w:tcW w:w="3693" w:type="dxa"/>
          </w:tcPr>
          <w:p w14:paraId="6C1ECB5A" w14:textId="77777777" w:rsidR="00191917" w:rsidRPr="004B7581" w:rsidRDefault="00191917" w:rsidP="00B22F58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Expected years of schooling (years)*</w:t>
            </w:r>
          </w:p>
        </w:tc>
        <w:tc>
          <w:tcPr>
            <w:tcW w:w="984" w:type="dxa"/>
            <w:vAlign w:val="bottom"/>
          </w:tcPr>
          <w:p w14:paraId="746C3946" w14:textId="7C3804AC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vAlign w:val="bottom"/>
          </w:tcPr>
          <w:p w14:paraId="76DE1CC0" w14:textId="19E0947B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0" w:type="dxa"/>
            <w:vAlign w:val="bottom"/>
          </w:tcPr>
          <w:p w14:paraId="4201E85D" w14:textId="217088C3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14:paraId="5E3BFFF1" w14:textId="05401E00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14:paraId="3ED69751" w14:textId="283635B8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bottom"/>
          </w:tcPr>
          <w:p w14:paraId="4977E54D" w14:textId="191C4071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17A4A3E0" w14:textId="2FB50BD1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027" w:type="dxa"/>
            <w:vAlign w:val="bottom"/>
          </w:tcPr>
          <w:p w14:paraId="222F873E" w14:textId="59D70A27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vAlign w:val="bottom"/>
          </w:tcPr>
          <w:p w14:paraId="14641836" w14:textId="7B59CCED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2</w:t>
            </w:r>
          </w:p>
        </w:tc>
      </w:tr>
      <w:tr w:rsidR="00191917" w:rsidRPr="004B7581" w14:paraId="289544E7" w14:textId="77777777" w:rsidTr="00B22F58">
        <w:tc>
          <w:tcPr>
            <w:tcW w:w="3693" w:type="dxa"/>
          </w:tcPr>
          <w:p w14:paraId="5BDA95AD" w14:textId="77777777" w:rsidR="00191917" w:rsidRPr="004B7581" w:rsidRDefault="00191917" w:rsidP="00B22F58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Unemployment rate (%)*</w:t>
            </w:r>
          </w:p>
        </w:tc>
        <w:tc>
          <w:tcPr>
            <w:tcW w:w="984" w:type="dxa"/>
            <w:vAlign w:val="bottom"/>
          </w:tcPr>
          <w:p w14:paraId="6BAD01C2" w14:textId="09537161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6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00" w:type="dxa"/>
            <w:vAlign w:val="bottom"/>
          </w:tcPr>
          <w:p w14:paraId="67296F9A" w14:textId="3875FF38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0" w:type="dxa"/>
            <w:vAlign w:val="bottom"/>
          </w:tcPr>
          <w:p w14:paraId="3BAB582A" w14:textId="47DFA82D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bottom"/>
          </w:tcPr>
          <w:p w14:paraId="37620858" w14:textId="3CD2E0BA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14:paraId="46E6DD94" w14:textId="12F11E1B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bottom"/>
          </w:tcPr>
          <w:p w14:paraId="21CF46CB" w14:textId="34C0B35F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  <w:vAlign w:val="bottom"/>
          </w:tcPr>
          <w:p w14:paraId="27DB8CED" w14:textId="321F601B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027" w:type="dxa"/>
            <w:vAlign w:val="bottom"/>
          </w:tcPr>
          <w:p w14:paraId="2CBA15E6" w14:textId="15C96E7D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bottom"/>
          </w:tcPr>
          <w:p w14:paraId="79E6DC10" w14:textId="0675C5AC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-36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4</w:t>
            </w:r>
          </w:p>
        </w:tc>
      </w:tr>
      <w:tr w:rsidR="00191917" w:rsidRPr="004B7581" w14:paraId="1CB5BCA5" w14:textId="77777777" w:rsidTr="00B22F58">
        <w:tc>
          <w:tcPr>
            <w:tcW w:w="3693" w:type="dxa"/>
          </w:tcPr>
          <w:p w14:paraId="01812BC3" w14:textId="77777777" w:rsidR="00191917" w:rsidRPr="004B7581" w:rsidRDefault="00191917" w:rsidP="00B22F58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FHS coverage (%)</w:t>
            </w:r>
          </w:p>
        </w:tc>
        <w:tc>
          <w:tcPr>
            <w:tcW w:w="984" w:type="dxa"/>
            <w:vAlign w:val="bottom"/>
          </w:tcPr>
          <w:p w14:paraId="53788326" w14:textId="2C49E537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100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vAlign w:val="bottom"/>
          </w:tcPr>
          <w:p w14:paraId="514C2232" w14:textId="40E58284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34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00" w:type="dxa"/>
            <w:vAlign w:val="bottom"/>
          </w:tcPr>
          <w:p w14:paraId="70C8B1DA" w14:textId="2F979DC0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14:paraId="5E5BE24B" w14:textId="13432366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26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14:paraId="060538E2" w14:textId="68DF7E79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14:paraId="1163DD38" w14:textId="6BDD565C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26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14:paraId="3F2A59C7" w14:textId="2F92272B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027" w:type="dxa"/>
            <w:vAlign w:val="bottom"/>
          </w:tcPr>
          <w:p w14:paraId="56C2F61E" w14:textId="261C5212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bottom"/>
          </w:tcPr>
          <w:p w14:paraId="1068BA0A" w14:textId="3CC36D4A" w:rsidR="00191917" w:rsidRPr="00191917" w:rsidRDefault="00191917" w:rsidP="00B22F58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</w:tr>
      <w:tr w:rsidR="00191917" w:rsidRPr="004B7581" w14:paraId="4EC2001A" w14:textId="77777777" w:rsidTr="00B22F58">
        <w:trPr>
          <w:trHeight w:val="239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0312C376" w14:textId="77777777" w:rsidR="00191917" w:rsidRPr="004B7581" w:rsidRDefault="00191917" w:rsidP="00B22F58">
            <w:pPr>
              <w:spacing w:after="20"/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Household crowding (%)*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01E13E38" w14:textId="4D7BD160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28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391C8E3D" w14:textId="2C624FB3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color w:val="000000"/>
                <w:sz w:val="23"/>
                <w:szCs w:val="23"/>
              </w:rPr>
              <w:t>18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178984DD" w14:textId="373BA082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25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BAC1CB" w14:textId="02B39D80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4A9425E" w14:textId="10AE8CE2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23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C63DDC7" w14:textId="4EEA5936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0E3FD5AA" w14:textId="71D81E45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20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41F4A157" w14:textId="3D5F85A8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16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DE647D" w14:textId="0D7D32E7" w:rsidR="00191917" w:rsidRPr="00191917" w:rsidRDefault="00191917" w:rsidP="00B22F58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191917">
              <w:rPr>
                <w:rFonts w:eastAsia="Times New Roman"/>
                <w:sz w:val="23"/>
                <w:szCs w:val="23"/>
              </w:rPr>
              <w:t>-30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191917">
              <w:rPr>
                <w:rFonts w:eastAsia="Times New Roman"/>
                <w:sz w:val="23"/>
                <w:szCs w:val="23"/>
              </w:rPr>
              <w:t>0</w:t>
            </w:r>
          </w:p>
        </w:tc>
      </w:tr>
    </w:tbl>
    <w:p w14:paraId="038AC67B" w14:textId="77777777" w:rsidR="005E5C8A" w:rsidRPr="00DA598C" w:rsidRDefault="005E5C8A" w:rsidP="005E5C8A">
      <w:pPr>
        <w:ind w:left="-567" w:firstLine="567"/>
        <w:rPr>
          <w:b/>
          <w:sz w:val="17"/>
          <w:szCs w:val="17"/>
        </w:rPr>
      </w:pPr>
    </w:p>
    <w:p w14:paraId="7DED18C6" w14:textId="77777777" w:rsidR="005E5C8A" w:rsidRPr="00115A2E" w:rsidRDefault="005E5C8A" w:rsidP="005E5C8A">
      <w:pPr>
        <w:ind w:left="-567" w:firstLine="567"/>
        <w:jc w:val="both"/>
        <w:rPr>
          <w:sz w:val="18"/>
          <w:szCs w:val="18"/>
          <w:lang w:val="en-US"/>
        </w:rPr>
      </w:pPr>
      <w:r w:rsidRPr="00115A2E">
        <w:rPr>
          <w:sz w:val="18"/>
          <w:szCs w:val="18"/>
          <w:lang w:val="en-US"/>
        </w:rPr>
        <w:t>* Variables estimated by linear interpolation and extrapolation from 2000 and 2010 demographic census.</w:t>
      </w:r>
    </w:p>
    <w:p w14:paraId="06974500" w14:textId="743EB483" w:rsidR="00FB35EC" w:rsidRDefault="005E5C8A" w:rsidP="00FB35EC">
      <w:pPr>
        <w:ind w:left="-567" w:right="-292" w:firstLine="567"/>
        <w:rPr>
          <w:sz w:val="18"/>
          <w:szCs w:val="18"/>
          <w:lang w:val="en-US"/>
        </w:rPr>
      </w:pPr>
      <w:r w:rsidRPr="00115A2E">
        <w:rPr>
          <w:sz w:val="18"/>
          <w:szCs w:val="18"/>
          <w:lang w:val="en-US"/>
        </w:rPr>
        <w:t>IQR: interquartile range; FHS</w:t>
      </w:r>
      <w:r w:rsidRPr="00754E3B">
        <w:rPr>
          <w:sz w:val="18"/>
          <w:szCs w:val="18"/>
          <w:lang w:val="en-US"/>
        </w:rPr>
        <w:t xml:space="preserve">: Family Health Strategy; GDP: </w:t>
      </w:r>
      <w:r>
        <w:rPr>
          <w:sz w:val="18"/>
          <w:szCs w:val="18"/>
          <w:lang w:val="en-US"/>
        </w:rPr>
        <w:t>gross domestic p</w:t>
      </w:r>
      <w:r w:rsidRPr="00754E3B">
        <w:rPr>
          <w:sz w:val="18"/>
          <w:szCs w:val="18"/>
          <w:lang w:val="en-US"/>
        </w:rPr>
        <w:t>roduct</w:t>
      </w:r>
      <w:r>
        <w:rPr>
          <w:sz w:val="18"/>
          <w:szCs w:val="18"/>
          <w:lang w:val="en-US"/>
        </w:rPr>
        <w:t>.</w:t>
      </w:r>
    </w:p>
    <w:p w14:paraId="24A0098A" w14:textId="77777777" w:rsidR="00FB35EC" w:rsidRDefault="00FB35EC" w:rsidP="00FB35EC">
      <w:pPr>
        <w:ind w:left="-567" w:right="-292" w:firstLine="567"/>
        <w:rPr>
          <w:sz w:val="18"/>
          <w:szCs w:val="18"/>
          <w:lang w:val="en-US"/>
        </w:rPr>
      </w:pPr>
    </w:p>
    <w:p w14:paraId="2A9AC807" w14:textId="77777777" w:rsidR="00FB35EC" w:rsidRDefault="00FB35EC" w:rsidP="00FB35EC">
      <w:pPr>
        <w:ind w:left="-567" w:right="-292" w:firstLine="567"/>
        <w:rPr>
          <w:sz w:val="18"/>
          <w:szCs w:val="18"/>
          <w:lang w:val="en-US"/>
        </w:rPr>
      </w:pPr>
    </w:p>
    <w:p w14:paraId="56855C24" w14:textId="77777777" w:rsidR="00FB35EC" w:rsidRDefault="00FB35EC" w:rsidP="00FB35EC">
      <w:pPr>
        <w:ind w:left="-567" w:right="-292" w:firstLine="567"/>
        <w:rPr>
          <w:sz w:val="18"/>
          <w:szCs w:val="18"/>
          <w:lang w:val="en-US"/>
        </w:rPr>
      </w:pPr>
    </w:p>
    <w:p w14:paraId="552CA43F" w14:textId="77777777" w:rsidR="00FB35EC" w:rsidRDefault="00FB35EC" w:rsidP="00FB35EC">
      <w:pPr>
        <w:ind w:left="-567" w:right="-292" w:firstLine="567"/>
        <w:rPr>
          <w:sz w:val="18"/>
          <w:szCs w:val="18"/>
          <w:lang w:val="en-US"/>
        </w:rPr>
      </w:pPr>
    </w:p>
    <w:p w14:paraId="4EA425E8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0A4F157F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16F84D54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4EBB5F17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053BCB74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61F8C94D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204F769A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2385AD71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5A5B8411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03E66CFA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39EF5C68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2EB8D45B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03B760FB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2D104052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63805A09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4E0AF9B7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161AB148" w14:textId="77777777" w:rsidR="009F7FED" w:rsidRDefault="009F7FED" w:rsidP="00FB35EC">
      <w:pPr>
        <w:ind w:right="-710"/>
        <w:jc w:val="both"/>
        <w:outlineLvl w:val="0"/>
        <w:rPr>
          <w:b/>
          <w:lang w:val="en-US"/>
        </w:rPr>
      </w:pPr>
    </w:p>
    <w:p w14:paraId="6F530497" w14:textId="2AC874E7" w:rsidR="00FB35EC" w:rsidRPr="004B7581" w:rsidRDefault="00FB35EC" w:rsidP="00FB35EC">
      <w:pPr>
        <w:ind w:right="-710"/>
        <w:jc w:val="both"/>
        <w:outlineLvl w:val="0"/>
        <w:rPr>
          <w:lang w:val="en-US"/>
        </w:rPr>
      </w:pPr>
      <w:r w:rsidRPr="004B7581">
        <w:rPr>
          <w:b/>
          <w:lang w:val="en-US"/>
        </w:rPr>
        <w:lastRenderedPageBreak/>
        <w:t xml:space="preserve">Supplemental Table </w:t>
      </w:r>
      <w:r>
        <w:rPr>
          <w:b/>
          <w:lang w:val="en-US"/>
        </w:rPr>
        <w:t>4</w:t>
      </w:r>
      <w:r w:rsidRPr="004B7581">
        <w:rPr>
          <w:lang w:val="en-US"/>
        </w:rPr>
        <w:t>. Demographic and soci</w:t>
      </w:r>
      <w:r>
        <w:rPr>
          <w:lang w:val="en-US"/>
        </w:rPr>
        <w:t>oeconomic characteristics of the</w:t>
      </w:r>
      <w:r w:rsidRPr="004B7581">
        <w:rPr>
          <w:lang w:val="en-US"/>
        </w:rPr>
        <w:t xml:space="preserve"> municipalities</w:t>
      </w:r>
      <w:r>
        <w:rPr>
          <w:lang w:val="en-US"/>
        </w:rPr>
        <w:t xml:space="preserve"> dropped</w:t>
      </w:r>
      <w:r w:rsidR="009F7FED">
        <w:rPr>
          <w:lang w:val="en-US"/>
        </w:rPr>
        <w:t xml:space="preserve"> from</w:t>
      </w:r>
      <w:r>
        <w:rPr>
          <w:lang w:val="en-US"/>
        </w:rPr>
        <w:t xml:space="preserve"> the models</w:t>
      </w:r>
      <w:r w:rsidRPr="004B7581">
        <w:rPr>
          <w:lang w:val="en-US"/>
        </w:rPr>
        <w:t>, 2008-2014 (n=</w:t>
      </w:r>
      <w:r w:rsidR="009F7FED">
        <w:rPr>
          <w:lang w:val="en-US"/>
        </w:rPr>
        <w:t>1,773</w:t>
      </w:r>
      <w:r w:rsidRPr="004B7581">
        <w:rPr>
          <w:lang w:val="en-US"/>
        </w:rPr>
        <w:t>).</w:t>
      </w:r>
    </w:p>
    <w:p w14:paraId="5EE41714" w14:textId="77777777" w:rsidR="00FB35EC" w:rsidRPr="00A14DB7" w:rsidRDefault="00FB35EC" w:rsidP="00FB35EC">
      <w:pPr>
        <w:ind w:left="-567" w:right="-8" w:firstLine="567"/>
        <w:rPr>
          <w:b/>
          <w:sz w:val="22"/>
          <w:szCs w:val="22"/>
          <w:lang w:val="en-US"/>
        </w:rPr>
      </w:pPr>
    </w:p>
    <w:tbl>
      <w:tblPr>
        <w:tblStyle w:val="Tabelacomgrade"/>
        <w:tblW w:w="13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984"/>
        <w:gridCol w:w="1000"/>
        <w:gridCol w:w="1100"/>
        <w:gridCol w:w="992"/>
        <w:gridCol w:w="992"/>
        <w:gridCol w:w="992"/>
        <w:gridCol w:w="8"/>
        <w:gridCol w:w="985"/>
        <w:gridCol w:w="1027"/>
        <w:gridCol w:w="1276"/>
      </w:tblGrid>
      <w:tr w:rsidR="00FB35EC" w:rsidRPr="004B7581" w14:paraId="61B7F49B" w14:textId="77777777" w:rsidTr="002A59FD">
        <w:tc>
          <w:tcPr>
            <w:tcW w:w="3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4EC7" w14:textId="77777777" w:rsidR="00FB35EC" w:rsidRPr="004B7581" w:rsidRDefault="00FB35EC" w:rsidP="002A59FD">
            <w:pPr>
              <w:ind w:left="-567" w:firstLine="567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Variables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91370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2008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BA64D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7A00E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408E2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95B11A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% change</w:t>
            </w:r>
          </w:p>
        </w:tc>
      </w:tr>
      <w:tr w:rsidR="00FB35EC" w:rsidRPr="004B7581" w14:paraId="0DA27F2D" w14:textId="77777777" w:rsidTr="002A59FD">
        <w:tc>
          <w:tcPr>
            <w:tcW w:w="3693" w:type="dxa"/>
            <w:vMerge/>
            <w:tcBorders>
              <w:bottom w:val="single" w:sz="4" w:space="0" w:color="auto"/>
            </w:tcBorders>
          </w:tcPr>
          <w:p w14:paraId="692FC70E" w14:textId="77777777" w:rsidR="00FB35EC" w:rsidRPr="004B7581" w:rsidRDefault="00FB35EC" w:rsidP="002A59FD">
            <w:pPr>
              <w:ind w:left="-567" w:firstLine="567"/>
              <w:rPr>
                <w:sz w:val="23"/>
                <w:szCs w:val="23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68F461BD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25680F5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B9DDCB1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285A28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177191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6CBAFE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E81A7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Median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5FD0ECA3" w14:textId="77777777" w:rsidR="00FB35EC" w:rsidRPr="004B7581" w:rsidRDefault="00FB35EC" w:rsidP="002A59FD">
            <w:pPr>
              <w:ind w:left="-567" w:firstLine="567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 w:rsidRPr="004B7581">
              <w:rPr>
                <w:b/>
                <w:color w:val="000000" w:themeColor="text1"/>
                <w:sz w:val="23"/>
                <w:szCs w:val="23"/>
                <w:lang w:val="en-US"/>
              </w:rPr>
              <w:t>IQR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13048D" w14:textId="77777777" w:rsidR="00FB35EC" w:rsidRPr="004B7581" w:rsidRDefault="00FB35EC" w:rsidP="002A59FD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/>
                <w:sz w:val="23"/>
                <w:szCs w:val="23"/>
                <w:lang w:val="en-US"/>
              </w:rPr>
              <w:t>2008-2014</w:t>
            </w:r>
          </w:p>
        </w:tc>
      </w:tr>
      <w:tr w:rsidR="009F7FED" w:rsidRPr="004B7581" w14:paraId="44DDCDE3" w14:textId="77777777" w:rsidTr="002A59FD">
        <w:trPr>
          <w:trHeight w:val="292"/>
        </w:trPr>
        <w:tc>
          <w:tcPr>
            <w:tcW w:w="3693" w:type="dxa"/>
            <w:tcBorders>
              <w:top w:val="single" w:sz="4" w:space="0" w:color="auto"/>
            </w:tcBorders>
          </w:tcPr>
          <w:p w14:paraId="2DF58ED5" w14:textId="77777777" w:rsidR="009F7FED" w:rsidRPr="004B7581" w:rsidRDefault="009F7FED" w:rsidP="002A59FD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Urban population (%)*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14:paraId="40753EAC" w14:textId="59B550AD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72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14:paraId="6CF21649" w14:textId="37E9EEA2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36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14:paraId="1E4DEB81" w14:textId="2572D0BF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73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E506671" w14:textId="775C9B15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D76C7D4" w14:textId="0E93593D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74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0DCF47F" w14:textId="51D455D8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279C75DE" w14:textId="1D25AAB2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75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bottom"/>
          </w:tcPr>
          <w:p w14:paraId="3862954C" w14:textId="58022D42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90661AC" w14:textId="1AEC7BC8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5</w:t>
            </w:r>
          </w:p>
        </w:tc>
      </w:tr>
      <w:tr w:rsidR="009F7FED" w:rsidRPr="004B7581" w14:paraId="488ED9FD" w14:textId="77777777" w:rsidTr="002A59FD">
        <w:tc>
          <w:tcPr>
            <w:tcW w:w="3693" w:type="dxa"/>
          </w:tcPr>
          <w:p w14:paraId="0C306578" w14:textId="77777777" w:rsidR="009F7FED" w:rsidRPr="004B7581" w:rsidRDefault="009F7FED" w:rsidP="002A59FD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GDP per capita (R$)</w:t>
            </w:r>
          </w:p>
        </w:tc>
        <w:tc>
          <w:tcPr>
            <w:tcW w:w="984" w:type="dxa"/>
            <w:vAlign w:val="bottom"/>
          </w:tcPr>
          <w:p w14:paraId="37B16491" w14:textId="4F790ECE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7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519</w:t>
            </w:r>
          </w:p>
        </w:tc>
        <w:tc>
          <w:tcPr>
            <w:tcW w:w="1000" w:type="dxa"/>
            <w:vAlign w:val="bottom"/>
          </w:tcPr>
          <w:p w14:paraId="2B6BDC74" w14:textId="31A03328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8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495</w:t>
            </w:r>
          </w:p>
        </w:tc>
        <w:tc>
          <w:tcPr>
            <w:tcW w:w="1100" w:type="dxa"/>
            <w:vAlign w:val="bottom"/>
          </w:tcPr>
          <w:p w14:paraId="63F51672" w14:textId="0245414C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sz w:val="23"/>
                <w:szCs w:val="23"/>
              </w:rPr>
              <w:t>359</w:t>
            </w:r>
          </w:p>
        </w:tc>
        <w:tc>
          <w:tcPr>
            <w:tcW w:w="992" w:type="dxa"/>
            <w:vAlign w:val="bottom"/>
          </w:tcPr>
          <w:p w14:paraId="4C6AF81E" w14:textId="6E4CC507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10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sz w:val="23"/>
                <w:szCs w:val="23"/>
              </w:rPr>
              <w:t>304</w:t>
            </w:r>
          </w:p>
        </w:tc>
        <w:tc>
          <w:tcPr>
            <w:tcW w:w="992" w:type="dxa"/>
            <w:vAlign w:val="bottom"/>
          </w:tcPr>
          <w:p w14:paraId="3EBD7589" w14:textId="44344334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11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832</w:t>
            </w:r>
          </w:p>
        </w:tc>
        <w:tc>
          <w:tcPr>
            <w:tcW w:w="992" w:type="dxa"/>
            <w:vAlign w:val="bottom"/>
          </w:tcPr>
          <w:p w14:paraId="0552CC0F" w14:textId="23D30BD6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12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984</w:t>
            </w:r>
          </w:p>
        </w:tc>
        <w:tc>
          <w:tcPr>
            <w:tcW w:w="993" w:type="dxa"/>
            <w:gridSpan w:val="2"/>
            <w:vAlign w:val="bottom"/>
          </w:tcPr>
          <w:p w14:paraId="546B1345" w14:textId="48BC183A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14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sz w:val="23"/>
                <w:szCs w:val="23"/>
              </w:rPr>
              <w:t>079</w:t>
            </w:r>
          </w:p>
        </w:tc>
        <w:tc>
          <w:tcPr>
            <w:tcW w:w="1027" w:type="dxa"/>
            <w:vAlign w:val="bottom"/>
          </w:tcPr>
          <w:p w14:paraId="2ACF2445" w14:textId="03C94EA2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15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Pr="009F7FED">
              <w:rPr>
                <w:rFonts w:eastAsia="Times New Roman"/>
                <w:sz w:val="23"/>
                <w:szCs w:val="23"/>
              </w:rPr>
              <w:t>444</w:t>
            </w:r>
          </w:p>
        </w:tc>
        <w:tc>
          <w:tcPr>
            <w:tcW w:w="1276" w:type="dxa"/>
            <w:vAlign w:val="bottom"/>
          </w:tcPr>
          <w:p w14:paraId="67AF3B9D" w14:textId="3F5C6BC6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87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2</w:t>
            </w:r>
          </w:p>
        </w:tc>
      </w:tr>
      <w:tr w:rsidR="009F7FED" w:rsidRPr="004B7581" w14:paraId="6B26208E" w14:textId="77777777" w:rsidTr="002A59FD">
        <w:tc>
          <w:tcPr>
            <w:tcW w:w="3693" w:type="dxa"/>
          </w:tcPr>
          <w:p w14:paraId="2B4DA497" w14:textId="77777777" w:rsidR="009F7FED" w:rsidRPr="004B7581" w:rsidRDefault="009F7FED" w:rsidP="002A59FD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Expected years of schooling (years)*</w:t>
            </w:r>
          </w:p>
        </w:tc>
        <w:tc>
          <w:tcPr>
            <w:tcW w:w="984" w:type="dxa"/>
            <w:vAlign w:val="bottom"/>
          </w:tcPr>
          <w:p w14:paraId="5CAFFAFD" w14:textId="170C80B6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9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00" w:type="dxa"/>
            <w:vAlign w:val="bottom"/>
          </w:tcPr>
          <w:p w14:paraId="663C9659" w14:textId="39E719CA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00" w:type="dxa"/>
            <w:vAlign w:val="bottom"/>
          </w:tcPr>
          <w:p w14:paraId="3D60B763" w14:textId="1A8388EB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14:paraId="42682FC0" w14:textId="7D721B54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14:paraId="31FCA9F9" w14:textId="1F77EA07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14:paraId="45118B66" w14:textId="4D46E20C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4D1DAF01" w14:textId="3C63CC80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027" w:type="dxa"/>
            <w:vAlign w:val="bottom"/>
          </w:tcPr>
          <w:p w14:paraId="06CFA93C" w14:textId="027F53CF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bottom"/>
          </w:tcPr>
          <w:p w14:paraId="679C1D8A" w14:textId="5924F234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7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</w:tr>
      <w:tr w:rsidR="009F7FED" w:rsidRPr="004B7581" w14:paraId="7FB2F96D" w14:textId="77777777" w:rsidTr="002A59FD">
        <w:tc>
          <w:tcPr>
            <w:tcW w:w="3693" w:type="dxa"/>
          </w:tcPr>
          <w:p w14:paraId="30BBD73B" w14:textId="77777777" w:rsidR="009F7FED" w:rsidRPr="004B7581" w:rsidRDefault="009F7FED" w:rsidP="002A59FD">
            <w:pPr>
              <w:ind w:left="-567" w:firstLine="567"/>
              <w:rPr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Unemployment rate (%)*</w:t>
            </w:r>
          </w:p>
        </w:tc>
        <w:tc>
          <w:tcPr>
            <w:tcW w:w="984" w:type="dxa"/>
            <w:vAlign w:val="bottom"/>
          </w:tcPr>
          <w:p w14:paraId="313CBEC9" w14:textId="573BD01E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7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00" w:type="dxa"/>
            <w:vAlign w:val="bottom"/>
          </w:tcPr>
          <w:p w14:paraId="02700262" w14:textId="5CEC4B39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00" w:type="dxa"/>
            <w:vAlign w:val="bottom"/>
          </w:tcPr>
          <w:p w14:paraId="1E182985" w14:textId="7F73A332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14:paraId="1FFD8479" w14:textId="0B26201B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14:paraId="5BCFE66E" w14:textId="324FEE1E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14:paraId="51C7E6F2" w14:textId="158B820A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14:paraId="7CF3BBB6" w14:textId="721DBF0A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027" w:type="dxa"/>
            <w:vAlign w:val="bottom"/>
          </w:tcPr>
          <w:p w14:paraId="2D75213D" w14:textId="2597E9B4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vAlign w:val="bottom"/>
          </w:tcPr>
          <w:p w14:paraId="0188FF33" w14:textId="5F89F663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-</w:t>
            </w:r>
            <w:r w:rsidRPr="009F7FED">
              <w:rPr>
                <w:rFonts w:eastAsia="Times New Roman"/>
                <w:sz w:val="23"/>
                <w:szCs w:val="23"/>
              </w:rPr>
              <w:t>41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9</w:t>
            </w:r>
          </w:p>
        </w:tc>
      </w:tr>
      <w:tr w:rsidR="009F7FED" w:rsidRPr="004B7581" w14:paraId="2EA430BD" w14:textId="77777777" w:rsidTr="002A59FD">
        <w:tc>
          <w:tcPr>
            <w:tcW w:w="3693" w:type="dxa"/>
          </w:tcPr>
          <w:p w14:paraId="1017C9C1" w14:textId="77777777" w:rsidR="009F7FED" w:rsidRPr="004B7581" w:rsidRDefault="009F7FED" w:rsidP="002A59FD">
            <w:pPr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FHS coverage (%)</w:t>
            </w:r>
          </w:p>
        </w:tc>
        <w:tc>
          <w:tcPr>
            <w:tcW w:w="984" w:type="dxa"/>
            <w:vAlign w:val="bottom"/>
          </w:tcPr>
          <w:p w14:paraId="7BA3B991" w14:textId="798E9936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94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00" w:type="dxa"/>
            <w:vAlign w:val="bottom"/>
          </w:tcPr>
          <w:p w14:paraId="5312E251" w14:textId="6F05EA3F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44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00" w:type="dxa"/>
            <w:vAlign w:val="bottom"/>
          </w:tcPr>
          <w:p w14:paraId="168113F9" w14:textId="62143CC3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96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14:paraId="70E7E310" w14:textId="70B48F13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14:paraId="0AFED214" w14:textId="45C1E098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99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14:paraId="6CCE0714" w14:textId="47E714FA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36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  <w:vAlign w:val="bottom"/>
          </w:tcPr>
          <w:p w14:paraId="36F284D9" w14:textId="6CAB5E25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100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027" w:type="dxa"/>
            <w:vAlign w:val="bottom"/>
          </w:tcPr>
          <w:p w14:paraId="10DF58F8" w14:textId="27941A00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28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bottom"/>
          </w:tcPr>
          <w:p w14:paraId="6364D74A" w14:textId="274BEB7F" w:rsidR="009F7FED" w:rsidRPr="009F7FED" w:rsidRDefault="009F7FED" w:rsidP="002A59FD">
            <w:pPr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5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5</w:t>
            </w:r>
          </w:p>
        </w:tc>
      </w:tr>
      <w:tr w:rsidR="009F7FED" w:rsidRPr="004B7581" w14:paraId="51E3E07D" w14:textId="77777777" w:rsidTr="002A59FD">
        <w:trPr>
          <w:trHeight w:val="239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6BEE89FD" w14:textId="77777777" w:rsidR="009F7FED" w:rsidRPr="004B7581" w:rsidRDefault="009F7FED" w:rsidP="002A59FD">
            <w:pPr>
              <w:spacing w:after="20"/>
              <w:ind w:left="-567" w:firstLine="567"/>
              <w:rPr>
                <w:bCs/>
                <w:sz w:val="23"/>
                <w:szCs w:val="23"/>
                <w:lang w:val="en-US"/>
              </w:rPr>
            </w:pPr>
            <w:r w:rsidRPr="004B7581">
              <w:rPr>
                <w:bCs/>
                <w:sz w:val="23"/>
                <w:szCs w:val="23"/>
                <w:lang w:val="en-US"/>
              </w:rPr>
              <w:t>Household crowding (%)*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3930AC1E" w14:textId="68F1FA69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27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1B47C275" w14:textId="46DCE237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color w:val="000000"/>
                <w:sz w:val="23"/>
                <w:szCs w:val="23"/>
              </w:rPr>
              <w:t>15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2AFBC7E4" w14:textId="67E8D290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24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83030F3" w14:textId="3BADEB99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BD299D2" w14:textId="5AE42F3D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21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963C1F7" w14:textId="19B40905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7314EECE" w14:textId="416B401F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18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14:paraId="051A3905" w14:textId="535C69E5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 w:rsidRPr="009F7FED">
              <w:rPr>
                <w:rFonts w:eastAsia="Times New Roman"/>
                <w:sz w:val="23"/>
                <w:szCs w:val="23"/>
              </w:rPr>
              <w:t>14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0A22BF" w14:textId="00300E60" w:rsidR="009F7FED" w:rsidRPr="009F7FED" w:rsidRDefault="009F7FED" w:rsidP="002A59FD">
            <w:pPr>
              <w:spacing w:after="20"/>
              <w:ind w:left="-567" w:firstLine="567"/>
              <w:jc w:val="center"/>
              <w:rPr>
                <w:sz w:val="23"/>
                <w:szCs w:val="23"/>
                <w:lang w:val="en-US"/>
              </w:rPr>
            </w:pPr>
            <w:r>
              <w:rPr>
                <w:rFonts w:eastAsia="Times New Roman"/>
                <w:sz w:val="23"/>
                <w:szCs w:val="23"/>
              </w:rPr>
              <w:t>-</w:t>
            </w:r>
            <w:r w:rsidRPr="009F7FED">
              <w:rPr>
                <w:rFonts w:eastAsia="Times New Roman"/>
                <w:sz w:val="23"/>
                <w:szCs w:val="23"/>
              </w:rPr>
              <w:t>30</w:t>
            </w:r>
            <w:r>
              <w:rPr>
                <w:rFonts w:eastAsia="Times New Roman"/>
                <w:sz w:val="23"/>
                <w:szCs w:val="23"/>
              </w:rPr>
              <w:t>.</w:t>
            </w:r>
            <w:r w:rsidRPr="009F7FED">
              <w:rPr>
                <w:rFonts w:eastAsia="Times New Roman"/>
                <w:sz w:val="23"/>
                <w:szCs w:val="23"/>
              </w:rPr>
              <w:t>8</w:t>
            </w:r>
          </w:p>
        </w:tc>
      </w:tr>
    </w:tbl>
    <w:p w14:paraId="2E27F2DA" w14:textId="77777777" w:rsidR="00FB35EC" w:rsidRPr="00DA598C" w:rsidRDefault="00FB35EC" w:rsidP="00FB35EC">
      <w:pPr>
        <w:ind w:left="-567" w:firstLine="567"/>
        <w:rPr>
          <w:b/>
          <w:sz w:val="17"/>
          <w:szCs w:val="17"/>
        </w:rPr>
      </w:pPr>
    </w:p>
    <w:p w14:paraId="4D9C6E0F" w14:textId="77777777" w:rsidR="00FB35EC" w:rsidRPr="00115A2E" w:rsidRDefault="00FB35EC" w:rsidP="00FB35EC">
      <w:pPr>
        <w:ind w:left="-567" w:firstLine="567"/>
        <w:jc w:val="both"/>
        <w:rPr>
          <w:sz w:val="18"/>
          <w:szCs w:val="18"/>
          <w:lang w:val="en-US"/>
        </w:rPr>
      </w:pPr>
      <w:r w:rsidRPr="00115A2E">
        <w:rPr>
          <w:sz w:val="18"/>
          <w:szCs w:val="18"/>
          <w:lang w:val="en-US"/>
        </w:rPr>
        <w:t>* Variables estimated by linear interpolation and extrapolation from 2000 and 2010 demographic census.</w:t>
      </w:r>
    </w:p>
    <w:p w14:paraId="05371FA0" w14:textId="77777777" w:rsidR="00FB35EC" w:rsidRPr="00754E3B" w:rsidRDefault="00FB35EC" w:rsidP="00FB35EC">
      <w:pPr>
        <w:ind w:left="-567" w:right="-292" w:firstLine="567"/>
        <w:rPr>
          <w:sz w:val="18"/>
          <w:szCs w:val="18"/>
          <w:lang w:val="en-US"/>
        </w:rPr>
      </w:pPr>
      <w:r w:rsidRPr="00115A2E">
        <w:rPr>
          <w:sz w:val="18"/>
          <w:szCs w:val="18"/>
          <w:lang w:val="en-US"/>
        </w:rPr>
        <w:t>IQR: interquartile range; FHS</w:t>
      </w:r>
      <w:r w:rsidRPr="00754E3B">
        <w:rPr>
          <w:sz w:val="18"/>
          <w:szCs w:val="18"/>
          <w:lang w:val="en-US"/>
        </w:rPr>
        <w:t xml:space="preserve">: Family Health Strategy; GDP: </w:t>
      </w:r>
      <w:r>
        <w:rPr>
          <w:sz w:val="18"/>
          <w:szCs w:val="18"/>
          <w:lang w:val="en-US"/>
        </w:rPr>
        <w:t>gross domestic p</w:t>
      </w:r>
      <w:r w:rsidRPr="00754E3B">
        <w:rPr>
          <w:sz w:val="18"/>
          <w:szCs w:val="18"/>
          <w:lang w:val="en-US"/>
        </w:rPr>
        <w:t>roduct</w:t>
      </w:r>
      <w:r>
        <w:rPr>
          <w:sz w:val="18"/>
          <w:szCs w:val="18"/>
          <w:lang w:val="en-US"/>
        </w:rPr>
        <w:t>.</w:t>
      </w:r>
    </w:p>
    <w:p w14:paraId="2EC4FF5D" w14:textId="77777777" w:rsidR="00FB35EC" w:rsidRPr="00D21A9D" w:rsidRDefault="00FB35EC" w:rsidP="00FB35EC">
      <w:pPr>
        <w:rPr>
          <w:lang w:val="en-US"/>
        </w:rPr>
      </w:pPr>
    </w:p>
    <w:p w14:paraId="0EF886AB" w14:textId="77777777" w:rsidR="00FB35EC" w:rsidRPr="00FB35EC" w:rsidRDefault="00FB35EC" w:rsidP="00FB35EC">
      <w:pPr>
        <w:ind w:left="-567" w:right="-292" w:firstLine="567"/>
        <w:rPr>
          <w:sz w:val="18"/>
          <w:szCs w:val="18"/>
          <w:lang w:val="en-US"/>
        </w:rPr>
        <w:sectPr w:rsidR="00FB35EC" w:rsidRPr="00FB35EC" w:rsidSect="004B7581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2EDC5A" w14:textId="291A8B5E" w:rsidR="00115A2E" w:rsidRDefault="00115A2E" w:rsidP="005E5C8A">
      <w:pPr>
        <w:outlineLvl w:val="0"/>
        <w:rPr>
          <w:b/>
          <w:lang w:val="en-US"/>
        </w:rPr>
      </w:pPr>
      <w:r w:rsidRPr="00B50742">
        <w:rPr>
          <w:b/>
          <w:lang w:val="en-US"/>
        </w:rPr>
        <w:lastRenderedPageBreak/>
        <w:t xml:space="preserve">Supplemental </w:t>
      </w:r>
      <w:r w:rsidR="00AA6EEE">
        <w:rPr>
          <w:b/>
          <w:lang w:val="en-US"/>
        </w:rPr>
        <w:t>R</w:t>
      </w:r>
      <w:r>
        <w:rPr>
          <w:b/>
          <w:lang w:val="en-US"/>
        </w:rPr>
        <w:t>eferences</w:t>
      </w:r>
    </w:p>
    <w:p w14:paraId="0ADDB32A" w14:textId="77777777" w:rsidR="00115A2E" w:rsidRDefault="00115A2E">
      <w:pPr>
        <w:rPr>
          <w:b/>
          <w:lang w:val="en-US"/>
        </w:rPr>
      </w:pPr>
    </w:p>
    <w:p w14:paraId="1ECDD720" w14:textId="77777777" w:rsidR="00C74C3A" w:rsidRPr="002223EC" w:rsidRDefault="00C74C3A" w:rsidP="00095EFD">
      <w:pPr>
        <w:pStyle w:val="PargrafodaLista"/>
        <w:numPr>
          <w:ilvl w:val="0"/>
          <w:numId w:val="1"/>
        </w:numPr>
        <w:spacing w:after="6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223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Instituto Brasileiro de Geografia e Estatística. Sistema IBGE de Recuperação Automática – SIDRA </w:t>
      </w:r>
      <w:r w:rsidRPr="002223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[Internet]</w:t>
      </w:r>
      <w:r w:rsidRPr="002223E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2018 [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cited 2018 Apr 16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]. 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Available from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Pr="002223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13" w:history="1">
        <w:r w:rsidRPr="002223EC">
          <w:rPr>
            <w:rStyle w:val="Hi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https://sidra.ibge.gov.br/</w:t>
        </w:r>
      </w:hyperlink>
      <w:r w:rsidRPr="002223E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59C2AE1B" w14:textId="77777777" w:rsidR="00C74C3A" w:rsidRPr="002223EC" w:rsidRDefault="00C74C3A" w:rsidP="00095EFD">
      <w:pPr>
        <w:pStyle w:val="PargrafodaLista"/>
        <w:numPr>
          <w:ilvl w:val="0"/>
          <w:numId w:val="1"/>
        </w:numPr>
        <w:spacing w:after="6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223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Brasil. Ministério da Saúde. Departamento de Informática do Sistema Único de Saúde. </w:t>
      </w:r>
      <w:r w:rsidRPr="00A14DB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TabNet DATASUS [Internet]</w:t>
      </w:r>
      <w:r w:rsidRPr="00A14D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14D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 [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cited 2018 Apr 16</w:t>
      </w:r>
      <w:r w:rsidRPr="00A14D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Available from</w:t>
      </w:r>
      <w:r w:rsidRPr="00A14DB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14DB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4" w:history="1">
        <w:r w:rsidRPr="00A14DB7">
          <w:rPr>
            <w:rStyle w:val="Hiperlink"/>
            <w:rFonts w:ascii="Times New Roman" w:hAnsi="Times New Roman" w:cs="Times New Roman"/>
            <w:bCs/>
            <w:sz w:val="24"/>
            <w:szCs w:val="24"/>
            <w:lang w:val="en-US"/>
          </w:rPr>
          <w:t>http://datasus.saude.gov.br/informacoes-de-saude/tabnet</w:t>
        </w:r>
      </w:hyperlink>
      <w:r w:rsidRPr="00A14DB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C9E2697" w14:textId="7AE1943D" w:rsidR="00C74C3A" w:rsidRPr="002223EC" w:rsidRDefault="00C74C3A" w:rsidP="00095EFD">
      <w:pPr>
        <w:pStyle w:val="PargrafodaLista"/>
        <w:numPr>
          <w:ilvl w:val="0"/>
          <w:numId w:val="1"/>
        </w:numPr>
        <w:spacing w:after="6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14DB7">
        <w:rPr>
          <w:rStyle w:val="Hiperlink"/>
          <w:rFonts w:ascii="Times New Roman" w:hAnsi="Times New Roman" w:cs="Times New Roman"/>
          <w:sz w:val="24"/>
          <w:szCs w:val="24"/>
          <w:lang w:val="pt-BR"/>
        </w:rPr>
        <w:t xml:space="preserve">United </w:t>
      </w:r>
      <w:proofErr w:type="spellStart"/>
      <w:r w:rsidRPr="00A14DB7">
        <w:rPr>
          <w:rStyle w:val="Hiperlink"/>
          <w:rFonts w:ascii="Times New Roman" w:hAnsi="Times New Roman" w:cs="Times New Roman"/>
          <w:sz w:val="24"/>
          <w:szCs w:val="24"/>
          <w:lang w:val="pt-BR"/>
        </w:rPr>
        <w:t>Nations</w:t>
      </w:r>
      <w:proofErr w:type="spellEnd"/>
      <w:r w:rsidRPr="00A14DB7">
        <w:rPr>
          <w:rStyle w:val="Hiperlink"/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14DB7">
        <w:rPr>
          <w:rStyle w:val="Hiperlink"/>
          <w:rFonts w:ascii="Times New Roman" w:hAnsi="Times New Roman" w:cs="Times New Roman"/>
          <w:sz w:val="24"/>
          <w:szCs w:val="24"/>
          <w:lang w:val="pt-BR"/>
        </w:rPr>
        <w:t>Development</w:t>
      </w:r>
      <w:proofErr w:type="spellEnd"/>
      <w:r w:rsidRPr="00A14DB7">
        <w:rPr>
          <w:rStyle w:val="Hiperlink"/>
          <w:rFonts w:ascii="Times New Roman" w:hAnsi="Times New Roman" w:cs="Times New Roman"/>
          <w:sz w:val="24"/>
          <w:szCs w:val="24"/>
          <w:lang w:val="pt-BR"/>
        </w:rPr>
        <w:t xml:space="preserve"> Programme</w:t>
      </w:r>
      <w:r w:rsidRPr="002223EC">
        <w:rPr>
          <w:rStyle w:val="Hiperlink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Pr="002223EC">
        <w:rPr>
          <w:rStyle w:val="Hiperlink"/>
          <w:rFonts w:ascii="Times New Roman" w:hAnsi="Times New Roman" w:cs="Times New Roman"/>
          <w:sz w:val="24"/>
          <w:szCs w:val="24"/>
          <w:lang w:val="pt-BR"/>
        </w:rPr>
        <w:t>Instituto de Pesquisa Econômica Aplicada</w:t>
      </w:r>
      <w:r w:rsidRPr="002223EC">
        <w:rPr>
          <w:rStyle w:val="Hiperlink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Pr="002223EC">
        <w:rPr>
          <w:rStyle w:val="Hiperlink"/>
          <w:rFonts w:ascii="Times New Roman" w:hAnsi="Times New Roman" w:cs="Times New Roman"/>
          <w:sz w:val="24"/>
          <w:szCs w:val="24"/>
          <w:lang w:val="pt-BR"/>
        </w:rPr>
        <w:t>Fundação João Pinheiro</w:t>
      </w:r>
      <w:r w:rsidRPr="002223EC">
        <w:rPr>
          <w:rStyle w:val="Hiperlink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Pr="002223EC">
        <w:rPr>
          <w:rStyle w:val="Hiperlink"/>
          <w:rFonts w:ascii="Times New Roman" w:hAnsi="Times New Roman" w:cs="Times New Roman"/>
          <w:sz w:val="24"/>
          <w:szCs w:val="24"/>
          <w:lang w:val="pt-BR"/>
        </w:rPr>
        <w:t xml:space="preserve">Atlas do Desenvolvimento Humano no Brasil </w:t>
      </w:r>
      <w:r w:rsidRPr="002223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[Internet]</w:t>
      </w:r>
      <w:r w:rsidRPr="002223E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2018 [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cited 2018 Jun 16</w:t>
      </w:r>
      <w:r w:rsidR="00095EF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]. 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Available from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Pr="002223EC">
        <w:rPr>
          <w:rStyle w:val="Hiperlink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hyperlink r:id="rId15" w:history="1">
        <w:r w:rsidRPr="002223EC">
          <w:rPr>
            <w:rStyle w:val="Hiperlink"/>
            <w:rFonts w:ascii="Times New Roman" w:hAnsi="Times New Roman" w:cs="Times New Roman"/>
            <w:sz w:val="24"/>
            <w:szCs w:val="24"/>
            <w:lang w:val="pt-BR"/>
          </w:rPr>
          <w:t>http://atlasbrasil.org.br/2013/pt/</w:t>
        </w:r>
      </w:hyperlink>
      <w:r w:rsidRPr="002223E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A3B2E17" w14:textId="75C9080C" w:rsidR="00C74C3A" w:rsidRPr="002223EC" w:rsidRDefault="00C74C3A" w:rsidP="00095EFD">
      <w:pPr>
        <w:pStyle w:val="PargrafodaLista"/>
        <w:numPr>
          <w:ilvl w:val="0"/>
          <w:numId w:val="1"/>
        </w:numPr>
        <w:spacing w:after="6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223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Brasil. Ministério da Saúde. Departamento de Informática do Sistema Único de Saúde. </w:t>
      </w:r>
      <w:proofErr w:type="gramStart"/>
      <w:r w:rsidRPr="002223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</w:t>
      </w:r>
      <w:proofErr w:type="gramEnd"/>
      <w:r w:rsidRPr="002223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-Gestor Atenção Básica [Internet]</w:t>
      </w:r>
      <w:r w:rsidRPr="002223E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2018 [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cited 2018 Jun 16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]. </w:t>
      </w:r>
      <w:r w:rsidRPr="002223EC">
        <w:rPr>
          <w:rFonts w:ascii="Times New Roman" w:hAnsi="Times New Roman" w:cs="Times New Roman"/>
          <w:bCs/>
          <w:sz w:val="24"/>
          <w:szCs w:val="24"/>
          <w:lang w:val="en-US"/>
        </w:rPr>
        <w:t>Available from</w:t>
      </w:r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hyperlink r:id="rId16" w:history="1">
        <w:r w:rsidRPr="002223EC">
          <w:rPr>
            <w:rStyle w:val="Hiperlink"/>
            <w:rFonts w:ascii="Times New Roman" w:hAnsi="Times New Roman" w:cs="Times New Roman"/>
            <w:bCs/>
            <w:sz w:val="24"/>
            <w:szCs w:val="24"/>
            <w:lang w:val="pt-BR"/>
          </w:rPr>
          <w:t>https://egestorab.saude.gov.br</w:t>
        </w:r>
      </w:hyperlink>
      <w:r w:rsidRPr="002223E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044F56BB" w14:textId="77777777" w:rsidR="00115A2E" w:rsidRDefault="00115A2E"/>
    <w:sectPr w:rsidR="00115A2E" w:rsidSect="00115A2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49C5B" w14:textId="77777777" w:rsidR="00906ACA" w:rsidRDefault="00906ACA" w:rsidP="007918AD">
      <w:r>
        <w:separator/>
      </w:r>
    </w:p>
  </w:endnote>
  <w:endnote w:type="continuationSeparator" w:id="0">
    <w:p w14:paraId="3BD5A8C4" w14:textId="77777777" w:rsidR="00906ACA" w:rsidRDefault="00906ACA" w:rsidP="007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0559" w14:textId="77777777" w:rsidR="00A763C8" w:rsidRDefault="00A763C8" w:rsidP="00597E0E">
    <w:pPr>
      <w:pStyle w:val="Rodap"/>
      <w:framePr w:wrap="none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A65DFD3" w14:textId="77777777" w:rsidR="00A763C8" w:rsidRDefault="00A763C8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E314" w14:textId="77777777" w:rsidR="00A763C8" w:rsidRPr="00D21A9D" w:rsidRDefault="00A763C8" w:rsidP="00597E0E">
    <w:pPr>
      <w:pStyle w:val="Rodap"/>
      <w:framePr w:wrap="none" w:vAnchor="text" w:hAnchor="margin" w:xAlign="center" w:y="1"/>
      <w:rPr>
        <w:rStyle w:val="NmerodaPgina"/>
      </w:rPr>
    </w:pPr>
    <w:r w:rsidRPr="00D21A9D">
      <w:rPr>
        <w:rStyle w:val="NmerodaPgina"/>
      </w:rPr>
      <w:fldChar w:fldCharType="begin"/>
    </w:r>
    <w:r w:rsidRPr="00D21A9D">
      <w:rPr>
        <w:rStyle w:val="NmerodaPgina"/>
      </w:rPr>
      <w:instrText xml:space="preserve">PAGE  </w:instrText>
    </w:r>
    <w:r w:rsidRPr="00D21A9D">
      <w:rPr>
        <w:rStyle w:val="NmerodaPgina"/>
      </w:rPr>
      <w:fldChar w:fldCharType="separate"/>
    </w:r>
    <w:r w:rsidR="006E5421">
      <w:rPr>
        <w:rStyle w:val="NmerodaPgina"/>
        <w:noProof/>
      </w:rPr>
      <w:t>1</w:t>
    </w:r>
    <w:r w:rsidRPr="00D21A9D">
      <w:rPr>
        <w:rStyle w:val="NmerodaPgina"/>
      </w:rPr>
      <w:fldChar w:fldCharType="end"/>
    </w:r>
  </w:p>
  <w:p w14:paraId="66B2373A" w14:textId="77777777" w:rsidR="00A763C8" w:rsidRPr="00D21A9D" w:rsidRDefault="00A763C8">
    <w:pPr>
      <w:pStyle w:val="Rodap"/>
      <w:rPr>
        <w:color w:val="7F7F7F" w:themeColor="text1" w:themeTint="80"/>
      </w:rPr>
    </w:pPr>
  </w:p>
  <w:p w14:paraId="6A958B8E" w14:textId="77777777" w:rsidR="00D879C9" w:rsidRPr="00A763C8" w:rsidRDefault="00D879C9">
    <w:pPr>
      <w:pStyle w:val="Rodap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E797" w14:textId="77777777" w:rsidR="00906ACA" w:rsidRDefault="00906ACA" w:rsidP="007918AD">
      <w:r>
        <w:separator/>
      </w:r>
    </w:p>
  </w:footnote>
  <w:footnote w:type="continuationSeparator" w:id="0">
    <w:p w14:paraId="774D4B44" w14:textId="77777777" w:rsidR="00906ACA" w:rsidRDefault="00906ACA" w:rsidP="00791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9877" w14:textId="77777777" w:rsidR="007918AD" w:rsidRPr="00D21A9D" w:rsidRDefault="007918AD" w:rsidP="007918AD">
    <w:pPr>
      <w:pStyle w:val="Cabealho"/>
      <w:jc w:val="center"/>
      <w:rPr>
        <w:b/>
        <w:lang w:val="en-US"/>
      </w:rPr>
    </w:pPr>
    <w:r w:rsidRPr="00D21A9D">
      <w:rPr>
        <w:b/>
        <w:lang w:val="en-US"/>
      </w:rPr>
      <w:t>Supplementary data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21044"/>
    <w:multiLevelType w:val="hybridMultilevel"/>
    <w:tmpl w:val="B19AD144"/>
    <w:lvl w:ilvl="0" w:tplc="78027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D"/>
    <w:rsid w:val="00020B81"/>
    <w:rsid w:val="00095EFD"/>
    <w:rsid w:val="00115A2E"/>
    <w:rsid w:val="00154CB0"/>
    <w:rsid w:val="00191917"/>
    <w:rsid w:val="001A1260"/>
    <w:rsid w:val="001C155E"/>
    <w:rsid w:val="002123AE"/>
    <w:rsid w:val="0041721E"/>
    <w:rsid w:val="004963BB"/>
    <w:rsid w:val="004B7581"/>
    <w:rsid w:val="005E5C8A"/>
    <w:rsid w:val="00614F9E"/>
    <w:rsid w:val="00661E72"/>
    <w:rsid w:val="00691D63"/>
    <w:rsid w:val="006E5421"/>
    <w:rsid w:val="007918AD"/>
    <w:rsid w:val="008530AB"/>
    <w:rsid w:val="008D0D96"/>
    <w:rsid w:val="00906ACA"/>
    <w:rsid w:val="009219E6"/>
    <w:rsid w:val="009F7FED"/>
    <w:rsid w:val="00A30E38"/>
    <w:rsid w:val="00A763C8"/>
    <w:rsid w:val="00AA6EEE"/>
    <w:rsid w:val="00B50742"/>
    <w:rsid w:val="00C06AAA"/>
    <w:rsid w:val="00C74C3A"/>
    <w:rsid w:val="00D129D0"/>
    <w:rsid w:val="00D17708"/>
    <w:rsid w:val="00D21A9D"/>
    <w:rsid w:val="00D879C9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4D2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D63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8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8AD"/>
  </w:style>
  <w:style w:type="paragraph" w:styleId="Rodap">
    <w:name w:val="footer"/>
    <w:basedOn w:val="Normal"/>
    <w:link w:val="RodapChar"/>
    <w:uiPriority w:val="99"/>
    <w:unhideWhenUsed/>
    <w:rsid w:val="007918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918AD"/>
  </w:style>
  <w:style w:type="character" w:styleId="NmerodaPgina">
    <w:name w:val="page number"/>
    <w:basedOn w:val="Fontepargpadro"/>
    <w:uiPriority w:val="99"/>
    <w:semiHidden/>
    <w:unhideWhenUsed/>
    <w:rsid w:val="00A763C8"/>
  </w:style>
  <w:style w:type="table" w:styleId="Tabelacomgrade">
    <w:name w:val="Table Grid"/>
    <w:basedOn w:val="Tabelanormal"/>
    <w:uiPriority w:val="39"/>
    <w:rsid w:val="0069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ontepargpadro"/>
    <w:rsid w:val="00C06AAA"/>
  </w:style>
  <w:style w:type="paragraph" w:styleId="PargrafodaLista">
    <w:name w:val="List Paragraph"/>
    <w:basedOn w:val="Normal"/>
    <w:uiPriority w:val="34"/>
    <w:qFormat/>
    <w:rsid w:val="00C74C3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character" w:styleId="Hiperlink">
    <w:name w:val="Hyperlink"/>
    <w:basedOn w:val="Fontepargpadro"/>
    <w:uiPriority w:val="99"/>
    <w:unhideWhenUsed/>
    <w:rsid w:val="00C7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sidra.ibge.gov.br/" TargetMode="External"/><Relationship Id="rId14" Type="http://schemas.openxmlformats.org/officeDocument/2006/relationships/hyperlink" Target="http://datasus.saude.gov.br/informacoes-de-saude/tabnet" TargetMode="External"/><Relationship Id="rId15" Type="http://schemas.openxmlformats.org/officeDocument/2006/relationships/hyperlink" Target="http://atlasbrasil.org.br/2013/pt/" TargetMode="External"/><Relationship Id="rId16" Type="http://schemas.openxmlformats.org/officeDocument/2006/relationships/hyperlink" Target="https://egestorab.saude.gov.b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\\localhost\Volumes\NATANAEL\ProjetoDissertacao_FINAL\Figura1_VarPolitom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99530470972243"/>
          <c:y val="0.059279325936697"/>
          <c:w val="0.911480660227069"/>
          <c:h val="0.7486941904755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Planilha2!$A$16</c:f>
              <c:strCache>
                <c:ptCount val="1"/>
                <c:pt idx="0">
                  <c:v>Sunting (HAZ &lt; -2 SD)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Planilha2!$B$15:$H$15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Planilha2!$B$16:$H$16</c:f>
              <c:numCache>
                <c:formatCode>0.00</c:formatCode>
                <c:ptCount val="7"/>
                <c:pt idx="0">
                  <c:v>14.21</c:v>
                </c:pt>
                <c:pt idx="1">
                  <c:v>14.31</c:v>
                </c:pt>
                <c:pt idx="2">
                  <c:v>13.63</c:v>
                </c:pt>
                <c:pt idx="3">
                  <c:v>12.97</c:v>
                </c:pt>
                <c:pt idx="4">
                  <c:v>12.05</c:v>
                </c:pt>
                <c:pt idx="5">
                  <c:v>12.43</c:v>
                </c:pt>
                <c:pt idx="6">
                  <c:v>12.74</c:v>
                </c:pt>
              </c:numCache>
            </c:numRef>
          </c:val>
        </c:ser>
        <c:ser>
          <c:idx val="1"/>
          <c:order val="1"/>
          <c:tx>
            <c:strRef>
              <c:f>Planilha2!$A$17</c:f>
              <c:strCache>
                <c:ptCount val="1"/>
                <c:pt idx="0">
                  <c:v>Overweight  (WHZ &gt; +2 SD)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Planilha2!$B$15:$H$15</c:f>
              <c:numCache>
                <c:formatCode>General</c:formatCode>
                <c:ptCount val="7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  <c:pt idx="5">
                  <c:v>2013.0</c:v>
                </c:pt>
                <c:pt idx="6">
                  <c:v>2014.0</c:v>
                </c:pt>
              </c:numCache>
            </c:numRef>
          </c:cat>
          <c:val>
            <c:numRef>
              <c:f>Planilha2!$B$17:$H$17</c:f>
              <c:numCache>
                <c:formatCode>0.00</c:formatCode>
                <c:ptCount val="7"/>
                <c:pt idx="0">
                  <c:v>17.19882</c:v>
                </c:pt>
                <c:pt idx="1">
                  <c:v>17.07999999999999</c:v>
                </c:pt>
                <c:pt idx="2">
                  <c:v>16.95</c:v>
                </c:pt>
                <c:pt idx="3">
                  <c:v>17.6</c:v>
                </c:pt>
                <c:pt idx="4">
                  <c:v>17.26</c:v>
                </c:pt>
                <c:pt idx="5">
                  <c:v>17.9</c:v>
                </c:pt>
                <c:pt idx="6">
                  <c:v>18.36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-343320656"/>
        <c:axId val="-241119888"/>
      </c:barChart>
      <c:catAx>
        <c:axId val="-34332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pt-BR"/>
          </a:p>
        </c:txPr>
        <c:crossAx val="-241119888"/>
        <c:crosses val="autoZero"/>
        <c:auto val="1"/>
        <c:lblAlgn val="ctr"/>
        <c:lblOffset val="100"/>
        <c:noMultiLvlLbl val="0"/>
      </c:catAx>
      <c:valAx>
        <c:axId val="-24111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pt-BR"/>
          </a:p>
        </c:txPr>
        <c:crossAx val="-343320656"/>
        <c:crosses val="autoZero"/>
        <c:crossBetween val="between"/>
        <c:majorUnit val="5.0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6390602592202"/>
          <c:y val="0.893793897124032"/>
          <c:w val="0.649660245051455"/>
          <c:h val="0.06663086756656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847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Silva</dc:creator>
  <cp:keywords/>
  <dc:description/>
  <cp:lastModifiedBy>Natanael Silva</cp:lastModifiedBy>
  <cp:revision>6</cp:revision>
  <dcterms:created xsi:type="dcterms:W3CDTF">2020-10-23T00:53:00Z</dcterms:created>
  <dcterms:modified xsi:type="dcterms:W3CDTF">2020-11-09T02:14:00Z</dcterms:modified>
</cp:coreProperties>
</file>