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C921" w14:textId="5CCE01E6" w:rsidR="00A7671D" w:rsidRPr="00076DDB" w:rsidRDefault="00900DB1" w:rsidP="00B31F6D">
      <w:pPr>
        <w:spacing w:line="360" w:lineRule="auto"/>
        <w:jc w:val="center"/>
        <w:rPr>
          <w:b/>
          <w:bCs/>
        </w:rPr>
      </w:pPr>
      <w:r w:rsidRPr="00076DDB">
        <w:rPr>
          <w:b/>
          <w:bCs/>
        </w:rPr>
        <w:t>Supplemental Materials</w:t>
      </w:r>
    </w:p>
    <w:p w14:paraId="7B76EF56" w14:textId="11BAE2CB" w:rsidR="0081703E" w:rsidRPr="00076DDB" w:rsidRDefault="0081703E" w:rsidP="00B31F6D">
      <w:pPr>
        <w:spacing w:line="360" w:lineRule="auto"/>
      </w:pPr>
    </w:p>
    <w:p w14:paraId="499B4D3A" w14:textId="0FDDD198" w:rsidR="00CC7916" w:rsidRPr="00076DDB" w:rsidRDefault="00CC7916" w:rsidP="00B31F6D">
      <w:pPr>
        <w:spacing w:line="360" w:lineRule="auto"/>
        <w:rPr>
          <w:b/>
          <w:bCs/>
        </w:rPr>
      </w:pPr>
      <w:r w:rsidRPr="00076DDB">
        <w:rPr>
          <w:b/>
          <w:bCs/>
        </w:rPr>
        <w:t>Comparison of schools</w:t>
      </w:r>
      <w:r w:rsidR="00900DB1" w:rsidRPr="00076DDB">
        <w:rPr>
          <w:b/>
          <w:bCs/>
        </w:rPr>
        <w:t xml:space="preserve"> that provided versus did not provide canteen menu</w:t>
      </w:r>
    </w:p>
    <w:p w14:paraId="19728EED" w14:textId="315F2E49" w:rsidR="00A7671D" w:rsidRPr="00076DDB" w:rsidRDefault="00010BBF" w:rsidP="00B31F6D">
      <w:pPr>
        <w:spacing w:line="360" w:lineRule="auto"/>
      </w:pPr>
      <w:r w:rsidRPr="00076DDB">
        <w:t>C</w:t>
      </w:r>
      <w:r w:rsidR="00CC7916" w:rsidRPr="00076DDB">
        <w:t xml:space="preserve">haracteristics of schools </w:t>
      </w:r>
      <w:r w:rsidR="00900DB1" w:rsidRPr="00076DDB">
        <w:t>that</w:t>
      </w:r>
      <w:r w:rsidR="00CC7916" w:rsidRPr="00076DDB">
        <w:t xml:space="preserve"> participated in either </w:t>
      </w:r>
      <w:proofErr w:type="spellStart"/>
      <w:r w:rsidR="00CC7916" w:rsidRPr="00076DDB">
        <w:t>NaSSDA</w:t>
      </w:r>
      <w:proofErr w:type="spellEnd"/>
      <w:r w:rsidR="00CC7916" w:rsidRPr="00076DDB">
        <w:t xml:space="preserve"> survey wave </w:t>
      </w:r>
      <w:proofErr w:type="gramStart"/>
      <w:r w:rsidR="00900DB1" w:rsidRPr="00076DDB">
        <w:t>and</w:t>
      </w:r>
      <w:proofErr w:type="gramEnd"/>
      <w:r w:rsidR="00900DB1" w:rsidRPr="00076DDB">
        <w:t xml:space="preserve"> that di</w:t>
      </w:r>
      <w:r w:rsidR="00CC7916" w:rsidRPr="00076DDB">
        <w:t>d</w:t>
      </w:r>
      <w:r w:rsidR="00900DB1" w:rsidRPr="00076DDB">
        <w:t xml:space="preserve"> </w:t>
      </w:r>
      <w:r w:rsidR="00854052" w:rsidRPr="00076DDB">
        <w:t>(</w:t>
      </w:r>
      <w:r w:rsidR="00900DB1" w:rsidRPr="00076DDB">
        <w:t>versus did not</w:t>
      </w:r>
      <w:r w:rsidR="00854052" w:rsidRPr="00076DDB">
        <w:t>)</w:t>
      </w:r>
      <w:r w:rsidR="00CC7916" w:rsidRPr="00076DDB">
        <w:t xml:space="preserve"> provide a copy of their school canteen menu </w:t>
      </w:r>
      <w:r w:rsidRPr="00076DDB">
        <w:t xml:space="preserve">are summarised in Table S1. Of the 56 schools that did not </w:t>
      </w:r>
      <w:r w:rsidR="00854052" w:rsidRPr="00076DDB">
        <w:t>provide a menu</w:t>
      </w:r>
      <w:r w:rsidRPr="00076DDB">
        <w:t>,</w:t>
      </w:r>
      <w:r w:rsidR="00CC7916" w:rsidRPr="00076DDB">
        <w:t xml:space="preserve"> </w:t>
      </w:r>
      <w:r w:rsidR="0069728A" w:rsidRPr="00076DDB">
        <w:t xml:space="preserve">the majority </w:t>
      </w:r>
      <w:r w:rsidR="00FD4FFD" w:rsidRPr="00076DDB">
        <w:t>(</w:t>
      </w:r>
      <w:r w:rsidR="00FD4FFD" w:rsidRPr="00076DDB">
        <w:rPr>
          <w:i/>
          <w:iCs/>
        </w:rPr>
        <w:t xml:space="preserve">n </w:t>
      </w:r>
      <w:r w:rsidR="00FD4FFD" w:rsidRPr="00076DDB">
        <w:t>=</w:t>
      </w:r>
      <w:r w:rsidR="007A112D" w:rsidRPr="00076DDB">
        <w:t xml:space="preserve"> </w:t>
      </w:r>
      <w:r w:rsidR="00FD4FFD" w:rsidRPr="00076DDB">
        <w:t>48) were from 2012-2013</w:t>
      </w:r>
      <w:r w:rsidR="00854052" w:rsidRPr="00076DDB">
        <w:t xml:space="preserve"> </w:t>
      </w:r>
      <w:r w:rsidR="0069728A" w:rsidRPr="00076DDB">
        <w:t>and 14</w:t>
      </w:r>
      <w:r w:rsidR="00854052" w:rsidRPr="00076DDB">
        <w:t xml:space="preserve"> schools</w:t>
      </w:r>
      <w:r w:rsidR="00CC7916" w:rsidRPr="00076DDB">
        <w:t xml:space="preserve"> </w:t>
      </w:r>
      <w:r w:rsidR="00854052" w:rsidRPr="00076DDB">
        <w:t>did</w:t>
      </w:r>
      <w:r w:rsidR="00CC7916" w:rsidRPr="00076DDB">
        <w:t xml:space="preserve"> not have a school canteen. </w:t>
      </w:r>
      <w:r w:rsidR="00854052" w:rsidRPr="00076DDB">
        <w:t xml:space="preserve">Schools that provided versus did not provide a canteen menu varied according to </w:t>
      </w:r>
      <w:r w:rsidRPr="00076DDB">
        <w:t>state and education sector (</w:t>
      </w:r>
      <w:r w:rsidR="0053225B">
        <w:t xml:space="preserve">both </w:t>
      </w:r>
      <w:r w:rsidRPr="00076DDB">
        <w:rPr>
          <w:i/>
          <w:iCs/>
        </w:rPr>
        <w:t>p</w:t>
      </w:r>
      <w:r w:rsidRPr="00076DDB">
        <w:t xml:space="preserve"> &lt;.01</w:t>
      </w:r>
      <w:r w:rsidR="007A6370" w:rsidRPr="00076DDB">
        <w:t xml:space="preserve"> for</w:t>
      </w:r>
      <w:r w:rsidRPr="00076DDB">
        <w:t xml:space="preserve"> </w:t>
      </w:r>
      <w:r w:rsidR="007A6370" w:rsidRPr="00076DDB">
        <w:rPr>
          <w:rFonts w:cstheme="minorHAnsi"/>
        </w:rPr>
        <w:t>ꭓ</w:t>
      </w:r>
      <w:r w:rsidR="007A6370" w:rsidRPr="00076DDB">
        <w:rPr>
          <w:vertAlign w:val="superscript"/>
        </w:rPr>
        <w:t xml:space="preserve">2 </w:t>
      </w:r>
      <w:proofErr w:type="gramStart"/>
      <w:r w:rsidR="007A6370" w:rsidRPr="00076DDB">
        <w:t>test</w:t>
      </w:r>
      <w:proofErr w:type="gramEnd"/>
      <w:r w:rsidR="00FD4FFD" w:rsidRPr="00076DDB">
        <w:t xml:space="preserve"> of association with menu provision</w:t>
      </w:r>
      <w:r w:rsidRPr="00076DDB">
        <w:t>).</w:t>
      </w:r>
      <w:r w:rsidR="007A6370" w:rsidRPr="00076DDB">
        <w:t xml:space="preserve"> Canteen menus were not provided for any NSW government schools in 2012-13, which accounted for these differences</w:t>
      </w:r>
      <w:r w:rsidR="005B4236" w:rsidRPr="00076DDB">
        <w:t>. There were no other significant differences in school characteristics</w:t>
      </w:r>
      <w:r w:rsidR="007A6370" w:rsidRPr="00076DDB">
        <w:t xml:space="preserve">. </w:t>
      </w:r>
    </w:p>
    <w:p w14:paraId="278C9AF8" w14:textId="1CAA9A97" w:rsidR="007A6370" w:rsidRPr="00076DDB" w:rsidRDefault="007A6370" w:rsidP="00B31F6D">
      <w:pPr>
        <w:spacing w:line="240" w:lineRule="auto"/>
      </w:pPr>
      <w:r w:rsidRPr="00076DDB">
        <w:t xml:space="preserve">Table S1. </w:t>
      </w:r>
    </w:p>
    <w:p w14:paraId="57F94967" w14:textId="2BE71BAF" w:rsidR="007A6370" w:rsidRPr="00076DDB" w:rsidRDefault="007A6370" w:rsidP="00B31F6D">
      <w:pPr>
        <w:spacing w:line="240" w:lineRule="auto"/>
      </w:pPr>
      <w:r w:rsidRPr="00076DDB">
        <w:t xml:space="preserve">Characteristics of schools included in menu analysis </w:t>
      </w:r>
      <w:r w:rsidR="00FD4FFD" w:rsidRPr="00076DDB">
        <w:t xml:space="preserve">and those that participated in </w:t>
      </w:r>
      <w:proofErr w:type="spellStart"/>
      <w:r w:rsidR="00FD4FFD" w:rsidRPr="00076DDB">
        <w:t>NaSSDA</w:t>
      </w:r>
      <w:proofErr w:type="spellEnd"/>
      <w:r w:rsidR="00FD4FFD" w:rsidRPr="00076DDB">
        <w:t xml:space="preserve"> but did not provide a canteen menu.</w:t>
      </w:r>
      <w:r w:rsidRPr="00076DDB">
        <w:t xml:space="preserve"> </w:t>
      </w:r>
    </w:p>
    <w:tbl>
      <w:tblPr>
        <w:tblStyle w:val="TableGrid"/>
        <w:tblW w:w="68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1985"/>
      </w:tblGrid>
      <w:tr w:rsidR="007A6370" w:rsidRPr="00076DDB" w14:paraId="4735BDCD" w14:textId="77777777" w:rsidTr="007A637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CCA899" w14:textId="77777777" w:rsidR="007A6370" w:rsidRPr="00076DDB" w:rsidRDefault="007A6370" w:rsidP="00B31F6D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17DE9E2" w14:textId="77777777" w:rsidR="007A6370" w:rsidRPr="00076DDB" w:rsidRDefault="007A6370" w:rsidP="00B31F6D">
            <w:r w:rsidRPr="00076DDB">
              <w:t xml:space="preserve">Menu provided </w:t>
            </w:r>
          </w:p>
          <w:p w14:paraId="24056619" w14:textId="36827BF6" w:rsidR="007A6370" w:rsidRPr="00076DDB" w:rsidRDefault="007A6370" w:rsidP="00B31F6D">
            <w:r w:rsidRPr="00076DDB">
              <w:t>N schools (%)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08018CE" w14:textId="4988EB05" w:rsidR="007A6370" w:rsidRPr="00076DDB" w:rsidRDefault="007A6370" w:rsidP="00B31F6D">
            <w:r w:rsidRPr="00076DDB">
              <w:t>No available menu</w:t>
            </w:r>
          </w:p>
          <w:p w14:paraId="36B384F3" w14:textId="296F63AC" w:rsidR="007A6370" w:rsidRPr="00076DDB" w:rsidRDefault="007A6370" w:rsidP="00B31F6D">
            <w:r w:rsidRPr="00076DDB">
              <w:t>N schools (%)</w:t>
            </w:r>
          </w:p>
        </w:tc>
      </w:tr>
      <w:tr w:rsidR="007A6370" w:rsidRPr="00076DDB" w14:paraId="582E33E7" w14:textId="77777777" w:rsidTr="007A6370">
        <w:tc>
          <w:tcPr>
            <w:tcW w:w="2835" w:type="dxa"/>
            <w:tcBorders>
              <w:top w:val="single" w:sz="4" w:space="0" w:color="auto"/>
            </w:tcBorders>
          </w:tcPr>
          <w:p w14:paraId="73BF2F18" w14:textId="77777777" w:rsidR="007A6370" w:rsidRPr="00076DDB" w:rsidRDefault="007A6370" w:rsidP="00B31F6D">
            <w:pPr>
              <w:rPr>
                <w:i/>
                <w:iCs/>
              </w:rPr>
            </w:pPr>
            <w:r w:rsidRPr="00076DDB">
              <w:rPr>
                <w:i/>
                <w:iCs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158EB30" w14:textId="46DA65AE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F9EC294" w14:textId="1CD17F6D" w:rsidR="007A6370" w:rsidRPr="00076DDB" w:rsidRDefault="007A6370" w:rsidP="00B31F6D">
            <w:r w:rsidRPr="00076DDB">
              <w:t>56</w:t>
            </w:r>
          </w:p>
        </w:tc>
      </w:tr>
      <w:tr w:rsidR="007A6370" w:rsidRPr="00076DDB" w14:paraId="35DA4F79" w14:textId="77777777" w:rsidTr="007A6370">
        <w:tc>
          <w:tcPr>
            <w:tcW w:w="2835" w:type="dxa"/>
            <w:shd w:val="clear" w:color="auto" w:fill="auto"/>
          </w:tcPr>
          <w:p w14:paraId="7F8A1442" w14:textId="77777777" w:rsidR="007A6370" w:rsidRPr="00076DDB" w:rsidRDefault="007A6370" w:rsidP="00B31F6D">
            <w:pPr>
              <w:ind w:left="177"/>
              <w:rPr>
                <w:i/>
                <w:iCs/>
              </w:rPr>
            </w:pPr>
            <w:r w:rsidRPr="00076DDB">
              <w:rPr>
                <w:i/>
                <w:iCs/>
              </w:rPr>
              <w:t>School size</w:t>
            </w:r>
          </w:p>
          <w:p w14:paraId="6F382508" w14:textId="11C5B1E1" w:rsidR="007A6370" w:rsidRPr="00076DDB" w:rsidRDefault="007A6370" w:rsidP="00B31F6D">
            <w:pPr>
              <w:ind w:left="177"/>
            </w:pPr>
            <w:r w:rsidRPr="00076DDB">
              <w:rPr>
                <w:i/>
                <w:iCs/>
              </w:rPr>
              <w:t>N</w:t>
            </w:r>
            <w:r w:rsidRPr="00076DDB">
              <w:t xml:space="preserve"> enrolments: </w:t>
            </w:r>
            <w:r w:rsidRPr="00076DDB">
              <w:rPr>
                <w:i/>
                <w:iCs/>
              </w:rPr>
              <w:t>m(</w:t>
            </w:r>
            <w:proofErr w:type="spellStart"/>
            <w:r w:rsidRPr="00076DDB">
              <w:rPr>
                <w:i/>
                <w:iCs/>
              </w:rPr>
              <w:t>sd</w:t>
            </w:r>
            <w:proofErr w:type="spellEnd"/>
            <w:r w:rsidRPr="00076DDB">
              <w:t>)</w:t>
            </w:r>
          </w:p>
        </w:tc>
        <w:tc>
          <w:tcPr>
            <w:tcW w:w="1985" w:type="dxa"/>
            <w:vAlign w:val="center"/>
          </w:tcPr>
          <w:p w14:paraId="437BB1D5" w14:textId="77777777" w:rsidR="007A6370" w:rsidRPr="00076DDB" w:rsidRDefault="007A6370" w:rsidP="00B31F6D">
            <w:pPr>
              <w:rPr>
                <w:rFonts w:ascii="Calibri" w:hAnsi="Calibri" w:cs="Calibri"/>
                <w:color w:val="000000"/>
              </w:rPr>
            </w:pPr>
          </w:p>
          <w:p w14:paraId="3467F66E" w14:textId="3D07EE57" w:rsidR="007A6370" w:rsidRPr="00076DDB" w:rsidRDefault="009E6296" w:rsidP="00B31F6D">
            <w:r w:rsidRPr="00076DDB">
              <w:rPr>
                <w:rFonts w:ascii="Calibri" w:hAnsi="Calibri" w:cs="Calibri"/>
                <w:color w:val="000000"/>
              </w:rPr>
              <w:t>94</w:t>
            </w:r>
            <w:r w:rsidR="00776975" w:rsidRPr="00076DDB">
              <w:rPr>
                <w:rFonts w:ascii="Calibri" w:hAnsi="Calibri" w:cs="Calibri"/>
                <w:color w:val="000000"/>
              </w:rPr>
              <w:t>4</w:t>
            </w:r>
            <w:r w:rsidRPr="00076DDB">
              <w:rPr>
                <w:rFonts w:ascii="Calibri" w:hAnsi="Calibri" w:cs="Calibri"/>
                <w:color w:val="000000"/>
              </w:rPr>
              <w:t>.</w:t>
            </w:r>
            <w:r w:rsidR="0071745C" w:rsidRPr="00076DDB">
              <w:rPr>
                <w:rFonts w:ascii="Calibri" w:hAnsi="Calibri" w:cs="Calibri"/>
                <w:color w:val="000000"/>
              </w:rPr>
              <w:t>1</w:t>
            </w:r>
            <w:r w:rsidR="007A6370" w:rsidRPr="00076DDB">
              <w:rPr>
                <w:rFonts w:ascii="Calibri" w:hAnsi="Calibri" w:cs="Calibri"/>
                <w:color w:val="000000"/>
              </w:rPr>
              <w:t xml:space="preserve"> (</w:t>
            </w:r>
            <w:r w:rsidRPr="00076DDB">
              <w:rPr>
                <w:rFonts w:ascii="Calibri" w:hAnsi="Calibri" w:cs="Calibri"/>
                <w:color w:val="000000"/>
              </w:rPr>
              <w:t>497.</w:t>
            </w:r>
            <w:r w:rsidR="00776975" w:rsidRPr="00076DDB">
              <w:rPr>
                <w:rFonts w:ascii="Calibri" w:hAnsi="Calibri" w:cs="Calibri"/>
                <w:color w:val="000000"/>
              </w:rPr>
              <w:t>9</w:t>
            </w:r>
            <w:r w:rsidR="007A6370" w:rsidRPr="00076DD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653A512" w14:textId="53F1BB61" w:rsidR="007A6370" w:rsidRPr="00076DDB" w:rsidRDefault="007A6370" w:rsidP="00B31F6D"/>
          <w:p w14:paraId="4D4702D9" w14:textId="24C80956" w:rsidR="007A6370" w:rsidRPr="00076DDB" w:rsidRDefault="009E6296" w:rsidP="00B31F6D">
            <w:r w:rsidRPr="00076DDB">
              <w:t>852.3</w:t>
            </w:r>
            <w:r w:rsidR="007A6370" w:rsidRPr="00076DDB">
              <w:t xml:space="preserve"> (</w:t>
            </w:r>
            <w:r w:rsidRPr="00076DDB">
              <w:t>440.6</w:t>
            </w:r>
            <w:r w:rsidR="007A6370" w:rsidRPr="00076DDB">
              <w:t>)</w:t>
            </w:r>
          </w:p>
        </w:tc>
      </w:tr>
      <w:tr w:rsidR="00776975" w:rsidRPr="00076DDB" w14:paraId="78D801D9" w14:textId="77777777" w:rsidTr="00E53CC4">
        <w:tc>
          <w:tcPr>
            <w:tcW w:w="2835" w:type="dxa"/>
            <w:shd w:val="clear" w:color="auto" w:fill="auto"/>
          </w:tcPr>
          <w:p w14:paraId="132792ED" w14:textId="77777777" w:rsidR="00776975" w:rsidRPr="00076DDB" w:rsidRDefault="00776975" w:rsidP="00776975">
            <w:pPr>
              <w:ind w:left="177"/>
            </w:pPr>
            <w:r w:rsidRPr="00076DDB">
              <w:t>Small</w:t>
            </w:r>
          </w:p>
        </w:tc>
        <w:tc>
          <w:tcPr>
            <w:tcW w:w="1985" w:type="dxa"/>
            <w:vAlign w:val="center"/>
          </w:tcPr>
          <w:p w14:paraId="406D489C" w14:textId="291AEB9B" w:rsidR="00776975" w:rsidRPr="00076DDB" w:rsidRDefault="00776975" w:rsidP="00776975">
            <w:r w:rsidRPr="00076DDB">
              <w:rPr>
                <w:rFonts w:ascii="Calibri" w:hAnsi="Calibri" w:cs="Calibri"/>
                <w:color w:val="000000"/>
              </w:rPr>
              <w:t>77 (31.6)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EB87B8" w14:textId="250F7886" w:rsidR="00776975" w:rsidRPr="00076DDB" w:rsidRDefault="00776975" w:rsidP="00776975">
            <w:r w:rsidRPr="00076DDB">
              <w:rPr>
                <w:rFonts w:ascii="Calibri" w:hAnsi="Calibri" w:cs="Calibri"/>
                <w:color w:val="000000"/>
              </w:rPr>
              <w:t>22 (39.</w:t>
            </w:r>
            <w:r w:rsidR="0071745C" w:rsidRPr="00076DDB">
              <w:rPr>
                <w:rFonts w:ascii="Calibri" w:hAnsi="Calibri" w:cs="Calibri"/>
                <w:color w:val="000000"/>
              </w:rPr>
              <w:t>3</w:t>
            </w:r>
            <w:r w:rsidRPr="00076DDB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776975" w:rsidRPr="00076DDB" w14:paraId="0307BDCB" w14:textId="77777777" w:rsidTr="00E53CC4">
        <w:tc>
          <w:tcPr>
            <w:tcW w:w="2835" w:type="dxa"/>
            <w:shd w:val="clear" w:color="auto" w:fill="auto"/>
          </w:tcPr>
          <w:p w14:paraId="11CBC890" w14:textId="77777777" w:rsidR="00776975" w:rsidRPr="00076DDB" w:rsidRDefault="00776975" w:rsidP="00776975">
            <w:pPr>
              <w:ind w:left="177"/>
            </w:pPr>
            <w:r w:rsidRPr="00076DDB">
              <w:t>Medium</w:t>
            </w:r>
          </w:p>
        </w:tc>
        <w:tc>
          <w:tcPr>
            <w:tcW w:w="1985" w:type="dxa"/>
            <w:vAlign w:val="center"/>
          </w:tcPr>
          <w:p w14:paraId="534593FC" w14:textId="08CD581A" w:rsidR="00776975" w:rsidRPr="00076DDB" w:rsidRDefault="00776975" w:rsidP="00776975">
            <w:r w:rsidRPr="00076DDB">
              <w:rPr>
                <w:rFonts w:ascii="Calibri" w:hAnsi="Calibri" w:cs="Calibri"/>
                <w:color w:val="000000"/>
              </w:rPr>
              <w:t>82 (33.6)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FEE7FD" w14:textId="4C6B851D" w:rsidR="00776975" w:rsidRPr="00076DDB" w:rsidRDefault="00776975" w:rsidP="00776975">
            <w:r w:rsidRPr="00076DDB">
              <w:rPr>
                <w:rFonts w:ascii="Calibri" w:hAnsi="Calibri" w:cs="Calibri"/>
                <w:color w:val="000000"/>
              </w:rPr>
              <w:t>17 (30.</w:t>
            </w:r>
            <w:r w:rsidR="0071745C" w:rsidRPr="00076DDB">
              <w:rPr>
                <w:rFonts w:ascii="Calibri" w:hAnsi="Calibri" w:cs="Calibri"/>
                <w:color w:val="000000"/>
              </w:rPr>
              <w:t>4</w:t>
            </w:r>
            <w:r w:rsidRPr="00076DDB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776975" w:rsidRPr="00076DDB" w14:paraId="61E65BBC" w14:textId="77777777" w:rsidTr="00E53CC4">
        <w:tc>
          <w:tcPr>
            <w:tcW w:w="2835" w:type="dxa"/>
          </w:tcPr>
          <w:p w14:paraId="5B08CE84" w14:textId="77777777" w:rsidR="00776975" w:rsidRPr="00076DDB" w:rsidRDefault="00776975" w:rsidP="00776975">
            <w:pPr>
              <w:ind w:left="177"/>
            </w:pPr>
            <w:r w:rsidRPr="00076DDB">
              <w:t xml:space="preserve">Large </w:t>
            </w:r>
          </w:p>
        </w:tc>
        <w:tc>
          <w:tcPr>
            <w:tcW w:w="1985" w:type="dxa"/>
            <w:vAlign w:val="center"/>
          </w:tcPr>
          <w:p w14:paraId="6F41359D" w14:textId="48B9992A" w:rsidR="00776975" w:rsidRPr="00076DDB" w:rsidRDefault="00776975" w:rsidP="00776975">
            <w:r w:rsidRPr="00076DDB">
              <w:t>85 (34.8)</w:t>
            </w:r>
          </w:p>
        </w:tc>
        <w:tc>
          <w:tcPr>
            <w:tcW w:w="1985" w:type="dxa"/>
            <w:vAlign w:val="center"/>
          </w:tcPr>
          <w:p w14:paraId="7A2DAC71" w14:textId="2F9C6259" w:rsidR="00776975" w:rsidRPr="00076DDB" w:rsidRDefault="00776975" w:rsidP="00776975">
            <w:r w:rsidRPr="00076DDB">
              <w:t>17 (30.</w:t>
            </w:r>
            <w:r w:rsidR="0071745C" w:rsidRPr="00076DDB">
              <w:t>4</w:t>
            </w:r>
            <w:r w:rsidRPr="00076DDB">
              <w:t>)</w:t>
            </w:r>
          </w:p>
        </w:tc>
      </w:tr>
      <w:tr w:rsidR="007A6370" w:rsidRPr="00076DDB" w14:paraId="5ECEAABD" w14:textId="77777777" w:rsidTr="007A6370">
        <w:tc>
          <w:tcPr>
            <w:tcW w:w="2835" w:type="dxa"/>
          </w:tcPr>
          <w:p w14:paraId="5D5A3009" w14:textId="637360AA" w:rsidR="007A6370" w:rsidRPr="00076DDB" w:rsidRDefault="0069728A" w:rsidP="00B31F6D">
            <w:pPr>
              <w:rPr>
                <w:i/>
                <w:iCs/>
              </w:rPr>
            </w:pPr>
            <w:r w:rsidRPr="00076DDB">
              <w:rPr>
                <w:i/>
                <w:iCs/>
              </w:rPr>
              <w:t>Education</w:t>
            </w:r>
            <w:r w:rsidR="007A6370" w:rsidRPr="00076DDB">
              <w:rPr>
                <w:i/>
                <w:iCs/>
              </w:rPr>
              <w:t xml:space="preserve"> sector</w:t>
            </w:r>
          </w:p>
        </w:tc>
        <w:tc>
          <w:tcPr>
            <w:tcW w:w="1985" w:type="dxa"/>
            <w:vAlign w:val="center"/>
          </w:tcPr>
          <w:p w14:paraId="694EC538" w14:textId="77777777" w:rsidR="007A6370" w:rsidRPr="00076DDB" w:rsidRDefault="007A6370" w:rsidP="00B31F6D"/>
        </w:tc>
        <w:tc>
          <w:tcPr>
            <w:tcW w:w="1985" w:type="dxa"/>
          </w:tcPr>
          <w:p w14:paraId="3C057B1A" w14:textId="04CB6E8F" w:rsidR="007A6370" w:rsidRPr="00076DDB" w:rsidRDefault="007A6370" w:rsidP="00B31F6D"/>
        </w:tc>
      </w:tr>
      <w:tr w:rsidR="007A6370" w:rsidRPr="00076DDB" w14:paraId="16A70D50" w14:textId="77777777" w:rsidTr="007A6370">
        <w:tc>
          <w:tcPr>
            <w:tcW w:w="2835" w:type="dxa"/>
          </w:tcPr>
          <w:p w14:paraId="39790DD2" w14:textId="77777777" w:rsidR="007A6370" w:rsidRPr="00076DDB" w:rsidRDefault="007A6370" w:rsidP="00B31F6D">
            <w:pPr>
              <w:ind w:left="164"/>
            </w:pPr>
            <w:r w:rsidRPr="00076DDB">
              <w:t>Government</w:t>
            </w:r>
          </w:p>
        </w:tc>
        <w:tc>
          <w:tcPr>
            <w:tcW w:w="1985" w:type="dxa"/>
            <w:vAlign w:val="center"/>
          </w:tcPr>
          <w:p w14:paraId="6F08F90A" w14:textId="1335B12F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143 (58.6)</w:t>
            </w:r>
          </w:p>
        </w:tc>
        <w:tc>
          <w:tcPr>
            <w:tcW w:w="1985" w:type="dxa"/>
          </w:tcPr>
          <w:p w14:paraId="3E5535AC" w14:textId="1D75C467" w:rsidR="007A6370" w:rsidRPr="00076DDB" w:rsidRDefault="007A6370" w:rsidP="00B31F6D">
            <w:r w:rsidRPr="00076DDB">
              <w:t>39 (69.6)</w:t>
            </w:r>
          </w:p>
        </w:tc>
      </w:tr>
      <w:tr w:rsidR="007A6370" w:rsidRPr="00076DDB" w14:paraId="334247EC" w14:textId="77777777" w:rsidTr="007A6370">
        <w:tc>
          <w:tcPr>
            <w:tcW w:w="2835" w:type="dxa"/>
          </w:tcPr>
          <w:p w14:paraId="21B66A4A" w14:textId="77777777" w:rsidR="007A6370" w:rsidRPr="00076DDB" w:rsidRDefault="007A6370" w:rsidP="00B31F6D">
            <w:pPr>
              <w:ind w:left="164"/>
            </w:pPr>
            <w:r w:rsidRPr="00076DDB">
              <w:t>Independent</w:t>
            </w:r>
          </w:p>
        </w:tc>
        <w:tc>
          <w:tcPr>
            <w:tcW w:w="1985" w:type="dxa"/>
            <w:vAlign w:val="center"/>
          </w:tcPr>
          <w:p w14:paraId="2893854A" w14:textId="35BF1DF6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47 (19.</w:t>
            </w:r>
            <w:r w:rsidR="0071745C" w:rsidRPr="00076DDB">
              <w:rPr>
                <w:rFonts w:ascii="Calibri" w:hAnsi="Calibri" w:cs="Calibri"/>
                <w:color w:val="000000"/>
              </w:rPr>
              <w:t>3</w:t>
            </w:r>
            <w:r w:rsidRPr="00076DD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</w:tcPr>
          <w:p w14:paraId="38AE6F22" w14:textId="0C87B79B" w:rsidR="007A6370" w:rsidRPr="00076DDB" w:rsidRDefault="007A6370" w:rsidP="00B31F6D">
            <w:r w:rsidRPr="00076DDB">
              <w:t>15 (</w:t>
            </w:r>
            <w:r w:rsidR="0053225B">
              <w:t>26.8</w:t>
            </w:r>
            <w:r w:rsidRPr="00076DDB">
              <w:t>)</w:t>
            </w:r>
          </w:p>
        </w:tc>
      </w:tr>
      <w:tr w:rsidR="007A6370" w:rsidRPr="00076DDB" w14:paraId="3EF289F8" w14:textId="77777777" w:rsidTr="007A6370">
        <w:tc>
          <w:tcPr>
            <w:tcW w:w="2835" w:type="dxa"/>
          </w:tcPr>
          <w:p w14:paraId="10CE08B9" w14:textId="77777777" w:rsidR="007A6370" w:rsidRPr="00076DDB" w:rsidRDefault="007A6370" w:rsidP="00B31F6D">
            <w:pPr>
              <w:ind w:left="164"/>
            </w:pPr>
            <w:r w:rsidRPr="00076DDB">
              <w:t>Catholic</w:t>
            </w:r>
          </w:p>
        </w:tc>
        <w:tc>
          <w:tcPr>
            <w:tcW w:w="1985" w:type="dxa"/>
            <w:vAlign w:val="center"/>
          </w:tcPr>
          <w:p w14:paraId="7F5CD4F0" w14:textId="7FED2F32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54 (22.1)</w:t>
            </w:r>
          </w:p>
        </w:tc>
        <w:tc>
          <w:tcPr>
            <w:tcW w:w="1985" w:type="dxa"/>
          </w:tcPr>
          <w:p w14:paraId="3CB60454" w14:textId="66C09DC2" w:rsidR="007A6370" w:rsidRPr="00076DDB" w:rsidRDefault="007A6370" w:rsidP="00B31F6D">
            <w:r w:rsidRPr="00076DDB">
              <w:t>2 (</w:t>
            </w:r>
            <w:r w:rsidR="0053225B">
              <w:t>3.6</w:t>
            </w:r>
            <w:r w:rsidRPr="00076DDB">
              <w:t>)</w:t>
            </w:r>
          </w:p>
        </w:tc>
      </w:tr>
      <w:tr w:rsidR="007A6370" w:rsidRPr="00076DDB" w14:paraId="647BC753" w14:textId="77777777" w:rsidTr="007A6370">
        <w:tc>
          <w:tcPr>
            <w:tcW w:w="2835" w:type="dxa"/>
          </w:tcPr>
          <w:p w14:paraId="79A3B96B" w14:textId="77777777" w:rsidR="007A6370" w:rsidRPr="00076DDB" w:rsidRDefault="007A6370" w:rsidP="00B31F6D">
            <w:pPr>
              <w:rPr>
                <w:i/>
                <w:iCs/>
              </w:rPr>
            </w:pPr>
            <w:r w:rsidRPr="00076DDB">
              <w:rPr>
                <w:i/>
                <w:iCs/>
              </w:rPr>
              <w:t>Location</w:t>
            </w:r>
          </w:p>
        </w:tc>
        <w:tc>
          <w:tcPr>
            <w:tcW w:w="1985" w:type="dxa"/>
            <w:vAlign w:val="center"/>
          </w:tcPr>
          <w:p w14:paraId="740767BB" w14:textId="77777777" w:rsidR="007A6370" w:rsidRPr="00076DDB" w:rsidRDefault="007A6370" w:rsidP="00B31F6D"/>
        </w:tc>
        <w:tc>
          <w:tcPr>
            <w:tcW w:w="1985" w:type="dxa"/>
          </w:tcPr>
          <w:p w14:paraId="2D27243C" w14:textId="5DD5AFC6" w:rsidR="007A6370" w:rsidRPr="00076DDB" w:rsidRDefault="007A6370" w:rsidP="00B31F6D"/>
        </w:tc>
      </w:tr>
      <w:tr w:rsidR="007A6370" w:rsidRPr="00076DDB" w14:paraId="1988F9A7" w14:textId="77777777" w:rsidTr="007A6370">
        <w:tc>
          <w:tcPr>
            <w:tcW w:w="2835" w:type="dxa"/>
          </w:tcPr>
          <w:p w14:paraId="7B9AB4D5" w14:textId="77777777" w:rsidR="007A6370" w:rsidRPr="00076DDB" w:rsidRDefault="007A6370" w:rsidP="00B31F6D">
            <w:pPr>
              <w:ind w:left="164"/>
            </w:pPr>
            <w:r w:rsidRPr="00076DDB">
              <w:t>Metropolitan</w:t>
            </w:r>
          </w:p>
        </w:tc>
        <w:tc>
          <w:tcPr>
            <w:tcW w:w="1985" w:type="dxa"/>
            <w:vAlign w:val="center"/>
          </w:tcPr>
          <w:p w14:paraId="792B43DF" w14:textId="2E91B9AD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139 (5</w:t>
            </w:r>
            <w:r w:rsidR="0071745C" w:rsidRPr="00076DDB">
              <w:rPr>
                <w:rFonts w:ascii="Calibri" w:hAnsi="Calibri" w:cs="Calibri"/>
                <w:color w:val="000000"/>
              </w:rPr>
              <w:t>7.0)</w:t>
            </w:r>
          </w:p>
        </w:tc>
        <w:tc>
          <w:tcPr>
            <w:tcW w:w="1985" w:type="dxa"/>
          </w:tcPr>
          <w:p w14:paraId="349AD9E9" w14:textId="0B20585B" w:rsidR="007A6370" w:rsidRPr="00076DDB" w:rsidRDefault="007A6370" w:rsidP="00B31F6D">
            <w:r w:rsidRPr="00076DDB">
              <w:t>36 (64.</w:t>
            </w:r>
            <w:r w:rsidR="0071745C" w:rsidRPr="00076DDB">
              <w:t>3</w:t>
            </w:r>
            <w:r w:rsidRPr="00076DDB">
              <w:t>)</w:t>
            </w:r>
          </w:p>
        </w:tc>
      </w:tr>
      <w:tr w:rsidR="007A6370" w:rsidRPr="00076DDB" w14:paraId="5284C7D3" w14:textId="77777777" w:rsidTr="007A6370">
        <w:tc>
          <w:tcPr>
            <w:tcW w:w="2835" w:type="dxa"/>
          </w:tcPr>
          <w:p w14:paraId="36DE397C" w14:textId="77777777" w:rsidR="007A6370" w:rsidRPr="00076DDB" w:rsidRDefault="007A6370" w:rsidP="00B31F6D">
            <w:pPr>
              <w:ind w:left="164"/>
            </w:pPr>
            <w:r w:rsidRPr="00076DDB">
              <w:t>Regional/remote</w:t>
            </w:r>
          </w:p>
        </w:tc>
        <w:tc>
          <w:tcPr>
            <w:tcW w:w="1985" w:type="dxa"/>
            <w:vAlign w:val="center"/>
          </w:tcPr>
          <w:p w14:paraId="6D0C4347" w14:textId="278CED74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105 (43.0)</w:t>
            </w:r>
          </w:p>
        </w:tc>
        <w:tc>
          <w:tcPr>
            <w:tcW w:w="1985" w:type="dxa"/>
          </w:tcPr>
          <w:p w14:paraId="4AA5F6D6" w14:textId="72EA45C4" w:rsidR="007A6370" w:rsidRPr="00076DDB" w:rsidRDefault="007A6370" w:rsidP="00B31F6D">
            <w:r w:rsidRPr="00076DDB">
              <w:t>20 (35.7)</w:t>
            </w:r>
          </w:p>
        </w:tc>
      </w:tr>
      <w:tr w:rsidR="007A6370" w:rsidRPr="00076DDB" w14:paraId="586C8B59" w14:textId="77777777" w:rsidTr="007A6370">
        <w:tc>
          <w:tcPr>
            <w:tcW w:w="2835" w:type="dxa"/>
          </w:tcPr>
          <w:p w14:paraId="4AF2D759" w14:textId="77777777" w:rsidR="007A6370" w:rsidRPr="00076DDB" w:rsidRDefault="007A6370" w:rsidP="00B31F6D">
            <w:pPr>
              <w:rPr>
                <w:i/>
                <w:iCs/>
              </w:rPr>
            </w:pPr>
            <w:r w:rsidRPr="00076DDB">
              <w:rPr>
                <w:i/>
                <w:iCs/>
              </w:rPr>
              <w:t xml:space="preserve">Socioeconomic position </w:t>
            </w:r>
          </w:p>
        </w:tc>
        <w:tc>
          <w:tcPr>
            <w:tcW w:w="1985" w:type="dxa"/>
            <w:vAlign w:val="center"/>
          </w:tcPr>
          <w:p w14:paraId="1B471AAA" w14:textId="77777777" w:rsidR="007A6370" w:rsidRPr="00076DDB" w:rsidRDefault="007A6370" w:rsidP="00B31F6D"/>
        </w:tc>
        <w:tc>
          <w:tcPr>
            <w:tcW w:w="1985" w:type="dxa"/>
          </w:tcPr>
          <w:p w14:paraId="60A9ADD4" w14:textId="3DC52020" w:rsidR="007A6370" w:rsidRPr="00076DDB" w:rsidRDefault="007A6370" w:rsidP="00B31F6D"/>
        </w:tc>
      </w:tr>
      <w:tr w:rsidR="007A6370" w:rsidRPr="00076DDB" w14:paraId="1C2B432F" w14:textId="77777777" w:rsidTr="007A6370">
        <w:tc>
          <w:tcPr>
            <w:tcW w:w="2835" w:type="dxa"/>
          </w:tcPr>
          <w:p w14:paraId="572ABADC" w14:textId="77777777" w:rsidR="007A6370" w:rsidRPr="00076DDB" w:rsidRDefault="007A6370" w:rsidP="00B31F6D">
            <w:pPr>
              <w:ind w:left="164"/>
            </w:pPr>
            <w:r w:rsidRPr="00076DDB">
              <w:t>Low</w:t>
            </w:r>
          </w:p>
        </w:tc>
        <w:tc>
          <w:tcPr>
            <w:tcW w:w="1985" w:type="dxa"/>
            <w:vAlign w:val="center"/>
          </w:tcPr>
          <w:p w14:paraId="723A2BDF" w14:textId="647E392E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65 (26.6)</w:t>
            </w:r>
          </w:p>
        </w:tc>
        <w:tc>
          <w:tcPr>
            <w:tcW w:w="1985" w:type="dxa"/>
          </w:tcPr>
          <w:p w14:paraId="0A68195E" w14:textId="20835E93" w:rsidR="007A6370" w:rsidRPr="00076DDB" w:rsidRDefault="007A6370" w:rsidP="00B31F6D">
            <w:r w:rsidRPr="00076DDB">
              <w:t>19 (33.9)</w:t>
            </w:r>
          </w:p>
        </w:tc>
        <w:bookmarkStart w:id="0" w:name="_GoBack"/>
        <w:bookmarkEnd w:id="0"/>
      </w:tr>
      <w:tr w:rsidR="007A6370" w:rsidRPr="00076DDB" w14:paraId="23CC9754" w14:textId="77777777" w:rsidTr="007A6370">
        <w:tc>
          <w:tcPr>
            <w:tcW w:w="2835" w:type="dxa"/>
          </w:tcPr>
          <w:p w14:paraId="42BD3625" w14:textId="77777777" w:rsidR="007A6370" w:rsidRPr="00076DDB" w:rsidRDefault="007A6370" w:rsidP="00B31F6D">
            <w:pPr>
              <w:ind w:left="164"/>
            </w:pPr>
            <w:r w:rsidRPr="00076DDB">
              <w:t>Medium</w:t>
            </w:r>
          </w:p>
        </w:tc>
        <w:tc>
          <w:tcPr>
            <w:tcW w:w="1985" w:type="dxa"/>
            <w:vAlign w:val="center"/>
          </w:tcPr>
          <w:p w14:paraId="126D321E" w14:textId="0651C148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79 (32.</w:t>
            </w:r>
            <w:r w:rsidR="0071745C" w:rsidRPr="00076DDB">
              <w:rPr>
                <w:rFonts w:ascii="Calibri" w:hAnsi="Calibri" w:cs="Calibri"/>
                <w:color w:val="000000"/>
              </w:rPr>
              <w:t>4</w:t>
            </w:r>
            <w:r w:rsidRPr="00076DD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</w:tcPr>
          <w:p w14:paraId="0C0C8006" w14:textId="6ACFF64E" w:rsidR="007A6370" w:rsidRPr="00076DDB" w:rsidRDefault="007A6370" w:rsidP="00B31F6D">
            <w:r w:rsidRPr="00076DDB">
              <w:t>20 (35.7)</w:t>
            </w:r>
          </w:p>
        </w:tc>
      </w:tr>
      <w:tr w:rsidR="007A6370" w:rsidRPr="00076DDB" w14:paraId="73890553" w14:textId="77777777" w:rsidTr="007A6370">
        <w:tc>
          <w:tcPr>
            <w:tcW w:w="2835" w:type="dxa"/>
          </w:tcPr>
          <w:p w14:paraId="7AD624D7" w14:textId="77777777" w:rsidR="007A6370" w:rsidRPr="00076DDB" w:rsidRDefault="007A6370" w:rsidP="00B31F6D">
            <w:pPr>
              <w:ind w:left="164"/>
            </w:pPr>
            <w:r w:rsidRPr="00076DDB">
              <w:t xml:space="preserve">High </w:t>
            </w:r>
          </w:p>
        </w:tc>
        <w:tc>
          <w:tcPr>
            <w:tcW w:w="1985" w:type="dxa"/>
            <w:vAlign w:val="center"/>
          </w:tcPr>
          <w:p w14:paraId="6124C3C7" w14:textId="0CD13521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100 (4</w:t>
            </w:r>
            <w:r w:rsidR="0071745C" w:rsidRPr="00076DDB">
              <w:rPr>
                <w:rFonts w:ascii="Calibri" w:hAnsi="Calibri" w:cs="Calibri"/>
                <w:color w:val="000000"/>
              </w:rPr>
              <w:t>1.0</w:t>
            </w:r>
            <w:r w:rsidRPr="00076DD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</w:tcPr>
          <w:p w14:paraId="143C4A86" w14:textId="68A101FC" w:rsidR="007A6370" w:rsidRPr="00076DDB" w:rsidRDefault="007A6370" w:rsidP="00B31F6D">
            <w:r w:rsidRPr="00076DDB">
              <w:t>17 (30.</w:t>
            </w:r>
            <w:r w:rsidR="0071745C" w:rsidRPr="00076DDB">
              <w:t>4</w:t>
            </w:r>
            <w:r w:rsidRPr="00076DDB">
              <w:t>)</w:t>
            </w:r>
          </w:p>
        </w:tc>
      </w:tr>
      <w:tr w:rsidR="007A6370" w:rsidRPr="00076DDB" w14:paraId="6A579BBF" w14:textId="77777777" w:rsidTr="007A6370">
        <w:tc>
          <w:tcPr>
            <w:tcW w:w="2835" w:type="dxa"/>
          </w:tcPr>
          <w:p w14:paraId="6A9E3657" w14:textId="2939B8BB" w:rsidR="007A6370" w:rsidRPr="00076DDB" w:rsidRDefault="007A6370" w:rsidP="00B31F6D">
            <w:pPr>
              <w:rPr>
                <w:i/>
                <w:iCs/>
              </w:rPr>
            </w:pPr>
            <w:r w:rsidRPr="00076DDB">
              <w:rPr>
                <w:i/>
                <w:iCs/>
              </w:rPr>
              <w:t>State</w:t>
            </w:r>
          </w:p>
        </w:tc>
        <w:tc>
          <w:tcPr>
            <w:tcW w:w="1985" w:type="dxa"/>
            <w:vAlign w:val="center"/>
          </w:tcPr>
          <w:p w14:paraId="39CE4B69" w14:textId="77777777" w:rsidR="007A6370" w:rsidRPr="00076DDB" w:rsidRDefault="007A6370" w:rsidP="00B31F6D"/>
        </w:tc>
        <w:tc>
          <w:tcPr>
            <w:tcW w:w="1985" w:type="dxa"/>
          </w:tcPr>
          <w:p w14:paraId="19CC3E66" w14:textId="1EE11D7A" w:rsidR="007A6370" w:rsidRPr="00076DDB" w:rsidRDefault="007A6370" w:rsidP="00B31F6D"/>
        </w:tc>
      </w:tr>
      <w:tr w:rsidR="007A6370" w:rsidRPr="00076DDB" w14:paraId="3327BC19" w14:textId="77777777" w:rsidTr="007A6370">
        <w:tc>
          <w:tcPr>
            <w:tcW w:w="2835" w:type="dxa"/>
          </w:tcPr>
          <w:p w14:paraId="3DFEDF01" w14:textId="77777777" w:rsidR="007A6370" w:rsidRPr="00076DDB" w:rsidRDefault="007A6370" w:rsidP="00B31F6D">
            <w:pPr>
              <w:ind w:left="164"/>
            </w:pPr>
            <w:r w:rsidRPr="00076DDB">
              <w:t>New South Wales</w:t>
            </w:r>
          </w:p>
        </w:tc>
        <w:tc>
          <w:tcPr>
            <w:tcW w:w="1985" w:type="dxa"/>
            <w:vAlign w:val="center"/>
          </w:tcPr>
          <w:p w14:paraId="56446DA7" w14:textId="50EFED0F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41 (16.8)</w:t>
            </w:r>
          </w:p>
        </w:tc>
        <w:tc>
          <w:tcPr>
            <w:tcW w:w="1985" w:type="dxa"/>
          </w:tcPr>
          <w:p w14:paraId="1596532D" w14:textId="22EA7A65" w:rsidR="007A6370" w:rsidRPr="00076DDB" w:rsidRDefault="007A6370" w:rsidP="00B31F6D">
            <w:r w:rsidRPr="00076DDB">
              <w:t>31 (55.</w:t>
            </w:r>
            <w:r w:rsidR="0071745C" w:rsidRPr="00076DDB">
              <w:t>4</w:t>
            </w:r>
            <w:r w:rsidRPr="00076DDB">
              <w:t>)</w:t>
            </w:r>
          </w:p>
        </w:tc>
      </w:tr>
      <w:tr w:rsidR="007A6370" w:rsidRPr="00076DDB" w14:paraId="7A7E19AC" w14:textId="77777777" w:rsidTr="007A6370">
        <w:tc>
          <w:tcPr>
            <w:tcW w:w="2835" w:type="dxa"/>
          </w:tcPr>
          <w:p w14:paraId="1667C827" w14:textId="77777777" w:rsidR="007A6370" w:rsidRPr="00076DDB" w:rsidRDefault="007A6370" w:rsidP="00B31F6D">
            <w:pPr>
              <w:ind w:left="164"/>
            </w:pPr>
            <w:r w:rsidRPr="00076DDB">
              <w:t>Victoria</w:t>
            </w:r>
          </w:p>
        </w:tc>
        <w:tc>
          <w:tcPr>
            <w:tcW w:w="1985" w:type="dxa"/>
            <w:vAlign w:val="center"/>
          </w:tcPr>
          <w:p w14:paraId="2A1BC47D" w14:textId="013A45C6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40 (16.</w:t>
            </w:r>
            <w:r w:rsidR="0071745C" w:rsidRPr="00076DDB">
              <w:rPr>
                <w:rFonts w:ascii="Calibri" w:hAnsi="Calibri" w:cs="Calibri"/>
                <w:color w:val="000000"/>
              </w:rPr>
              <w:t>4</w:t>
            </w:r>
            <w:r w:rsidRPr="00076DD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</w:tcPr>
          <w:p w14:paraId="1FDEB029" w14:textId="18663EE0" w:rsidR="007A6370" w:rsidRPr="00076DDB" w:rsidRDefault="007A6370" w:rsidP="00B31F6D">
            <w:r w:rsidRPr="00076DDB">
              <w:t>5 (8.9)</w:t>
            </w:r>
          </w:p>
        </w:tc>
      </w:tr>
      <w:tr w:rsidR="007A6370" w:rsidRPr="00076DDB" w14:paraId="1ECF25C3" w14:textId="77777777" w:rsidTr="007A6370">
        <w:tc>
          <w:tcPr>
            <w:tcW w:w="2835" w:type="dxa"/>
          </w:tcPr>
          <w:p w14:paraId="52ABD76A" w14:textId="77777777" w:rsidR="007A6370" w:rsidRPr="00076DDB" w:rsidRDefault="007A6370" w:rsidP="00B31F6D">
            <w:pPr>
              <w:ind w:left="164"/>
            </w:pPr>
            <w:r w:rsidRPr="00076DDB">
              <w:t>Queensland</w:t>
            </w:r>
          </w:p>
        </w:tc>
        <w:tc>
          <w:tcPr>
            <w:tcW w:w="1985" w:type="dxa"/>
            <w:vAlign w:val="center"/>
          </w:tcPr>
          <w:p w14:paraId="6C37E715" w14:textId="33935F53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52 (21.3)</w:t>
            </w:r>
          </w:p>
        </w:tc>
        <w:tc>
          <w:tcPr>
            <w:tcW w:w="1985" w:type="dxa"/>
          </w:tcPr>
          <w:p w14:paraId="6A9D2608" w14:textId="2586C41C" w:rsidR="007A6370" w:rsidRPr="00076DDB" w:rsidRDefault="007A6370" w:rsidP="00B31F6D">
            <w:r w:rsidRPr="00076DDB">
              <w:t>5 (8.9)</w:t>
            </w:r>
          </w:p>
        </w:tc>
      </w:tr>
      <w:tr w:rsidR="007A6370" w:rsidRPr="00076DDB" w14:paraId="2FD53E0F" w14:textId="77777777" w:rsidTr="007A6370">
        <w:tc>
          <w:tcPr>
            <w:tcW w:w="2835" w:type="dxa"/>
          </w:tcPr>
          <w:p w14:paraId="0BE86004" w14:textId="77777777" w:rsidR="007A6370" w:rsidRPr="00076DDB" w:rsidRDefault="007A6370" w:rsidP="00B31F6D">
            <w:pPr>
              <w:ind w:left="164"/>
            </w:pPr>
            <w:r w:rsidRPr="00076DDB">
              <w:t>Western Australia</w:t>
            </w:r>
          </w:p>
        </w:tc>
        <w:tc>
          <w:tcPr>
            <w:tcW w:w="1985" w:type="dxa"/>
            <w:vAlign w:val="center"/>
          </w:tcPr>
          <w:p w14:paraId="68E9B04D" w14:textId="37BCB4F1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33 (13.5)</w:t>
            </w:r>
          </w:p>
        </w:tc>
        <w:tc>
          <w:tcPr>
            <w:tcW w:w="1985" w:type="dxa"/>
          </w:tcPr>
          <w:p w14:paraId="72808288" w14:textId="21234F9C" w:rsidR="007A6370" w:rsidRPr="00076DDB" w:rsidRDefault="007A6370" w:rsidP="00B31F6D">
            <w:r w:rsidRPr="00076DDB">
              <w:t>2 (3.</w:t>
            </w:r>
            <w:r w:rsidR="0071745C" w:rsidRPr="00076DDB">
              <w:t>6</w:t>
            </w:r>
            <w:r w:rsidRPr="00076DDB">
              <w:t>)</w:t>
            </w:r>
          </w:p>
        </w:tc>
      </w:tr>
      <w:tr w:rsidR="007A6370" w:rsidRPr="00076DDB" w14:paraId="4C9AC167" w14:textId="77777777" w:rsidTr="007A6370">
        <w:tc>
          <w:tcPr>
            <w:tcW w:w="2835" w:type="dxa"/>
          </w:tcPr>
          <w:p w14:paraId="22BA8763" w14:textId="77777777" w:rsidR="007A6370" w:rsidRPr="00076DDB" w:rsidRDefault="007A6370" w:rsidP="00B31F6D">
            <w:pPr>
              <w:ind w:left="164"/>
            </w:pPr>
            <w:r w:rsidRPr="00076DDB">
              <w:t>South Australia</w:t>
            </w:r>
          </w:p>
        </w:tc>
        <w:tc>
          <w:tcPr>
            <w:tcW w:w="1985" w:type="dxa"/>
            <w:vAlign w:val="center"/>
          </w:tcPr>
          <w:p w14:paraId="4A612A80" w14:textId="3B04F202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27 (11.</w:t>
            </w:r>
            <w:r w:rsidR="0053225B">
              <w:rPr>
                <w:rFonts w:ascii="Calibri" w:hAnsi="Calibri" w:cs="Calibri"/>
                <w:color w:val="000000"/>
              </w:rPr>
              <w:t>1</w:t>
            </w:r>
            <w:r w:rsidRPr="00076DD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</w:tcPr>
          <w:p w14:paraId="426D4CDB" w14:textId="30C469A2" w:rsidR="007A6370" w:rsidRPr="00076DDB" w:rsidRDefault="007A6370" w:rsidP="00B31F6D">
            <w:r w:rsidRPr="00076DDB">
              <w:t>2 (3.</w:t>
            </w:r>
            <w:r w:rsidR="0071745C" w:rsidRPr="00076DDB">
              <w:t>6</w:t>
            </w:r>
            <w:r w:rsidRPr="00076DDB">
              <w:t>)</w:t>
            </w:r>
          </w:p>
        </w:tc>
      </w:tr>
      <w:tr w:rsidR="007A6370" w:rsidRPr="00076DDB" w14:paraId="0C9C4028" w14:textId="77777777" w:rsidTr="007A6370">
        <w:tc>
          <w:tcPr>
            <w:tcW w:w="2835" w:type="dxa"/>
          </w:tcPr>
          <w:p w14:paraId="67FA655B" w14:textId="77777777" w:rsidR="007A6370" w:rsidRPr="00076DDB" w:rsidRDefault="007A6370" w:rsidP="00B31F6D">
            <w:pPr>
              <w:ind w:left="164"/>
            </w:pPr>
            <w:r w:rsidRPr="00076DDB">
              <w:t>Tasmania</w:t>
            </w:r>
          </w:p>
        </w:tc>
        <w:tc>
          <w:tcPr>
            <w:tcW w:w="1985" w:type="dxa"/>
            <w:vAlign w:val="center"/>
          </w:tcPr>
          <w:p w14:paraId="2CFCB704" w14:textId="28691AB0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23 (9.4)</w:t>
            </w:r>
          </w:p>
        </w:tc>
        <w:tc>
          <w:tcPr>
            <w:tcW w:w="1985" w:type="dxa"/>
          </w:tcPr>
          <w:p w14:paraId="40DE9A02" w14:textId="52F8EE69" w:rsidR="007A6370" w:rsidRPr="00076DDB" w:rsidRDefault="007A6370" w:rsidP="00B31F6D">
            <w:r w:rsidRPr="00076DDB">
              <w:t>3 (5.</w:t>
            </w:r>
            <w:r w:rsidR="0071745C" w:rsidRPr="00076DDB">
              <w:t>4</w:t>
            </w:r>
            <w:r w:rsidRPr="00076DDB">
              <w:t>)</w:t>
            </w:r>
          </w:p>
        </w:tc>
      </w:tr>
      <w:tr w:rsidR="007A6370" w:rsidRPr="00076DDB" w14:paraId="3A21DD33" w14:textId="77777777" w:rsidTr="007A6370">
        <w:tc>
          <w:tcPr>
            <w:tcW w:w="2835" w:type="dxa"/>
          </w:tcPr>
          <w:p w14:paraId="6155F53A" w14:textId="77777777" w:rsidR="007A6370" w:rsidRPr="00076DDB" w:rsidRDefault="007A6370" w:rsidP="00B31F6D">
            <w:pPr>
              <w:ind w:left="164"/>
            </w:pPr>
            <w:r w:rsidRPr="00076DDB">
              <w:t>Australian Capital Territory</w:t>
            </w:r>
          </w:p>
        </w:tc>
        <w:tc>
          <w:tcPr>
            <w:tcW w:w="1985" w:type="dxa"/>
            <w:vAlign w:val="center"/>
          </w:tcPr>
          <w:p w14:paraId="58ED4EF3" w14:textId="6331AA6D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12 (4.9)</w:t>
            </w:r>
          </w:p>
        </w:tc>
        <w:tc>
          <w:tcPr>
            <w:tcW w:w="1985" w:type="dxa"/>
          </w:tcPr>
          <w:p w14:paraId="554CD3BE" w14:textId="6F9682EE" w:rsidR="007A6370" w:rsidRPr="00076DDB" w:rsidRDefault="007A6370" w:rsidP="00B31F6D">
            <w:r w:rsidRPr="00076DDB">
              <w:t>2 (3.</w:t>
            </w:r>
            <w:r w:rsidR="0071745C" w:rsidRPr="00076DDB">
              <w:t>6</w:t>
            </w:r>
            <w:r w:rsidRPr="00076DDB">
              <w:t>)</w:t>
            </w:r>
          </w:p>
        </w:tc>
      </w:tr>
      <w:tr w:rsidR="007A6370" w:rsidRPr="00076DDB" w14:paraId="2989C256" w14:textId="77777777" w:rsidTr="007A6370">
        <w:tc>
          <w:tcPr>
            <w:tcW w:w="2835" w:type="dxa"/>
          </w:tcPr>
          <w:p w14:paraId="402FB5FC" w14:textId="77777777" w:rsidR="007A6370" w:rsidRPr="00076DDB" w:rsidRDefault="007A6370" w:rsidP="00B31F6D">
            <w:pPr>
              <w:ind w:left="164"/>
            </w:pPr>
            <w:r w:rsidRPr="00076DDB">
              <w:t>Northern Territory</w:t>
            </w:r>
          </w:p>
        </w:tc>
        <w:tc>
          <w:tcPr>
            <w:tcW w:w="1985" w:type="dxa"/>
            <w:vAlign w:val="center"/>
          </w:tcPr>
          <w:p w14:paraId="0267890A" w14:textId="0364054C" w:rsidR="007A6370" w:rsidRPr="00076DDB" w:rsidRDefault="007A6370" w:rsidP="00B31F6D">
            <w:r w:rsidRPr="00076DDB">
              <w:rPr>
                <w:rFonts w:ascii="Calibri" w:hAnsi="Calibri" w:cs="Calibri"/>
                <w:color w:val="000000"/>
              </w:rPr>
              <w:t>16 (6.</w:t>
            </w:r>
            <w:r w:rsidR="00481D7D" w:rsidRPr="00076DDB">
              <w:rPr>
                <w:rFonts w:ascii="Calibri" w:hAnsi="Calibri" w:cs="Calibri"/>
                <w:color w:val="000000"/>
              </w:rPr>
              <w:t>6</w:t>
            </w:r>
            <w:r w:rsidRPr="00076DD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</w:tcPr>
          <w:p w14:paraId="26DA850C" w14:textId="7C29CB56" w:rsidR="007A6370" w:rsidRPr="00076DDB" w:rsidRDefault="007A6370" w:rsidP="00B31F6D">
            <w:r w:rsidRPr="00076DDB">
              <w:t>6 (10.7)</w:t>
            </w:r>
          </w:p>
        </w:tc>
      </w:tr>
    </w:tbl>
    <w:p w14:paraId="1A98B45A" w14:textId="77777777" w:rsidR="0069728A" w:rsidRPr="00076DDB" w:rsidRDefault="0069728A" w:rsidP="00B31F6D">
      <w:pPr>
        <w:spacing w:line="240" w:lineRule="auto"/>
      </w:pPr>
    </w:p>
    <w:p w14:paraId="3004661C" w14:textId="257CF1FE" w:rsidR="00786EE6" w:rsidRPr="00076DDB" w:rsidRDefault="00786EE6" w:rsidP="00B31F6D">
      <w:pPr>
        <w:spacing w:line="360" w:lineRule="auto"/>
        <w:rPr>
          <w:b/>
          <w:bCs/>
        </w:rPr>
      </w:pPr>
      <w:r w:rsidRPr="00076DDB">
        <w:rPr>
          <w:b/>
          <w:bCs/>
        </w:rPr>
        <w:lastRenderedPageBreak/>
        <w:t>Sensitivity analysis: ‘inconclusive’ traffic light classification assumed lower nutritional quality</w:t>
      </w:r>
    </w:p>
    <w:p w14:paraId="66E53FA5" w14:textId="2B496300" w:rsidR="00786EE6" w:rsidRPr="00076DDB" w:rsidRDefault="00786EE6" w:rsidP="00B31F6D">
      <w:pPr>
        <w:spacing w:line="360" w:lineRule="auto"/>
      </w:pPr>
      <w:r w:rsidRPr="00076DDB">
        <w:t>Item-level characteristics when classing inconclusive ‘green-amber’ and ‘amber-red’ items as being of lower nutritional quality (amber and red, respectively) are reported in Table S</w:t>
      </w:r>
      <w:r w:rsidR="00E625F9" w:rsidRPr="00076DDB">
        <w:t>2</w:t>
      </w:r>
      <w:r w:rsidRPr="00076DDB">
        <w:t>. Compared to primary results (where ‘inconclusive’ items are assumed to be of higher nutritional quality)</w:t>
      </w:r>
      <w:r w:rsidR="00195C30" w:rsidRPr="00076DDB">
        <w:t xml:space="preserve"> the largest change was observed in the proportion of items classed as ‘green’ or ‘amber’, where a majority were classed as ‘amber’ when lower nutritional quality was assumed. </w:t>
      </w:r>
    </w:p>
    <w:p w14:paraId="03C777FC" w14:textId="3967CA9F" w:rsidR="00786EE6" w:rsidRPr="00076DDB" w:rsidRDefault="00786EE6" w:rsidP="00B31F6D">
      <w:pPr>
        <w:spacing w:line="240" w:lineRule="auto"/>
      </w:pPr>
      <w:r w:rsidRPr="00076DDB">
        <w:t>Table S</w:t>
      </w:r>
      <w:r w:rsidR="00E625F9" w:rsidRPr="00076DDB">
        <w:t>2</w:t>
      </w:r>
      <w:r w:rsidRPr="00076DDB">
        <w:t xml:space="preserve">. </w:t>
      </w:r>
    </w:p>
    <w:p w14:paraId="1652A643" w14:textId="07C9DF1B" w:rsidR="00786EE6" w:rsidRPr="00076DDB" w:rsidRDefault="00786EE6" w:rsidP="00B31F6D">
      <w:pPr>
        <w:spacing w:line="240" w:lineRule="auto"/>
      </w:pPr>
      <w:r w:rsidRPr="00076DDB">
        <w:t>Characteristics of items on school canteen menus: ‘inconclusive’ items classed assumed lower nutritional quality.</w:t>
      </w:r>
    </w:p>
    <w:tbl>
      <w:tblPr>
        <w:tblStyle w:val="TableGrid"/>
        <w:tblW w:w="740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1750"/>
        <w:gridCol w:w="1829"/>
        <w:gridCol w:w="1809"/>
      </w:tblGrid>
      <w:tr w:rsidR="00786EE6" w:rsidRPr="00076DDB" w14:paraId="6204243F" w14:textId="77777777" w:rsidTr="00A17834"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7BC11627" w14:textId="77777777" w:rsidR="00786EE6" w:rsidRPr="00076DDB" w:rsidRDefault="00786EE6" w:rsidP="00B31F6D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4243009" w14:textId="77777777" w:rsidR="00786EE6" w:rsidRPr="00076DDB" w:rsidRDefault="00786EE6" w:rsidP="00B31F6D">
            <w:pPr>
              <w:jc w:val="center"/>
            </w:pPr>
            <w:r w:rsidRPr="00076DDB">
              <w:t>Green</w:t>
            </w:r>
          </w:p>
          <w:p w14:paraId="7B53856F" w14:textId="77777777" w:rsidR="00786EE6" w:rsidRPr="00076DDB" w:rsidRDefault="00786EE6" w:rsidP="00B31F6D">
            <w:pPr>
              <w:jc w:val="center"/>
            </w:pPr>
            <w:r w:rsidRPr="00076DDB">
              <w:t>Row % weighted</w:t>
            </w:r>
          </w:p>
          <w:p w14:paraId="397BD0C0" w14:textId="4E32EE0E" w:rsidR="00786EE6" w:rsidRPr="00076DDB" w:rsidRDefault="00786EE6" w:rsidP="00B31F6D">
            <w:pPr>
              <w:jc w:val="center"/>
            </w:pPr>
            <w:r w:rsidRPr="00076DDB">
              <w:t>(unweighted)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C4AFA98" w14:textId="77777777" w:rsidR="00786EE6" w:rsidRPr="00076DDB" w:rsidRDefault="00786EE6" w:rsidP="00B31F6D">
            <w:pPr>
              <w:jc w:val="center"/>
            </w:pPr>
            <w:r w:rsidRPr="00076DDB">
              <w:t>Amber</w:t>
            </w:r>
          </w:p>
          <w:p w14:paraId="237C6A38" w14:textId="77777777" w:rsidR="00786EE6" w:rsidRPr="00076DDB" w:rsidRDefault="00786EE6" w:rsidP="00B31F6D">
            <w:pPr>
              <w:jc w:val="center"/>
            </w:pPr>
            <w:r w:rsidRPr="00076DDB">
              <w:t>Row % weighted</w:t>
            </w:r>
          </w:p>
          <w:p w14:paraId="5E0435E2" w14:textId="7703A761" w:rsidR="00786EE6" w:rsidRPr="00076DDB" w:rsidRDefault="00786EE6" w:rsidP="00B31F6D">
            <w:pPr>
              <w:jc w:val="center"/>
            </w:pPr>
            <w:r w:rsidRPr="00076DDB">
              <w:t>(unweighted)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BFB7"/>
          </w:tcPr>
          <w:p w14:paraId="45AF3B0B" w14:textId="77777777" w:rsidR="00786EE6" w:rsidRPr="00076DDB" w:rsidRDefault="00786EE6" w:rsidP="00B31F6D">
            <w:pPr>
              <w:jc w:val="center"/>
            </w:pPr>
            <w:r w:rsidRPr="00076DDB">
              <w:t>Red</w:t>
            </w:r>
          </w:p>
          <w:p w14:paraId="6E78E145" w14:textId="77777777" w:rsidR="00786EE6" w:rsidRPr="00076DDB" w:rsidRDefault="00786EE6" w:rsidP="00B31F6D">
            <w:pPr>
              <w:jc w:val="center"/>
            </w:pPr>
            <w:r w:rsidRPr="00076DDB">
              <w:t>Row % weighted</w:t>
            </w:r>
          </w:p>
          <w:p w14:paraId="6293FAAA" w14:textId="2E6710D3" w:rsidR="00786EE6" w:rsidRPr="00076DDB" w:rsidRDefault="00786EE6" w:rsidP="00B31F6D">
            <w:pPr>
              <w:jc w:val="center"/>
            </w:pPr>
            <w:r w:rsidRPr="00076DDB">
              <w:t>(unweighted)</w:t>
            </w:r>
          </w:p>
        </w:tc>
      </w:tr>
      <w:tr w:rsidR="00786EE6" w:rsidRPr="00076DDB" w14:paraId="769C6B68" w14:textId="77777777" w:rsidTr="00A17834">
        <w:tc>
          <w:tcPr>
            <w:tcW w:w="2015" w:type="dxa"/>
            <w:tcBorders>
              <w:top w:val="single" w:sz="4" w:space="0" w:color="auto"/>
            </w:tcBorders>
          </w:tcPr>
          <w:p w14:paraId="53EF7295" w14:textId="77777777" w:rsidR="00786EE6" w:rsidRPr="00076DDB" w:rsidRDefault="00786EE6" w:rsidP="00B31F6D">
            <w:r w:rsidRPr="00076DDB">
              <w:t>Overall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40B94F9" w14:textId="525E382D" w:rsidR="00786EE6" w:rsidRPr="00076DDB" w:rsidRDefault="00D91894" w:rsidP="00B31F6D">
            <w:r w:rsidRPr="00076DDB">
              <w:t>16.</w:t>
            </w:r>
            <w:r w:rsidR="00742828" w:rsidRPr="00076DDB">
              <w:t>9</w:t>
            </w:r>
            <w:r w:rsidRPr="00076DDB">
              <w:t xml:space="preserve"> (16.</w:t>
            </w:r>
            <w:r w:rsidR="0071745C" w:rsidRPr="00076DDB">
              <w:t>9</w:t>
            </w:r>
            <w:r w:rsidRPr="00076DDB">
              <w:t>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B5EDBF0" w14:textId="404609D3" w:rsidR="00786EE6" w:rsidRPr="00076DDB" w:rsidRDefault="00D91894" w:rsidP="00B31F6D">
            <w:r w:rsidRPr="00076DDB">
              <w:t>59.</w:t>
            </w:r>
            <w:r w:rsidR="00742828" w:rsidRPr="00076DDB">
              <w:t>8</w:t>
            </w:r>
            <w:r w:rsidRPr="00076DDB">
              <w:t xml:space="preserve"> (59.5)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BBFB7"/>
          </w:tcPr>
          <w:p w14:paraId="31286AF8" w14:textId="5C713EA6" w:rsidR="00786EE6" w:rsidRPr="00076DDB" w:rsidRDefault="00D91894" w:rsidP="00B31F6D">
            <w:r w:rsidRPr="00076DDB">
              <w:t>2</w:t>
            </w:r>
            <w:r w:rsidR="00742828" w:rsidRPr="00076DDB">
              <w:t>3.</w:t>
            </w:r>
            <w:r w:rsidR="0071745C" w:rsidRPr="00076DDB">
              <w:t>3</w:t>
            </w:r>
            <w:r w:rsidRPr="00076DDB">
              <w:t xml:space="preserve"> (23.</w:t>
            </w:r>
            <w:r w:rsidR="00C82D8C" w:rsidRPr="00076DDB">
              <w:t>6</w:t>
            </w:r>
            <w:r w:rsidRPr="00076DDB">
              <w:t>)</w:t>
            </w:r>
          </w:p>
        </w:tc>
      </w:tr>
      <w:tr w:rsidR="00786EE6" w:rsidRPr="00076DDB" w14:paraId="38A8F276" w14:textId="77777777" w:rsidTr="00A17834">
        <w:tc>
          <w:tcPr>
            <w:tcW w:w="2015" w:type="dxa"/>
          </w:tcPr>
          <w:p w14:paraId="69D16146" w14:textId="77777777" w:rsidR="00786EE6" w:rsidRPr="00076DDB" w:rsidRDefault="00786EE6" w:rsidP="00B31F6D">
            <w:pPr>
              <w:rPr>
                <w:i/>
                <w:iCs/>
              </w:rPr>
            </w:pPr>
            <w:r w:rsidRPr="00076DDB">
              <w:rPr>
                <w:i/>
                <w:iCs/>
              </w:rPr>
              <w:t xml:space="preserve">Survey wave 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208DBB3C" w14:textId="77777777" w:rsidR="00786EE6" w:rsidRPr="00076DDB" w:rsidRDefault="00786EE6" w:rsidP="00B31F6D"/>
        </w:tc>
        <w:tc>
          <w:tcPr>
            <w:tcW w:w="1829" w:type="dxa"/>
            <w:shd w:val="clear" w:color="auto" w:fill="FFF2CC" w:themeFill="accent4" w:themeFillTint="33"/>
          </w:tcPr>
          <w:p w14:paraId="7854A97C" w14:textId="77777777" w:rsidR="00786EE6" w:rsidRPr="00076DDB" w:rsidRDefault="00786EE6" w:rsidP="00B31F6D"/>
        </w:tc>
        <w:tc>
          <w:tcPr>
            <w:tcW w:w="1809" w:type="dxa"/>
            <w:shd w:val="clear" w:color="auto" w:fill="FBBFB7"/>
          </w:tcPr>
          <w:p w14:paraId="62F6FF31" w14:textId="77777777" w:rsidR="00786EE6" w:rsidRPr="00076DDB" w:rsidRDefault="00786EE6" w:rsidP="00B31F6D"/>
        </w:tc>
      </w:tr>
      <w:tr w:rsidR="00786EE6" w:rsidRPr="00076DDB" w14:paraId="084545AD" w14:textId="77777777" w:rsidTr="00A17834">
        <w:tc>
          <w:tcPr>
            <w:tcW w:w="2015" w:type="dxa"/>
          </w:tcPr>
          <w:p w14:paraId="446A75C7" w14:textId="77777777" w:rsidR="00786EE6" w:rsidRPr="00076DDB" w:rsidRDefault="00786EE6" w:rsidP="00B31F6D">
            <w:pPr>
              <w:ind w:left="164"/>
            </w:pPr>
            <w:r w:rsidRPr="00076DDB">
              <w:t>2012-2013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43353620" w14:textId="6ED9266A" w:rsidR="00786EE6" w:rsidRPr="00076DDB" w:rsidRDefault="007A5A74" w:rsidP="00B31F6D">
            <w:r w:rsidRPr="00076DDB">
              <w:t>16.2 (</w:t>
            </w:r>
            <w:r w:rsidR="00522E0A" w:rsidRPr="00076DDB">
              <w:t>16.7</w:t>
            </w:r>
            <w:r w:rsidRPr="00076DDB">
              <w:t>)</w:t>
            </w:r>
          </w:p>
        </w:tc>
        <w:tc>
          <w:tcPr>
            <w:tcW w:w="1829" w:type="dxa"/>
            <w:shd w:val="clear" w:color="auto" w:fill="FFF2CC" w:themeFill="accent4" w:themeFillTint="33"/>
          </w:tcPr>
          <w:p w14:paraId="6B6A3381" w14:textId="7ED158BB" w:rsidR="00786EE6" w:rsidRPr="00076DDB" w:rsidRDefault="007A5A74" w:rsidP="00B31F6D">
            <w:r w:rsidRPr="00076DDB">
              <w:t>59.0 (</w:t>
            </w:r>
            <w:r w:rsidR="00522E0A" w:rsidRPr="00076DDB">
              <w:t>59.1</w:t>
            </w:r>
            <w:r w:rsidRPr="00076DDB">
              <w:t>)</w:t>
            </w:r>
          </w:p>
        </w:tc>
        <w:tc>
          <w:tcPr>
            <w:tcW w:w="1809" w:type="dxa"/>
            <w:shd w:val="clear" w:color="auto" w:fill="FBBFB7"/>
          </w:tcPr>
          <w:p w14:paraId="6446B972" w14:textId="32300135" w:rsidR="00786EE6" w:rsidRPr="00076DDB" w:rsidRDefault="007A5A74" w:rsidP="00B31F6D">
            <w:r w:rsidRPr="00076DDB">
              <w:t>24.8 (</w:t>
            </w:r>
            <w:r w:rsidR="00522E0A" w:rsidRPr="00076DDB">
              <w:t>24.</w:t>
            </w:r>
            <w:r w:rsidR="00C82D8C" w:rsidRPr="00076DDB">
              <w:t>2</w:t>
            </w:r>
            <w:r w:rsidRPr="00076DDB">
              <w:t>)</w:t>
            </w:r>
          </w:p>
        </w:tc>
      </w:tr>
      <w:tr w:rsidR="00786EE6" w:rsidRPr="00076DDB" w14:paraId="1354D175" w14:textId="77777777" w:rsidTr="00A17834">
        <w:tc>
          <w:tcPr>
            <w:tcW w:w="2015" w:type="dxa"/>
            <w:tcBorders>
              <w:bottom w:val="nil"/>
            </w:tcBorders>
          </w:tcPr>
          <w:p w14:paraId="648EA99B" w14:textId="77777777" w:rsidR="00786EE6" w:rsidRPr="00076DDB" w:rsidRDefault="00786EE6" w:rsidP="00B31F6D">
            <w:pPr>
              <w:ind w:left="164"/>
            </w:pPr>
            <w:r w:rsidRPr="00076DDB">
              <w:t>2018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C5E0B3" w:themeFill="accent6" w:themeFillTint="66"/>
          </w:tcPr>
          <w:p w14:paraId="500D7C25" w14:textId="31C1B212" w:rsidR="00786EE6" w:rsidRPr="00076DDB" w:rsidRDefault="007A5A74" w:rsidP="00B31F6D">
            <w:r w:rsidRPr="00076DDB">
              <w:t>17.5 (</w:t>
            </w:r>
            <w:r w:rsidR="00522E0A" w:rsidRPr="00076DDB">
              <w:t>17.1</w:t>
            </w:r>
            <w:r w:rsidRPr="00076DDB">
              <w:t>)</w:t>
            </w:r>
          </w:p>
        </w:tc>
        <w:tc>
          <w:tcPr>
            <w:tcW w:w="1829" w:type="dxa"/>
            <w:tcBorders>
              <w:bottom w:val="nil"/>
            </w:tcBorders>
            <w:shd w:val="clear" w:color="auto" w:fill="FFF2CC" w:themeFill="accent4" w:themeFillTint="33"/>
          </w:tcPr>
          <w:p w14:paraId="3060734E" w14:textId="7EE3A8D8" w:rsidR="00786EE6" w:rsidRPr="00076DDB" w:rsidRDefault="007A5A74" w:rsidP="00B31F6D">
            <w:r w:rsidRPr="00076DDB">
              <w:t>60.</w:t>
            </w:r>
            <w:r w:rsidR="0071745C" w:rsidRPr="00076DDB">
              <w:t>5</w:t>
            </w:r>
            <w:r w:rsidRPr="00076DDB">
              <w:t xml:space="preserve"> (</w:t>
            </w:r>
            <w:r w:rsidR="00522E0A" w:rsidRPr="00076DDB">
              <w:t>60.</w:t>
            </w:r>
            <w:r w:rsidR="0071745C" w:rsidRPr="00076DDB">
              <w:t>2</w:t>
            </w:r>
            <w:r w:rsidRPr="00076DDB">
              <w:t>)</w:t>
            </w:r>
          </w:p>
        </w:tc>
        <w:tc>
          <w:tcPr>
            <w:tcW w:w="1809" w:type="dxa"/>
            <w:tcBorders>
              <w:bottom w:val="nil"/>
            </w:tcBorders>
            <w:shd w:val="clear" w:color="auto" w:fill="FBBFB7"/>
          </w:tcPr>
          <w:p w14:paraId="7F344555" w14:textId="5065A7BF" w:rsidR="00786EE6" w:rsidRPr="00076DDB" w:rsidRDefault="007A5A74" w:rsidP="00B31F6D">
            <w:r w:rsidRPr="00076DDB">
              <w:t>22.</w:t>
            </w:r>
            <w:r w:rsidR="0071745C" w:rsidRPr="00076DDB">
              <w:t>1</w:t>
            </w:r>
            <w:r w:rsidRPr="00076DDB">
              <w:t xml:space="preserve"> (</w:t>
            </w:r>
            <w:r w:rsidR="00522E0A" w:rsidRPr="00076DDB">
              <w:t>22.</w:t>
            </w:r>
            <w:r w:rsidR="00C82D8C" w:rsidRPr="00076DDB">
              <w:t>7</w:t>
            </w:r>
            <w:r w:rsidRPr="00076DDB">
              <w:t>)</w:t>
            </w:r>
          </w:p>
        </w:tc>
      </w:tr>
      <w:tr w:rsidR="00786EE6" w:rsidRPr="00076DDB" w14:paraId="2B75ED3D" w14:textId="77777777" w:rsidTr="00A17834">
        <w:tc>
          <w:tcPr>
            <w:tcW w:w="2015" w:type="dxa"/>
            <w:tcBorders>
              <w:top w:val="nil"/>
              <w:bottom w:val="nil"/>
            </w:tcBorders>
          </w:tcPr>
          <w:p w14:paraId="37F4277B" w14:textId="77777777" w:rsidR="00786EE6" w:rsidRPr="00076DDB" w:rsidRDefault="00786EE6" w:rsidP="00B31F6D">
            <w:pPr>
              <w:rPr>
                <w:i/>
                <w:iCs/>
              </w:rPr>
            </w:pPr>
            <w:r w:rsidRPr="00076DDB">
              <w:rPr>
                <w:i/>
                <w:iCs/>
              </w:rPr>
              <w:t>Product sector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C9B7972" w14:textId="77777777" w:rsidR="00786EE6" w:rsidRPr="00076DDB" w:rsidRDefault="00786EE6" w:rsidP="00B31F6D"/>
        </w:tc>
        <w:tc>
          <w:tcPr>
            <w:tcW w:w="1829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38EC322" w14:textId="77777777" w:rsidR="00786EE6" w:rsidRPr="00076DDB" w:rsidRDefault="00786EE6" w:rsidP="00B31F6D"/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BBFB7"/>
          </w:tcPr>
          <w:p w14:paraId="76E0DC72" w14:textId="77777777" w:rsidR="00786EE6" w:rsidRPr="00076DDB" w:rsidRDefault="00786EE6" w:rsidP="00B31F6D"/>
        </w:tc>
      </w:tr>
      <w:tr w:rsidR="00742828" w:rsidRPr="00076DDB" w14:paraId="14293D19" w14:textId="77777777" w:rsidTr="00A17834">
        <w:tc>
          <w:tcPr>
            <w:tcW w:w="2015" w:type="dxa"/>
            <w:tcBorders>
              <w:top w:val="nil"/>
            </w:tcBorders>
          </w:tcPr>
          <w:p w14:paraId="661AFF52" w14:textId="3CEB6CAA" w:rsidR="00742828" w:rsidRPr="00076DDB" w:rsidRDefault="00742828" w:rsidP="00742828">
            <w:pPr>
              <w:ind w:left="164"/>
            </w:pPr>
            <w:r w:rsidRPr="00076DDB">
              <w:t>Meal foods (hot)</w:t>
            </w:r>
          </w:p>
        </w:tc>
        <w:tc>
          <w:tcPr>
            <w:tcW w:w="1750" w:type="dxa"/>
            <w:tcBorders>
              <w:top w:val="nil"/>
            </w:tcBorders>
            <w:shd w:val="clear" w:color="auto" w:fill="C5E0B3" w:themeFill="accent6" w:themeFillTint="66"/>
          </w:tcPr>
          <w:p w14:paraId="34C1D58A" w14:textId="3D8EFE61" w:rsidR="00742828" w:rsidRPr="00076DDB" w:rsidRDefault="00742828" w:rsidP="00742828">
            <w:r w:rsidRPr="00076DDB">
              <w:t>5.5 (5.3)</w:t>
            </w:r>
          </w:p>
        </w:tc>
        <w:tc>
          <w:tcPr>
            <w:tcW w:w="1829" w:type="dxa"/>
            <w:tcBorders>
              <w:top w:val="nil"/>
            </w:tcBorders>
            <w:shd w:val="clear" w:color="auto" w:fill="FFF2CC" w:themeFill="accent4" w:themeFillTint="33"/>
          </w:tcPr>
          <w:p w14:paraId="0B29E66E" w14:textId="2294F938" w:rsidR="00742828" w:rsidRPr="00076DDB" w:rsidRDefault="00742828" w:rsidP="00742828">
            <w:r w:rsidRPr="00076DDB">
              <w:t>74.</w:t>
            </w:r>
            <w:r w:rsidR="0071745C" w:rsidRPr="00076DDB">
              <w:t>8</w:t>
            </w:r>
            <w:r w:rsidRPr="00076DDB">
              <w:t xml:space="preserve"> (74.7)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FBBFB7"/>
          </w:tcPr>
          <w:p w14:paraId="6179AE86" w14:textId="35D74FC7" w:rsidR="00742828" w:rsidRPr="00076DDB" w:rsidRDefault="00742828" w:rsidP="00742828">
            <w:r w:rsidRPr="00076DDB">
              <w:t>19.7 (</w:t>
            </w:r>
            <w:r w:rsidR="00C82D8C" w:rsidRPr="00076DDB">
              <w:t>20.0</w:t>
            </w:r>
            <w:r w:rsidRPr="00076DDB">
              <w:t>)</w:t>
            </w:r>
          </w:p>
        </w:tc>
      </w:tr>
      <w:tr w:rsidR="00742828" w:rsidRPr="00076DDB" w14:paraId="18B02986" w14:textId="77777777" w:rsidTr="00A17834">
        <w:tc>
          <w:tcPr>
            <w:tcW w:w="2015" w:type="dxa"/>
          </w:tcPr>
          <w:p w14:paraId="0D19A993" w14:textId="5B311363" w:rsidR="00742828" w:rsidRPr="00076DDB" w:rsidRDefault="00742828" w:rsidP="00742828">
            <w:pPr>
              <w:ind w:left="164"/>
            </w:pPr>
            <w:r w:rsidRPr="00076DDB">
              <w:t>Meal foods (cold)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2C8B1670" w14:textId="2FE69FD8" w:rsidR="00742828" w:rsidRPr="00076DDB" w:rsidRDefault="00742828" w:rsidP="00742828">
            <w:r w:rsidRPr="00076DDB">
              <w:t>26.</w:t>
            </w:r>
            <w:r w:rsidR="0071745C" w:rsidRPr="00076DDB">
              <w:t>2</w:t>
            </w:r>
            <w:r w:rsidRPr="00076DDB">
              <w:t xml:space="preserve"> (26.4)</w:t>
            </w:r>
          </w:p>
        </w:tc>
        <w:tc>
          <w:tcPr>
            <w:tcW w:w="1829" w:type="dxa"/>
            <w:shd w:val="clear" w:color="auto" w:fill="FFF2CC" w:themeFill="accent4" w:themeFillTint="33"/>
          </w:tcPr>
          <w:p w14:paraId="6EE89CB4" w14:textId="3CE7C59D" w:rsidR="00742828" w:rsidRPr="00076DDB" w:rsidRDefault="00742828" w:rsidP="00742828">
            <w:r w:rsidRPr="00076DDB">
              <w:t>73.5</w:t>
            </w:r>
            <w:r w:rsidR="0071745C" w:rsidRPr="00076DDB">
              <w:t xml:space="preserve"> </w:t>
            </w:r>
            <w:r w:rsidRPr="00076DDB">
              <w:t>(73.</w:t>
            </w:r>
            <w:r w:rsidR="0071745C" w:rsidRPr="00076DDB">
              <w:t>3</w:t>
            </w:r>
            <w:r w:rsidRPr="00076DDB">
              <w:t>)</w:t>
            </w:r>
          </w:p>
        </w:tc>
        <w:tc>
          <w:tcPr>
            <w:tcW w:w="1809" w:type="dxa"/>
            <w:shd w:val="clear" w:color="auto" w:fill="FBBFB7"/>
          </w:tcPr>
          <w:p w14:paraId="6CD0934F" w14:textId="532B98C8" w:rsidR="00742828" w:rsidRPr="00076DDB" w:rsidRDefault="00742828" w:rsidP="00742828">
            <w:r w:rsidRPr="00076DDB">
              <w:t>0.3 (0.3)</w:t>
            </w:r>
          </w:p>
        </w:tc>
      </w:tr>
      <w:tr w:rsidR="00742828" w:rsidRPr="00076DDB" w14:paraId="79F6A8AD" w14:textId="77777777" w:rsidTr="00A17834">
        <w:tc>
          <w:tcPr>
            <w:tcW w:w="2015" w:type="dxa"/>
          </w:tcPr>
          <w:p w14:paraId="3935BBD8" w14:textId="77777777" w:rsidR="00742828" w:rsidRPr="00076DDB" w:rsidRDefault="00742828" w:rsidP="00742828">
            <w:pPr>
              <w:ind w:left="164"/>
            </w:pPr>
            <w:r w:rsidRPr="00076DDB">
              <w:t>Snacks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5D740FDB" w14:textId="68CD87FB" w:rsidR="00742828" w:rsidRPr="00076DDB" w:rsidRDefault="00742828" w:rsidP="00742828">
            <w:r w:rsidRPr="00076DDB">
              <w:t>16.2 (15.5)</w:t>
            </w:r>
          </w:p>
        </w:tc>
        <w:tc>
          <w:tcPr>
            <w:tcW w:w="1829" w:type="dxa"/>
            <w:shd w:val="clear" w:color="auto" w:fill="FFF2CC" w:themeFill="accent4" w:themeFillTint="33"/>
          </w:tcPr>
          <w:p w14:paraId="48911BDA" w14:textId="63D68D55" w:rsidR="00742828" w:rsidRPr="00076DDB" w:rsidRDefault="00742828" w:rsidP="00742828">
            <w:r w:rsidRPr="00076DDB">
              <w:t>21.</w:t>
            </w:r>
            <w:r w:rsidR="0071745C" w:rsidRPr="00076DDB">
              <w:t>3</w:t>
            </w:r>
            <w:r w:rsidRPr="00076DDB">
              <w:t xml:space="preserve"> (2</w:t>
            </w:r>
            <w:r w:rsidR="0071745C" w:rsidRPr="00076DDB">
              <w:t>2.0</w:t>
            </w:r>
            <w:r w:rsidRPr="00076DDB">
              <w:t>)</w:t>
            </w:r>
          </w:p>
        </w:tc>
        <w:tc>
          <w:tcPr>
            <w:tcW w:w="1809" w:type="dxa"/>
            <w:shd w:val="clear" w:color="auto" w:fill="FBBFB7"/>
          </w:tcPr>
          <w:p w14:paraId="01E64521" w14:textId="18DF8CDC" w:rsidR="00742828" w:rsidRPr="00076DDB" w:rsidRDefault="00742828" w:rsidP="00742828">
            <w:r w:rsidRPr="00076DDB">
              <w:t>62.5 (62.5)</w:t>
            </w:r>
          </w:p>
        </w:tc>
      </w:tr>
      <w:tr w:rsidR="00742828" w:rsidRPr="00076DDB" w14:paraId="1EF4ACD8" w14:textId="77777777" w:rsidTr="00A17834">
        <w:tc>
          <w:tcPr>
            <w:tcW w:w="2015" w:type="dxa"/>
          </w:tcPr>
          <w:p w14:paraId="06B1DCB4" w14:textId="77777777" w:rsidR="00742828" w:rsidRPr="00076DDB" w:rsidRDefault="00742828" w:rsidP="00742828">
            <w:pPr>
              <w:ind w:left="164"/>
            </w:pPr>
            <w:r w:rsidRPr="00076DDB">
              <w:t>Drinks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706CA680" w14:textId="7A45F4CE" w:rsidR="00742828" w:rsidRPr="00076DDB" w:rsidRDefault="00742828" w:rsidP="00742828">
            <w:r w:rsidRPr="00076DDB">
              <w:t>17.7 (17.8)</w:t>
            </w:r>
          </w:p>
        </w:tc>
        <w:tc>
          <w:tcPr>
            <w:tcW w:w="1829" w:type="dxa"/>
            <w:shd w:val="clear" w:color="auto" w:fill="FFF2CC" w:themeFill="accent4" w:themeFillTint="33"/>
          </w:tcPr>
          <w:p w14:paraId="133C76C9" w14:textId="4FB2532A" w:rsidR="00742828" w:rsidRPr="00076DDB" w:rsidRDefault="00742828" w:rsidP="00742828">
            <w:r w:rsidRPr="00076DDB">
              <w:t>36.4 (34.1)</w:t>
            </w:r>
          </w:p>
        </w:tc>
        <w:tc>
          <w:tcPr>
            <w:tcW w:w="1809" w:type="dxa"/>
            <w:shd w:val="clear" w:color="auto" w:fill="FBBFB7"/>
          </w:tcPr>
          <w:p w14:paraId="11A5C148" w14:textId="4891B528" w:rsidR="00742828" w:rsidRPr="00076DDB" w:rsidRDefault="00742828" w:rsidP="00742828">
            <w:r w:rsidRPr="00076DDB">
              <w:t>45.</w:t>
            </w:r>
            <w:r w:rsidR="00C82D8C" w:rsidRPr="00076DDB">
              <w:t>9</w:t>
            </w:r>
            <w:r w:rsidRPr="00076DDB">
              <w:t xml:space="preserve"> (48.0)</w:t>
            </w:r>
          </w:p>
        </w:tc>
      </w:tr>
      <w:tr w:rsidR="00742828" w:rsidRPr="00076DDB" w14:paraId="1C8E771F" w14:textId="77777777" w:rsidTr="00A17834">
        <w:tc>
          <w:tcPr>
            <w:tcW w:w="2015" w:type="dxa"/>
            <w:tcBorders>
              <w:bottom w:val="single" w:sz="4" w:space="0" w:color="auto"/>
            </w:tcBorders>
          </w:tcPr>
          <w:p w14:paraId="2B978B19" w14:textId="77777777" w:rsidR="00742828" w:rsidRPr="00076DDB" w:rsidRDefault="00742828" w:rsidP="00742828">
            <w:pPr>
              <w:ind w:left="164"/>
            </w:pPr>
            <w:r w:rsidRPr="00076DDB">
              <w:t>Breakfast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FC0137F" w14:textId="7068A9C6" w:rsidR="00742828" w:rsidRPr="00076DDB" w:rsidRDefault="00742828" w:rsidP="00742828">
            <w:r w:rsidRPr="00076DDB">
              <w:t>16.1 (14.</w:t>
            </w:r>
            <w:r w:rsidR="0071745C" w:rsidRPr="00076DDB">
              <w:t>4</w:t>
            </w:r>
            <w:r w:rsidRPr="00076DDB">
              <w:t>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B8F20A" w14:textId="19F10DFD" w:rsidR="00742828" w:rsidRPr="00076DDB" w:rsidRDefault="00742828" w:rsidP="00742828">
            <w:r w:rsidRPr="00076DDB">
              <w:t>67.</w:t>
            </w:r>
            <w:r w:rsidR="0071745C" w:rsidRPr="00076DDB">
              <w:t>8</w:t>
            </w:r>
            <w:r w:rsidRPr="00076DDB">
              <w:t xml:space="preserve"> (68.8)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BBFB7"/>
          </w:tcPr>
          <w:p w14:paraId="702A29B2" w14:textId="4F2B3B60" w:rsidR="00742828" w:rsidRPr="00076DDB" w:rsidRDefault="00742828" w:rsidP="00742828">
            <w:r w:rsidRPr="00076DDB">
              <w:t>16.1 (16.</w:t>
            </w:r>
            <w:r w:rsidR="00C82D8C" w:rsidRPr="00076DDB">
              <w:t>8</w:t>
            </w:r>
            <w:r w:rsidRPr="00076DDB">
              <w:t>)</w:t>
            </w:r>
          </w:p>
        </w:tc>
      </w:tr>
      <w:tr w:rsidR="00742828" w:rsidRPr="00076DDB" w14:paraId="1A0268AB" w14:textId="77777777" w:rsidTr="00A17834"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207C91A4" w14:textId="77777777" w:rsidR="00742828" w:rsidRPr="00076DDB" w:rsidRDefault="00742828" w:rsidP="00742828">
            <w:pPr>
              <w:rPr>
                <w:i/>
                <w:iCs/>
              </w:rPr>
            </w:pPr>
            <w:r w:rsidRPr="00076DDB">
              <w:rPr>
                <w:i/>
                <w:iCs/>
              </w:rPr>
              <w:t>Promoted items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5EC0EF3" w14:textId="30A24601" w:rsidR="00742828" w:rsidRPr="00076DDB" w:rsidRDefault="00742828" w:rsidP="00742828">
            <w:r w:rsidRPr="00076DDB">
              <w:t>28.2 (28.</w:t>
            </w:r>
            <w:r w:rsidR="00530FDA" w:rsidRPr="00076DDB">
              <w:t>4</w:t>
            </w:r>
            <w:r w:rsidRPr="00076DDB">
              <w:t>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C068055" w14:textId="55BEF605" w:rsidR="00742828" w:rsidRPr="00076DDB" w:rsidRDefault="00742828" w:rsidP="00742828">
            <w:r w:rsidRPr="00076DDB">
              <w:t>65.</w:t>
            </w:r>
            <w:r w:rsidR="0071745C" w:rsidRPr="00076DDB">
              <w:t>9</w:t>
            </w:r>
            <w:r w:rsidRPr="00076DDB">
              <w:t xml:space="preserve"> (6</w:t>
            </w:r>
            <w:r w:rsidR="00530FDA" w:rsidRPr="00076DDB">
              <w:t>5.0</w:t>
            </w:r>
            <w:r w:rsidRPr="00076DDB">
              <w:t>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BFB7"/>
          </w:tcPr>
          <w:p w14:paraId="1076009E" w14:textId="66024FBE" w:rsidR="00742828" w:rsidRPr="00076DDB" w:rsidRDefault="00742828" w:rsidP="00742828">
            <w:r w:rsidRPr="00076DDB">
              <w:t>5.9 (6.</w:t>
            </w:r>
            <w:r w:rsidR="00C82D8C" w:rsidRPr="00076DDB">
              <w:t>6</w:t>
            </w:r>
            <w:r w:rsidRPr="00076DDB">
              <w:t>)</w:t>
            </w:r>
          </w:p>
        </w:tc>
      </w:tr>
      <w:tr w:rsidR="00742828" w:rsidRPr="00520576" w14:paraId="527F52A6" w14:textId="77777777" w:rsidTr="00A17834"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4E373125" w14:textId="77777777" w:rsidR="00742828" w:rsidRPr="00076DDB" w:rsidRDefault="00742828" w:rsidP="00742828">
            <w:r w:rsidRPr="00076DDB">
              <w:rPr>
                <w:i/>
                <w:iCs/>
              </w:rPr>
              <w:t>Price</w:t>
            </w:r>
            <w:r w:rsidRPr="00076DDB">
              <w:t xml:space="preserve"> (</w:t>
            </w:r>
            <w:r w:rsidRPr="00076DDB">
              <w:rPr>
                <w:i/>
                <w:iCs/>
              </w:rPr>
              <w:t>m</w:t>
            </w:r>
            <w:r w:rsidRPr="00076DDB">
              <w:t>)</w:t>
            </w:r>
          </w:p>
          <w:p w14:paraId="69763598" w14:textId="4C21254B" w:rsidR="00742828" w:rsidRPr="00076DDB" w:rsidRDefault="00742828" w:rsidP="00742828">
            <w:r w:rsidRPr="00076DDB">
              <w:t>Unweighted (</w:t>
            </w:r>
            <w:r w:rsidRPr="00076DDB">
              <w:rPr>
                <w:i/>
                <w:iCs/>
              </w:rPr>
              <w:t>m</w:t>
            </w:r>
            <w:r w:rsidRPr="00076DDB">
              <w:t>[</w:t>
            </w:r>
            <w:proofErr w:type="spellStart"/>
            <w:r w:rsidRPr="00076DDB">
              <w:rPr>
                <w:i/>
                <w:iCs/>
              </w:rPr>
              <w:t>sd</w:t>
            </w:r>
            <w:proofErr w:type="spellEnd"/>
            <w:r w:rsidRPr="00076DDB">
              <w:t>])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D24F33C" w14:textId="77777777" w:rsidR="00742828" w:rsidRPr="00076DDB" w:rsidRDefault="00742828" w:rsidP="00742828">
            <w:r w:rsidRPr="00076DDB">
              <w:t>$3.08</w:t>
            </w:r>
          </w:p>
          <w:p w14:paraId="76F30160" w14:textId="27F81B8F" w:rsidR="00742828" w:rsidRPr="00076DDB" w:rsidRDefault="00742828" w:rsidP="00742828">
            <w:r w:rsidRPr="00076DDB">
              <w:t>3.06 (1.46)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2EA8269" w14:textId="77777777" w:rsidR="00742828" w:rsidRPr="00076DDB" w:rsidRDefault="00742828" w:rsidP="00742828">
            <w:r w:rsidRPr="00076DDB">
              <w:t>$3.56</w:t>
            </w:r>
          </w:p>
          <w:p w14:paraId="6388B510" w14:textId="0A8C940A" w:rsidR="00742828" w:rsidRPr="00076DDB" w:rsidRDefault="00742828" w:rsidP="00742828">
            <w:r w:rsidRPr="00076DDB">
              <w:t>3.52 (1.34)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BFB7"/>
          </w:tcPr>
          <w:p w14:paraId="6090A337" w14:textId="5D93F892" w:rsidR="00742828" w:rsidRPr="00076DDB" w:rsidRDefault="00742828" w:rsidP="00742828">
            <w:r w:rsidRPr="00076DDB">
              <w:t>$2.47</w:t>
            </w:r>
          </w:p>
          <w:p w14:paraId="0E9703F4" w14:textId="1E073EF0" w:rsidR="00742828" w:rsidRPr="00076DDB" w:rsidRDefault="00742828" w:rsidP="00742828">
            <w:r w:rsidRPr="00076DDB">
              <w:t>2.48 (1.15)</w:t>
            </w:r>
          </w:p>
        </w:tc>
      </w:tr>
    </w:tbl>
    <w:p w14:paraId="5EAD8453" w14:textId="41BA5838" w:rsidR="005378EE" w:rsidRDefault="005378EE" w:rsidP="00B31F6D">
      <w:pPr>
        <w:spacing w:line="240" w:lineRule="auto"/>
      </w:pPr>
    </w:p>
    <w:p w14:paraId="0DBF740C" w14:textId="77777777" w:rsidR="007A710D" w:rsidRDefault="007A710D" w:rsidP="00B31F6D">
      <w:pPr>
        <w:spacing w:line="360" w:lineRule="auto"/>
      </w:pPr>
    </w:p>
    <w:sectPr w:rsidR="007A710D" w:rsidSect="0085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625"/>
    <w:multiLevelType w:val="hybridMultilevel"/>
    <w:tmpl w:val="DD0815B4"/>
    <w:lvl w:ilvl="0" w:tplc="303263B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CE2"/>
    <w:multiLevelType w:val="hybridMultilevel"/>
    <w:tmpl w:val="92CAEBFC"/>
    <w:lvl w:ilvl="0" w:tplc="343C46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B1897"/>
    <w:multiLevelType w:val="hybridMultilevel"/>
    <w:tmpl w:val="312A81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D00CB"/>
    <w:multiLevelType w:val="hybridMultilevel"/>
    <w:tmpl w:val="0A1A0596"/>
    <w:lvl w:ilvl="0" w:tplc="0F405DF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1D"/>
    <w:rsid w:val="00003F28"/>
    <w:rsid w:val="00010BBF"/>
    <w:rsid w:val="000269E4"/>
    <w:rsid w:val="00076DDB"/>
    <w:rsid w:val="000C0B12"/>
    <w:rsid w:val="0018071C"/>
    <w:rsid w:val="00195C30"/>
    <w:rsid w:val="001F24AD"/>
    <w:rsid w:val="0029148E"/>
    <w:rsid w:val="002A4AF8"/>
    <w:rsid w:val="003442A9"/>
    <w:rsid w:val="003D1894"/>
    <w:rsid w:val="00400878"/>
    <w:rsid w:val="00430262"/>
    <w:rsid w:val="0043279D"/>
    <w:rsid w:val="00481D7D"/>
    <w:rsid w:val="004D247C"/>
    <w:rsid w:val="004D6AEB"/>
    <w:rsid w:val="004E7290"/>
    <w:rsid w:val="00522E0A"/>
    <w:rsid w:val="00530FDA"/>
    <w:rsid w:val="0053225B"/>
    <w:rsid w:val="005378EE"/>
    <w:rsid w:val="00593634"/>
    <w:rsid w:val="005A0F82"/>
    <w:rsid w:val="005B4236"/>
    <w:rsid w:val="006065E5"/>
    <w:rsid w:val="006379B2"/>
    <w:rsid w:val="0069728A"/>
    <w:rsid w:val="006E6B3B"/>
    <w:rsid w:val="0071745C"/>
    <w:rsid w:val="00724A11"/>
    <w:rsid w:val="007305B8"/>
    <w:rsid w:val="0074220D"/>
    <w:rsid w:val="00742828"/>
    <w:rsid w:val="00776975"/>
    <w:rsid w:val="00786EE6"/>
    <w:rsid w:val="00797460"/>
    <w:rsid w:val="007A112D"/>
    <w:rsid w:val="007A5A74"/>
    <w:rsid w:val="007A6370"/>
    <w:rsid w:val="007A710D"/>
    <w:rsid w:val="0081703E"/>
    <w:rsid w:val="00837007"/>
    <w:rsid w:val="00854052"/>
    <w:rsid w:val="008866CD"/>
    <w:rsid w:val="00900DB1"/>
    <w:rsid w:val="0091563B"/>
    <w:rsid w:val="009473DB"/>
    <w:rsid w:val="00953B6C"/>
    <w:rsid w:val="00971B44"/>
    <w:rsid w:val="009E6296"/>
    <w:rsid w:val="00A23471"/>
    <w:rsid w:val="00A7671D"/>
    <w:rsid w:val="00B30166"/>
    <w:rsid w:val="00B31F6D"/>
    <w:rsid w:val="00C82D8C"/>
    <w:rsid w:val="00CB7F86"/>
    <w:rsid w:val="00CC7916"/>
    <w:rsid w:val="00D213BD"/>
    <w:rsid w:val="00D24B55"/>
    <w:rsid w:val="00D91894"/>
    <w:rsid w:val="00DD30C1"/>
    <w:rsid w:val="00DF4158"/>
    <w:rsid w:val="00E625F9"/>
    <w:rsid w:val="00E8549C"/>
    <w:rsid w:val="00EC35AE"/>
    <w:rsid w:val="00EC377E"/>
    <w:rsid w:val="00F1313B"/>
    <w:rsid w:val="00FB0D05"/>
    <w:rsid w:val="00FB18D3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D3B2"/>
  <w15:chartTrackingRefBased/>
  <w15:docId w15:val="{DCB739FC-A981-4641-B1E2-9F2784C7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13B"/>
    <w:rPr>
      <w:sz w:val="20"/>
      <w:szCs w:val="20"/>
    </w:rPr>
  </w:style>
  <w:style w:type="table" w:styleId="TableGrid">
    <w:name w:val="Table Grid"/>
    <w:basedOn w:val="TableNormal"/>
    <w:uiPriority w:val="39"/>
    <w:rsid w:val="00F1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Haynes</dc:creator>
  <cp:keywords/>
  <dc:description/>
  <cp:lastModifiedBy>Ashleigh Haynes</cp:lastModifiedBy>
  <cp:revision>7</cp:revision>
  <dcterms:created xsi:type="dcterms:W3CDTF">2020-05-25T05:30:00Z</dcterms:created>
  <dcterms:modified xsi:type="dcterms:W3CDTF">2020-06-16T04:44:00Z</dcterms:modified>
</cp:coreProperties>
</file>