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0227" w14:textId="3FB27708" w:rsidR="008C18EB" w:rsidRDefault="002655BA" w:rsidP="002E551D">
      <w:pPr>
        <w:pStyle w:val="Normal1"/>
        <w:suppressLineNumbers/>
        <w:spacing w:after="0" w:line="360" w:lineRule="auto"/>
        <w:rPr>
          <w:rFonts w:ascii="Times New Roman" w:hAnsi="Times New Roman" w:cs="Times New Roman"/>
          <w:b/>
          <w:color w:val="000000" w:themeColor="text1"/>
          <w:sz w:val="24"/>
          <w:szCs w:val="24"/>
          <w:lang w:bidi="en-US"/>
        </w:rPr>
      </w:pPr>
      <w:r w:rsidRPr="002655BA">
        <w:rPr>
          <w:rFonts w:ascii="Times New Roman" w:eastAsia="Times New Roman" w:hAnsi="Times New Roman" w:cs="Times New Roman"/>
          <w:b/>
          <w:color w:val="000000" w:themeColor="text1"/>
          <w:sz w:val="24"/>
          <w:szCs w:val="24"/>
          <w:lang w:eastAsia="en-US"/>
        </w:rPr>
        <w:t xml:space="preserve">Supplemental Table 1-a. </w:t>
      </w:r>
      <w:r w:rsidRPr="002655BA">
        <w:rPr>
          <w:rFonts w:ascii="Times New Roman" w:hAnsi="Times New Roman" w:cs="Times New Roman"/>
          <w:b/>
          <w:color w:val="000000" w:themeColor="text1"/>
          <w:sz w:val="24"/>
          <w:szCs w:val="24"/>
          <w:lang w:bidi="en-US"/>
        </w:rPr>
        <w:t>Quality and bias risk assessments according to year of publication.</w:t>
      </w:r>
    </w:p>
    <w:tbl>
      <w:tblPr>
        <w:tblW w:w="15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2"/>
        <w:gridCol w:w="1208"/>
        <w:gridCol w:w="776"/>
        <w:gridCol w:w="992"/>
        <w:gridCol w:w="851"/>
        <w:gridCol w:w="850"/>
        <w:gridCol w:w="1418"/>
        <w:gridCol w:w="1134"/>
        <w:gridCol w:w="425"/>
        <w:gridCol w:w="1134"/>
        <w:gridCol w:w="851"/>
        <w:gridCol w:w="850"/>
        <w:gridCol w:w="709"/>
        <w:gridCol w:w="709"/>
        <w:gridCol w:w="708"/>
        <w:gridCol w:w="1422"/>
      </w:tblGrid>
      <w:tr w:rsidR="003E400D" w:rsidRPr="00D174DC" w14:paraId="70567016" w14:textId="77777777" w:rsidTr="00F53D71">
        <w:trPr>
          <w:trHeight w:val="285"/>
          <w:tblHeader/>
          <w:jc w:val="center"/>
        </w:trPr>
        <w:tc>
          <w:tcPr>
            <w:tcW w:w="1452" w:type="dxa"/>
            <w:vMerge w:val="restart"/>
            <w:tcMar>
              <w:top w:w="0" w:type="dxa"/>
              <w:left w:w="45" w:type="dxa"/>
              <w:bottom w:w="0" w:type="dxa"/>
              <w:right w:w="45" w:type="dxa"/>
            </w:tcMar>
            <w:vAlign w:val="center"/>
            <w:hideMark/>
          </w:tcPr>
          <w:p w14:paraId="6FA9A4E7"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Reference</w:t>
            </w:r>
          </w:p>
        </w:tc>
        <w:tc>
          <w:tcPr>
            <w:tcW w:w="6095" w:type="dxa"/>
            <w:gridSpan w:val="6"/>
            <w:tcMar>
              <w:top w:w="0" w:type="dxa"/>
              <w:left w:w="45" w:type="dxa"/>
              <w:bottom w:w="0" w:type="dxa"/>
              <w:right w:w="45" w:type="dxa"/>
            </w:tcMar>
            <w:vAlign w:val="center"/>
            <w:hideMark/>
          </w:tcPr>
          <w:p w14:paraId="5A2819C4"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The Newcastle-Ottawa Scale</w:t>
            </w:r>
          </w:p>
        </w:tc>
        <w:tc>
          <w:tcPr>
            <w:tcW w:w="1559" w:type="dxa"/>
            <w:gridSpan w:val="2"/>
            <w:tcMar>
              <w:top w:w="0" w:type="dxa"/>
              <w:left w:w="45" w:type="dxa"/>
              <w:bottom w:w="0" w:type="dxa"/>
              <w:right w:w="45" w:type="dxa"/>
            </w:tcMar>
            <w:vAlign w:val="center"/>
            <w:hideMark/>
          </w:tcPr>
          <w:p w14:paraId="4F716B1D"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Cochrane</w:t>
            </w:r>
          </w:p>
        </w:tc>
        <w:tc>
          <w:tcPr>
            <w:tcW w:w="6383" w:type="dxa"/>
            <w:gridSpan w:val="7"/>
            <w:tcMar>
              <w:top w:w="0" w:type="dxa"/>
              <w:left w:w="45" w:type="dxa"/>
              <w:bottom w:w="0" w:type="dxa"/>
              <w:right w:w="45" w:type="dxa"/>
            </w:tcMar>
            <w:vAlign w:val="center"/>
            <w:hideMark/>
          </w:tcPr>
          <w:p w14:paraId="4D271B7D"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Strobe statement</w:t>
            </w:r>
          </w:p>
        </w:tc>
      </w:tr>
      <w:tr w:rsidR="003E400D" w:rsidRPr="00D174DC" w14:paraId="29CD5379" w14:textId="77777777" w:rsidTr="00F53D71">
        <w:trPr>
          <w:trHeight w:val="406"/>
          <w:tblHeader/>
          <w:jc w:val="center"/>
        </w:trPr>
        <w:tc>
          <w:tcPr>
            <w:tcW w:w="1452" w:type="dxa"/>
            <w:vMerge/>
            <w:vAlign w:val="center"/>
            <w:hideMark/>
          </w:tcPr>
          <w:p w14:paraId="3F16E87D" w14:textId="77777777" w:rsidR="003E400D" w:rsidRPr="00D174DC" w:rsidRDefault="003E400D" w:rsidP="00F53D71">
            <w:pPr>
              <w:spacing w:after="0" w:line="240" w:lineRule="auto"/>
              <w:rPr>
                <w:rFonts w:ascii="Times New Roman" w:eastAsia="Times New Roman" w:hAnsi="Times New Roman" w:cs="Times New Roman"/>
                <w:b/>
                <w:bCs/>
                <w:color w:val="000000"/>
                <w:sz w:val="16"/>
                <w:szCs w:val="16"/>
                <w:lang w:val="es-MX" w:eastAsia="es-ES"/>
              </w:rPr>
            </w:pPr>
          </w:p>
        </w:tc>
        <w:tc>
          <w:tcPr>
            <w:tcW w:w="1984" w:type="dxa"/>
            <w:gridSpan w:val="2"/>
            <w:tcMar>
              <w:top w:w="0" w:type="dxa"/>
              <w:left w:w="45" w:type="dxa"/>
              <w:bottom w:w="0" w:type="dxa"/>
              <w:right w:w="45" w:type="dxa"/>
            </w:tcMar>
            <w:vAlign w:val="center"/>
            <w:hideMark/>
          </w:tcPr>
          <w:p w14:paraId="6CE1DDD9"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Selection</w:t>
            </w:r>
          </w:p>
        </w:tc>
        <w:tc>
          <w:tcPr>
            <w:tcW w:w="992" w:type="dxa"/>
            <w:tcMar>
              <w:top w:w="0" w:type="dxa"/>
              <w:left w:w="45" w:type="dxa"/>
              <w:bottom w:w="0" w:type="dxa"/>
              <w:right w:w="45" w:type="dxa"/>
            </w:tcMar>
            <w:vAlign w:val="center"/>
            <w:hideMark/>
          </w:tcPr>
          <w:p w14:paraId="3008B0E3" w14:textId="77777777" w:rsidR="003E400D" w:rsidRPr="00D174DC" w:rsidRDefault="003E400D" w:rsidP="00F53D71">
            <w:pPr>
              <w:spacing w:after="0" w:line="240" w:lineRule="auto"/>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Compara-bility</w:t>
            </w:r>
          </w:p>
        </w:tc>
        <w:tc>
          <w:tcPr>
            <w:tcW w:w="3119" w:type="dxa"/>
            <w:gridSpan w:val="3"/>
            <w:tcMar>
              <w:top w:w="0" w:type="dxa"/>
              <w:left w:w="45" w:type="dxa"/>
              <w:bottom w:w="0" w:type="dxa"/>
              <w:right w:w="45" w:type="dxa"/>
            </w:tcMar>
            <w:vAlign w:val="center"/>
            <w:hideMark/>
          </w:tcPr>
          <w:p w14:paraId="5876D366"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Outcome</w:t>
            </w:r>
          </w:p>
        </w:tc>
        <w:tc>
          <w:tcPr>
            <w:tcW w:w="1559" w:type="dxa"/>
            <w:gridSpan w:val="2"/>
            <w:tcMar>
              <w:top w:w="0" w:type="dxa"/>
              <w:left w:w="45" w:type="dxa"/>
              <w:bottom w:w="0" w:type="dxa"/>
              <w:right w:w="45" w:type="dxa"/>
            </w:tcMar>
            <w:vAlign w:val="center"/>
            <w:hideMark/>
          </w:tcPr>
          <w:p w14:paraId="6198CF36" w14:textId="77777777" w:rsidR="003E400D" w:rsidRPr="002B6335" w:rsidRDefault="003E400D" w:rsidP="00F53D71">
            <w:pPr>
              <w:spacing w:after="0" w:line="240" w:lineRule="auto"/>
              <w:jc w:val="center"/>
              <w:rPr>
                <w:rFonts w:ascii="Times New Roman" w:eastAsia="Times New Roman" w:hAnsi="Times New Roman" w:cs="Times New Roman"/>
                <w:b/>
                <w:bCs/>
                <w:color w:val="000000"/>
                <w:sz w:val="16"/>
                <w:szCs w:val="16"/>
                <w:lang w:val="en-AU" w:eastAsia="es-ES"/>
              </w:rPr>
            </w:pPr>
            <w:r w:rsidRPr="002B6335">
              <w:rPr>
                <w:rFonts w:ascii="Times New Roman" w:eastAsia="Times New Roman" w:hAnsi="Times New Roman" w:cs="Times New Roman"/>
                <w:b/>
                <w:bCs/>
                <w:color w:val="000000"/>
                <w:sz w:val="16"/>
                <w:szCs w:val="16"/>
                <w:lang w:val="en-AU" w:eastAsia="es-ES"/>
              </w:rPr>
              <w:t xml:space="preserve">Selective outcome reporting (notification bias): </w:t>
            </w:r>
          </w:p>
        </w:tc>
        <w:tc>
          <w:tcPr>
            <w:tcW w:w="4253" w:type="dxa"/>
            <w:gridSpan w:val="5"/>
            <w:tcMar>
              <w:top w:w="0" w:type="dxa"/>
              <w:left w:w="45" w:type="dxa"/>
              <w:bottom w:w="0" w:type="dxa"/>
              <w:right w:w="45" w:type="dxa"/>
            </w:tcMar>
            <w:vAlign w:val="center"/>
            <w:hideMark/>
          </w:tcPr>
          <w:p w14:paraId="3E523EAE"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Methods</w:t>
            </w:r>
          </w:p>
        </w:tc>
        <w:tc>
          <w:tcPr>
            <w:tcW w:w="2130" w:type="dxa"/>
            <w:gridSpan w:val="2"/>
            <w:tcMar>
              <w:top w:w="0" w:type="dxa"/>
              <w:left w:w="45" w:type="dxa"/>
              <w:bottom w:w="0" w:type="dxa"/>
              <w:right w:w="45" w:type="dxa"/>
            </w:tcMar>
            <w:vAlign w:val="center"/>
            <w:hideMark/>
          </w:tcPr>
          <w:p w14:paraId="743B80E9" w14:textId="77777777" w:rsidR="003E400D" w:rsidRPr="00D174DC" w:rsidRDefault="003E400D" w:rsidP="00F53D71">
            <w:pPr>
              <w:spacing w:after="0" w:line="240" w:lineRule="auto"/>
              <w:jc w:val="center"/>
              <w:rPr>
                <w:rFonts w:ascii="Times New Roman" w:eastAsia="Times New Roman" w:hAnsi="Times New Roman" w:cs="Times New Roman"/>
                <w:b/>
                <w:bCs/>
                <w:color w:val="000000"/>
                <w:sz w:val="16"/>
                <w:szCs w:val="16"/>
                <w:lang w:val="es-MX" w:eastAsia="es-ES"/>
              </w:rPr>
            </w:pPr>
            <w:r w:rsidRPr="00D174DC">
              <w:rPr>
                <w:rFonts w:ascii="Times New Roman" w:eastAsia="Times New Roman" w:hAnsi="Times New Roman" w:cs="Times New Roman"/>
                <w:b/>
                <w:bCs/>
                <w:color w:val="000000"/>
                <w:sz w:val="16"/>
                <w:szCs w:val="16"/>
                <w:lang w:val="es-MX" w:eastAsia="es-ES"/>
              </w:rPr>
              <w:t>Results</w:t>
            </w:r>
          </w:p>
        </w:tc>
      </w:tr>
      <w:tr w:rsidR="003E400D" w:rsidRPr="00D174DC" w14:paraId="0D1951D8" w14:textId="77777777" w:rsidTr="00F53D71">
        <w:trPr>
          <w:cantSplit/>
          <w:trHeight w:val="3216"/>
          <w:tblHeader/>
          <w:jc w:val="center"/>
        </w:trPr>
        <w:tc>
          <w:tcPr>
            <w:tcW w:w="1452" w:type="dxa"/>
            <w:vMerge/>
            <w:vAlign w:val="center"/>
            <w:hideMark/>
          </w:tcPr>
          <w:p w14:paraId="450800EE" w14:textId="77777777" w:rsidR="003E400D" w:rsidRPr="00D174DC" w:rsidRDefault="003E400D" w:rsidP="00F53D71">
            <w:pPr>
              <w:spacing w:after="0" w:line="240" w:lineRule="auto"/>
              <w:rPr>
                <w:rFonts w:ascii="Times New Roman" w:eastAsia="Times New Roman" w:hAnsi="Times New Roman" w:cs="Times New Roman"/>
                <w:b/>
                <w:bCs/>
                <w:color w:val="000000"/>
                <w:sz w:val="16"/>
                <w:szCs w:val="16"/>
                <w:lang w:val="es-MX" w:eastAsia="es-ES"/>
              </w:rPr>
            </w:pPr>
          </w:p>
        </w:tc>
        <w:tc>
          <w:tcPr>
            <w:tcW w:w="1208" w:type="dxa"/>
            <w:tcMar>
              <w:top w:w="0" w:type="dxa"/>
              <w:left w:w="45" w:type="dxa"/>
              <w:bottom w:w="0" w:type="dxa"/>
              <w:right w:w="45" w:type="dxa"/>
            </w:tcMar>
            <w:textDirection w:val="btLr"/>
            <w:vAlign w:val="center"/>
            <w:hideMark/>
          </w:tcPr>
          <w:p w14:paraId="5F18783C"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Representativeness of the exposed cohort: *a) truly representative of the average adults in the community; *b) somewhat representative of the average adults in the community; c) selected group of users (volunteers); d) No description of the derivation of</w:t>
            </w:r>
            <w:r>
              <w:rPr>
                <w:rFonts w:ascii="Times New Roman" w:eastAsia="Times New Roman" w:hAnsi="Times New Roman" w:cs="Times New Roman"/>
                <w:color w:val="000000"/>
                <w:sz w:val="16"/>
                <w:szCs w:val="16"/>
                <w:lang w:val="en-AU" w:eastAsia="es-ES"/>
              </w:rPr>
              <w:t xml:space="preserve"> the cohort</w:t>
            </w:r>
          </w:p>
        </w:tc>
        <w:tc>
          <w:tcPr>
            <w:tcW w:w="776" w:type="dxa"/>
            <w:tcMar>
              <w:top w:w="0" w:type="dxa"/>
              <w:left w:w="45" w:type="dxa"/>
              <w:bottom w:w="0" w:type="dxa"/>
              <w:right w:w="45" w:type="dxa"/>
            </w:tcMar>
            <w:textDirection w:val="btLr"/>
            <w:vAlign w:val="center"/>
            <w:hideMark/>
          </w:tcPr>
          <w:p w14:paraId="48C98477"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Ascertainment of exposure (recalls or food records): *a) secure record (diet records); *b) structured interview c) written self-report; d) no description</w:t>
            </w:r>
          </w:p>
        </w:tc>
        <w:tc>
          <w:tcPr>
            <w:tcW w:w="992" w:type="dxa"/>
            <w:tcMar>
              <w:top w:w="0" w:type="dxa"/>
              <w:left w:w="45" w:type="dxa"/>
              <w:bottom w:w="0" w:type="dxa"/>
              <w:right w:w="45" w:type="dxa"/>
            </w:tcMar>
            <w:textDirection w:val="btLr"/>
            <w:vAlign w:val="center"/>
            <w:hideMark/>
          </w:tcPr>
          <w:p w14:paraId="75EBADEE"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Comparability of cohorts on the basis of the design or analysis: *a) study controls by energy (at least); *b) study controls for any addition</w:t>
            </w:r>
            <w:r>
              <w:rPr>
                <w:rFonts w:ascii="Times New Roman" w:eastAsia="Times New Roman" w:hAnsi="Times New Roman" w:cs="Times New Roman"/>
                <w:color w:val="000000"/>
                <w:sz w:val="16"/>
                <w:szCs w:val="16"/>
                <w:lang w:val="en-AU" w:eastAsia="es-ES"/>
              </w:rPr>
              <w:t>al factor (such as sex and age)</w:t>
            </w:r>
          </w:p>
        </w:tc>
        <w:tc>
          <w:tcPr>
            <w:tcW w:w="851" w:type="dxa"/>
            <w:tcMar>
              <w:top w:w="0" w:type="dxa"/>
              <w:left w:w="45" w:type="dxa"/>
              <w:bottom w:w="0" w:type="dxa"/>
              <w:right w:w="45" w:type="dxa"/>
            </w:tcMar>
            <w:textDirection w:val="btLr"/>
            <w:vAlign w:val="center"/>
            <w:hideMark/>
          </w:tcPr>
          <w:p w14:paraId="6D7C8875"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Assessment of outcome (SFFQ): *a) interview; *b) record linkage; c) self-report; d) no description</w:t>
            </w:r>
          </w:p>
        </w:tc>
        <w:tc>
          <w:tcPr>
            <w:tcW w:w="850" w:type="dxa"/>
            <w:tcMar>
              <w:top w:w="0" w:type="dxa"/>
              <w:left w:w="45" w:type="dxa"/>
              <w:bottom w:w="0" w:type="dxa"/>
              <w:right w:w="45" w:type="dxa"/>
            </w:tcMar>
            <w:textDirection w:val="btLr"/>
            <w:vAlign w:val="center"/>
            <w:hideMark/>
          </w:tcPr>
          <w:p w14:paraId="5D8BDA3A"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2) Was follow-up long enough for outcomes to occur; *a) yes (follow-up was enough to assess validity: 6-12 months); b) no.</w:t>
            </w:r>
          </w:p>
        </w:tc>
        <w:tc>
          <w:tcPr>
            <w:tcW w:w="1418" w:type="dxa"/>
            <w:tcMar>
              <w:top w:w="0" w:type="dxa"/>
              <w:left w:w="45" w:type="dxa"/>
              <w:bottom w:w="0" w:type="dxa"/>
              <w:right w:w="45" w:type="dxa"/>
            </w:tcMar>
            <w:textDirection w:val="btLr"/>
            <w:vAlign w:val="center"/>
            <w:hideMark/>
          </w:tcPr>
          <w:p w14:paraId="593FC84C"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Adequacy of follow-up of cohorts; *a) complete follow-up; *b) subjects lost at follow-up </w:t>
            </w:r>
            <w:proofErr w:type="spellStart"/>
            <w:r w:rsidRPr="002B6335">
              <w:rPr>
                <w:rFonts w:ascii="Times New Roman" w:eastAsia="Times New Roman" w:hAnsi="Times New Roman" w:cs="Times New Roman"/>
                <w:color w:val="000000"/>
                <w:sz w:val="16"/>
                <w:szCs w:val="16"/>
                <w:lang w:val="en-AU" w:eastAsia="es-ES"/>
              </w:rPr>
              <w:t>unllikely</w:t>
            </w:r>
            <w:proofErr w:type="spellEnd"/>
            <w:r w:rsidRPr="002B6335">
              <w:rPr>
                <w:rFonts w:ascii="Times New Roman" w:eastAsia="Times New Roman" w:hAnsi="Times New Roman" w:cs="Times New Roman"/>
                <w:color w:val="000000"/>
                <w:sz w:val="16"/>
                <w:szCs w:val="16"/>
                <w:lang w:val="en-AU" w:eastAsia="es-ES"/>
              </w:rPr>
              <w:t xml:space="preserve"> to induce bias (&lt;30% or with description provided of the lost); c) follow-up rate &lt;30% and no description of the lost or follow-up lost &gt;30% with description of the lost; d) no statement</w:t>
            </w:r>
          </w:p>
        </w:tc>
        <w:tc>
          <w:tcPr>
            <w:tcW w:w="1134" w:type="dxa"/>
            <w:tcMar>
              <w:top w:w="0" w:type="dxa"/>
              <w:left w:w="45" w:type="dxa"/>
              <w:bottom w:w="0" w:type="dxa"/>
              <w:right w:w="45" w:type="dxa"/>
            </w:tcMar>
            <w:textDirection w:val="btLr"/>
            <w:vAlign w:val="center"/>
            <w:hideMark/>
          </w:tcPr>
          <w:p w14:paraId="7EF3F4A8" w14:textId="77777777" w:rsidR="003E400D" w:rsidRPr="00D174DC" w:rsidRDefault="003E400D" w:rsidP="00F53D71">
            <w:pPr>
              <w:spacing w:after="0" w:line="240" w:lineRule="auto"/>
              <w:ind w:left="113" w:right="113"/>
              <w:jc w:val="center"/>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Description</w:t>
            </w:r>
          </w:p>
        </w:tc>
        <w:tc>
          <w:tcPr>
            <w:tcW w:w="425" w:type="dxa"/>
            <w:tcMar>
              <w:top w:w="0" w:type="dxa"/>
              <w:left w:w="45" w:type="dxa"/>
              <w:bottom w:w="0" w:type="dxa"/>
              <w:right w:w="45" w:type="dxa"/>
            </w:tcMar>
            <w:textDirection w:val="btLr"/>
            <w:vAlign w:val="center"/>
            <w:hideMark/>
          </w:tcPr>
          <w:p w14:paraId="6FFDC432" w14:textId="77777777" w:rsidR="003E400D" w:rsidRPr="00D174DC" w:rsidRDefault="003E400D" w:rsidP="00F53D71">
            <w:pPr>
              <w:spacing w:after="0" w:line="240" w:lineRule="auto"/>
              <w:ind w:left="113" w:right="113"/>
              <w:jc w:val="center"/>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Risk-of-bias judgement</w:t>
            </w:r>
          </w:p>
        </w:tc>
        <w:tc>
          <w:tcPr>
            <w:tcW w:w="1134" w:type="dxa"/>
            <w:tcMar>
              <w:top w:w="0" w:type="dxa"/>
              <w:left w:w="45" w:type="dxa"/>
              <w:bottom w:w="0" w:type="dxa"/>
              <w:right w:w="45" w:type="dxa"/>
            </w:tcMar>
            <w:textDirection w:val="btLr"/>
            <w:vAlign w:val="center"/>
            <w:hideMark/>
          </w:tcPr>
          <w:p w14:paraId="755C930B"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Describe the setting, locations, and relevant dates, including periods of recruitment, exposure, follow-up, and data collection</w:t>
            </w:r>
          </w:p>
        </w:tc>
        <w:tc>
          <w:tcPr>
            <w:tcW w:w="851" w:type="dxa"/>
            <w:tcMar>
              <w:top w:w="0" w:type="dxa"/>
              <w:left w:w="45" w:type="dxa"/>
              <w:bottom w:w="0" w:type="dxa"/>
              <w:right w:w="45" w:type="dxa"/>
            </w:tcMar>
            <w:textDirection w:val="btLr"/>
            <w:vAlign w:val="center"/>
            <w:hideMark/>
          </w:tcPr>
          <w:p w14:paraId="7B8207F3"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Give the eligibility criteria, and the sources and methods of selection of participants</w:t>
            </w:r>
          </w:p>
        </w:tc>
        <w:tc>
          <w:tcPr>
            <w:tcW w:w="850" w:type="dxa"/>
            <w:tcMar>
              <w:top w:w="0" w:type="dxa"/>
              <w:left w:w="45" w:type="dxa"/>
              <w:bottom w:w="0" w:type="dxa"/>
              <w:right w:w="45" w:type="dxa"/>
            </w:tcMar>
            <w:textDirection w:val="btLr"/>
            <w:vAlign w:val="center"/>
            <w:hideMark/>
          </w:tcPr>
          <w:p w14:paraId="4677F854"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For each variable of interest, give sources of data and details of methods of assessment (measurement with SFFQ)</w:t>
            </w:r>
          </w:p>
        </w:tc>
        <w:tc>
          <w:tcPr>
            <w:tcW w:w="709" w:type="dxa"/>
            <w:tcMar>
              <w:top w:w="0" w:type="dxa"/>
              <w:left w:w="45" w:type="dxa"/>
              <w:bottom w:w="0" w:type="dxa"/>
              <w:right w:w="45" w:type="dxa"/>
            </w:tcMar>
            <w:textDirection w:val="btLr"/>
            <w:vAlign w:val="center"/>
            <w:hideMark/>
          </w:tcPr>
          <w:p w14:paraId="037E7C85"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Explain how the study size was arrived at and, If applicable, describe analytical methods taking account of sampling strategy</w:t>
            </w:r>
          </w:p>
        </w:tc>
        <w:tc>
          <w:tcPr>
            <w:tcW w:w="709" w:type="dxa"/>
            <w:tcMar>
              <w:top w:w="0" w:type="dxa"/>
              <w:left w:w="45" w:type="dxa"/>
              <w:bottom w:w="0" w:type="dxa"/>
              <w:right w:w="45" w:type="dxa"/>
            </w:tcMar>
            <w:textDirection w:val="btLr"/>
            <w:vAlign w:val="center"/>
            <w:hideMark/>
          </w:tcPr>
          <w:p w14:paraId="267BB12A" w14:textId="77777777" w:rsidR="003E400D" w:rsidRPr="00D174DC" w:rsidRDefault="003E400D" w:rsidP="00F53D71">
            <w:pPr>
              <w:spacing w:after="0" w:line="240" w:lineRule="auto"/>
              <w:ind w:left="113" w:right="113"/>
              <w:jc w:val="center"/>
              <w:rPr>
                <w:rFonts w:ascii="Times New Roman" w:eastAsia="Times New Roman" w:hAnsi="Times New Roman" w:cs="Times New Roman"/>
                <w:color w:val="000000"/>
                <w:sz w:val="16"/>
                <w:szCs w:val="16"/>
                <w:lang w:val="es-MX" w:eastAsia="es-ES"/>
              </w:rPr>
            </w:pPr>
            <w:r w:rsidRPr="002B6335">
              <w:rPr>
                <w:rFonts w:ascii="Times New Roman" w:eastAsia="Times New Roman" w:hAnsi="Times New Roman" w:cs="Times New Roman"/>
                <w:color w:val="000000"/>
                <w:sz w:val="16"/>
                <w:szCs w:val="16"/>
                <w:lang w:val="en-AU" w:eastAsia="es-ES"/>
              </w:rPr>
              <w:t xml:space="preserve">Explain how quantitative variables were handled in the analyses. </w:t>
            </w:r>
            <w:r w:rsidRPr="00D174DC">
              <w:rPr>
                <w:rFonts w:ascii="Times New Roman" w:eastAsia="Times New Roman" w:hAnsi="Times New Roman" w:cs="Times New Roman"/>
                <w:color w:val="000000"/>
                <w:sz w:val="16"/>
                <w:szCs w:val="16"/>
                <w:lang w:val="es-MX" w:eastAsia="es-ES"/>
              </w:rPr>
              <w:t>If applicable, describe whic</w:t>
            </w:r>
            <w:r>
              <w:rPr>
                <w:rFonts w:ascii="Times New Roman" w:eastAsia="Times New Roman" w:hAnsi="Times New Roman" w:cs="Times New Roman"/>
                <w:color w:val="000000"/>
                <w:sz w:val="16"/>
                <w:szCs w:val="16"/>
                <w:lang w:val="es-MX" w:eastAsia="es-ES"/>
              </w:rPr>
              <w:t>h groupings were chosen and why</w:t>
            </w:r>
          </w:p>
        </w:tc>
        <w:tc>
          <w:tcPr>
            <w:tcW w:w="708" w:type="dxa"/>
            <w:tcMar>
              <w:top w:w="0" w:type="dxa"/>
              <w:left w:w="45" w:type="dxa"/>
              <w:bottom w:w="0" w:type="dxa"/>
              <w:right w:w="45" w:type="dxa"/>
            </w:tcMar>
            <w:textDirection w:val="btLr"/>
            <w:vAlign w:val="center"/>
            <w:hideMark/>
          </w:tcPr>
          <w:p w14:paraId="72487098"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Give characteristics of study participants (</w:t>
            </w:r>
            <w:proofErr w:type="spellStart"/>
            <w:r w:rsidRPr="002B6335">
              <w:rPr>
                <w:rFonts w:ascii="Times New Roman" w:eastAsia="Times New Roman" w:hAnsi="Times New Roman" w:cs="Times New Roman"/>
                <w:color w:val="000000"/>
                <w:sz w:val="16"/>
                <w:szCs w:val="16"/>
                <w:lang w:val="en-AU" w:eastAsia="es-ES"/>
              </w:rPr>
              <w:t>eg</w:t>
            </w:r>
            <w:proofErr w:type="spellEnd"/>
            <w:r w:rsidRPr="002B6335">
              <w:rPr>
                <w:rFonts w:ascii="Times New Roman" w:eastAsia="Times New Roman" w:hAnsi="Times New Roman" w:cs="Times New Roman"/>
                <w:color w:val="000000"/>
                <w:sz w:val="16"/>
                <w:szCs w:val="16"/>
                <w:lang w:val="en-AU" w:eastAsia="es-ES"/>
              </w:rPr>
              <w:t xml:space="preserve"> demographic, clinical, social) and information on exposures and potential confounders</w:t>
            </w:r>
          </w:p>
        </w:tc>
        <w:tc>
          <w:tcPr>
            <w:tcW w:w="1422" w:type="dxa"/>
            <w:tcMar>
              <w:top w:w="0" w:type="dxa"/>
              <w:left w:w="45" w:type="dxa"/>
              <w:bottom w:w="0" w:type="dxa"/>
              <w:right w:w="45" w:type="dxa"/>
            </w:tcMar>
            <w:textDirection w:val="btLr"/>
            <w:vAlign w:val="center"/>
            <w:hideMark/>
          </w:tcPr>
          <w:p w14:paraId="60147D57" w14:textId="77777777" w:rsidR="003E400D" w:rsidRPr="002B6335" w:rsidRDefault="003E400D" w:rsidP="00F53D71">
            <w:pPr>
              <w:spacing w:after="0" w:line="240" w:lineRule="auto"/>
              <w:ind w:left="113" w:right="113"/>
              <w:jc w:val="center"/>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Report other analyses done—</w:t>
            </w:r>
            <w:proofErr w:type="spellStart"/>
            <w:r w:rsidRPr="002B6335">
              <w:rPr>
                <w:rFonts w:ascii="Times New Roman" w:eastAsia="Times New Roman" w:hAnsi="Times New Roman" w:cs="Times New Roman"/>
                <w:color w:val="000000"/>
                <w:sz w:val="16"/>
                <w:szCs w:val="16"/>
                <w:lang w:val="en-AU" w:eastAsia="es-ES"/>
              </w:rPr>
              <w:t>eg</w:t>
            </w:r>
            <w:proofErr w:type="spellEnd"/>
            <w:r w:rsidRPr="002B6335">
              <w:rPr>
                <w:rFonts w:ascii="Times New Roman" w:eastAsia="Times New Roman" w:hAnsi="Times New Roman" w:cs="Times New Roman"/>
                <w:color w:val="000000"/>
                <w:sz w:val="16"/>
                <w:szCs w:val="16"/>
                <w:lang w:val="en-AU" w:eastAsia="es-ES"/>
              </w:rPr>
              <w:t xml:space="preserve"> analyses of subgroups and interactions, and sensitivity analyses</w:t>
            </w:r>
          </w:p>
        </w:tc>
      </w:tr>
      <w:tr w:rsidR="003E400D" w:rsidRPr="00D174DC" w14:paraId="512755F0" w14:textId="77777777" w:rsidTr="00F53D71">
        <w:trPr>
          <w:trHeight w:val="285"/>
          <w:jc w:val="center"/>
        </w:trPr>
        <w:tc>
          <w:tcPr>
            <w:tcW w:w="1452" w:type="dxa"/>
            <w:tcMar>
              <w:top w:w="0" w:type="dxa"/>
              <w:left w:w="45" w:type="dxa"/>
              <w:bottom w:w="0" w:type="dxa"/>
              <w:right w:w="45" w:type="dxa"/>
            </w:tcMar>
            <w:vAlign w:val="center"/>
            <w:hideMark/>
          </w:tcPr>
          <w:p w14:paraId="1F6579C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Willet et al. (1985)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(range=0.41 for total vitamin A without supplements to 0.79 for vitamin B, with supplements) were similar to those computed from the questionnaire (range=0.49 for total vitamin A without supplements to 0.71 for sucrose), indicating that these methods were generally comparable with respect to reproducibilrty.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serf-administered dietary questionnaire can provide useful information about individual nutrient intakes over a one-year period.\\n","author":[{"dropping-particle":"","family":"Willet","given":"WALTER C.","non-dropping-particle":"","parse-names":false,"suffix":""},{"dropping-particle":"","family":"Sampson","given":"LAURA","non-dropping-particle":"","parse-names":false,"suffix":""},{"dropping-particle":"","family":"Stampfer","given":"MEIR J.","non-dropping-particle":"","parse-names":false,"suffix":""},{"dropping-particle":"","family":"Rosner","given":"BERNARD","non-dropping-particle":"","parse-names":false,"suffix":""},{"dropping-particle":"","family":"Bain","given":"CHRISTOPHER","non-dropping-particle":"","parse-names":false,"suffix":""},{"dropping-particle":"","family":"Witschi","given":"JELIA","non-dropping-particle":"","parse-names":false,"suffix":""},{"dropping-particle":"","family":"HENNEKENS","given":"CHARLES H.","non-dropping-particle":"","parse-names":false,"suffix":""},{"dropping-particle":"","family":"SPEIZER","given":"FRANK E.","non-dropping-particle":"","parse-names":false,"suffix":""}],"container-title":"Am. J. Epidemiol.","id":"ITEM-1","issue":"1","issued":{"date-parts":[["1985"]]},"page":"51-65","title":"Reproducibility and Validity of a Semiquantitative Food Frequency Questionnaire","type":"article-journal","volume":"122"},"uris":["http://www.mendeley.com/documents/?uuid=348240c1-34bf-410e-a2a4-ea88f22a32a9"]}],"mendeley":{"formattedCitation":"&lt;sup&gt;(42)&lt;/sup&gt;","plainTextFormattedCitation":"(42)","previouslyFormattedCitation":"&lt;sup&gt;(42)&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(42)</w:t>
            </w:r>
            <w:r>
              <w:rPr>
                <w:rFonts w:ascii="Times New Roman" w:eastAsia="Times New Roman" w:hAnsi="Times New Roman" w:cs="Times New Roman"/>
                <w:color w:val="000000"/>
                <w:sz w:val="16"/>
                <w:szCs w:val="16"/>
                <w:lang w:val="es-MX" w:eastAsia="es-ES"/>
              </w:rPr>
              <w:fldChar w:fldCharType="end"/>
            </w:r>
            <w:r w:rsidRPr="00D174DC">
              <w:rPr>
                <w:rFonts w:ascii="Times New Roman" w:eastAsia="Times New Roman" w:hAnsi="Times New Roman" w:cs="Times New Roman"/>
                <w:color w:val="000000"/>
                <w:sz w:val="16"/>
                <w:szCs w:val="16"/>
                <w:lang w:val="es-MX" w:eastAsia="es-ES"/>
              </w:rPr>
              <w:t xml:space="preserve"> </w:t>
            </w:r>
          </w:p>
        </w:tc>
        <w:tc>
          <w:tcPr>
            <w:tcW w:w="1208" w:type="dxa"/>
            <w:shd w:val="clear" w:color="auto" w:fill="1FB714"/>
            <w:tcMar>
              <w:top w:w="0" w:type="dxa"/>
              <w:left w:w="45" w:type="dxa"/>
              <w:bottom w:w="0" w:type="dxa"/>
              <w:right w:w="45" w:type="dxa"/>
            </w:tcMar>
            <w:vAlign w:val="center"/>
            <w:hideMark/>
          </w:tcPr>
          <w:p w14:paraId="12FD848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22D158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543A285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562A43C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2E782A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530343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3F36A990"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2F13DA9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27B4E40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619D14A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622ED76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3A0BAC1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CD4F3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409BA6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2E4967F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quintiles, ICC, log transformation</w:t>
            </w:r>
          </w:p>
        </w:tc>
      </w:tr>
      <w:tr w:rsidR="003E400D" w:rsidRPr="00D174DC" w14:paraId="4520FA2C" w14:textId="77777777" w:rsidTr="00F53D71">
        <w:trPr>
          <w:trHeight w:val="285"/>
          <w:jc w:val="center"/>
        </w:trPr>
        <w:tc>
          <w:tcPr>
            <w:tcW w:w="1452" w:type="dxa"/>
            <w:tcMar>
              <w:top w:w="0" w:type="dxa"/>
              <w:left w:w="45" w:type="dxa"/>
              <w:bottom w:w="0" w:type="dxa"/>
              <w:right w:w="45" w:type="dxa"/>
            </w:tcMar>
            <w:vAlign w:val="center"/>
            <w:hideMark/>
          </w:tcPr>
          <w:p w14:paraId="6D18A9C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Willet et al. (1987)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{"citationItems":[{"id":"ITEM-1","itemData":{"ISSN":"0002-8223","PMID":"3794132","abstract":"The validity of a self-administered semi-quantitative food frequency questionnaire was evaluated for a group of 27 men and women aged 20 to 54. Intakes of 18 nutrients computed from the questionnaire were compared with those derived from 1-year diet records completed approximately 18 months earlier. The questionnaire estimates of mean nutrient intake were within 10% of the mean diet record measurements for 11 of the 18 nutrients evaluated, and the difference was less than 25% for all but one nutrient (total vitamin A). Correlation coefficients comparing unadjusted nutrient intakes measured by the two methods ranged from 0.38 (vitamin C) to more than 0.65 (total calories, total fat, saturated fat, polyunsaturated fat, oleic acid, and cholesterol). The overall mean of correlation coefficients comparing intakes of the 18 nutrients measured by questionnaire and by diet record was 0.60. Coefficients for macronutrients decreased somewhat after adjustment for age and gender or caloric intake. The data provide further evidence that a simple and relatively inexpensive questionnaire can provide useful information on dietary intake over an extended period.","author":[{"dropping-particle":"","family":"Willett","given":"W C","non-dropping-particle":"","parse-names":false,"suffix":""},{"dropping-particle":"","family":"Reynolds","given":"R D","non-dropping-particle":"","parse-names":false,"suffix":""},{"dropping-particle":"","family":"Cottrell-Hoehner","given":"S","non-dropping-particle":"","parse-names":false,"suffix":""},{"dropping-particle":"","family":"Sampson","given":"L","non-dropping-particle":"","parse-names":false,"suffix":""},{"dropping-particle":"","family":"Browne","given":"M L","non-dropping-particle":"","parse-names":false,"suffix":""}],"container-title":"Journal of the American Dietetic Association","id":"ITEM-1","issue":"1","issued":{"date-parts":[["1987","1"]]},"page":"43-47","title":"Validation of a semi-quantitative food frequency questionnaire: comparison with a 1-year diet record.","type":"article-journal","volume":"87"},"uris":["http://www.mendeley.com/documents/?uuid=4d094e5d-c099-3389-8523-a25930786f23"]}],"mendeley":{"formattedCitation":"&lt;sup&gt;(13)&lt;/sup&gt;","plainTextFormattedCitation":"(13)","previouslyFormattedCitation":"&lt;sup&gt;(13)&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(13)</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6636567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4D9EFF6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67B8B7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 and *b</w:t>
            </w:r>
          </w:p>
        </w:tc>
        <w:tc>
          <w:tcPr>
            <w:tcW w:w="851" w:type="dxa"/>
            <w:shd w:val="clear" w:color="auto" w:fill="DD0806"/>
            <w:tcMar>
              <w:top w:w="0" w:type="dxa"/>
              <w:left w:w="45" w:type="dxa"/>
              <w:bottom w:w="0" w:type="dxa"/>
              <w:right w:w="45" w:type="dxa"/>
            </w:tcMar>
            <w:vAlign w:val="center"/>
            <w:hideMark/>
          </w:tcPr>
          <w:p w14:paraId="3461ECD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2BC729C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129A89F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4DAAA370"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264CE51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6EFC8DC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69D8B6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39CC32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69BBA59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ECD247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7EFCDE6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45ED8C0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log transformation</w:t>
            </w:r>
          </w:p>
        </w:tc>
      </w:tr>
      <w:tr w:rsidR="003E400D" w:rsidRPr="00D174DC" w14:paraId="21743DAC" w14:textId="77777777" w:rsidTr="00F53D71">
        <w:trPr>
          <w:trHeight w:val="285"/>
          <w:jc w:val="center"/>
        </w:trPr>
        <w:tc>
          <w:tcPr>
            <w:tcW w:w="1452" w:type="dxa"/>
            <w:tcMar>
              <w:top w:w="0" w:type="dxa"/>
              <w:left w:w="45" w:type="dxa"/>
              <w:bottom w:w="0" w:type="dxa"/>
              <w:right w:w="45" w:type="dxa"/>
            </w:tcMar>
            <w:vAlign w:val="center"/>
            <w:hideMark/>
          </w:tcPr>
          <w:p w14:paraId="1D2A54D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Tjønneland et al. (1991)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Tjønneland","given":"A","non-dropping-particle":"","parse-names":false,"suffix":""},{"dropping-particle":"","family":"Overvad","given":"K","non-dropping-particle":"","parse-names":false,"suffix":""},{"dropping-particle":"","family":"Haraldsdóttir","given":"J","non-dropping-particle":"","parse-names":false,"suffix":""},{"dropping-particle":"","family":"Bang","given":"S","non-dropping-particle":"","parse-names":false,"suffix":""},{"dropping-particle":"","family":"Ewertz","given":"M","non-dropping-particle":"","parse-names":false,"suffix":""},{"dropping-particle":"","family":"Jensen","given":"OM","non-dropping-particle":"","parse-names":false,"suffix":""}],"container-title":"Int J Epidemiol","id":"ITEM-1","issue":"4","issued":{"date-parts":[["1991"]]},"page":"906-912","title":"Validation of a semiquantitative food frequency questionnaire developed in Denmark.","type":"article-journal","volume":"20"},"uris":["http://www.mendeley.com/documents/?uuid=810fad9b-0491-4d46-a083-d5344cc0635d"]}],"mendeley":{"formattedCitation":"&lt;sup&gt;(27)&lt;/sup&gt;","plainTextFormattedCitation":"(27)","previouslyFormattedCitation":"&lt;sup&gt;(27)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7C0549F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71F379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249184C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7D9E8BC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4665E6F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418" w:type="dxa"/>
            <w:shd w:val="clear" w:color="auto" w:fill="1FB714"/>
            <w:tcMar>
              <w:top w:w="0" w:type="dxa"/>
              <w:left w:w="45" w:type="dxa"/>
              <w:bottom w:w="0" w:type="dxa"/>
              <w:right w:w="45" w:type="dxa"/>
            </w:tcMar>
            <w:vAlign w:val="center"/>
            <w:hideMark/>
          </w:tcPr>
          <w:p w14:paraId="4E5AE4F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100E4035"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DC1E36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623CEDE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5680C0A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246C279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643823B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8BF55C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3F4BCBB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59D37D2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quintiles, Spearman, log transformation</w:t>
            </w:r>
          </w:p>
        </w:tc>
      </w:tr>
      <w:tr w:rsidR="003E400D" w:rsidRPr="00D174DC" w14:paraId="22B10256" w14:textId="77777777" w:rsidTr="00F53D71">
        <w:trPr>
          <w:trHeight w:val="455"/>
          <w:jc w:val="center"/>
        </w:trPr>
        <w:tc>
          <w:tcPr>
            <w:tcW w:w="1452" w:type="dxa"/>
            <w:tcMar>
              <w:top w:w="0" w:type="dxa"/>
              <w:left w:w="45" w:type="dxa"/>
              <w:bottom w:w="0" w:type="dxa"/>
              <w:right w:w="45" w:type="dxa"/>
            </w:tcMar>
            <w:vAlign w:val="center"/>
            <w:hideMark/>
          </w:tcPr>
          <w:p w14:paraId="036EAB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Rimm et al. (1992)</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{"citationItems":[{"id":"ITEM-1","itemData":{"ISBN":"0002-9262","ISSN":"0002-9262","PMID":"1632423","abstract":"The authors assessed the reproducibility and validity of an expanded 131-item semiquantitative food frequency questionnaire used in a prospective study among 51,529 men. The form was administered by mail twice to a sample of 127 participants at a one-year interval. During this interval, men completed two one-week diet records spaced approximately 6 months apart. Mean values for intake of most nutrients assessed by the two methods were similar. Intraclass correlation coefficients for nutrient intakes assessed by questionnaires one year apart ranged from 0.47 for vitamin E without supplements to 0.80 for vitamin C with supplements. Correlation coefficients between the energy-adjusted nutrient intakes measured by diet records and the second questionnaire (which asked about diet during the year encompassing the diet records) ranged from 0.28 for iron without supplements to 0.86 for vitamin C with supplements (mean r = 0.59). These correlations were higher after adjusting for week-to-week variation in diet record intakes (mean r = 0.65). These data indicate that the expanded semiquantitative food frequency questionnaire is reproducible and provides a useful measure of intake for many nutrients over a one-year period.","author":[{"dropping-particle":"","family":"Rimm","given":"E B","non-dropping-particle":"","parse-names":false,"suffix":""},{"dropping-particle":"","family":"Giovannucci","given":"E L","non-dropping-particle":"","parse-names":false,"suffix":""},{"dropping-particle":"","family":"Stampfer","given":"M J","non-dropping-particle":"","parse-names":false,"suffix":""},{"dropping-particle":"","family":"Colditz","given":"G a","non-dropping-particle":"","parse-names":false,"suffix":""},{"dropping-particle":"","family":"Litin","given":"L B","non-dropping-particle":"","parse-names":false,"suffix":""},{"dropping-particle":"","family":"Willett","given":"W C","non-dropping-particle":"","parse-names":false,"suffix":""}],"container-title":"American journal of epidemiology","id":"ITEM-1","issue":"10","issued":{"date-parts":[["1992"]]},"page":"1114-1126","title":"Reproducibility and validity of an expanded self-administered semiquantitative food frequency questionnaire among male health professionals.","type":"article-journal","volume":"135"},"uris":["http://www.mendeley.com/documents/?uuid=00b02648-aea4-4d9f-8452-45794867e6e2"]}],"mendeley":{"formattedCitation":"&lt;sup&gt;(39)&lt;/sup&gt;","plainTextFormattedCitation":"(39)","previouslyFormattedCitation":"&lt;sup&gt;(39)&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(39)</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47B35A6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46A0DBA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241801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47F764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78CD032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6BFFA3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4938CA0C"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22AC001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3B8CEC2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284CF7B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2BC866B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4218A97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472AC65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4F07348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6277A2E4"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quintiles, ICC, regression </w:t>
            </w:r>
            <w:proofErr w:type="spellStart"/>
            <w:r w:rsidRPr="002B6335">
              <w:rPr>
                <w:rFonts w:ascii="Times New Roman" w:eastAsia="Times New Roman" w:hAnsi="Times New Roman" w:cs="Times New Roman"/>
                <w:color w:val="000000"/>
                <w:sz w:val="16"/>
                <w:szCs w:val="16"/>
                <w:lang w:val="en-AU" w:eastAsia="es-ES"/>
              </w:rPr>
              <w:t>coefficientes</w:t>
            </w:r>
            <w:proofErr w:type="spellEnd"/>
            <w:r w:rsidRPr="002B6335">
              <w:rPr>
                <w:rFonts w:ascii="Times New Roman" w:eastAsia="Times New Roman" w:hAnsi="Times New Roman" w:cs="Times New Roman"/>
                <w:color w:val="000000"/>
                <w:sz w:val="16"/>
                <w:szCs w:val="16"/>
                <w:lang w:val="en-AU" w:eastAsia="es-ES"/>
              </w:rPr>
              <w:t xml:space="preserve">, </w:t>
            </w:r>
            <w:proofErr w:type="spellStart"/>
            <w:r w:rsidRPr="002B6335">
              <w:rPr>
                <w:rFonts w:ascii="Times New Roman" w:eastAsia="Times New Roman" w:hAnsi="Times New Roman" w:cs="Times New Roman"/>
                <w:color w:val="000000"/>
                <w:sz w:val="16"/>
                <w:szCs w:val="16"/>
                <w:lang w:val="en-AU" w:eastAsia="es-ES"/>
              </w:rPr>
              <w:t>coefficientes</w:t>
            </w:r>
            <w:proofErr w:type="spellEnd"/>
            <w:r w:rsidRPr="002B6335">
              <w:rPr>
                <w:rFonts w:ascii="Times New Roman" w:eastAsia="Times New Roman" w:hAnsi="Times New Roman" w:cs="Times New Roman"/>
                <w:color w:val="000000"/>
                <w:sz w:val="16"/>
                <w:szCs w:val="16"/>
                <w:lang w:val="en-AU" w:eastAsia="es-ES"/>
              </w:rPr>
              <w:t xml:space="preserve"> of variation.</w:t>
            </w:r>
          </w:p>
        </w:tc>
      </w:tr>
      <w:tr w:rsidR="003E400D" w:rsidRPr="00D174DC" w14:paraId="0BA709F8" w14:textId="77777777" w:rsidTr="00F53D71">
        <w:trPr>
          <w:trHeight w:val="285"/>
          <w:jc w:val="center"/>
        </w:trPr>
        <w:tc>
          <w:tcPr>
            <w:tcW w:w="1452" w:type="dxa"/>
            <w:tcMar>
              <w:top w:w="0" w:type="dxa"/>
              <w:left w:w="45" w:type="dxa"/>
              <w:bottom w:w="0" w:type="dxa"/>
              <w:right w:w="45" w:type="dxa"/>
            </w:tcMar>
            <w:vAlign w:val="center"/>
            <w:hideMark/>
          </w:tcPr>
          <w:p w14:paraId="7BB35A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Ho</w:t>
            </w:r>
            <w:r>
              <w:rPr>
                <w:rFonts w:ascii="Times New Roman" w:eastAsia="Times New Roman" w:hAnsi="Times New Roman" w:cs="Times New Roman"/>
                <w:color w:val="000000"/>
                <w:sz w:val="16"/>
                <w:szCs w:val="16"/>
                <w:lang w:val="es-MX" w:eastAsia="es-ES"/>
              </w:rPr>
              <w:t>r</w:t>
            </w:r>
            <w:r w:rsidRPr="00D174DC">
              <w:rPr>
                <w:rFonts w:ascii="Times New Roman" w:eastAsia="Times New Roman" w:hAnsi="Times New Roman" w:cs="Times New Roman"/>
                <w:color w:val="000000"/>
                <w:sz w:val="16"/>
                <w:szCs w:val="16"/>
                <w:lang w:val="es-MX" w:eastAsia="es-ES"/>
              </w:rPr>
              <w:t>wath et al. (1993)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{"citationItems":[{"id":"ITEM-1","itemData":{"author":[{"dropping-particle":"","family":"Horwath","given":"CC","non-dropping-particle":"","parse-names":false,"suffix":""}],"container-title":"British Journal of Nutrition","id":"ITEM-1","issue":"1","issued":{"date-parts":[["1993"]]},"page":"3-14","title":"Validity of a short food frequency questionnaire for estimating nutrient intake in elderly people","type":"article-journal","volume":"70"},"uris":["http://www.mendeley.com/documents/?uuid=4140c1dc-14ed-41a2-b334-f97f287be379"]}],"mendeley":{"formattedCitation":"&lt;sup&gt;(66)&lt;/sup&gt;","plainTextFormattedCitation":"(66)","previouslyFormattedCitation":"&lt;sup&gt;(66)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(66)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2A99841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5E6D4D8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DD0806"/>
            <w:tcMar>
              <w:top w:w="0" w:type="dxa"/>
              <w:left w:w="45" w:type="dxa"/>
              <w:bottom w:w="0" w:type="dxa"/>
              <w:right w:w="45" w:type="dxa"/>
            </w:tcMar>
            <w:vAlign w:val="center"/>
            <w:hideMark/>
          </w:tcPr>
          <w:p w14:paraId="224438D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DD0806"/>
            <w:tcMar>
              <w:top w:w="0" w:type="dxa"/>
              <w:left w:w="45" w:type="dxa"/>
              <w:bottom w:w="0" w:type="dxa"/>
              <w:right w:w="45" w:type="dxa"/>
            </w:tcMar>
            <w:vAlign w:val="center"/>
            <w:hideMark/>
          </w:tcPr>
          <w:p w14:paraId="2E447EA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14BC50A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176F953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2EBBA0A4"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F0E889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1B9C1BD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4EE41C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2014497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4552CC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14715B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BCE6C8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192716E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log transformation quintiles</w:t>
            </w:r>
          </w:p>
        </w:tc>
      </w:tr>
      <w:tr w:rsidR="003E400D" w:rsidRPr="00D174DC" w14:paraId="073D923A" w14:textId="77777777" w:rsidTr="00F53D71">
        <w:trPr>
          <w:trHeight w:val="285"/>
          <w:jc w:val="center"/>
        </w:trPr>
        <w:tc>
          <w:tcPr>
            <w:tcW w:w="1452" w:type="dxa"/>
            <w:tcMar>
              <w:top w:w="0" w:type="dxa"/>
              <w:left w:w="45" w:type="dxa"/>
              <w:bottom w:w="0" w:type="dxa"/>
              <w:right w:w="45" w:type="dxa"/>
            </w:tcMar>
            <w:vAlign w:val="center"/>
            <w:hideMark/>
          </w:tcPr>
          <w:p w14:paraId="223625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Longnecker et al. (1993)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{"citationItems":[{"id":"ITEM-1","itemData":{"author":[{"dropping-particle":"","family":"Longnecker MP, Lissner L, Holden JM, et al","given":".","non-dropping-particle":"","parse-names":false,"suffix":""}],"container-title":"Epidemiology","id":"ITEM-1","issue":"4","issued":{"date-parts":[["1993"]]},"page":"356-365","title":"The reproducibility and validity of a self-administered semiquantitative food frequency questionnaire in subjects from South Dakota and Wyoming","type":"article-journal","volume":"4"},"uris":["http://www.mendeley.com/documents/?uuid=4e9f3d5a-fb9c-43bc-b5d0-8f06abffc418"]}],"mendeley":{"formattedCitation":"&lt;sup&gt;(51)&lt;/sup&gt;","plainTextFormattedCitation":"(51)","previouslyFormattedCitation":"&lt;sup&gt;(51)&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(51)</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124367E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DD0806"/>
            <w:tcMar>
              <w:top w:w="0" w:type="dxa"/>
              <w:left w:w="45" w:type="dxa"/>
              <w:bottom w:w="0" w:type="dxa"/>
              <w:right w:w="45" w:type="dxa"/>
            </w:tcMar>
            <w:vAlign w:val="center"/>
            <w:hideMark/>
          </w:tcPr>
          <w:p w14:paraId="3EF6C9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1C9B8FF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1" w:type="dxa"/>
            <w:shd w:val="clear" w:color="auto" w:fill="DD0806"/>
            <w:tcMar>
              <w:top w:w="0" w:type="dxa"/>
              <w:left w:w="45" w:type="dxa"/>
              <w:bottom w:w="0" w:type="dxa"/>
              <w:right w:w="45" w:type="dxa"/>
            </w:tcMar>
            <w:vAlign w:val="center"/>
            <w:hideMark/>
          </w:tcPr>
          <w:p w14:paraId="16EE668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52E0D9B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170CCE3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61500F8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5770E8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219E738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56C3EBF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353F893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617EF45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E6FA74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7C70750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0146768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quartiles</w:t>
            </w:r>
          </w:p>
        </w:tc>
      </w:tr>
      <w:tr w:rsidR="003E400D" w:rsidRPr="00D174DC" w14:paraId="327D4C1D" w14:textId="77777777" w:rsidTr="00F53D71">
        <w:trPr>
          <w:trHeight w:val="285"/>
          <w:jc w:val="center"/>
        </w:trPr>
        <w:tc>
          <w:tcPr>
            <w:tcW w:w="1452" w:type="dxa"/>
            <w:tcMar>
              <w:top w:w="0" w:type="dxa"/>
              <w:left w:w="45" w:type="dxa"/>
              <w:bottom w:w="0" w:type="dxa"/>
              <w:right w:w="45" w:type="dxa"/>
            </w:tcMar>
            <w:vAlign w:val="center"/>
            <w:hideMark/>
          </w:tcPr>
          <w:p w14:paraId="601F809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Martin et al. (1993)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{"citationItems":[{"id":"ITEM-1","itemData":{"author":[{"dropping-particle":"","family":"Martin-Moreno JM, Boyle P, Gorgojo L, et al","given":".","non-dropping-particle":"","parse-names":false,"suffix":""}],"container-title":"Int J Epidemiol","id":"ITEM-1","issue":"3","issued":{"date-parts":[["1993"]]},"page":"512-519","title":"Development and validation of a food frequency questionnaire in Spain","type":"article-journal","volume":"22"},"uris":["http://www.mendeley.com/documents/?uuid=117d5cae-8cd8-4960-835e-935b048bc33d"]}],"mendeley":{"formattedCitation":"&lt;sup&gt;(5)&lt;/sup&gt;","plainTextFormattedCitation":"(5)","previouslyFormattedCitation":"&lt;sup&gt;(5)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2C3DFB">
              <w:rPr>
                <w:rFonts w:ascii="Times New Roman" w:eastAsia="Times New Roman" w:hAnsi="Times New Roman" w:cs="Times New Roman"/>
                <w:noProof/>
                <w:color w:val="000000"/>
                <w:sz w:val="16"/>
                <w:szCs w:val="16"/>
                <w:vertAlign w:val="superscript"/>
                <w:lang w:val="es-MX" w:eastAsia="es-ES"/>
              </w:rPr>
              <w:t>(5)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33958ED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0B96A0A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2C9D335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25C7EEF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1FB714"/>
            <w:tcMar>
              <w:top w:w="0" w:type="dxa"/>
              <w:left w:w="45" w:type="dxa"/>
              <w:bottom w:w="0" w:type="dxa"/>
              <w:right w:w="45" w:type="dxa"/>
            </w:tcMar>
            <w:vAlign w:val="center"/>
            <w:hideMark/>
          </w:tcPr>
          <w:p w14:paraId="0228645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629D02F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3C87968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38A6668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62B8065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48D7DB0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1BFB31F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0EB91C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E912F9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2DCA4E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5AE158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log transformation, ICC, quintiles</w:t>
            </w:r>
          </w:p>
        </w:tc>
      </w:tr>
      <w:tr w:rsidR="003E400D" w:rsidRPr="00D174DC" w14:paraId="53FB1714" w14:textId="77777777" w:rsidTr="00F53D71">
        <w:trPr>
          <w:trHeight w:val="285"/>
          <w:jc w:val="center"/>
        </w:trPr>
        <w:tc>
          <w:tcPr>
            <w:tcW w:w="1452" w:type="dxa"/>
            <w:tcMar>
              <w:top w:w="0" w:type="dxa"/>
              <w:left w:w="45" w:type="dxa"/>
              <w:bottom w:w="0" w:type="dxa"/>
              <w:right w:w="45" w:type="dxa"/>
            </w:tcMar>
            <w:vAlign w:val="center"/>
            <w:hideMark/>
          </w:tcPr>
          <w:p w14:paraId="0BDDCD7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Feskanich et al. (1994)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{"citationItems":[{"id":"ITEM-1","itemData":{"abstract":"Nutrient assessment by the brief 45-item food frequency questionnaire used in the New York State Cohort was simulated by reducing the food list and frequency-of-use categories of the extensive 131-food item semiquantitative questionnaire used in the Health Professionals Follow-up Study. As a validation of the brief questionnaire, daily nutrient intakes were calculated following simulation procedures for 127 men who completed the extensive questionnaire, and the values were compared with those from two 1-week diet records in the same population. Deattenuated correlation coefficients for 25 energy-adjusted nutrient values ranged from 0.12 for iron to 0.76 for vitamin C (mean, 0.26). The brief questionnaire appears reasonably effective in assessing relative dietary intakes of total fat, saturated fat, monounsaturated fat, carbohydrate, dietary fiber, carotene, vitamin C, calcium, potassium, and magnesium. Modest improvements in the correlations for most nutrients were seen when the number of frequency-of-use categories was increased. Correlations decreased when nutrient intakes were calculated using regression coefficients instead of a conventional nutrient database.","author":[{"dropping-particle":"","family":"Feskanich","given":"D","non-dropping-particle":"","parse-names":false,"suffix":""},{"dropping-particle":"","family":"Marshall","given":"J","non-dropping-particle":"","parse-names":false,"suffix":""},{"dropping-particle":"","family":"Rimm","given":"E B","non-dropping-particle":"","parse-names":false,"suffix":""},{"dropping-particle":"","family":"Litin","given":"L B","non-dropping-particle":"","parse-names":false,"suffix":""},{"dropping-particle":"","family":"Willett","given":"W C","non-dropping-particle":"","parse-names":false,"suffix":""}],"container-title":"Ann Epidemiol","id":"ITEM-1","issue":"3","issued":{"date-parts":[["1994"]]},"page":"181-187","title":"Simulated validation of a brief food frequency questionnaire","type":"article-journal","volume":"4"},"uris":["http://www.mendeley.com/documents/?uuid=7eb969cd-049d-4953-8f4a-ae960a9022f0"]}],"mendeley":{"formattedCitation":"&lt;sup&gt;(46)&lt;/sup&gt;","plainTextFormattedCitation":"(46)","previouslyFormattedCitation":"&lt;sup&gt;(46)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57208C1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16AB7F9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4C49810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3AE852A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7DB7610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7F112D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5115A04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45B2A92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7210CD9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09AC9E3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3E3F1F1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16979CA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161857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2549F50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214AF73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deattenuation, log transformation</w:t>
            </w:r>
          </w:p>
        </w:tc>
      </w:tr>
      <w:tr w:rsidR="003E400D" w:rsidRPr="00D174DC" w14:paraId="0CF76991" w14:textId="77777777" w:rsidTr="00F53D71">
        <w:trPr>
          <w:trHeight w:val="285"/>
          <w:jc w:val="center"/>
        </w:trPr>
        <w:tc>
          <w:tcPr>
            <w:tcW w:w="1452" w:type="dxa"/>
            <w:tcMar>
              <w:top w:w="0" w:type="dxa"/>
              <w:left w:w="45" w:type="dxa"/>
              <w:bottom w:w="0" w:type="dxa"/>
              <w:right w:w="45" w:type="dxa"/>
            </w:tcMar>
            <w:vAlign w:val="center"/>
            <w:hideMark/>
          </w:tcPr>
          <w:p w14:paraId="62B13E2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Lee et al. (1994)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{"citationItems":[{"id":"ITEM-1","itemData":{"author":[{"dropping-particle":"","family":"Lee MM, Lee F, Wang S","given":"Miike R","non-dropping-particle":"","parse-names":false,"suffix":""}],"container-title":"Ann Epidemiol","id":"ITEM-1","issue":"3","issued":{"date-parts":[["1994"]]},"page":"188-197","title":"A Semiquantitative Dietary History Questionnaire for Chinese Americans","type":"article-journal","volume":"4"},"uris":["http://www.mendeley.com/documents/?uuid=d99dcc00-3dd7-49e7-84de-38747bef5f00"]}],"mendeley":{"formattedCitation":"&lt;sup&gt;(50)&lt;/sup&gt;","plainTextFormattedCitation":"(50)","previouslyFormattedCitation":"&lt;sup&gt;(50)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44A9F02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466ED26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DD0806"/>
            <w:tcMar>
              <w:top w:w="0" w:type="dxa"/>
              <w:left w:w="45" w:type="dxa"/>
              <w:bottom w:w="0" w:type="dxa"/>
              <w:right w:w="45" w:type="dxa"/>
            </w:tcMar>
            <w:vAlign w:val="center"/>
            <w:hideMark/>
          </w:tcPr>
          <w:p w14:paraId="248B534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1FB714"/>
            <w:tcMar>
              <w:top w:w="0" w:type="dxa"/>
              <w:left w:w="45" w:type="dxa"/>
              <w:bottom w:w="0" w:type="dxa"/>
              <w:right w:w="45" w:type="dxa"/>
            </w:tcMar>
            <w:vAlign w:val="center"/>
            <w:hideMark/>
          </w:tcPr>
          <w:p w14:paraId="1007713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088E0B7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4C5AA39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4C424C51"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26769A5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2F0AD59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4DAFE1B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6F73BCC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461D926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78571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568A1E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2A189AC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Yes: T-test, Spearman (not presented because they were not different from Pearson), quartiles.</w:t>
            </w:r>
          </w:p>
        </w:tc>
      </w:tr>
      <w:tr w:rsidR="003E400D" w:rsidRPr="00D174DC" w14:paraId="1E71F71A" w14:textId="77777777" w:rsidTr="00F53D71">
        <w:trPr>
          <w:trHeight w:val="285"/>
          <w:jc w:val="center"/>
        </w:trPr>
        <w:tc>
          <w:tcPr>
            <w:tcW w:w="1452" w:type="dxa"/>
            <w:tcMar>
              <w:top w:w="0" w:type="dxa"/>
              <w:left w:w="45" w:type="dxa"/>
              <w:bottom w:w="0" w:type="dxa"/>
              <w:right w:w="45" w:type="dxa"/>
            </w:tcMar>
            <w:vAlign w:val="center"/>
            <w:hideMark/>
          </w:tcPr>
          <w:p w14:paraId="0A9990E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Porrini et al. (1994)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{"citationItems":[{"id":"ITEM-1","itemData":{"DOI":"10.1039/b715389a","ISSN":"0067-8198 (Print)","PMID":"7695584","author":[{"dropping-particle":"","family":"Porrini M, Gentile MG, Fidanza F","given":".","non-dropping-particle":"","parse-names":false,"suffix":""}],"container-title":"Bibl Nutr Dieta","id":"ITEM-1","issue":"51","issued":{"date-parts":[["1994"]]},"page":"41-44","title":"Validity of a self-administered, semiquantitative food frequency questionnaire","type":"article-journal"},"uris":["http://www.mendeley.com/documents/?uuid=dc24622e-b4d7-4cf6-97a1-bf44a36083c8"]}],"mendeley":{"formattedCitation":"&lt;sup&gt;(21)&lt;/sup&gt;","plainTextFormattedCitation":"(21)","previouslyFormattedCitation":"&lt;sup&gt;(21)&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(21)</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4058D4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2AE578C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DD0806"/>
            <w:tcMar>
              <w:top w:w="0" w:type="dxa"/>
              <w:left w:w="45" w:type="dxa"/>
              <w:bottom w:w="0" w:type="dxa"/>
              <w:right w:w="45" w:type="dxa"/>
            </w:tcMar>
            <w:vAlign w:val="center"/>
            <w:hideMark/>
          </w:tcPr>
          <w:p w14:paraId="40572D4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DD0806"/>
            <w:tcMar>
              <w:top w:w="0" w:type="dxa"/>
              <w:left w:w="45" w:type="dxa"/>
              <w:bottom w:w="0" w:type="dxa"/>
              <w:right w:w="45" w:type="dxa"/>
            </w:tcMar>
            <w:vAlign w:val="center"/>
            <w:hideMark/>
          </w:tcPr>
          <w:p w14:paraId="6B70E57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651FFCE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1736926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239C04E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Statistical </w:t>
            </w:r>
            <w:proofErr w:type="spellStart"/>
            <w:r w:rsidRPr="002B6335">
              <w:rPr>
                <w:rFonts w:ascii="Times New Roman" w:eastAsia="Times New Roman" w:hAnsi="Times New Roman" w:cs="Times New Roman"/>
                <w:color w:val="000000"/>
                <w:sz w:val="16"/>
                <w:szCs w:val="16"/>
                <w:lang w:val="en-AU" w:eastAsia="es-ES"/>
              </w:rPr>
              <w:t>anayses</w:t>
            </w:r>
            <w:proofErr w:type="spellEnd"/>
            <w:r w:rsidRPr="002B6335">
              <w:rPr>
                <w:rFonts w:ascii="Times New Roman" w:eastAsia="Times New Roman" w:hAnsi="Times New Roman" w:cs="Times New Roman"/>
                <w:color w:val="000000"/>
                <w:sz w:val="16"/>
                <w:szCs w:val="16"/>
                <w:lang w:val="en-AU" w:eastAsia="es-ES"/>
              </w:rPr>
              <w:t xml:space="preserve"> are not described and results description is brief. </w:t>
            </w:r>
          </w:p>
        </w:tc>
        <w:tc>
          <w:tcPr>
            <w:tcW w:w="425" w:type="dxa"/>
            <w:shd w:val="clear" w:color="auto" w:fill="DD0806"/>
            <w:tcMar>
              <w:top w:w="0" w:type="dxa"/>
              <w:left w:w="45" w:type="dxa"/>
              <w:bottom w:w="0" w:type="dxa"/>
              <w:right w:w="45" w:type="dxa"/>
            </w:tcMar>
            <w:vAlign w:val="center"/>
            <w:hideMark/>
          </w:tcPr>
          <w:p w14:paraId="33754A0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High risk</w:t>
            </w:r>
          </w:p>
        </w:tc>
        <w:tc>
          <w:tcPr>
            <w:tcW w:w="1134" w:type="dxa"/>
            <w:shd w:val="clear" w:color="auto" w:fill="DD0806"/>
            <w:tcMar>
              <w:top w:w="0" w:type="dxa"/>
              <w:left w:w="45" w:type="dxa"/>
              <w:bottom w:w="0" w:type="dxa"/>
              <w:right w:w="45" w:type="dxa"/>
            </w:tcMar>
            <w:vAlign w:val="center"/>
            <w:hideMark/>
          </w:tcPr>
          <w:p w14:paraId="35A5607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1" w:type="dxa"/>
            <w:shd w:val="clear" w:color="auto" w:fill="DD0806"/>
            <w:tcMar>
              <w:top w:w="0" w:type="dxa"/>
              <w:left w:w="45" w:type="dxa"/>
              <w:bottom w:w="0" w:type="dxa"/>
              <w:right w:w="45" w:type="dxa"/>
            </w:tcMar>
            <w:vAlign w:val="center"/>
            <w:hideMark/>
          </w:tcPr>
          <w:p w14:paraId="24723CA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DD0806"/>
            <w:tcMar>
              <w:top w:w="0" w:type="dxa"/>
              <w:left w:w="45" w:type="dxa"/>
              <w:bottom w:w="0" w:type="dxa"/>
              <w:right w:w="45" w:type="dxa"/>
            </w:tcMar>
            <w:vAlign w:val="center"/>
            <w:hideMark/>
          </w:tcPr>
          <w:p w14:paraId="4D8D857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DD0806"/>
            <w:tcMar>
              <w:top w:w="0" w:type="dxa"/>
              <w:left w:w="45" w:type="dxa"/>
              <w:bottom w:w="0" w:type="dxa"/>
              <w:right w:w="45" w:type="dxa"/>
            </w:tcMar>
            <w:vAlign w:val="center"/>
            <w:hideMark/>
          </w:tcPr>
          <w:p w14:paraId="49462C4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DD0806"/>
            <w:tcMar>
              <w:top w:w="0" w:type="dxa"/>
              <w:left w:w="45" w:type="dxa"/>
              <w:bottom w:w="0" w:type="dxa"/>
              <w:right w:w="45" w:type="dxa"/>
            </w:tcMar>
            <w:vAlign w:val="center"/>
            <w:hideMark/>
          </w:tcPr>
          <w:p w14:paraId="241D77E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8" w:type="dxa"/>
            <w:shd w:val="clear" w:color="auto" w:fill="1FB714"/>
            <w:tcMar>
              <w:top w:w="0" w:type="dxa"/>
              <w:left w:w="45" w:type="dxa"/>
              <w:bottom w:w="0" w:type="dxa"/>
              <w:right w:w="45" w:type="dxa"/>
            </w:tcMar>
            <w:vAlign w:val="center"/>
            <w:hideMark/>
          </w:tcPr>
          <w:p w14:paraId="198DF0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550239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Wilcoxon, Spearman</w:t>
            </w:r>
          </w:p>
        </w:tc>
      </w:tr>
      <w:tr w:rsidR="003E400D" w:rsidRPr="00D174DC" w14:paraId="488A8D99" w14:textId="77777777" w:rsidTr="00F53D71">
        <w:trPr>
          <w:trHeight w:val="285"/>
          <w:jc w:val="center"/>
        </w:trPr>
        <w:tc>
          <w:tcPr>
            <w:tcW w:w="1452" w:type="dxa"/>
            <w:tcMar>
              <w:top w:w="0" w:type="dxa"/>
              <w:left w:w="45" w:type="dxa"/>
              <w:bottom w:w="0" w:type="dxa"/>
              <w:right w:w="45" w:type="dxa"/>
            </w:tcMar>
            <w:vAlign w:val="center"/>
            <w:hideMark/>
          </w:tcPr>
          <w:p w14:paraId="1521708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Ramón et al. (1994)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Ramón","given":"JM","non-dropping-particle":"","parse-names":false,"suffix":""},{"dropping-particle":"","family":"Micaló","given":"T","non-dropping-particle":"","parse-names":false,"suffix":""},{"dropping-particle":"","family":"Benítez","given":"D","non-dropping-particle":"","parse-names":false,"suffix":""},{"dropping-particle":"","family":"Escolano","given":"L","non-dropping-particle":"","parse-names":false,"suffix":""},{"dropping-particle":"","family":"Pe","given":"P","non-dropping-particle":"","parse-names":false,"suffix":""},{"dropping-particle":"","family":"Recasens","given":"A","non-dropping-particle":"","parse-names":false,"suffix":""},{"dropping-particle":"","family":"Romera","given":"M","non-dropping-particle":"","parse-names":false,"suffix":""}],"container-title":"Med Clin","id":"ITEM-1","issue":"1","issued":{"date-parts":[["1994"]]},"page":"1-4","title":"Dietary habits of 2 populations of the province of Barcelona (I): design and validation of asemiquantitative questionnaire of frequency of food consumption.","type":"article-journal","volume":"103"},"uris":["http://www.mendeley.com/documents/?uuid=c2af8e87-4b83-4c2d-9953-93afd2f419f2"]}],"mendeley":{"formattedCitation":"&lt;sup&gt;(22)&lt;/sup&gt;","plainTextFormattedCitation":"(22)","previouslyFormattedCitation":"&lt;sup&gt;(22)&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(22)</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3EE7650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4E1AAF6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70C7ECA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40CF255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65D7CCD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22D9952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103C564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described in the methods </w:t>
            </w:r>
            <w:r w:rsidRPr="002B6335">
              <w:rPr>
                <w:rFonts w:ascii="Times New Roman" w:eastAsia="Times New Roman" w:hAnsi="Times New Roman" w:cs="Times New Roman"/>
                <w:color w:val="000000"/>
                <w:sz w:val="16"/>
                <w:szCs w:val="16"/>
                <w:lang w:val="en-AU" w:eastAsia="es-ES"/>
              </w:rPr>
              <w:lastRenderedPageBreak/>
              <w:t>section.</w:t>
            </w:r>
          </w:p>
        </w:tc>
        <w:tc>
          <w:tcPr>
            <w:tcW w:w="425" w:type="dxa"/>
            <w:shd w:val="clear" w:color="auto" w:fill="1FB714"/>
            <w:tcMar>
              <w:top w:w="0" w:type="dxa"/>
              <w:left w:w="45" w:type="dxa"/>
              <w:bottom w:w="0" w:type="dxa"/>
              <w:right w:w="45" w:type="dxa"/>
            </w:tcMar>
            <w:vAlign w:val="center"/>
            <w:hideMark/>
          </w:tcPr>
          <w:p w14:paraId="75C6E2D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Low risk</w:t>
            </w:r>
          </w:p>
        </w:tc>
        <w:tc>
          <w:tcPr>
            <w:tcW w:w="1134" w:type="dxa"/>
            <w:shd w:val="clear" w:color="auto" w:fill="FF9900"/>
            <w:tcMar>
              <w:top w:w="0" w:type="dxa"/>
              <w:left w:w="45" w:type="dxa"/>
              <w:bottom w:w="0" w:type="dxa"/>
              <w:right w:w="45" w:type="dxa"/>
            </w:tcMar>
            <w:vAlign w:val="center"/>
            <w:hideMark/>
          </w:tcPr>
          <w:p w14:paraId="69F863E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DD0806"/>
            <w:tcMar>
              <w:top w:w="0" w:type="dxa"/>
              <w:left w:w="45" w:type="dxa"/>
              <w:bottom w:w="0" w:type="dxa"/>
              <w:right w:w="45" w:type="dxa"/>
            </w:tcMar>
            <w:vAlign w:val="center"/>
            <w:hideMark/>
          </w:tcPr>
          <w:p w14:paraId="791CCDF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FF9900"/>
            <w:tcMar>
              <w:top w:w="0" w:type="dxa"/>
              <w:left w:w="45" w:type="dxa"/>
              <w:bottom w:w="0" w:type="dxa"/>
              <w:right w:w="45" w:type="dxa"/>
            </w:tcMar>
            <w:vAlign w:val="center"/>
            <w:hideMark/>
          </w:tcPr>
          <w:p w14:paraId="61162FA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1FB714"/>
            <w:tcMar>
              <w:top w:w="0" w:type="dxa"/>
              <w:left w:w="45" w:type="dxa"/>
              <w:bottom w:w="0" w:type="dxa"/>
              <w:right w:w="45" w:type="dxa"/>
            </w:tcMar>
            <w:vAlign w:val="center"/>
            <w:hideMark/>
          </w:tcPr>
          <w:p w14:paraId="2B3013D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1FB714"/>
            <w:tcMar>
              <w:top w:w="0" w:type="dxa"/>
              <w:left w:w="45" w:type="dxa"/>
              <w:bottom w:w="0" w:type="dxa"/>
              <w:right w:w="45" w:type="dxa"/>
            </w:tcMar>
            <w:vAlign w:val="center"/>
            <w:hideMark/>
          </w:tcPr>
          <w:p w14:paraId="6E75A24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00B900"/>
            <w:tcMar>
              <w:top w:w="0" w:type="dxa"/>
              <w:left w:w="45" w:type="dxa"/>
              <w:bottom w:w="0" w:type="dxa"/>
              <w:right w:w="45" w:type="dxa"/>
            </w:tcMar>
            <w:vAlign w:val="center"/>
            <w:hideMark/>
          </w:tcPr>
          <w:p w14:paraId="31DE63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3B91197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quintiles, log transformation </w:t>
            </w:r>
          </w:p>
        </w:tc>
      </w:tr>
      <w:tr w:rsidR="003E400D" w:rsidRPr="00D174DC" w14:paraId="69EACE08" w14:textId="77777777" w:rsidTr="00F53D71">
        <w:trPr>
          <w:trHeight w:val="285"/>
          <w:jc w:val="center"/>
        </w:trPr>
        <w:tc>
          <w:tcPr>
            <w:tcW w:w="1452" w:type="dxa"/>
            <w:tcMar>
              <w:top w:w="0" w:type="dxa"/>
              <w:left w:w="45" w:type="dxa"/>
              <w:bottom w:w="0" w:type="dxa"/>
              <w:right w:w="45" w:type="dxa"/>
            </w:tcMar>
            <w:vAlign w:val="center"/>
            <w:hideMark/>
          </w:tcPr>
          <w:p w14:paraId="0666F63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Rothenberg (1994)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{"citationItems":[{"id":"ITEM-1","itemData":{"author":[{"dropping-particle":"","family":"Rothenberg","given":"E","non-dropping-particle":"","parse-names":false,"suffix":""}],"container-title":"European journal of clinical nutrition","id":"ITEM-1","issue":"10","issued":{"date-parts":[["1994"]]},"page":"725-735","title":"Validation of the food frequency questionnaire with the 4-day record method and analysis of 24-h urinary nitrogen","type":"article-journal","volume":"48"},"uris":["http://www.mendeley.com/documents/?uuid=7596b164-e2b0-475c-a1c9-5d060a7214bd"]}],"mendeley":{"formattedCitation":"&lt;sup&gt;(25)&lt;/sup&gt;","plainTextFormattedCitation":"(25)","previouslyFormattedCitation":"&lt;sup&gt;(25)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3701127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776" w:type="dxa"/>
            <w:shd w:val="clear" w:color="auto" w:fill="1FB714"/>
            <w:tcMar>
              <w:top w:w="0" w:type="dxa"/>
              <w:left w:w="45" w:type="dxa"/>
              <w:bottom w:w="0" w:type="dxa"/>
              <w:right w:w="45" w:type="dxa"/>
            </w:tcMar>
            <w:vAlign w:val="center"/>
            <w:hideMark/>
          </w:tcPr>
          <w:p w14:paraId="3F2F5C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DD0806"/>
            <w:tcMar>
              <w:top w:w="0" w:type="dxa"/>
              <w:left w:w="45" w:type="dxa"/>
              <w:bottom w:w="0" w:type="dxa"/>
              <w:right w:w="45" w:type="dxa"/>
            </w:tcMar>
            <w:vAlign w:val="center"/>
            <w:hideMark/>
          </w:tcPr>
          <w:p w14:paraId="16FE022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1FB714"/>
            <w:tcMar>
              <w:top w:w="0" w:type="dxa"/>
              <w:left w:w="45" w:type="dxa"/>
              <w:bottom w:w="0" w:type="dxa"/>
              <w:right w:w="45" w:type="dxa"/>
            </w:tcMar>
            <w:vAlign w:val="center"/>
            <w:hideMark/>
          </w:tcPr>
          <w:p w14:paraId="29A4B0B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2E1B1DB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418" w:type="dxa"/>
            <w:shd w:val="clear" w:color="auto" w:fill="DD0806"/>
            <w:tcMar>
              <w:top w:w="0" w:type="dxa"/>
              <w:left w:w="45" w:type="dxa"/>
              <w:bottom w:w="0" w:type="dxa"/>
              <w:right w:w="45" w:type="dxa"/>
            </w:tcMar>
            <w:vAlign w:val="center"/>
            <w:hideMark/>
          </w:tcPr>
          <w:p w14:paraId="614FBDC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4B30ACB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 however, Bland-Altman plots are not clearly shown (they are presented in tables).</w:t>
            </w:r>
          </w:p>
        </w:tc>
        <w:tc>
          <w:tcPr>
            <w:tcW w:w="425" w:type="dxa"/>
            <w:shd w:val="clear" w:color="auto" w:fill="FEA746"/>
            <w:tcMar>
              <w:top w:w="0" w:type="dxa"/>
              <w:left w:w="45" w:type="dxa"/>
              <w:bottom w:w="0" w:type="dxa"/>
              <w:right w:w="45" w:type="dxa"/>
            </w:tcMar>
            <w:vAlign w:val="center"/>
            <w:hideMark/>
          </w:tcPr>
          <w:p w14:paraId="255F13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Not clear</w:t>
            </w:r>
          </w:p>
        </w:tc>
        <w:tc>
          <w:tcPr>
            <w:tcW w:w="1134" w:type="dxa"/>
            <w:shd w:val="clear" w:color="auto" w:fill="FF9900"/>
            <w:tcMar>
              <w:top w:w="0" w:type="dxa"/>
              <w:left w:w="45" w:type="dxa"/>
              <w:bottom w:w="0" w:type="dxa"/>
              <w:right w:w="45" w:type="dxa"/>
            </w:tcMar>
            <w:vAlign w:val="center"/>
            <w:hideMark/>
          </w:tcPr>
          <w:p w14:paraId="4B8908C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DD0806"/>
            <w:tcMar>
              <w:top w:w="0" w:type="dxa"/>
              <w:left w:w="45" w:type="dxa"/>
              <w:bottom w:w="0" w:type="dxa"/>
              <w:right w:w="45" w:type="dxa"/>
            </w:tcMar>
            <w:vAlign w:val="center"/>
            <w:hideMark/>
          </w:tcPr>
          <w:p w14:paraId="6321B24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FF9900"/>
            <w:tcMar>
              <w:top w:w="0" w:type="dxa"/>
              <w:left w:w="45" w:type="dxa"/>
              <w:bottom w:w="0" w:type="dxa"/>
              <w:right w:w="45" w:type="dxa"/>
            </w:tcMar>
            <w:vAlign w:val="center"/>
            <w:hideMark/>
          </w:tcPr>
          <w:p w14:paraId="1EC1F3D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11B3431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25226D2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00B800"/>
            <w:tcMar>
              <w:top w:w="0" w:type="dxa"/>
              <w:left w:w="45" w:type="dxa"/>
              <w:bottom w:w="0" w:type="dxa"/>
              <w:right w:w="45" w:type="dxa"/>
            </w:tcMar>
            <w:vAlign w:val="center"/>
          </w:tcPr>
          <w:p w14:paraId="34C14A4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64C587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biomarkers, log transformation, Bland-Altman, </w:t>
            </w:r>
            <w:proofErr w:type="spellStart"/>
            <w:r w:rsidRPr="002B6335">
              <w:rPr>
                <w:rFonts w:ascii="Times New Roman" w:eastAsia="Times New Roman" w:hAnsi="Times New Roman" w:cs="Times New Roman"/>
                <w:color w:val="000000"/>
                <w:sz w:val="16"/>
                <w:szCs w:val="16"/>
                <w:lang w:val="en-AU" w:eastAsia="es-ES"/>
              </w:rPr>
              <w:t>tertiles</w:t>
            </w:r>
            <w:proofErr w:type="spellEnd"/>
          </w:p>
        </w:tc>
      </w:tr>
      <w:tr w:rsidR="003E400D" w:rsidRPr="00D174DC" w14:paraId="136BB1FF" w14:textId="77777777" w:rsidTr="00F53D71">
        <w:trPr>
          <w:trHeight w:val="285"/>
          <w:jc w:val="center"/>
        </w:trPr>
        <w:tc>
          <w:tcPr>
            <w:tcW w:w="1452" w:type="dxa"/>
            <w:tcMar>
              <w:top w:w="0" w:type="dxa"/>
              <w:left w:w="45" w:type="dxa"/>
              <w:bottom w:w="0" w:type="dxa"/>
              <w:right w:w="45" w:type="dxa"/>
            </w:tcMar>
            <w:vAlign w:val="center"/>
            <w:hideMark/>
          </w:tcPr>
          <w:p w14:paraId="6FEEEC0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Fidanza et al. (1995)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{"citationItems":[{"id":"ITEM-1","itemData":{"abstract":"Nutrient assessment by the brief 45-item food frequency questionnaire used in the New York State Cohort was simulated by reducing the food list and frequency-of-use categories of the extensive 131-food item semiquantitative questionnaire used in the Health Professionals Follow-up Study. As a validation of the brief questionnaire, daily nutrient intakes were calculated following simulation procedures for 127 men who completed the extensive questionnaire, and the values were compared with those from two 1-week diet records in the same population. Deattenuated correlation coefficients for 25 energy-adjusted nutrient values ranged from 0.12 for iron to 0.76 for vitamin C (mean, 0.26). The brief questionnaire appears reasonably effective in assessing relative dietary intakes of total fat, saturated fat, monounsaturated fat, carbohydrate, dietary fiber, carotene, vitamin C, calcium, potassium, and magnesium. Modest improvements in the correlations for most nutrients were seen when the number of frequency-of-use categories was increased. Correlations decreased when nutrient intakes were calculated using regression coefficients instead of a conventional nutrient database.","author":[{"dropping-particle":"","family":"Feskanich","given":"D","non-dropping-particle":"","parse-names":false,"suffix":""},{"dropping-particle":"","family":"Marshall","given":"J","non-dropping-particle":"","parse-names":false,"suffix":""},{"dropping-particle":"","family":"Rimm","given":"E B","non-dropping-particle":"","parse-names":false,"suffix":""},{"dropping-particle":"","family":"Litin","given":"L B","non-dropping-particle":"","parse-names":false,"suffix":""},{"dropping-particle":"","family":"Willett","given":"W C","non-dropping-particle":"","parse-names":false,"suffix":""}],"container-title":"Ann Epidemiol","id":"ITEM-1","issue":"3","issued":{"date-parts":[["1994"]]},"page":"181-187","title":"Simulated validation of a brief food frequency questionnaire","type":"article-journal","volume":"4"},"uris":["http://www.mendeley.com/documents/?uuid=7eb969cd-049d-4953-8f4a-ae960a9022f0"]}],"mendeley":{"formattedCitation":"&lt;sup&gt;(46)&lt;/sup&gt;","plainTextFormattedCitation":"(46)","previouslyFormattedCitation":"&lt;sup&gt;(46)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3BE1FB0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6767E2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DD0806"/>
            <w:tcMar>
              <w:top w:w="0" w:type="dxa"/>
              <w:left w:w="45" w:type="dxa"/>
              <w:bottom w:w="0" w:type="dxa"/>
              <w:right w:w="45" w:type="dxa"/>
            </w:tcMar>
            <w:vAlign w:val="center"/>
            <w:hideMark/>
          </w:tcPr>
          <w:p w14:paraId="17667A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r w:rsidRPr="006862E7">
              <w:rPr>
                <w:rFonts w:ascii="Times New Roman" w:eastAsia="Times New Roman" w:hAnsi="Times New Roman" w:cs="Times New Roman"/>
                <w:color w:val="000000"/>
                <w:sz w:val="16"/>
                <w:szCs w:val="16"/>
                <w:vertAlign w:val="superscript"/>
                <w:lang w:val="es-MX" w:eastAsia="es-ES"/>
              </w:rPr>
              <w:t>a</w:t>
            </w:r>
          </w:p>
        </w:tc>
        <w:tc>
          <w:tcPr>
            <w:tcW w:w="851" w:type="dxa"/>
            <w:shd w:val="clear" w:color="auto" w:fill="DD0806"/>
            <w:tcMar>
              <w:top w:w="0" w:type="dxa"/>
              <w:left w:w="45" w:type="dxa"/>
              <w:bottom w:w="0" w:type="dxa"/>
              <w:right w:w="45" w:type="dxa"/>
            </w:tcMar>
            <w:vAlign w:val="center"/>
            <w:hideMark/>
          </w:tcPr>
          <w:p w14:paraId="516B6B2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20FB2CA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Follow-up not described</w:t>
            </w:r>
          </w:p>
        </w:tc>
        <w:tc>
          <w:tcPr>
            <w:tcW w:w="1418" w:type="dxa"/>
            <w:shd w:val="clear" w:color="auto" w:fill="DD0806"/>
            <w:tcMar>
              <w:top w:w="0" w:type="dxa"/>
              <w:left w:w="45" w:type="dxa"/>
              <w:bottom w:w="0" w:type="dxa"/>
              <w:right w:w="45" w:type="dxa"/>
            </w:tcMar>
            <w:vAlign w:val="center"/>
            <w:hideMark/>
          </w:tcPr>
          <w:p w14:paraId="5EEC1EC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shd w:val="clear" w:color="auto" w:fill="FFFFFF"/>
            <w:tcMar>
              <w:top w:w="0" w:type="dxa"/>
              <w:left w:w="45" w:type="dxa"/>
              <w:bottom w:w="0" w:type="dxa"/>
              <w:right w:w="45" w:type="dxa"/>
            </w:tcMar>
            <w:vAlign w:val="bottom"/>
            <w:hideMark/>
          </w:tcPr>
          <w:p w14:paraId="2366005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Adjustment by energy is presented in study results, although it was not mentioned in the methods section. </w:t>
            </w:r>
          </w:p>
        </w:tc>
        <w:tc>
          <w:tcPr>
            <w:tcW w:w="425" w:type="dxa"/>
            <w:shd w:val="clear" w:color="auto" w:fill="1FB714"/>
            <w:tcMar>
              <w:top w:w="0" w:type="dxa"/>
              <w:left w:w="45" w:type="dxa"/>
              <w:bottom w:w="0" w:type="dxa"/>
              <w:right w:w="45" w:type="dxa"/>
            </w:tcMar>
            <w:vAlign w:val="center"/>
            <w:hideMark/>
          </w:tcPr>
          <w:p w14:paraId="1B2855C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756FD8B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5EDA808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F81D2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326E89B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5A67AD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00B800"/>
            <w:tcMar>
              <w:top w:w="0" w:type="dxa"/>
              <w:left w:w="45" w:type="dxa"/>
              <w:bottom w:w="0" w:type="dxa"/>
              <w:right w:w="45" w:type="dxa"/>
            </w:tcMar>
            <w:vAlign w:val="center"/>
          </w:tcPr>
          <w:p w14:paraId="6EC25A0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3104779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tertiles</w:t>
            </w:r>
          </w:p>
        </w:tc>
      </w:tr>
      <w:tr w:rsidR="003E400D" w:rsidRPr="00D174DC" w14:paraId="787514A3" w14:textId="77777777" w:rsidTr="00F53D71">
        <w:trPr>
          <w:trHeight w:val="285"/>
          <w:jc w:val="center"/>
        </w:trPr>
        <w:tc>
          <w:tcPr>
            <w:tcW w:w="1452" w:type="dxa"/>
            <w:tcMar>
              <w:top w:w="0" w:type="dxa"/>
              <w:left w:w="45" w:type="dxa"/>
              <w:bottom w:w="0" w:type="dxa"/>
              <w:right w:w="45" w:type="dxa"/>
            </w:tcMar>
            <w:vAlign w:val="center"/>
            <w:hideMark/>
          </w:tcPr>
          <w:p w14:paraId="25983F9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Gnardellis et al. (1995)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{"citationItems":[{"id":"ITEM-1","itemData":{"abstract":"We evaluated the reproducibility and validity of a 190-item semiquantitative food frequency questionnaire (FFQ) to be used in a large prospective study in the Athens area of Greece. Eighty persons, 42 men and 38 women, ages 25-67 years, completed a self-administered FFQ, followed by monthly 24-hour diet recalls and then a second FFQ 1 year after the first. Correlation coefficients measuring the reproducibility and validity of the FFQ indicate that the questionnaire is reproducible and provides a reasonably reliable measure of intake for many nutrients over a period of 1 year.","author":[{"dropping-particle":"","family":"Gnardellis","given":"C","non-dropping-particle":"","parse-names":false,"suffix":""},{"dropping-particle":"","family":"Trichopoulou","given":"A","non-dropping-particle":"","parse-names":false,"suffix":""},{"dropping-particle":"","family":"Katsouyanni","given":"K","non-dropping-particle":"","parse-names":false,"suffix":""},{"dropping-particle":"","family":"Polychronopoulos","given":"E","non-dropping-particle":"","parse-names":false,"suffix":""},{"dropping-particle":"","family":"Rimm","given":"E B","non-dropping-particle":"","parse-names":false,"suffix":""},{"dropping-particle":"","family":"Trichopoulos","given":"D","non-dropping-particle":"","parse-names":false,"suffix":""}],"container-title":"Epidemiology","id":"ITEM-1","issue":"1","issued":{"date-parts":[["1995"]]},"page":"74-77","title":"Reproducibility and validity of an extensive semiquantitative food frequency questionnaire among Greek school teachers.","type":"article-journal","volume":"6"},"uris":["http://www.mendeley.com/documents/?uuid=8c4b1b03-43ca-3a6b-9fc8-b2cf9d9a39e1"]}],"mendeley":{"formattedCitation":"&lt;sup&gt;(12)&lt;/sup&gt;","plainTextFormattedCitation":"(12)","previouslyFormattedCitation":"&lt;sup&gt;(12)&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(12)</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5CCBF69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17BFF94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3ACB5E1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26E5091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3B99CF4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16B1CB8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3DD9FA1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E5C54D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672EB78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0644B68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151A264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273AC96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154D784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FF9900"/>
            <w:tcMar>
              <w:top w:w="0" w:type="dxa"/>
              <w:left w:w="45" w:type="dxa"/>
              <w:bottom w:w="0" w:type="dxa"/>
              <w:right w:w="45" w:type="dxa"/>
            </w:tcMar>
            <w:vAlign w:val="center"/>
            <w:hideMark/>
          </w:tcPr>
          <w:p w14:paraId="580CA31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1422" w:type="dxa"/>
            <w:shd w:val="clear" w:color="auto" w:fill="1FB714"/>
            <w:tcMar>
              <w:top w:w="0" w:type="dxa"/>
              <w:left w:w="45" w:type="dxa"/>
              <w:bottom w:w="0" w:type="dxa"/>
              <w:right w:w="45" w:type="dxa"/>
            </w:tcMar>
            <w:vAlign w:val="center"/>
            <w:hideMark/>
          </w:tcPr>
          <w:p w14:paraId="77D9C55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ICC,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quintiles</w:t>
            </w:r>
          </w:p>
        </w:tc>
      </w:tr>
      <w:tr w:rsidR="003E400D" w:rsidRPr="00D174DC" w14:paraId="500764E0" w14:textId="77777777" w:rsidTr="00F53D71">
        <w:trPr>
          <w:trHeight w:val="285"/>
          <w:jc w:val="center"/>
        </w:trPr>
        <w:tc>
          <w:tcPr>
            <w:tcW w:w="1452" w:type="dxa"/>
            <w:tcMar>
              <w:top w:w="0" w:type="dxa"/>
              <w:left w:w="45" w:type="dxa"/>
              <w:bottom w:w="0" w:type="dxa"/>
              <w:right w:w="45" w:type="dxa"/>
            </w:tcMar>
            <w:vAlign w:val="center"/>
            <w:hideMark/>
          </w:tcPr>
          <w:p w14:paraId="3EA5B6A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Grootenhuis et al. (1995)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{"citationItems":[{"id":"ITEM-1","itemData":{"DOI":"10.1016/0895-4356(95)00013-T","ISSN":"08954356","PMID":"7782793","abstract":"A self-administered semiquantitative food frequency questionnaire including 75 food items and providing information on the habitual intake of 31 nutritional parameters, based on the intake of protein, fat, carbohydrate, fiber and 11 vitamins and minerals, was developed for use in epidemiologic research on chronic disease among the elderly, such as diabetes and cardiovascular disease. By means of detailed frequency and quantity questions, specifications of types of food, preparation methods and seasonal variation, the questionnaire was expected to be an improvement on existing instruments. The relative validity of the questionnaire was examined in 74 men and women, aged 50-75, by comparison with a modified dietary history. Systematic differences were absent or negligible for all nutrients, except vitamin C. Bias depending on the level of intake could be ruled out for all but seven nutrients. Pearson correlation coefficients for estimates from the questionnaire and dietary history were on average 0.71(range: 0.65-0.78) and 0.66 (range: 0.36-0.81) for macronutrients, and vitamins and minerals, respectively. Classifying individual intake estimates into tertiles of the distribution for both methods, on average 62.4 and 54.7% of the intakes were categorized into the same tertile and 3.9 and 5.9% into the opposite tertile for macronutrients, vitamins and minerals, respectively. These results demonstrate an acceptable relative validity for this newly developed questionnaire, as compared to the dietary history method. ?? 1995.","author":[{"dropping-particle":"","family":"Grootenhuis","given":"PA","non-dropping-particle":"","parse-names":false,"suffix":""},{"dropping-particle":"","family":"Westenbrink","given":"S","non-dropping-particle":"","parse-names":false,"suffix":""},{"dropping-particle":"","family":"Sie","given":"Claudia M T L","non-dropping-particle":"","parse-names":false,"suffix":""},{"dropping-particle":"","family":"Neeling","given":"J. Nico D","non-dropping-particle":"De","parse-names":false,"suffix":""},{"dropping-particle":"","family":"Kok","given":"Frans J.","non-dropping-particle":"","parse-names":false,"suffix":""},{"dropping-particle":"","family":"Bouter","given":"Lex M.","non-dropping-particle":"","parse-names":false,"suffix":""}],"container-title":"Journal of Clinical Epidemiology","id":"ITEM-1","issue":"7","issued":{"date-parts":[["1995"]]},"page":"859-868","title":"A semiquantitative food frequency questionnaire for use in epidemiologic research among the elderly: Validation by comparison with dietary history","type":"article-journal","volume":"48"},"uris":["http://www.mendeley.com/documents/?uuid=47a1c769-795e-4600-8574-341d3c9df431"]}],"mendeley":{"formattedCitation":"&lt;sup&gt;(36)&lt;/sup&gt;","plainTextFormattedCitation":"(36)","previouslyFormattedCitation":"&lt;sup&gt;(36)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(36)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765D5E9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7701AD1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DD0806"/>
            <w:tcMar>
              <w:top w:w="0" w:type="dxa"/>
              <w:left w:w="45" w:type="dxa"/>
              <w:bottom w:w="0" w:type="dxa"/>
              <w:right w:w="45" w:type="dxa"/>
            </w:tcMar>
            <w:vAlign w:val="center"/>
            <w:hideMark/>
          </w:tcPr>
          <w:p w14:paraId="165AA2C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DD0806"/>
            <w:tcMar>
              <w:top w:w="0" w:type="dxa"/>
              <w:left w:w="45" w:type="dxa"/>
              <w:bottom w:w="0" w:type="dxa"/>
              <w:right w:w="45" w:type="dxa"/>
            </w:tcMar>
            <w:vAlign w:val="center"/>
            <w:hideMark/>
          </w:tcPr>
          <w:p w14:paraId="2E23682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1F5FCB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418" w:type="dxa"/>
            <w:shd w:val="clear" w:color="auto" w:fill="1FB714"/>
            <w:tcMar>
              <w:top w:w="0" w:type="dxa"/>
              <w:left w:w="45" w:type="dxa"/>
              <w:bottom w:w="0" w:type="dxa"/>
              <w:right w:w="45" w:type="dxa"/>
            </w:tcMar>
            <w:vAlign w:val="center"/>
            <w:hideMark/>
          </w:tcPr>
          <w:p w14:paraId="3918834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7C72192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Bland-Altman plots are mentioned in the methods </w:t>
            </w:r>
            <w:r w:rsidRPr="002B6335">
              <w:rPr>
                <w:rFonts w:ascii="Times New Roman" w:eastAsia="Times New Roman" w:hAnsi="Times New Roman" w:cs="Times New Roman"/>
                <w:color w:val="000000"/>
                <w:sz w:val="16"/>
                <w:szCs w:val="16"/>
                <w:lang w:val="en-AU" w:eastAsia="es-ES"/>
              </w:rPr>
              <w:lastRenderedPageBreak/>
              <w:t>section but they are not shown in the results section.</w:t>
            </w:r>
          </w:p>
        </w:tc>
        <w:tc>
          <w:tcPr>
            <w:tcW w:w="425" w:type="dxa"/>
            <w:shd w:val="clear" w:color="auto" w:fill="FF0000"/>
            <w:tcMar>
              <w:top w:w="0" w:type="dxa"/>
              <w:left w:w="45" w:type="dxa"/>
              <w:bottom w:w="0" w:type="dxa"/>
              <w:right w:w="45" w:type="dxa"/>
            </w:tcMar>
            <w:vAlign w:val="bottom"/>
            <w:hideMark/>
          </w:tcPr>
          <w:p w14:paraId="403BFAD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High risk</w:t>
            </w:r>
          </w:p>
        </w:tc>
        <w:tc>
          <w:tcPr>
            <w:tcW w:w="1134" w:type="dxa"/>
            <w:shd w:val="clear" w:color="auto" w:fill="1FB714"/>
            <w:tcMar>
              <w:top w:w="0" w:type="dxa"/>
              <w:left w:w="45" w:type="dxa"/>
              <w:bottom w:w="0" w:type="dxa"/>
              <w:right w:w="45" w:type="dxa"/>
            </w:tcMar>
            <w:vAlign w:val="center"/>
            <w:hideMark/>
          </w:tcPr>
          <w:p w14:paraId="58138FF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018763A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4206E4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1D8610E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3B4267F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FF9900"/>
            <w:tcMar>
              <w:top w:w="0" w:type="dxa"/>
              <w:left w:w="45" w:type="dxa"/>
              <w:bottom w:w="0" w:type="dxa"/>
              <w:right w:w="45" w:type="dxa"/>
            </w:tcMar>
            <w:vAlign w:val="center"/>
            <w:hideMark/>
          </w:tcPr>
          <w:p w14:paraId="7D9A917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1422" w:type="dxa"/>
            <w:shd w:val="clear" w:color="auto" w:fill="1FB714"/>
            <w:tcMar>
              <w:top w:w="0" w:type="dxa"/>
              <w:left w:w="45" w:type="dxa"/>
              <w:bottom w:w="0" w:type="dxa"/>
              <w:right w:w="45" w:type="dxa"/>
            </w:tcMar>
            <w:vAlign w:val="center"/>
            <w:hideMark/>
          </w:tcPr>
          <w:p w14:paraId="2DCA96C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tertiles</w:t>
            </w:r>
          </w:p>
        </w:tc>
      </w:tr>
      <w:tr w:rsidR="003E400D" w:rsidRPr="00D174DC" w14:paraId="53E7767D" w14:textId="77777777" w:rsidTr="00F53D71">
        <w:trPr>
          <w:trHeight w:val="285"/>
          <w:jc w:val="center"/>
        </w:trPr>
        <w:tc>
          <w:tcPr>
            <w:tcW w:w="1452" w:type="dxa"/>
            <w:tcMar>
              <w:top w:w="0" w:type="dxa"/>
              <w:left w:w="45" w:type="dxa"/>
              <w:bottom w:w="0" w:type="dxa"/>
              <w:right w:w="45" w:type="dxa"/>
            </w:tcMar>
            <w:vAlign w:val="center"/>
            <w:hideMark/>
          </w:tcPr>
          <w:p w14:paraId="46B5C6A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174DC">
              <w:rPr>
                <w:rFonts w:ascii="Times New Roman" w:eastAsia="Times New Roman" w:hAnsi="Times New Roman" w:cs="Times New Roman"/>
                <w:color w:val="000000"/>
                <w:sz w:val="16"/>
                <w:szCs w:val="16"/>
                <w:lang w:val="es-MX" w:eastAsia="es-ES"/>
              </w:rPr>
              <w:lastRenderedPageBreak/>
              <w:t>Bonifacj et al. (1997)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{"citationItems":[{"id":"ITEM-1","itemData":{"ISSN":"0954-3007","PMID":"9104572","abstract":"OBJECTIVE The main objective of the study was to develop appropriate dietary assessment instruments for the French Mediterranean region and to validate the measurements they provide. SUBJECTS AND METHODS Three different assessment methods were submitted to a sample of 150 male and female volunteers. 98 completed the protocol, which consisted of a 4 d weighed dietary record (PETRA) and a 7 d estimated-diet record (S7) based on a check list and a set of photographs, both these records being completed once in each season of the year, and a semi-quantitative (standard portion) food-frequency questionnaire (FFQ) including questions eliciting socio-demographic and anthropometric data, which was completed once only. The days when PETRA was used to evaluate food consumption coincided with the first 4 d of S7 (S4). RESULTS Validation was based on nutrients and foods. Energy-adjusted Pearson correlation coefficients between S4 and PETRA ranged from 0.32 for vitamin E to 0.81 for vitamin C (mean: 0.65 for 21 nutrients). There was practically no misclassification in opposite extreme quartiles. Spearman correlation coefficients ranged from 0.63 for fish and sea-food to 0.90 for wine (mean: 0.76 for 16 food groups). There was practically no misclassification in opposite extreme quartiles. De-attenuated energy-adjusted Pearson correlation coefficients between FFQ and S7 ranged from 0.22 for proteins and monounsaturated fatty acids to 0.80 for iron (mean: 0.45). 10% or less of subjects were misclassified in opposite extreme quartiles (except for vitamin C, 12%). Spearman correlation coefficients ranged from 0.25 for green-yellow-red raw vegetables to 0.76 for wine (mean: 0.42). 8% or less of subjects were misclassified in opposite extreme quartiles (except for citrus fruit, 11%). CONCLUSIONS Portion estimation using the set of photographs was validated by the correlation between S4 and PETRA for both nutrients and foods. The FFQ provides a reasonably reliable measure of</w:instrText>
            </w:r>
            <w:r w:rsidRPr="00322DA0">
              <w:rPr>
                <w:rFonts w:ascii="Times New Roman" w:eastAsia="Times New Roman" w:hAnsi="Times New Roman" w:cs="Times New Roman"/>
                <w:color w:val="000000"/>
                <w:sz w:val="16"/>
                <w:szCs w:val="16"/>
                <w:lang w:eastAsia="es-ES"/>
              </w:rPr>
              <w:instrText xml:space="preserve"> macronutrient intake and a good measure of micronutrient intake when compared with the data in the literature. It performs less well for food intake. Better results can be achieved for FFQ: (i) by using the set of photographs instead of standard portions and (ii) by adding further questions on foods which are insufficiently covered.","author":[{"dropping-particle":"","family":"Bonifacj","given":"C","non-dropping-particle":"","parse-names":false,"suffix":""},{"dropping-particle":"","family":"Gerber","given":"M","non-dropping-particle":"","parse-names":false,"suffix":""},{"dropping-particle":"","family":"Scali","given":"J","non-dropping-particle":"","parse-names":false,"suffix":""},{"dropping-particle":"","family":"Daures","given":"J P","non-dropping-particle":"","parse-names":false,"suffix":""}],"container-title":"European journal of clinical nutrition","id":"ITEM-1","issue":"4","issued":{"date-parts":[["1997","4"]]},"page":"217-231","title":"Comparison of dietary assessment methods in a southern French population: use of weighed records, estimated-diet records and a food-frequency questionnaire.","type":"article-journal","volume":"51"},"uris":["http://www.mendeley.com/documents/?uuid=37972963-0fff-338f-a9e4-c29c94c3dcde"]}],"mendeley":{"formattedCitation":"&lt;sup&gt;(30)&lt;/sup&gt;","plainTextFormattedCitation":"(30)","previouslyFormattedCitation":"&lt;sup&gt;(30)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(30)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469205D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776" w:type="dxa"/>
            <w:shd w:val="clear" w:color="auto" w:fill="DD0806"/>
            <w:tcMar>
              <w:top w:w="0" w:type="dxa"/>
              <w:left w:w="45" w:type="dxa"/>
              <w:bottom w:w="0" w:type="dxa"/>
              <w:right w:w="45" w:type="dxa"/>
            </w:tcMar>
            <w:vAlign w:val="center"/>
            <w:hideMark/>
          </w:tcPr>
          <w:p w14:paraId="6AF73D3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992" w:type="dxa"/>
            <w:shd w:val="clear" w:color="auto" w:fill="1FB714"/>
            <w:tcMar>
              <w:top w:w="0" w:type="dxa"/>
              <w:left w:w="45" w:type="dxa"/>
              <w:bottom w:w="0" w:type="dxa"/>
              <w:right w:w="45" w:type="dxa"/>
            </w:tcMar>
            <w:vAlign w:val="center"/>
            <w:hideMark/>
          </w:tcPr>
          <w:p w14:paraId="29F4F3C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DD0806"/>
            <w:tcMar>
              <w:top w:w="0" w:type="dxa"/>
              <w:left w:w="45" w:type="dxa"/>
              <w:bottom w:w="0" w:type="dxa"/>
              <w:right w:w="45" w:type="dxa"/>
            </w:tcMar>
            <w:vAlign w:val="center"/>
            <w:hideMark/>
          </w:tcPr>
          <w:p w14:paraId="3537D53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850" w:type="dxa"/>
            <w:shd w:val="clear" w:color="auto" w:fill="1FB714"/>
            <w:tcMar>
              <w:top w:w="0" w:type="dxa"/>
              <w:left w:w="45" w:type="dxa"/>
              <w:bottom w:w="0" w:type="dxa"/>
              <w:right w:w="45" w:type="dxa"/>
            </w:tcMar>
            <w:vAlign w:val="center"/>
            <w:hideMark/>
          </w:tcPr>
          <w:p w14:paraId="39FB1E8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71CF1DC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1134" w:type="dxa"/>
            <w:tcMar>
              <w:top w:w="0" w:type="dxa"/>
              <w:left w:w="45" w:type="dxa"/>
              <w:bottom w:w="0" w:type="dxa"/>
              <w:right w:w="45" w:type="dxa"/>
            </w:tcMar>
            <w:vAlign w:val="center"/>
            <w:hideMark/>
          </w:tcPr>
          <w:p w14:paraId="31B70582"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555B235E"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1FB714"/>
            <w:tcMar>
              <w:top w:w="0" w:type="dxa"/>
              <w:left w:w="45" w:type="dxa"/>
              <w:bottom w:w="0" w:type="dxa"/>
              <w:right w:w="45" w:type="dxa"/>
            </w:tcMar>
            <w:vAlign w:val="center"/>
            <w:hideMark/>
          </w:tcPr>
          <w:p w14:paraId="2468B08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1" w:type="dxa"/>
            <w:shd w:val="clear" w:color="auto" w:fill="1FB714"/>
            <w:tcMar>
              <w:top w:w="0" w:type="dxa"/>
              <w:left w:w="45" w:type="dxa"/>
              <w:bottom w:w="0" w:type="dxa"/>
              <w:right w:w="45" w:type="dxa"/>
            </w:tcMar>
            <w:vAlign w:val="center"/>
            <w:hideMark/>
          </w:tcPr>
          <w:p w14:paraId="5F48192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0" w:type="dxa"/>
            <w:shd w:val="clear" w:color="auto" w:fill="1FB714"/>
            <w:tcMar>
              <w:top w:w="0" w:type="dxa"/>
              <w:left w:w="45" w:type="dxa"/>
              <w:bottom w:w="0" w:type="dxa"/>
              <w:right w:w="45" w:type="dxa"/>
            </w:tcMar>
            <w:vAlign w:val="center"/>
            <w:hideMark/>
          </w:tcPr>
          <w:p w14:paraId="6BF9FAA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7010F04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54DF462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14946A4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1CBE8455"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Spearman,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quartiles, log transformation, paired t-test.</w:t>
            </w:r>
          </w:p>
        </w:tc>
      </w:tr>
      <w:tr w:rsidR="003E400D" w:rsidRPr="00D174DC" w14:paraId="59A0F4E6" w14:textId="77777777" w:rsidTr="00F53D71">
        <w:trPr>
          <w:trHeight w:val="285"/>
          <w:jc w:val="center"/>
        </w:trPr>
        <w:tc>
          <w:tcPr>
            <w:tcW w:w="1452" w:type="dxa"/>
            <w:tcMar>
              <w:top w:w="0" w:type="dxa"/>
              <w:left w:w="45" w:type="dxa"/>
              <w:bottom w:w="0" w:type="dxa"/>
              <w:right w:w="45" w:type="dxa"/>
            </w:tcMar>
            <w:vAlign w:val="center"/>
            <w:hideMark/>
          </w:tcPr>
          <w:p w14:paraId="71B9696E"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proofErr w:type="spellStart"/>
            <w:r w:rsidRPr="00D732E0">
              <w:rPr>
                <w:rFonts w:ascii="Times New Roman" w:eastAsia="Times New Roman" w:hAnsi="Times New Roman" w:cs="Times New Roman"/>
                <w:color w:val="000000"/>
                <w:sz w:val="16"/>
                <w:szCs w:val="16"/>
                <w:lang w:val="en-AU" w:eastAsia="es-ES"/>
              </w:rPr>
              <w:t>Friis</w:t>
            </w:r>
            <w:proofErr w:type="spellEnd"/>
            <w:r w:rsidRPr="00D732E0">
              <w:rPr>
                <w:rFonts w:ascii="Times New Roman" w:eastAsia="Times New Roman" w:hAnsi="Times New Roman" w:cs="Times New Roman"/>
                <w:color w:val="000000"/>
                <w:sz w:val="16"/>
                <w:szCs w:val="16"/>
                <w:lang w:val="en-AU" w:eastAsia="es-ES"/>
              </w:rPr>
              <w:t xml:space="preserve"> et al. (1997)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{"citationItems":[{"id":"ITEM-1","itemData":{"abstract":"We have evaluated the reproducibility and relative validity of a semiquantitative food frequency questionnaire (FFQ) used in a prospective study of risk factors for cervical neoplasia. The questionnaire is a modified version of one developed and evaluated in a middle-aged Danish population. In the present study, 122 women from the general population of Copenhagen, aged 20-29 years, completed the FFQ twice at a 1-year interval, and provided three 4-day dietary records during the intervening year. The mean nutrient intakes calculated from the first and second questionnaire were similar and, for most nutrients, close to those obtained from the dietary records. The Pearson correlation coefficients between the mean nutrient intakes from the two questionnaires ranged from 0.53 (95% CI, 0.39-0.65) for vitamin E to 0.76 (95% CI, 0.67-0.83) for vitamin B12 (median, 0.67 [95% CI, 0.56-0.76]). In comparisons between the second FFQ and the dietary records, the correlations ranged from 0.24 (95% CI, 0.07-0.40) for vitamin D to 0.63 (95% CI, 0.51-0.73) for sucrose (median, 0.42 [95% CI, 0.26-0.56]). The correlations between FFQ and dietary records were generally higher after adjustment for energy intake (median, 0.53 [95% CI, 0.39-0.65]) and within-person variability (median, 0.64 [95% CI, 0.52-0.73]). On average, 71% of the women were classified in the same (?? 1) quintile in the second FFQ and the dietary records. An average of 3.8% of the women were grossly misclassified into the highest and lowest quintiles by the dietary records. The relative validity of the FFQ in this population was similar to that reported earlier. It is concluded that the FFQ is reproducible and provides a useful scale for categorizing individuals according to their intake of energy and nutrients.","author":[{"dropping-particle":"","family":"Friis","given":"S","non-dropping-particle":"","parse-names":false,"suffix":""},{"dropping-particle":"","family":"Kjaer","given":"S","non-dropping-particle":"","parse-names":false,"suffix":""},{"dropping-particle":"","family":"Stripp","given":"C","non-dropping-particle":"","parse-names":false,"suffix":""},{"dropping-particle":"","family":"Overvad","given":"K","non-dropping-particle":"","parse-names":false,"suffix":""}],"container-title":"Journal of Clinical Epidemiology","id":"ITEM-1","issue":"3","issued":{"date-parts":[["1997"]]},"page":"303-311","title":"Reproducibility and relative validity of a self-administered semiquantitative food frequency questionnaire applied to younger women","type":"article-journal","volume":"50"},"uris":["http://www.mendeley.com/documents/?uuid=593dab81-5f19-447b-846d-f767bd209f85"]}],"mendeley":{"formattedCitation":"&lt;sup&gt;(35)&lt;/sup&gt;","plainTextFormattedCitation":"(35)","previouslyFormattedCitation":"&lt;sup&gt;(35)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(35)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710EA0D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776" w:type="dxa"/>
            <w:shd w:val="clear" w:color="auto" w:fill="1FB714"/>
            <w:tcMar>
              <w:top w:w="0" w:type="dxa"/>
              <w:left w:w="45" w:type="dxa"/>
              <w:bottom w:w="0" w:type="dxa"/>
              <w:right w:w="45" w:type="dxa"/>
            </w:tcMar>
            <w:vAlign w:val="center"/>
            <w:hideMark/>
          </w:tcPr>
          <w:p w14:paraId="593E1A8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992" w:type="dxa"/>
            <w:shd w:val="clear" w:color="auto" w:fill="1FB714"/>
            <w:tcMar>
              <w:top w:w="0" w:type="dxa"/>
              <w:left w:w="45" w:type="dxa"/>
              <w:bottom w:w="0" w:type="dxa"/>
              <w:right w:w="45" w:type="dxa"/>
            </w:tcMar>
            <w:vAlign w:val="center"/>
            <w:hideMark/>
          </w:tcPr>
          <w:p w14:paraId="3E8C513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DD0806"/>
            <w:tcMar>
              <w:top w:w="0" w:type="dxa"/>
              <w:left w:w="45" w:type="dxa"/>
              <w:bottom w:w="0" w:type="dxa"/>
              <w:right w:w="45" w:type="dxa"/>
            </w:tcMar>
            <w:vAlign w:val="center"/>
            <w:hideMark/>
          </w:tcPr>
          <w:p w14:paraId="28153A5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850" w:type="dxa"/>
            <w:shd w:val="clear" w:color="auto" w:fill="1FB714"/>
            <w:tcMar>
              <w:top w:w="0" w:type="dxa"/>
              <w:left w:w="45" w:type="dxa"/>
              <w:bottom w:w="0" w:type="dxa"/>
              <w:right w:w="45" w:type="dxa"/>
            </w:tcMar>
            <w:vAlign w:val="center"/>
            <w:hideMark/>
          </w:tcPr>
          <w:p w14:paraId="516D249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63221CD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1134" w:type="dxa"/>
            <w:tcMar>
              <w:top w:w="0" w:type="dxa"/>
              <w:left w:w="45" w:type="dxa"/>
              <w:bottom w:w="0" w:type="dxa"/>
              <w:right w:w="45" w:type="dxa"/>
            </w:tcMar>
            <w:vAlign w:val="center"/>
            <w:hideMark/>
          </w:tcPr>
          <w:p w14:paraId="2EB8FF02"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A1BAB3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1FB714"/>
            <w:tcMar>
              <w:top w:w="0" w:type="dxa"/>
              <w:left w:w="45" w:type="dxa"/>
              <w:bottom w:w="0" w:type="dxa"/>
              <w:right w:w="45" w:type="dxa"/>
            </w:tcMar>
            <w:vAlign w:val="center"/>
            <w:hideMark/>
          </w:tcPr>
          <w:p w14:paraId="628465B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1" w:type="dxa"/>
            <w:shd w:val="clear" w:color="auto" w:fill="DD0806"/>
            <w:tcMar>
              <w:top w:w="0" w:type="dxa"/>
              <w:left w:w="45" w:type="dxa"/>
              <w:bottom w:w="0" w:type="dxa"/>
              <w:right w:w="45" w:type="dxa"/>
            </w:tcMar>
            <w:vAlign w:val="center"/>
            <w:hideMark/>
          </w:tcPr>
          <w:p w14:paraId="0C3F570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850" w:type="dxa"/>
            <w:shd w:val="clear" w:color="auto" w:fill="1FB714"/>
            <w:tcMar>
              <w:top w:w="0" w:type="dxa"/>
              <w:left w:w="45" w:type="dxa"/>
              <w:bottom w:w="0" w:type="dxa"/>
              <w:right w:w="45" w:type="dxa"/>
            </w:tcMar>
            <w:vAlign w:val="center"/>
            <w:hideMark/>
          </w:tcPr>
          <w:p w14:paraId="74F9914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25487CA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68E2334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48D6489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5FABB73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log transformation, Spearman, quintiles</w:t>
            </w:r>
          </w:p>
        </w:tc>
      </w:tr>
      <w:tr w:rsidR="003E400D" w:rsidRPr="00D174DC" w14:paraId="50203DBD" w14:textId="77777777" w:rsidTr="00F53D71">
        <w:trPr>
          <w:trHeight w:val="1517"/>
          <w:jc w:val="center"/>
        </w:trPr>
        <w:tc>
          <w:tcPr>
            <w:tcW w:w="1452" w:type="dxa"/>
            <w:tcMar>
              <w:top w:w="0" w:type="dxa"/>
              <w:left w:w="45" w:type="dxa"/>
              <w:bottom w:w="0" w:type="dxa"/>
              <w:right w:w="45" w:type="dxa"/>
            </w:tcMar>
            <w:vAlign w:val="center"/>
            <w:hideMark/>
          </w:tcPr>
          <w:p w14:paraId="0EE00AA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732E0">
              <w:rPr>
                <w:rFonts w:ascii="Times New Roman" w:eastAsia="Times New Roman" w:hAnsi="Times New Roman" w:cs="Times New Roman"/>
                <w:color w:val="000000"/>
                <w:sz w:val="16"/>
                <w:szCs w:val="16"/>
                <w:lang w:val="en-AU" w:eastAsia="es-ES"/>
              </w:rPr>
              <w:t>Kumanyika et al. (1997)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{"citationItems":[{"id":"ITEM-1","itemData":{"DOI":"10.1093/ajcn/65.4.1123S","ISSN":"0002-9165","author":[{"dropping-particle":"","family":"Kumanyika","given":"S K","non-dropping-particle":"","parse-names":false,"suffix":""},{"dropping-particle":"","family":"Tell","given":"G S","non-dropping-particle":"","parse-names":false,"suffix":""},{"dropping-particle":"","family":"Shemanski","given":"L","non-dropping-particle":"","parse-names":false,"suffix":""},{"dropping-particle":"","family":"Martel","given":"J","non-dropping-particle":"","parse-names":false,"suffix":""},{"dropping-particle":"","family":"Chinchilli","given":"V M","non-dropping-particle":"","parse-names":false,"suffix":""}],"container-title":"The American Journal of Clinical Nutrition","id":"ITEM-1","issue":"4","issued":{"date-parts":[["1997","4","1"]]},"page":"S1123-S1129","title":"Dietary assessment using a picture-sort approach","type":"article-journal","volume":"65"},"uris":["http://www.mendeley.com/documents/?uuid=0820cb20-73fc-3e87-ba1f-bcf6deec9092"]}],"mendeley":{"formattedCitation":"&lt;sup&gt;(49)&lt;/sup&gt;","plainTextFormattedCitation":"(49)","previouslyFormattedCitation":"&lt;sup&gt;(49)&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(49)</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440650A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4150432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3F2BE82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1" w:type="dxa"/>
            <w:shd w:val="clear" w:color="auto" w:fill="1FB714"/>
            <w:tcMar>
              <w:top w:w="0" w:type="dxa"/>
              <w:left w:w="45" w:type="dxa"/>
              <w:bottom w:w="0" w:type="dxa"/>
              <w:right w:w="45" w:type="dxa"/>
            </w:tcMar>
            <w:vAlign w:val="center"/>
            <w:hideMark/>
          </w:tcPr>
          <w:p w14:paraId="127635F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5C0088F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1B923AF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53ED4FD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Methods and results are presented in the same section and there is not a statistical </w:t>
            </w:r>
            <w:proofErr w:type="spellStart"/>
            <w:r w:rsidRPr="002B6335">
              <w:rPr>
                <w:rFonts w:ascii="Times New Roman" w:eastAsia="Times New Roman" w:hAnsi="Times New Roman" w:cs="Times New Roman"/>
                <w:color w:val="000000"/>
                <w:sz w:val="16"/>
                <w:szCs w:val="16"/>
                <w:lang w:val="en-AU" w:eastAsia="es-ES"/>
              </w:rPr>
              <w:t>anlyses</w:t>
            </w:r>
            <w:proofErr w:type="spellEnd"/>
            <w:r w:rsidRPr="002B6335">
              <w:rPr>
                <w:rFonts w:ascii="Times New Roman" w:eastAsia="Times New Roman" w:hAnsi="Times New Roman" w:cs="Times New Roman"/>
                <w:color w:val="000000"/>
                <w:sz w:val="16"/>
                <w:szCs w:val="16"/>
                <w:lang w:val="en-AU" w:eastAsia="es-ES"/>
              </w:rPr>
              <w:t xml:space="preserve"> section.</w:t>
            </w:r>
          </w:p>
        </w:tc>
        <w:tc>
          <w:tcPr>
            <w:tcW w:w="425" w:type="dxa"/>
            <w:shd w:val="clear" w:color="auto" w:fill="FF9900"/>
            <w:tcMar>
              <w:top w:w="0" w:type="dxa"/>
              <w:left w:w="45" w:type="dxa"/>
              <w:bottom w:w="0" w:type="dxa"/>
              <w:right w:w="45" w:type="dxa"/>
            </w:tcMar>
            <w:vAlign w:val="center"/>
            <w:hideMark/>
          </w:tcPr>
          <w:p w14:paraId="521D3F8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Not clear</w:t>
            </w:r>
          </w:p>
        </w:tc>
        <w:tc>
          <w:tcPr>
            <w:tcW w:w="1134" w:type="dxa"/>
            <w:shd w:val="clear" w:color="auto" w:fill="1FB714"/>
            <w:tcMar>
              <w:top w:w="0" w:type="dxa"/>
              <w:left w:w="45" w:type="dxa"/>
              <w:bottom w:w="0" w:type="dxa"/>
              <w:right w:w="45" w:type="dxa"/>
            </w:tcMar>
            <w:vAlign w:val="center"/>
            <w:hideMark/>
          </w:tcPr>
          <w:p w14:paraId="471AF60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705C8E0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FF9900"/>
            <w:tcMar>
              <w:top w:w="0" w:type="dxa"/>
              <w:left w:w="45" w:type="dxa"/>
              <w:bottom w:w="0" w:type="dxa"/>
              <w:right w:w="45" w:type="dxa"/>
            </w:tcMar>
            <w:vAlign w:val="center"/>
            <w:hideMark/>
          </w:tcPr>
          <w:p w14:paraId="29C0B00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602ECDF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E9F93F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4AFCE09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6240198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w:t>
            </w:r>
            <w:proofErr w:type="spellStart"/>
            <w:r w:rsidRPr="002B6335">
              <w:rPr>
                <w:rFonts w:ascii="Times New Roman" w:eastAsia="Times New Roman" w:hAnsi="Times New Roman" w:cs="Times New Roman"/>
                <w:color w:val="000000"/>
                <w:sz w:val="16"/>
                <w:szCs w:val="16"/>
                <w:lang w:val="en-AU" w:eastAsia="es-ES"/>
              </w:rPr>
              <w:t>Kruskall</w:t>
            </w:r>
            <w:proofErr w:type="spellEnd"/>
            <w:r w:rsidRPr="002B6335">
              <w:rPr>
                <w:rFonts w:ascii="Times New Roman" w:eastAsia="Times New Roman" w:hAnsi="Times New Roman" w:cs="Times New Roman"/>
                <w:color w:val="000000"/>
                <w:sz w:val="16"/>
                <w:szCs w:val="16"/>
                <w:lang w:val="en-AU" w:eastAsia="es-ES"/>
              </w:rPr>
              <w:t xml:space="preserve"> Wallis.</w:t>
            </w:r>
          </w:p>
        </w:tc>
      </w:tr>
      <w:tr w:rsidR="003E400D" w:rsidRPr="00D174DC" w14:paraId="42EAEF23" w14:textId="77777777" w:rsidTr="00F53D71">
        <w:trPr>
          <w:trHeight w:val="285"/>
          <w:jc w:val="center"/>
        </w:trPr>
        <w:tc>
          <w:tcPr>
            <w:tcW w:w="1452" w:type="dxa"/>
            <w:tcMar>
              <w:top w:w="0" w:type="dxa"/>
              <w:left w:w="45" w:type="dxa"/>
              <w:bottom w:w="0" w:type="dxa"/>
              <w:right w:w="45" w:type="dxa"/>
            </w:tcMar>
            <w:vAlign w:val="center"/>
            <w:hideMark/>
          </w:tcPr>
          <w:p w14:paraId="7FED52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Ocké et al. (1997)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{"citationItems":[{"id":"ITEM-1","itemData":{"ISSN":"0300-5771","PMID":"9126533","abstract":"BACKGROUND A self-administered semi-quantitative food frequency questionnaire (FFQ) was developed for the Dutch cohort of the European Prospective Investigation into Cancer and Nutrition (EPIC). METHODS The reproducibility and relative validity of nutrient intake as assessed by this questionnaire were investigated in a population of 121 men and women. To assess the relative validity, 12 monthly 24-hour recalls served as reference method, together with four determinations of 24-hour urinary nitrogen excretion, predicted basal metabolic rate, and serum beta-carotene and alpha-tocopherol levels. RESULTS Protein and among women, energy intake were underestimated by the questionnaire compared to urinary nitrogen excretion and the basal metabolic rate, respectively. The underestimation for protein decreased with increasing protein intake. Pearson correlation coefficients between nutrient intakes assessed by repeated questionnaires ranged from 0.70 to 0.94 among men and from 0.59 to 0.94 among women. Correlation coefficients between nutrient intakes assessed by the questionnaire and 24-hour recalls ranged from 0.26 to 0.83 for men and from 0.35 to 0.90 for women, with medians of 0.59 and 0.58, respectively. Correlation coefficients between 0.2 and 0.5 were observed for beta-carotene and vitamin C for men and for beta-carotene and vitamin E for women. Associations with serum beta-carotene (r = -0.16 for men; 0.13 for women) and alpha-tocopherol (0.23 and 0.15, respectively) were much poorer than those obtained with 24-hour recalls. Correlations between protein intake and 24-hour urinary nitrogen excretion were 0.47 and 0.53, respectively. CONCLUSIONS The FFQ seems adequate for ranking subjects according to intake of energy, macronutrients, dietary fibre and retinol, but it does not yield such good results for beta-carotene, vitamin C for men, vitamin E for women.","author":[{"dropping-particle":"","family":"Ocké","given":"M C","non-dropping-particle":"","parse-names":false,"suffix":""},{"dropping-particle":"","family":"Bueno-de-Mesquita","given":"H B","non-dropping-particle":"","parse-names":false,"suffix":""},{"dropping-particle":"","family":"Pols","given":"M A","non-dropping-particle":"","parse-names":false,"suffix":""},{"dropping-particle":"","family":"Smit","given":"H A","non-dropping-particle":"","parse-names":false,"suffix":""},{"dropping-particle":"","family":"Staveren","given":"W A","non-dropping-particle":"van","parse-names":false,"suffix":""},{"dropping-particle":"","family":"Kromhout","given":"D","non-dropping-particle":"","parse-names":false,"suffix":""}],"container-title":"International journal of epidemiology","id":"ITEM-1","issued":{"date-parts":[["1997"]]},"page":"S49-S58","title":"The Dutch EPIC food frequency questionnaire. II. Relative validity and reproducibility for nutrients.","type":"article-journal","volume":"26 Suppl 1"},"uris":["http://www.mendeley.com/documents/?uuid=50a692de-a3cb-3a31-9ba2-8128a737d5c0"]}],"mendeley":{"formattedCitation":"&lt;sup&gt;(20)&lt;/sup&gt;","plainTextFormattedCitation":"(20)","previouslyFormattedCitation":"&lt;sup&gt;(20)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4E82E6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0ECBA2E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35351EB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51E8C9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6A7C48A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3CFC0A4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2C2431CC"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397225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580C7B0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71D7BFA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CE1931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74D580C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3DBAF40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48310D0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1CCEC1B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linear regression model, t-tests.</w:t>
            </w:r>
          </w:p>
        </w:tc>
      </w:tr>
      <w:tr w:rsidR="003E400D" w:rsidRPr="00D174DC" w14:paraId="679B9C6C" w14:textId="77777777" w:rsidTr="00F53D71">
        <w:trPr>
          <w:trHeight w:val="285"/>
          <w:jc w:val="center"/>
        </w:trPr>
        <w:tc>
          <w:tcPr>
            <w:tcW w:w="1452" w:type="dxa"/>
            <w:tcMar>
              <w:top w:w="0" w:type="dxa"/>
              <w:left w:w="45" w:type="dxa"/>
              <w:bottom w:w="0" w:type="dxa"/>
              <w:right w:w="45" w:type="dxa"/>
            </w:tcMar>
            <w:vAlign w:val="center"/>
            <w:hideMark/>
          </w:tcPr>
          <w:p w14:paraId="49E4E12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174DC">
              <w:rPr>
                <w:rFonts w:ascii="Times New Roman" w:eastAsia="Times New Roman" w:hAnsi="Times New Roman" w:cs="Times New Roman"/>
                <w:color w:val="000000"/>
                <w:sz w:val="16"/>
                <w:szCs w:val="16"/>
                <w:lang w:val="es-MX" w:eastAsia="es-ES"/>
              </w:rPr>
              <w:t>Hérnandez et al. (1998)</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{"citationItems":[{"id":"ITEM-1","itemData":{"abstract":"OBJECTIVE: To assess the reproducibility and validity of a 116 item semi-quantitative food frequency questionnaire (FFQ), designed to assess the relation between dietary intake and chronic diseases.\\n\\nMATERIAL AND METHODS: To test the reproducibility of the FFQ questionnaire, the FFQ was administered twice to 134 women residing in Mexico City at an interval of approximately one year; to assess the validity we compared results obtained by the FFQs with those obtained by four 4-day 24-hour recalls at three month intervals. Validity and reproducibility were evaluated using regression analysis and Pearson and intraclass correlation coefficients of log-e and calorie-adjusted nutrient scores.\\n\\nRESULTS: Mean values for intake of most nutrients assessed by the two food frequency questionnaires were similar. However, means for the 24-hr recall were significantly lower. Intraclass correlation coefficients for nutrient intakes, assessed by questionnaires, administered one year apart, ranged from 0.38 for cholesterol to 0.54 for crude fiber. Correlation coefficients between energy-adjusted nutrient intakes, measured by diet recalls, and the first FFQ ranged from 0.12 for polyunsaturated fatty acids to 0.67 for saturated fatty acids. Regression coefficients between 24-hr recall and FFQ,s were all significant were significant for all nutrients, except for polyunsaturated fat, folic acid, vitamin E and Zinc.\\n\\nCONCLUSIONS: These data indicate that this semi-quantitative FFQ is reproducible and provides a useful estimate by which to categorize individuals by level of past nutrient intake. How</w:instrText>
            </w:r>
            <w:r w:rsidRPr="00322DA0">
              <w:rPr>
                <w:rFonts w:ascii="Times New Roman" w:eastAsia="Times New Roman" w:hAnsi="Times New Roman" w:cs="Times New Roman"/>
                <w:color w:val="000000"/>
                <w:sz w:val="16"/>
                <w:szCs w:val="16"/>
                <w:lang w:eastAsia="es-ES"/>
              </w:rPr>
              <w:instrText>ever, its application outside Mexico City or in different age and gender populations will require additional modifications and validation efforts.","author":[{"dropping-particle":"","family":"Hernández-Avila","given":"M","non-dropping-particle":"","parse-names":false,"suffix":""},{"dropping-particle":"","family":"Romieu","given":"I","non-dropping-particle":"","parse-names":false,"suffix":""},{"dropping-particle":"","family":"Parra","given":"S","non-dropping-particle":"","parse-names":false,"suffix":""},{"dropping-particle":"","family":"Hernández-Avila","given":"J","non-dropping-particle":"","parse-names":false,"suffix":""},{"dropping-particle":"","family":"Madrigal","given":"H","non-dropping-particle":"","parse-names":false,"suffix":""},{"dropping-particle":"","family":"Willett","given":"W","non-dropping-particle":"","parse-names":false,"suffix":""}],"container-title":"Salud pública de México","id":"ITEM-1","issue":"2","issued":{"date-parts":[["1998"]]},"page":"133-140","title":"Validity and reproducibility of a food frequency questionnaire to assess dietary intake of women living in Mexico City.","type":"article-journal","volume":"40"},"uris":["http://www.mendeley.com/documents/?uuid=069697c8-1066-45a6-89d0-87d09b13f750"]}],"mendeley":{"formattedCitation":"&lt;sup&gt;(47)&lt;/sup&gt;","plainTextFormattedCitation":"(47)","previouslyFormattedCitation":"&lt;sup&gt;(47)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(47)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6C9DEA3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776" w:type="dxa"/>
            <w:shd w:val="clear" w:color="auto" w:fill="1FB714"/>
            <w:tcMar>
              <w:top w:w="0" w:type="dxa"/>
              <w:left w:w="45" w:type="dxa"/>
              <w:bottom w:w="0" w:type="dxa"/>
              <w:right w:w="45" w:type="dxa"/>
            </w:tcMar>
            <w:vAlign w:val="center"/>
            <w:hideMark/>
          </w:tcPr>
          <w:p w14:paraId="012FD69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992" w:type="dxa"/>
            <w:shd w:val="clear" w:color="auto" w:fill="1FB714"/>
            <w:tcMar>
              <w:top w:w="0" w:type="dxa"/>
              <w:left w:w="45" w:type="dxa"/>
              <w:bottom w:w="0" w:type="dxa"/>
              <w:right w:w="45" w:type="dxa"/>
            </w:tcMar>
            <w:vAlign w:val="center"/>
            <w:hideMark/>
          </w:tcPr>
          <w:p w14:paraId="2347395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1FB714"/>
            <w:tcMar>
              <w:top w:w="0" w:type="dxa"/>
              <w:left w:w="45" w:type="dxa"/>
              <w:bottom w:w="0" w:type="dxa"/>
              <w:right w:w="45" w:type="dxa"/>
            </w:tcMar>
            <w:vAlign w:val="center"/>
            <w:hideMark/>
          </w:tcPr>
          <w:p w14:paraId="7E6F8F1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0" w:type="dxa"/>
            <w:shd w:val="clear" w:color="auto" w:fill="1FB714"/>
            <w:tcMar>
              <w:top w:w="0" w:type="dxa"/>
              <w:left w:w="45" w:type="dxa"/>
              <w:bottom w:w="0" w:type="dxa"/>
              <w:right w:w="45" w:type="dxa"/>
            </w:tcMar>
            <w:vAlign w:val="center"/>
            <w:hideMark/>
          </w:tcPr>
          <w:p w14:paraId="18D0DAC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DD0806"/>
            <w:tcMar>
              <w:top w:w="0" w:type="dxa"/>
              <w:left w:w="45" w:type="dxa"/>
              <w:bottom w:w="0" w:type="dxa"/>
              <w:right w:w="45" w:type="dxa"/>
            </w:tcMar>
            <w:vAlign w:val="center"/>
            <w:hideMark/>
          </w:tcPr>
          <w:p w14:paraId="1F64F05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1134" w:type="dxa"/>
            <w:tcMar>
              <w:top w:w="0" w:type="dxa"/>
              <w:left w:w="45" w:type="dxa"/>
              <w:bottom w:w="0" w:type="dxa"/>
              <w:right w:w="45" w:type="dxa"/>
            </w:tcMar>
            <w:vAlign w:val="center"/>
            <w:hideMark/>
          </w:tcPr>
          <w:p w14:paraId="7E63EA80"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described in the methods </w:t>
            </w:r>
            <w:r w:rsidRPr="002B6335">
              <w:rPr>
                <w:rFonts w:ascii="Times New Roman" w:eastAsia="Times New Roman" w:hAnsi="Times New Roman" w:cs="Times New Roman"/>
                <w:color w:val="000000"/>
                <w:sz w:val="16"/>
                <w:szCs w:val="16"/>
                <w:lang w:val="en-AU" w:eastAsia="es-ES"/>
              </w:rPr>
              <w:lastRenderedPageBreak/>
              <w:t>section.</w:t>
            </w:r>
          </w:p>
        </w:tc>
        <w:tc>
          <w:tcPr>
            <w:tcW w:w="425" w:type="dxa"/>
            <w:shd w:val="clear" w:color="auto" w:fill="1FB714"/>
            <w:tcMar>
              <w:top w:w="0" w:type="dxa"/>
              <w:left w:w="45" w:type="dxa"/>
              <w:bottom w:w="0" w:type="dxa"/>
              <w:right w:w="45" w:type="dxa"/>
            </w:tcMar>
            <w:vAlign w:val="center"/>
            <w:hideMark/>
          </w:tcPr>
          <w:p w14:paraId="5A282E9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lastRenderedPageBreak/>
              <w:t>Low risk</w:t>
            </w:r>
          </w:p>
        </w:tc>
        <w:tc>
          <w:tcPr>
            <w:tcW w:w="1134" w:type="dxa"/>
            <w:shd w:val="clear" w:color="auto" w:fill="FF9900"/>
            <w:tcMar>
              <w:top w:w="0" w:type="dxa"/>
              <w:left w:w="45" w:type="dxa"/>
              <w:bottom w:w="0" w:type="dxa"/>
              <w:right w:w="45" w:type="dxa"/>
            </w:tcMar>
            <w:vAlign w:val="center"/>
            <w:hideMark/>
          </w:tcPr>
          <w:p w14:paraId="5290BEC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1" w:type="dxa"/>
            <w:shd w:val="clear" w:color="auto" w:fill="FF9900"/>
            <w:tcMar>
              <w:top w:w="0" w:type="dxa"/>
              <w:left w:w="45" w:type="dxa"/>
              <w:bottom w:w="0" w:type="dxa"/>
              <w:right w:w="45" w:type="dxa"/>
            </w:tcMar>
            <w:vAlign w:val="center"/>
            <w:hideMark/>
          </w:tcPr>
          <w:p w14:paraId="15F2F92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0" w:type="dxa"/>
            <w:shd w:val="clear" w:color="auto" w:fill="1FB714"/>
            <w:tcMar>
              <w:top w:w="0" w:type="dxa"/>
              <w:left w:w="45" w:type="dxa"/>
              <w:bottom w:w="0" w:type="dxa"/>
              <w:right w:w="45" w:type="dxa"/>
            </w:tcMar>
            <w:vAlign w:val="center"/>
            <w:hideMark/>
          </w:tcPr>
          <w:p w14:paraId="254C735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00F13F8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421EC1A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DD0806"/>
            <w:tcMar>
              <w:top w:w="0" w:type="dxa"/>
              <w:left w:w="45" w:type="dxa"/>
              <w:bottom w:w="0" w:type="dxa"/>
              <w:right w:w="45" w:type="dxa"/>
            </w:tcMar>
            <w:vAlign w:val="center"/>
            <w:hideMark/>
          </w:tcPr>
          <w:p w14:paraId="30F7486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1422" w:type="dxa"/>
            <w:shd w:val="clear" w:color="auto" w:fill="1FB714"/>
            <w:tcMar>
              <w:top w:w="0" w:type="dxa"/>
              <w:left w:w="45" w:type="dxa"/>
              <w:bottom w:w="0" w:type="dxa"/>
              <w:right w:w="45" w:type="dxa"/>
            </w:tcMar>
            <w:vAlign w:val="center"/>
            <w:hideMark/>
          </w:tcPr>
          <w:p w14:paraId="19A199F2"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ICC,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p>
        </w:tc>
      </w:tr>
      <w:tr w:rsidR="003E400D" w:rsidRPr="00D174DC" w14:paraId="3A07976B" w14:textId="77777777" w:rsidTr="00F53D71">
        <w:trPr>
          <w:trHeight w:val="285"/>
          <w:jc w:val="center"/>
        </w:trPr>
        <w:tc>
          <w:tcPr>
            <w:tcW w:w="1452" w:type="dxa"/>
            <w:tcMar>
              <w:top w:w="0" w:type="dxa"/>
              <w:left w:w="45" w:type="dxa"/>
              <w:bottom w:w="0" w:type="dxa"/>
              <w:right w:w="45" w:type="dxa"/>
            </w:tcMar>
            <w:vAlign w:val="center"/>
            <w:hideMark/>
          </w:tcPr>
          <w:p w14:paraId="57CCCE5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proofErr w:type="spellStart"/>
            <w:r w:rsidRPr="00D732E0">
              <w:rPr>
                <w:rFonts w:ascii="Times New Roman" w:eastAsia="Times New Roman" w:hAnsi="Times New Roman" w:cs="Times New Roman"/>
                <w:color w:val="000000"/>
                <w:sz w:val="16"/>
                <w:szCs w:val="16"/>
                <w:lang w:val="en-AU" w:eastAsia="es-ES"/>
              </w:rPr>
              <w:lastRenderedPageBreak/>
              <w:t>Klipstein</w:t>
            </w:r>
            <w:proofErr w:type="spellEnd"/>
            <w:r w:rsidRPr="00D732E0">
              <w:rPr>
                <w:rFonts w:ascii="Times New Roman" w:eastAsia="Times New Roman" w:hAnsi="Times New Roman" w:cs="Times New Roman"/>
                <w:color w:val="000000"/>
                <w:sz w:val="16"/>
                <w:szCs w:val="16"/>
                <w:lang w:val="en-AU" w:eastAsia="es-ES"/>
              </w:rPr>
              <w:t xml:space="preserve"> et al. (1998)</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{"citationItems":[{"id":"ITEM-1","itemData":{"DOI":"10.1038/sj.ejcn.1600611","ISBN":"0954-3007","ISSN":"09543007","PMID":"9725660","abstract":"OBJECTIVE: The study was conducted to assess the relative validity of a 170-item semiquantitative food frequency questionnaire (SFFQ) adapted for use in the elderly. DESIGN AND SUBJECTS: The study was carried out in a sample of 80 men and women aged 55-75 y participating in a community based prospective cohort study in Rotterdam, The Netherlands. The two-step dietary assessment comprised a simple self-administered questionnaire (20 min) followed by a structured interview with trained dietitians (20 min) based on the completed questionnaire. Multiple food records (FR) collected over a one year period served as reference method. 24 h urine urea was used as indirect marker for protein intake. RESULTS: Compared with FR, the SFFQ generally overestimated nutrient intake as reflected by difference in means and the ratio of SFFQ to FR. Energy adjustment reduced the observed overestimation. Pearson's correlation coefficients varied from close to 0.5 to about 0.9 for crude data, and after adjustment for age, sex, total energy intake, and for within-person variability in daily intake for 0.4-0.8. Cross-classification into quintiles resulted in correct classification into the same or adjacent quintile of 75.8% for crude and 76.8% for energy-adjusted data. Validation of protein intake estimated by SFFQ with protein excretion from 24h urine urea indicated overestimation of protein intake by SFFQ. Spearman correlation coefficient between protein intake estimated from urea excretion and SFFQ was 0.67. CONCLUSIONS: Adaptation of a SFFQ for use in the elderly resulted in a valid and time-efficient dietary assessment instrument. Its ability to adequately rank study subjects according to their dietary intake support its application in epidemiological studies in the elderly.","author":[{"dropping-particle":"","family":"Klipstein-Grobusch","given":"K.","non-dropping-particle":"","parse-names":false,"suffix":""},{"dropping-particle":"","family":"Breeijen","given":"J. H.","non-dropping-particle":"Den","parse-names":false,"suffix":""},{"dropping-particle":"","family":"Goldbohm","given":"R. A.","non-dropping-particle":"","parse-names":false,"suffix":""},{"dropping-particle":"","family":"Geleijnse","given":"J. M.","non-dropping-particle":"","parse-names":false,"suffix":""},{"dropping-particle":"","family":"Hofman","given":"A.","non-dropping-particle":"","parse-names":false,"suffix":""},{"dropping-particle":"","family":"Grobbee","given":"D. E.","non-dropping-particle":"","parse-names":false,"suffix":""},{"dropping-particle":"","family":"Witteman","given":"J. C.M.","non-dropping-particle":"","parse-names":false,"suffix":""}],"container-title":"European Journal of Clinical Nutrition","id":"ITEM-1","issue":"8","issued":{"date-parts":[["1998"]]},"page":"588-596","title":"Dietary assessment in the elderly: Validation of a semiquantitative food frequency questionnaire","type":"article-journal","volume":"52"},"uris":["http://www.mendeley.com/documents/?uuid=dfd6429b-d3ee-4cf3-bf05-d639331c7508"]}],"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(14)</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67141FF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776" w:type="dxa"/>
            <w:shd w:val="clear" w:color="auto" w:fill="1FB714"/>
            <w:tcMar>
              <w:top w:w="0" w:type="dxa"/>
              <w:left w:w="45" w:type="dxa"/>
              <w:bottom w:w="0" w:type="dxa"/>
              <w:right w:w="45" w:type="dxa"/>
            </w:tcMar>
            <w:vAlign w:val="center"/>
            <w:hideMark/>
          </w:tcPr>
          <w:p w14:paraId="0A1C24F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992" w:type="dxa"/>
            <w:shd w:val="clear" w:color="auto" w:fill="1FB714"/>
            <w:tcMar>
              <w:top w:w="0" w:type="dxa"/>
              <w:left w:w="45" w:type="dxa"/>
              <w:bottom w:w="0" w:type="dxa"/>
              <w:right w:w="45" w:type="dxa"/>
            </w:tcMar>
            <w:vAlign w:val="center"/>
            <w:hideMark/>
          </w:tcPr>
          <w:p w14:paraId="74C2314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 and *b</w:t>
            </w:r>
          </w:p>
        </w:tc>
        <w:tc>
          <w:tcPr>
            <w:tcW w:w="851" w:type="dxa"/>
            <w:shd w:val="clear" w:color="auto" w:fill="FF9900"/>
            <w:tcMar>
              <w:top w:w="0" w:type="dxa"/>
              <w:left w:w="45" w:type="dxa"/>
              <w:bottom w:w="0" w:type="dxa"/>
              <w:right w:w="45" w:type="dxa"/>
            </w:tcMar>
            <w:vAlign w:val="center"/>
            <w:hideMark/>
          </w:tcPr>
          <w:p w14:paraId="58EA4B8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 and c)</w:t>
            </w:r>
          </w:p>
        </w:tc>
        <w:tc>
          <w:tcPr>
            <w:tcW w:w="850" w:type="dxa"/>
            <w:shd w:val="clear" w:color="auto" w:fill="1FB714"/>
            <w:tcMar>
              <w:top w:w="0" w:type="dxa"/>
              <w:left w:w="45" w:type="dxa"/>
              <w:bottom w:w="0" w:type="dxa"/>
              <w:right w:w="45" w:type="dxa"/>
            </w:tcMar>
            <w:vAlign w:val="center"/>
            <w:hideMark/>
          </w:tcPr>
          <w:p w14:paraId="2F619F1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4F201B2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1134" w:type="dxa"/>
            <w:tcMar>
              <w:top w:w="0" w:type="dxa"/>
              <w:left w:w="45" w:type="dxa"/>
              <w:bottom w:w="0" w:type="dxa"/>
              <w:right w:w="45" w:type="dxa"/>
            </w:tcMar>
            <w:vAlign w:val="center"/>
            <w:hideMark/>
          </w:tcPr>
          <w:p w14:paraId="1DBE880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31762F3E"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1FB714"/>
            <w:tcMar>
              <w:top w:w="0" w:type="dxa"/>
              <w:left w:w="45" w:type="dxa"/>
              <w:bottom w:w="0" w:type="dxa"/>
              <w:right w:w="45" w:type="dxa"/>
            </w:tcMar>
            <w:vAlign w:val="center"/>
            <w:hideMark/>
          </w:tcPr>
          <w:p w14:paraId="1DFF332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1" w:type="dxa"/>
            <w:shd w:val="clear" w:color="auto" w:fill="1FB714"/>
            <w:tcMar>
              <w:top w:w="0" w:type="dxa"/>
              <w:left w:w="45" w:type="dxa"/>
              <w:bottom w:w="0" w:type="dxa"/>
              <w:right w:w="45" w:type="dxa"/>
            </w:tcMar>
            <w:vAlign w:val="center"/>
            <w:hideMark/>
          </w:tcPr>
          <w:p w14:paraId="625AC3B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0" w:type="dxa"/>
            <w:shd w:val="clear" w:color="auto" w:fill="1FB714"/>
            <w:tcMar>
              <w:top w:w="0" w:type="dxa"/>
              <w:left w:w="45" w:type="dxa"/>
              <w:bottom w:w="0" w:type="dxa"/>
              <w:right w:w="45" w:type="dxa"/>
            </w:tcMar>
            <w:vAlign w:val="center"/>
            <w:hideMark/>
          </w:tcPr>
          <w:p w14:paraId="4F128404"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145F6D1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2BE7CFF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7721DF5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6981F7A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 quintiles, log transformation</w:t>
            </w:r>
          </w:p>
        </w:tc>
      </w:tr>
      <w:tr w:rsidR="003E400D" w:rsidRPr="00D174DC" w14:paraId="63BF2A77" w14:textId="77777777" w:rsidTr="00F53D71">
        <w:trPr>
          <w:trHeight w:val="285"/>
          <w:jc w:val="center"/>
        </w:trPr>
        <w:tc>
          <w:tcPr>
            <w:tcW w:w="1452" w:type="dxa"/>
            <w:tcMar>
              <w:top w:w="0" w:type="dxa"/>
              <w:left w:w="45" w:type="dxa"/>
              <w:bottom w:w="0" w:type="dxa"/>
              <w:right w:w="45" w:type="dxa"/>
            </w:tcMar>
            <w:vAlign w:val="center"/>
            <w:hideMark/>
          </w:tcPr>
          <w:p w14:paraId="5048A91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Smith et al. (1998)</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{"citationItems":[{"id":"ITEM-1","itemData":{"ISBN":"1326-0200 (Print)\\r1326-0200 (Linking)","ISSN":"1326-0200 (Print)","PMID":"9659773","abstract":"This study assesses the validity and reproducibility of a 145-item self-administered food frequency questionnaire (FFQ) in a representative older population aged 63 to 80. Semi-quantitative FFQs were completed by 89% of 3,654 residents attending a community-based eye study in Sydney, Australia. The FFQ's validity was assessed against three, four-day weighed food records (WFRs) completed four months apart by 79 people. A further 152 subjects completed a repeat FFQ about a year after the baseline FFQ, of whom 131 completed a second repeat FFQ about six weeks later. Both short and long-term reproducibility of the FFQ were assessed using data from these subjects. Comparison of the FFQ with the average of the three, four-day weighed food records resulted in energy-adjusted Spearman correlations above 0.5 for most of the nutrients. The proportion of subjects correctly classified to within one quintile category for each nutrient intake ranged from 57% for zinc to 82% for vitamin C. with most nutrients correctly classified within one quintile for about 70% of subjects. Quadratic weighted kappas were reasonable, between 0.3 and 0.5 for most nutrients. The FFQ was highly reproducible in the short term, with correlations for most nutrients about 0.70 to 0.80 and acceptably reproducible in the longer term, with correlations mostly 0.60 to 0.70. The results verify that it is possible to use relatively simple, but comprehensive, self-administered FFQs to study nutrient exposures in large-scale epidemiological studies of the elderly and to expect reasonably high FFQ response rates.","author":[{"dropping-particle":"","family":"Smith","given":"W","non-dropping-particle":"","parse-names":false,"suffix":""},{"dropping-particle":"","family":"Mitchell","given":"P","non-dropping-particle":"","parse-names":false,"suffix":""},{"dropping-particle":"","family":"Reay","given":"E M","non-dropping-particle":"","parse-names":false,"suffix":""},{"dropping-particle":"","family":"Webb","given":"K","non-dropping-particle":"","parse-names":false,"suffix":""},{"dropping-particle":"","family":"Harvey","given":"P W","non-dropping-particle":"","parse-names":false,"suffix":""}],"container-title":"Australian and New Zealand journal of public health","id":"ITEM-1","issue":"4","issued":{"date-parts":[["1998"]]},"page":"456-463","title":"Validity and reproducibility of a self-administered food frequency questionnaire  in older people.","type":"article-journal","volume":"22"},"uris":["http://www.mendeley.com/documents/?uuid=e6bae9a7-e076-4c1a-abca-52c583afd505"]}],"mendeley":{"formattedCitation":"&lt;sup&gt;(67)&lt;/sup&gt;","plainTextFormattedCitation":"(67)","previouslyFormattedCitation":"&lt;sup&gt;(67)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n-AU" w:eastAsia="es-ES"/>
              </w:rPr>
              <w:t>(67)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0E8C445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776" w:type="dxa"/>
            <w:shd w:val="clear" w:color="auto" w:fill="1FB714"/>
            <w:tcMar>
              <w:top w:w="0" w:type="dxa"/>
              <w:left w:w="45" w:type="dxa"/>
              <w:bottom w:w="0" w:type="dxa"/>
              <w:right w:w="45" w:type="dxa"/>
            </w:tcMar>
            <w:vAlign w:val="center"/>
            <w:hideMark/>
          </w:tcPr>
          <w:p w14:paraId="36271ED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992" w:type="dxa"/>
            <w:shd w:val="clear" w:color="auto" w:fill="1FB714"/>
            <w:tcMar>
              <w:top w:w="0" w:type="dxa"/>
              <w:left w:w="45" w:type="dxa"/>
              <w:bottom w:w="0" w:type="dxa"/>
              <w:right w:w="45" w:type="dxa"/>
            </w:tcMar>
            <w:vAlign w:val="center"/>
            <w:hideMark/>
          </w:tcPr>
          <w:p w14:paraId="15D6F86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1FB714"/>
            <w:tcMar>
              <w:top w:w="0" w:type="dxa"/>
              <w:left w:w="45" w:type="dxa"/>
              <w:bottom w:w="0" w:type="dxa"/>
              <w:right w:w="45" w:type="dxa"/>
            </w:tcMar>
            <w:vAlign w:val="center"/>
            <w:hideMark/>
          </w:tcPr>
          <w:p w14:paraId="73040FC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850" w:type="dxa"/>
            <w:shd w:val="clear" w:color="auto" w:fill="1FB714"/>
            <w:tcMar>
              <w:top w:w="0" w:type="dxa"/>
              <w:left w:w="45" w:type="dxa"/>
              <w:bottom w:w="0" w:type="dxa"/>
              <w:right w:w="45" w:type="dxa"/>
            </w:tcMar>
            <w:vAlign w:val="center"/>
            <w:hideMark/>
          </w:tcPr>
          <w:p w14:paraId="7DDF5F3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DD0806"/>
            <w:tcMar>
              <w:top w:w="0" w:type="dxa"/>
              <w:left w:w="45" w:type="dxa"/>
              <w:bottom w:w="0" w:type="dxa"/>
              <w:right w:w="45" w:type="dxa"/>
            </w:tcMar>
            <w:vAlign w:val="center"/>
            <w:hideMark/>
          </w:tcPr>
          <w:p w14:paraId="7D55049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1134" w:type="dxa"/>
            <w:tcMar>
              <w:top w:w="0" w:type="dxa"/>
              <w:left w:w="45" w:type="dxa"/>
              <w:bottom w:w="0" w:type="dxa"/>
              <w:right w:w="45" w:type="dxa"/>
            </w:tcMar>
            <w:vAlign w:val="center"/>
            <w:hideMark/>
          </w:tcPr>
          <w:p w14:paraId="419F056E"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CA0135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1FB714"/>
            <w:tcMar>
              <w:top w:w="0" w:type="dxa"/>
              <w:left w:w="45" w:type="dxa"/>
              <w:bottom w:w="0" w:type="dxa"/>
              <w:right w:w="45" w:type="dxa"/>
            </w:tcMar>
            <w:vAlign w:val="center"/>
            <w:hideMark/>
          </w:tcPr>
          <w:p w14:paraId="7411F9C4"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1" w:type="dxa"/>
            <w:shd w:val="clear" w:color="auto" w:fill="FF9900"/>
            <w:tcMar>
              <w:top w:w="0" w:type="dxa"/>
              <w:left w:w="45" w:type="dxa"/>
              <w:bottom w:w="0" w:type="dxa"/>
              <w:right w:w="45" w:type="dxa"/>
            </w:tcMar>
            <w:vAlign w:val="center"/>
            <w:hideMark/>
          </w:tcPr>
          <w:p w14:paraId="70A7D14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0" w:type="dxa"/>
            <w:shd w:val="clear" w:color="auto" w:fill="1FB714"/>
            <w:tcMar>
              <w:top w:w="0" w:type="dxa"/>
              <w:left w:w="45" w:type="dxa"/>
              <w:bottom w:w="0" w:type="dxa"/>
              <w:right w:w="45" w:type="dxa"/>
            </w:tcMar>
            <w:vAlign w:val="center"/>
            <w:hideMark/>
          </w:tcPr>
          <w:p w14:paraId="7113B0F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1B789B1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7CE1C2F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FF9900"/>
            <w:tcMar>
              <w:top w:w="0" w:type="dxa"/>
              <w:left w:w="45" w:type="dxa"/>
              <w:bottom w:w="0" w:type="dxa"/>
              <w:right w:w="45" w:type="dxa"/>
            </w:tcMar>
            <w:vAlign w:val="center"/>
            <w:hideMark/>
          </w:tcPr>
          <w:p w14:paraId="7C00D41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1422" w:type="dxa"/>
            <w:shd w:val="clear" w:color="auto" w:fill="1FB714"/>
            <w:tcMar>
              <w:top w:w="0" w:type="dxa"/>
              <w:left w:w="45" w:type="dxa"/>
              <w:bottom w:w="0" w:type="dxa"/>
              <w:right w:w="45" w:type="dxa"/>
            </w:tcMar>
            <w:vAlign w:val="center"/>
            <w:hideMark/>
          </w:tcPr>
          <w:p w14:paraId="46D490A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 log transformation kappa, quintiles</w:t>
            </w:r>
          </w:p>
        </w:tc>
      </w:tr>
      <w:tr w:rsidR="003E400D" w:rsidRPr="00D174DC" w14:paraId="065FF6F4" w14:textId="77777777" w:rsidTr="00F53D71">
        <w:trPr>
          <w:trHeight w:val="285"/>
          <w:jc w:val="center"/>
        </w:trPr>
        <w:tc>
          <w:tcPr>
            <w:tcW w:w="1452" w:type="dxa"/>
            <w:tcMar>
              <w:top w:w="0" w:type="dxa"/>
              <w:left w:w="45" w:type="dxa"/>
              <w:bottom w:w="0" w:type="dxa"/>
              <w:right w:w="45" w:type="dxa"/>
            </w:tcMar>
            <w:vAlign w:val="center"/>
            <w:hideMark/>
          </w:tcPr>
          <w:p w14:paraId="37CD0D7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proofErr w:type="spellStart"/>
            <w:r w:rsidRPr="00D732E0">
              <w:rPr>
                <w:rFonts w:ascii="Times New Roman" w:eastAsia="Times New Roman" w:hAnsi="Times New Roman" w:cs="Times New Roman"/>
                <w:color w:val="000000"/>
                <w:sz w:val="16"/>
                <w:szCs w:val="16"/>
                <w:lang w:val="en-AU" w:eastAsia="es-ES"/>
              </w:rPr>
              <w:t>Fregapane</w:t>
            </w:r>
            <w:proofErr w:type="spellEnd"/>
            <w:r w:rsidRPr="00D732E0">
              <w:rPr>
                <w:rFonts w:ascii="Times New Roman" w:eastAsia="Times New Roman" w:hAnsi="Times New Roman" w:cs="Times New Roman"/>
                <w:color w:val="000000"/>
                <w:sz w:val="16"/>
                <w:szCs w:val="16"/>
                <w:lang w:val="en-AU" w:eastAsia="es-ES"/>
              </w:rPr>
              <w:t xml:space="preserve"> &amp; Asensio (2000)</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author":[{"dropping-particle":"","family":"Fregapane","given":"G","non-dropping-particle":"","parse-names":false,"suffix":""},{"dropping-particle":"","family":"Asensio-García","given":"C","non-dropping-particle":"","parse-names":false,"suffix":""}],"container-title":"Eur J Epidemiol","id":"ITEM-1","issue":"2","issued":{"date-parts":[["2000"]]},"page":"183-191","title":"Dietary assessment of an educated young Spanish population using a self-administered meal-based food frequency questionnaire","type":"article-journal","volume":"16"},"uris":["http://www.mendeley.com/documents/?uuid=ca99eef4-f874-49b5-90d7-d01c9f3aad0c"]}],"mendeley":{"formattedCitation":"&lt;sup&gt;(34)&lt;/sup&gt;","plainTextFormattedCitation":"(34)","previouslyFormattedCitation":"&lt;sup&gt;(34)&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(34)</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508A803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776" w:type="dxa"/>
            <w:shd w:val="clear" w:color="auto" w:fill="1FB714"/>
            <w:tcMar>
              <w:top w:w="0" w:type="dxa"/>
              <w:left w:w="45" w:type="dxa"/>
              <w:bottom w:w="0" w:type="dxa"/>
              <w:right w:w="45" w:type="dxa"/>
            </w:tcMar>
            <w:vAlign w:val="center"/>
            <w:hideMark/>
          </w:tcPr>
          <w:p w14:paraId="6C64E29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992" w:type="dxa"/>
            <w:shd w:val="clear" w:color="auto" w:fill="DD0806"/>
            <w:tcMar>
              <w:top w:w="0" w:type="dxa"/>
              <w:left w:w="45" w:type="dxa"/>
              <w:bottom w:w="0" w:type="dxa"/>
              <w:right w:w="45" w:type="dxa"/>
            </w:tcMar>
            <w:vAlign w:val="center"/>
            <w:hideMark/>
          </w:tcPr>
          <w:p w14:paraId="7554BDC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None</w:t>
            </w:r>
          </w:p>
        </w:tc>
        <w:tc>
          <w:tcPr>
            <w:tcW w:w="851" w:type="dxa"/>
            <w:shd w:val="clear" w:color="auto" w:fill="1FB714"/>
            <w:tcMar>
              <w:top w:w="0" w:type="dxa"/>
              <w:left w:w="45" w:type="dxa"/>
              <w:bottom w:w="0" w:type="dxa"/>
              <w:right w:w="45" w:type="dxa"/>
            </w:tcMar>
            <w:vAlign w:val="center"/>
            <w:hideMark/>
          </w:tcPr>
          <w:p w14:paraId="4F02355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850" w:type="dxa"/>
            <w:shd w:val="clear" w:color="auto" w:fill="DD0806"/>
            <w:tcMar>
              <w:top w:w="0" w:type="dxa"/>
              <w:left w:w="45" w:type="dxa"/>
              <w:bottom w:w="0" w:type="dxa"/>
              <w:right w:w="45" w:type="dxa"/>
            </w:tcMar>
            <w:vAlign w:val="center"/>
            <w:hideMark/>
          </w:tcPr>
          <w:p w14:paraId="22C4482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 xml:space="preserve">b </w:t>
            </w:r>
          </w:p>
        </w:tc>
        <w:tc>
          <w:tcPr>
            <w:tcW w:w="1418" w:type="dxa"/>
            <w:shd w:val="clear" w:color="auto" w:fill="DD0806"/>
            <w:tcMar>
              <w:top w:w="0" w:type="dxa"/>
              <w:left w:w="45" w:type="dxa"/>
              <w:bottom w:w="0" w:type="dxa"/>
              <w:right w:w="45" w:type="dxa"/>
            </w:tcMar>
            <w:vAlign w:val="center"/>
            <w:hideMark/>
          </w:tcPr>
          <w:p w14:paraId="5F10F74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1134" w:type="dxa"/>
            <w:tcMar>
              <w:top w:w="0" w:type="dxa"/>
              <w:left w:w="45" w:type="dxa"/>
              <w:bottom w:w="0" w:type="dxa"/>
              <w:right w:w="45" w:type="dxa"/>
            </w:tcMar>
            <w:vAlign w:val="center"/>
            <w:hideMark/>
          </w:tcPr>
          <w:p w14:paraId="28EC3DD5"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A0CEDB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FF9900"/>
            <w:tcMar>
              <w:top w:w="0" w:type="dxa"/>
              <w:left w:w="45" w:type="dxa"/>
              <w:bottom w:w="0" w:type="dxa"/>
              <w:right w:w="45" w:type="dxa"/>
            </w:tcMar>
            <w:vAlign w:val="center"/>
            <w:hideMark/>
          </w:tcPr>
          <w:p w14:paraId="2D078CE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1" w:type="dxa"/>
            <w:shd w:val="clear" w:color="auto" w:fill="DD0806"/>
            <w:tcMar>
              <w:top w:w="0" w:type="dxa"/>
              <w:left w:w="45" w:type="dxa"/>
              <w:bottom w:w="0" w:type="dxa"/>
              <w:right w:w="45" w:type="dxa"/>
            </w:tcMar>
            <w:vAlign w:val="center"/>
            <w:hideMark/>
          </w:tcPr>
          <w:p w14:paraId="15B6099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850" w:type="dxa"/>
            <w:shd w:val="clear" w:color="auto" w:fill="1FB714"/>
            <w:tcMar>
              <w:top w:w="0" w:type="dxa"/>
              <w:left w:w="45" w:type="dxa"/>
              <w:bottom w:w="0" w:type="dxa"/>
              <w:right w:w="45" w:type="dxa"/>
            </w:tcMar>
            <w:vAlign w:val="center"/>
            <w:hideMark/>
          </w:tcPr>
          <w:p w14:paraId="039B714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1FB714"/>
            <w:tcMar>
              <w:top w:w="0" w:type="dxa"/>
              <w:left w:w="45" w:type="dxa"/>
              <w:bottom w:w="0" w:type="dxa"/>
              <w:right w:w="45" w:type="dxa"/>
            </w:tcMar>
            <w:vAlign w:val="center"/>
            <w:hideMark/>
          </w:tcPr>
          <w:p w14:paraId="7D556ED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1FB714"/>
            <w:tcMar>
              <w:top w:w="0" w:type="dxa"/>
              <w:left w:w="45" w:type="dxa"/>
              <w:bottom w:w="0" w:type="dxa"/>
              <w:right w:w="45" w:type="dxa"/>
            </w:tcMar>
            <w:vAlign w:val="center"/>
            <w:hideMark/>
          </w:tcPr>
          <w:p w14:paraId="5189CA8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2E2A8AB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3118256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 ICC</w:t>
            </w:r>
          </w:p>
        </w:tc>
      </w:tr>
      <w:tr w:rsidR="003E400D" w:rsidRPr="00D174DC" w14:paraId="45F452EB" w14:textId="77777777" w:rsidTr="00F53D71">
        <w:trPr>
          <w:trHeight w:val="285"/>
          <w:jc w:val="center"/>
        </w:trPr>
        <w:tc>
          <w:tcPr>
            <w:tcW w:w="1452" w:type="dxa"/>
            <w:tcMar>
              <w:top w:w="0" w:type="dxa"/>
              <w:left w:w="45" w:type="dxa"/>
              <w:bottom w:w="0" w:type="dxa"/>
              <w:right w:w="45" w:type="dxa"/>
            </w:tcMar>
            <w:vAlign w:val="center"/>
            <w:hideMark/>
          </w:tcPr>
          <w:p w14:paraId="2A919EE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Jackson et al. (2001)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{"citationItems":[{"id":"ITEM-1","itemData":{"abstract":"BACKGROUND: An interviewer-administered quantitative food-frequency questionnaire (FFQ) was developed to determine the energy and nutrient intakes of adult Jamaicans of African origin as part of a study of the epidemiology of diabetes and hypertension. METHODS: Reproducibility of the questionnaire was investigated in 123 participants aged 25-74 years. The relative validity of the FFQ was assessed against twelve 24-hour recalls administered over 12 months in 73 of the participants. In addition, energy intakes (EI) were compared with estimated basal metabolic rates (BMR). RESULTS: Reproducibility correlation coefficients (Pearson and intraclass) varied between 0.42 for retinol and 0.71 for carbohydrate, with most values falling between 0.50 and 0.60. When compared with repeated 24-hour recalls, the FFQ estimated slightly higher energy (mean 6%) and macronutrient intakes (mean 2-14%), and was within 5% when expressed as a percentage of energy intake. Micronutrients were higher by 1.19 (calcium) to 1.61 times (vitamin C). Unadjusted correlations between the FFQ and the reference method ranged from 0.20 for beta-carotene to 0.86 for alcohol. Cross-classification of nutrients into quartiles showed that 46-48% of participants in the lowest and highest quartiles were jointly classified by both methods. Misclassifications were low for most nutrients with one or two persons misclassified at the extreme quartiles. EI/BMR ratios suggested light to moderate activity levels appropriate for an urban population in a developing country. CONCLUSIONS: The FFQ showed reasonable reproducibility and validity and is suitable for estimating the habitual intakes of energy and macronutrients, but was poor for some micronutrients (retinol and beta-carotene).","author":[{"dropping-particle":"","family":"Jackson","given":"M","non-dropping-particle":"","parse-names":false,"suffix":""},{"dropping-particle":"","family":"Walker","given":"S","non-dropping-particle":"","parse-names":false,"suffix":""},{"dropping-particle":"","family":"Cade","given":"J","non-dropping-particle":"","parse-names":false,"suffix":""},{"dropping-particle":"","family":"Forrester","given":"T","non-dropping-particle":"","parse-names":false,"suffix":""},{"dropping-particle":"","family":"Cruickshank","given":"J K","non-dropping-particle":"","parse-names":false,"suffix":""},{"dropping-particle":"","family":"Wilks","given":"R","non-dropping-particle":"","parse-names":false,"suffix":""}],"container-title":"Public health nutrition","id":"ITEM-1","issue":"5","issued":{"date-parts":[["2001"]]},"page":"971-980","title":"Reproducibility and validity of a quantitative food-frequency questionnaire among Jamaicans of African origin.","type":"article-journal","volume":"4"},"uris":["http://www.mendeley.com/documents/?uuid=4a76aa25-59dc-46c6-9b6c-8e91c4bbafc1"]}],"mendeley":{"formattedCitation":"&lt;sup&gt;(48)&lt;/sup&gt;","plainTextFormattedCitation":"(48)","previouslyFormattedCitation":"&lt;sup&gt;(48)&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(48)</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2F89902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776" w:type="dxa"/>
            <w:shd w:val="clear" w:color="auto" w:fill="1FB714"/>
            <w:tcMar>
              <w:top w:w="0" w:type="dxa"/>
              <w:left w:w="45" w:type="dxa"/>
              <w:bottom w:w="0" w:type="dxa"/>
              <w:right w:w="45" w:type="dxa"/>
            </w:tcMar>
            <w:vAlign w:val="center"/>
            <w:hideMark/>
          </w:tcPr>
          <w:p w14:paraId="4B6B332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992" w:type="dxa"/>
            <w:shd w:val="clear" w:color="auto" w:fill="1FB714"/>
            <w:tcMar>
              <w:top w:w="0" w:type="dxa"/>
              <w:left w:w="45" w:type="dxa"/>
              <w:bottom w:w="0" w:type="dxa"/>
              <w:right w:w="45" w:type="dxa"/>
            </w:tcMar>
            <w:vAlign w:val="center"/>
            <w:hideMark/>
          </w:tcPr>
          <w:p w14:paraId="6A955D7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1FB714"/>
            <w:tcMar>
              <w:top w:w="0" w:type="dxa"/>
              <w:left w:w="45" w:type="dxa"/>
              <w:bottom w:w="0" w:type="dxa"/>
              <w:right w:w="45" w:type="dxa"/>
            </w:tcMar>
            <w:vAlign w:val="center"/>
            <w:hideMark/>
          </w:tcPr>
          <w:p w14:paraId="7F2F8E5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0" w:type="dxa"/>
            <w:shd w:val="clear" w:color="auto" w:fill="1FB714"/>
            <w:tcMar>
              <w:top w:w="0" w:type="dxa"/>
              <w:left w:w="45" w:type="dxa"/>
              <w:bottom w:w="0" w:type="dxa"/>
              <w:right w:w="45" w:type="dxa"/>
            </w:tcMar>
            <w:vAlign w:val="center"/>
            <w:hideMark/>
          </w:tcPr>
          <w:p w14:paraId="5E73D5CD"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1CDDF69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1134" w:type="dxa"/>
            <w:tcMar>
              <w:top w:w="0" w:type="dxa"/>
              <w:left w:w="45" w:type="dxa"/>
              <w:bottom w:w="0" w:type="dxa"/>
              <w:right w:w="45" w:type="dxa"/>
            </w:tcMar>
            <w:vAlign w:val="center"/>
            <w:hideMark/>
          </w:tcPr>
          <w:p w14:paraId="0A4A900C"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984D9E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FF9900"/>
            <w:tcMar>
              <w:top w:w="0" w:type="dxa"/>
              <w:left w:w="45" w:type="dxa"/>
              <w:bottom w:w="0" w:type="dxa"/>
              <w:right w:w="45" w:type="dxa"/>
            </w:tcMar>
            <w:vAlign w:val="center"/>
            <w:hideMark/>
          </w:tcPr>
          <w:p w14:paraId="28A7451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1" w:type="dxa"/>
            <w:shd w:val="clear" w:color="auto" w:fill="FF9900"/>
            <w:tcMar>
              <w:top w:w="0" w:type="dxa"/>
              <w:left w:w="45" w:type="dxa"/>
              <w:bottom w:w="0" w:type="dxa"/>
              <w:right w:w="45" w:type="dxa"/>
            </w:tcMar>
            <w:vAlign w:val="center"/>
            <w:hideMark/>
          </w:tcPr>
          <w:p w14:paraId="3412273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0" w:type="dxa"/>
            <w:shd w:val="clear" w:color="auto" w:fill="1FB714"/>
            <w:tcMar>
              <w:top w:w="0" w:type="dxa"/>
              <w:left w:w="45" w:type="dxa"/>
              <w:bottom w:w="0" w:type="dxa"/>
              <w:right w:w="45" w:type="dxa"/>
            </w:tcMar>
            <w:vAlign w:val="center"/>
            <w:hideMark/>
          </w:tcPr>
          <w:p w14:paraId="377875F4"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2351D1D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14EC8B9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51B3C8D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792CC7A7"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 quartiles, ICC</w:t>
            </w:r>
          </w:p>
        </w:tc>
      </w:tr>
      <w:tr w:rsidR="003E400D" w:rsidRPr="00D174DC" w14:paraId="28F30D16" w14:textId="77777777" w:rsidTr="00F53D71">
        <w:trPr>
          <w:trHeight w:val="285"/>
          <w:jc w:val="center"/>
        </w:trPr>
        <w:tc>
          <w:tcPr>
            <w:tcW w:w="1452" w:type="dxa"/>
            <w:tcMar>
              <w:top w:w="0" w:type="dxa"/>
              <w:left w:w="45" w:type="dxa"/>
              <w:bottom w:w="0" w:type="dxa"/>
              <w:right w:w="45" w:type="dxa"/>
            </w:tcMar>
            <w:vAlign w:val="center"/>
            <w:hideMark/>
          </w:tcPr>
          <w:p w14:paraId="491DE7F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proofErr w:type="spellStart"/>
            <w:r w:rsidRPr="00E209A6">
              <w:rPr>
                <w:rFonts w:ascii="Times New Roman" w:eastAsia="Times New Roman" w:hAnsi="Times New Roman" w:cs="Times New Roman"/>
                <w:color w:val="000000"/>
                <w:sz w:val="16"/>
                <w:szCs w:val="16"/>
                <w:lang w:val="en-AU" w:eastAsia="es-ES"/>
              </w:rPr>
              <w:t>Schröder</w:t>
            </w:r>
            <w:proofErr w:type="spellEnd"/>
            <w:r w:rsidRPr="00D732E0">
              <w:rPr>
                <w:rFonts w:ascii="Times New Roman" w:eastAsia="Times New Roman" w:hAnsi="Times New Roman" w:cs="Times New Roman"/>
                <w:color w:val="000000"/>
                <w:sz w:val="16"/>
                <w:szCs w:val="16"/>
                <w:lang w:val="en-AU" w:eastAsia="es-ES"/>
              </w:rPr>
              <w:t xml:space="preserve"> et al. (2001)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{"citationItems":[{"id":"ITEM-1","itemData":{"ISSN":"0261-5614","PMID":"11534938","abstract":"AIM To assess the validity and the short-term reproducibility of a semi-quantitative, self-administrated food frequency questionnaire and a structured 72-hour recall in a Mediterranean Spanish population. METHODS 44 free-living volunteers participated in the study. Macronutrient, vitamin and mineral intake, recorded on the food frequency questionnaire and the structured 72-h recall were compared with intakes derived from a three-day food record (reference method). Validity of the dietary assessment methods was further assessed by comparing urinary nitrogen, plasma vitamin C, plasma beta-carotene and whole blood glutathione peroxidase activity levels with the corresponding nutrient intakes from the questionnaires. The food frequency questionnaire and the 72-h recall were administered twice to assess the short term reproducibility. RESULTS Pearson's correlation coefficients between urinary nitrogen, plasma vitamin C, plasma beta-carotene and whole blood glutathione peroxidase activity levels and the reported nitrogen, vitamin C, beta-carotene and selenium intakes were 0.26, 0.53, 0.17, 0.26 for the food frequency questionnaire; 0.41, 0.09, 0.34, 0.42 for the structured 72-h recall and 0.50, 0.54, 0.44, 0.38 for the three-day food record, respectively. The short term reproducibility of analysed nutrient intake showed average intra-class correlation coefficients of 0.91 and 0.69 for the food frequency questionnaire and the structured 72-h recall irrespectively. CONCLUSION The food frequency questionnaire and the structured 72-h recall provide valid estimates of nutrient intake and could be used for dietary assessments.","author":[{"dropping-particle":"","family":"Schröder","given":"H","non-dropping-particle":"","parse-names":false,"suffix":""},{"dropping-particle":"","family":"Covas","given":"M I","non-dropping-particle":"","parse-names":false,"suffix":""},{"dropping-particle":"","family":"Marrugat","given":"J","non-dropping-particle":"","parse-names":false,"suffix":""},{"dropping-particle":"","family":"Vila","given":"J","non-dropping-particle":"","parse-names":false,"suffix":""},{"dropping-particle":"","family":"Pena","given":"A","non-dropping-particle":"","parse-names":false,"suffix":""},{"dropping-particle":"","family":"Alcántara","given":"M","non-dropping-particle":"","parse-names":false,"suffix":""},{"dropping-particle":"","family":"Masiá","given":"R","non-dropping-particle":"","parse-names":false,"suffix":""}],"container-title":"Clinical nutrition (Edinburgh, Scotland)","id":"ITEM-1","issue":"5","issued":{"date-parts":[["2001","10"]]},"page":"429-37","title":"Use of a three-day estimated food record, a 72-hour recall and a food-frequency questionnaire for dietary assessment in a Mediterranean Spanish population.","type":"article-journal","volume":"20"},"uris":["http://www.mendeley.com/documents/?uuid=bdf5ec94-3fca-3d23-ac41-bc8d0cc67d4f"]}],"mendeley":{"formattedCitation":"&lt;sup&gt;(26)&lt;/sup&gt;","plainTextFormattedCitation":"(26)","previouslyFormattedCitation":"&lt;sup&gt;(26)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(26)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1B58224E"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776" w:type="dxa"/>
            <w:shd w:val="clear" w:color="auto" w:fill="DD0806"/>
            <w:tcMar>
              <w:top w:w="0" w:type="dxa"/>
              <w:left w:w="45" w:type="dxa"/>
              <w:bottom w:w="0" w:type="dxa"/>
              <w:right w:w="45" w:type="dxa"/>
            </w:tcMar>
            <w:vAlign w:val="center"/>
            <w:hideMark/>
          </w:tcPr>
          <w:p w14:paraId="1F28D9B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d</w:t>
            </w:r>
          </w:p>
        </w:tc>
        <w:tc>
          <w:tcPr>
            <w:tcW w:w="992" w:type="dxa"/>
            <w:shd w:val="clear" w:color="auto" w:fill="DD0806"/>
            <w:tcMar>
              <w:top w:w="0" w:type="dxa"/>
              <w:left w:w="45" w:type="dxa"/>
              <w:bottom w:w="0" w:type="dxa"/>
              <w:right w:w="45" w:type="dxa"/>
            </w:tcMar>
            <w:vAlign w:val="center"/>
            <w:hideMark/>
          </w:tcPr>
          <w:p w14:paraId="7D33F61F"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None</w:t>
            </w:r>
          </w:p>
        </w:tc>
        <w:tc>
          <w:tcPr>
            <w:tcW w:w="851" w:type="dxa"/>
            <w:shd w:val="clear" w:color="auto" w:fill="1FB714"/>
            <w:tcMar>
              <w:top w:w="0" w:type="dxa"/>
              <w:left w:w="45" w:type="dxa"/>
              <w:bottom w:w="0" w:type="dxa"/>
              <w:right w:w="45" w:type="dxa"/>
            </w:tcMar>
            <w:vAlign w:val="center"/>
            <w:hideMark/>
          </w:tcPr>
          <w:p w14:paraId="4D760483"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850" w:type="dxa"/>
            <w:shd w:val="clear" w:color="auto" w:fill="DD0806"/>
            <w:tcMar>
              <w:top w:w="0" w:type="dxa"/>
              <w:left w:w="45" w:type="dxa"/>
              <w:bottom w:w="0" w:type="dxa"/>
              <w:right w:w="45" w:type="dxa"/>
            </w:tcMar>
            <w:vAlign w:val="center"/>
            <w:hideMark/>
          </w:tcPr>
          <w:p w14:paraId="4397FC2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 xml:space="preserve">b </w:t>
            </w:r>
          </w:p>
        </w:tc>
        <w:tc>
          <w:tcPr>
            <w:tcW w:w="1418" w:type="dxa"/>
            <w:shd w:val="clear" w:color="auto" w:fill="DD0806"/>
            <w:tcMar>
              <w:top w:w="0" w:type="dxa"/>
              <w:left w:w="45" w:type="dxa"/>
              <w:bottom w:w="0" w:type="dxa"/>
              <w:right w:w="45" w:type="dxa"/>
            </w:tcMar>
            <w:vAlign w:val="center"/>
            <w:hideMark/>
          </w:tcPr>
          <w:p w14:paraId="38B1CAA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d</w:t>
            </w:r>
          </w:p>
        </w:tc>
        <w:tc>
          <w:tcPr>
            <w:tcW w:w="1134" w:type="dxa"/>
            <w:tcMar>
              <w:top w:w="0" w:type="dxa"/>
              <w:left w:w="45" w:type="dxa"/>
              <w:bottom w:w="0" w:type="dxa"/>
              <w:right w:w="45" w:type="dxa"/>
            </w:tcMar>
            <w:vAlign w:val="center"/>
            <w:hideMark/>
          </w:tcPr>
          <w:p w14:paraId="17B811A8"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B8A1B39"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DD0806"/>
            <w:tcMar>
              <w:top w:w="0" w:type="dxa"/>
              <w:left w:w="45" w:type="dxa"/>
              <w:bottom w:w="0" w:type="dxa"/>
              <w:right w:w="45" w:type="dxa"/>
            </w:tcMar>
            <w:vAlign w:val="center"/>
            <w:hideMark/>
          </w:tcPr>
          <w:p w14:paraId="4C430E3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851" w:type="dxa"/>
            <w:shd w:val="clear" w:color="auto" w:fill="DD0806"/>
            <w:tcMar>
              <w:top w:w="0" w:type="dxa"/>
              <w:left w:w="45" w:type="dxa"/>
              <w:bottom w:w="0" w:type="dxa"/>
              <w:right w:w="45" w:type="dxa"/>
            </w:tcMar>
            <w:vAlign w:val="center"/>
            <w:hideMark/>
          </w:tcPr>
          <w:p w14:paraId="4385D3F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850" w:type="dxa"/>
            <w:shd w:val="clear" w:color="auto" w:fill="FF9900"/>
            <w:tcMar>
              <w:top w:w="0" w:type="dxa"/>
              <w:left w:w="45" w:type="dxa"/>
              <w:bottom w:w="0" w:type="dxa"/>
              <w:right w:w="45" w:type="dxa"/>
            </w:tcMar>
            <w:vAlign w:val="center"/>
            <w:hideMark/>
          </w:tcPr>
          <w:p w14:paraId="0020644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709" w:type="dxa"/>
            <w:shd w:val="clear" w:color="auto" w:fill="DD0806"/>
            <w:tcMar>
              <w:top w:w="0" w:type="dxa"/>
              <w:left w:w="45" w:type="dxa"/>
              <w:bottom w:w="0" w:type="dxa"/>
              <w:right w:w="45" w:type="dxa"/>
            </w:tcMar>
            <w:vAlign w:val="center"/>
            <w:hideMark/>
          </w:tcPr>
          <w:p w14:paraId="75B2985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5F8BC23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0FA764AC"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23CDCB0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 biomarkers, ICC, quartiles</w:t>
            </w:r>
          </w:p>
        </w:tc>
      </w:tr>
      <w:tr w:rsidR="003E400D" w:rsidRPr="00D174DC" w14:paraId="6D85517C" w14:textId="77777777" w:rsidTr="00F53D71">
        <w:trPr>
          <w:trHeight w:val="285"/>
          <w:jc w:val="center"/>
        </w:trPr>
        <w:tc>
          <w:tcPr>
            <w:tcW w:w="1452" w:type="dxa"/>
            <w:tcMar>
              <w:top w:w="0" w:type="dxa"/>
              <w:left w:w="45" w:type="dxa"/>
              <w:bottom w:w="0" w:type="dxa"/>
              <w:right w:w="45" w:type="dxa"/>
            </w:tcMar>
            <w:vAlign w:val="center"/>
            <w:hideMark/>
          </w:tcPr>
          <w:p w14:paraId="0F49BF4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732E0">
              <w:rPr>
                <w:rFonts w:ascii="Times New Roman" w:eastAsia="Times New Roman" w:hAnsi="Times New Roman" w:cs="Times New Roman"/>
                <w:color w:val="000000"/>
                <w:sz w:val="16"/>
                <w:szCs w:val="16"/>
                <w:lang w:val="en-AU" w:eastAsia="es-ES"/>
              </w:rPr>
              <w:t>Tokudome et al. (2001)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author":[{"dropping-particle":"","family":"Tokudome","given":"S","non-dropping-particle":"","parse-names":false,"suffix":""},{"dropping-particle":"","family":"Imaeda","given":"N","non-dropping-particle":"","parse-names":false,"suffix":""},{"dropping-particle":"","family":"Tokudome","given":"Y","non-dropping-particle":"","parse-names":false,"suffix":""},{"dropping-particle":"","family":"Fujiwara","given":"N","non-dropping-particle":"","parse-names":false,"suffix":""},{"dropping-particle":"","family":"Nagaya","given":"T","non-dropping-particle":"","parse-names":false,"suffix":""},{"dropping-particle":"","family":"Sato","given":"J","non-dropping-particle":"","parse-names":false,"suffix":""},{"dropping-particle":"","family":"Kuriki","given":"K","non-dropping-particle":"","parse-names":false,"suffix":""},{"dropping-particle":"","family":"Ikeda","given":"M","non-dropping-particle":"","parse-names":false,"suffix":""},{"dropping-particle":"","family":"Maki","given":"S","non-dropping-particle":"","parse-names":false,"suffix":""}],"container-title":"Eur J Clin Nutr","id":"ITEM-1","issue":"9","issued":{"date-parts":[["2001"]]},"page":"735-742","title":"Original Communication Relative validity of a semi-quantitative food frequency questionnaire versus 28 day weighed diet records in Japanese female dietitians","type":"article-journal","volume":"55"},"uris":["http://www.mendeley.com/documents/?uuid=00120392-29fa-411b-8860-1b8aa9486eee"]}],"mendeley":{"formattedCitation":"&lt;sup&gt;(60)&lt;/sup&gt;","plainTextFormattedCitation":"(60)","previouslyFormattedCitation":"&lt;sup&gt;(60)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(60)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1B3C39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70769F2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11C4186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2AE8BF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3E00847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34E643E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00C81F75"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described in the methods </w:t>
            </w:r>
            <w:r w:rsidRPr="002B6335">
              <w:rPr>
                <w:rFonts w:ascii="Times New Roman" w:eastAsia="Times New Roman" w:hAnsi="Times New Roman" w:cs="Times New Roman"/>
                <w:color w:val="000000"/>
                <w:sz w:val="16"/>
                <w:szCs w:val="16"/>
                <w:lang w:val="en-AU" w:eastAsia="es-ES"/>
              </w:rPr>
              <w:lastRenderedPageBreak/>
              <w:t>section.</w:t>
            </w:r>
          </w:p>
        </w:tc>
        <w:tc>
          <w:tcPr>
            <w:tcW w:w="425" w:type="dxa"/>
            <w:shd w:val="clear" w:color="auto" w:fill="1FB714"/>
            <w:tcMar>
              <w:top w:w="0" w:type="dxa"/>
              <w:left w:w="45" w:type="dxa"/>
              <w:bottom w:w="0" w:type="dxa"/>
              <w:right w:w="45" w:type="dxa"/>
            </w:tcMar>
            <w:vAlign w:val="center"/>
            <w:hideMark/>
          </w:tcPr>
          <w:p w14:paraId="186B8ED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Low risk</w:t>
            </w:r>
          </w:p>
        </w:tc>
        <w:tc>
          <w:tcPr>
            <w:tcW w:w="1134" w:type="dxa"/>
            <w:shd w:val="clear" w:color="auto" w:fill="1FB714"/>
            <w:tcMar>
              <w:top w:w="0" w:type="dxa"/>
              <w:left w:w="45" w:type="dxa"/>
              <w:bottom w:w="0" w:type="dxa"/>
              <w:right w:w="45" w:type="dxa"/>
            </w:tcMar>
            <w:vAlign w:val="center"/>
            <w:hideMark/>
          </w:tcPr>
          <w:p w14:paraId="7154997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DD0806"/>
            <w:tcMar>
              <w:top w:w="0" w:type="dxa"/>
              <w:left w:w="45" w:type="dxa"/>
              <w:bottom w:w="0" w:type="dxa"/>
              <w:right w:w="45" w:type="dxa"/>
            </w:tcMar>
            <w:vAlign w:val="center"/>
            <w:hideMark/>
          </w:tcPr>
          <w:p w14:paraId="558F4B4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FF9900"/>
            <w:tcMar>
              <w:top w:w="0" w:type="dxa"/>
              <w:left w:w="45" w:type="dxa"/>
              <w:bottom w:w="0" w:type="dxa"/>
              <w:right w:w="45" w:type="dxa"/>
            </w:tcMar>
            <w:vAlign w:val="center"/>
            <w:hideMark/>
          </w:tcPr>
          <w:p w14:paraId="754775B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517D1ED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4815F5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0D781AF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53AEA1E3"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Spearman, </w:t>
            </w:r>
            <w:proofErr w:type="spellStart"/>
            <w:r w:rsidRPr="002B6335">
              <w:rPr>
                <w:rFonts w:ascii="Times New Roman" w:eastAsia="Times New Roman" w:hAnsi="Times New Roman" w:cs="Times New Roman"/>
                <w:color w:val="000000"/>
                <w:sz w:val="16"/>
                <w:szCs w:val="16"/>
                <w:lang w:val="en-AU" w:eastAsia="es-ES"/>
              </w:rPr>
              <w:t>tertiles</w:t>
            </w:r>
            <w:proofErr w:type="spellEnd"/>
            <w:r w:rsidRPr="002B6335">
              <w:rPr>
                <w:rFonts w:ascii="Times New Roman" w:eastAsia="Times New Roman" w:hAnsi="Times New Roman" w:cs="Times New Roman"/>
                <w:color w:val="000000"/>
                <w:sz w:val="16"/>
                <w:szCs w:val="16"/>
                <w:lang w:val="en-AU" w:eastAsia="es-ES"/>
              </w:rPr>
              <w:t xml:space="preserve">, kappa, </w:t>
            </w:r>
            <w:proofErr w:type="spellStart"/>
            <w:r w:rsidRPr="002B6335">
              <w:rPr>
                <w:rFonts w:ascii="Times New Roman" w:eastAsia="Times New Roman" w:hAnsi="Times New Roman" w:cs="Times New Roman"/>
                <w:color w:val="000000"/>
                <w:sz w:val="16"/>
                <w:szCs w:val="16"/>
                <w:lang w:val="en-AU" w:eastAsia="es-ES"/>
              </w:rPr>
              <w:t>deattenuation</w:t>
            </w:r>
            <w:proofErr w:type="spellEnd"/>
          </w:p>
        </w:tc>
      </w:tr>
      <w:tr w:rsidR="003E400D" w:rsidRPr="00D174DC" w14:paraId="44EC02BE" w14:textId="77777777" w:rsidTr="00F53D71">
        <w:trPr>
          <w:trHeight w:val="285"/>
          <w:jc w:val="center"/>
        </w:trPr>
        <w:tc>
          <w:tcPr>
            <w:tcW w:w="1452" w:type="dxa"/>
            <w:tcMar>
              <w:top w:w="0" w:type="dxa"/>
              <w:left w:w="45" w:type="dxa"/>
              <w:bottom w:w="0" w:type="dxa"/>
              <w:right w:w="45" w:type="dxa"/>
            </w:tcMar>
            <w:vAlign w:val="center"/>
            <w:hideMark/>
          </w:tcPr>
          <w:p w14:paraId="2E9401F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Rodríguez et al. (2002)</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{"citationItems":[{"id":"ITEM-1","itemData":{"abstract":"OBJECTIVE: The purpose of the study was to assess the validity of a 52-item semi-quantitative food-frequency questionnaire (FFQ) by comparing it with multiple 24-hour dietary recalls. DESIGN: Three non-consecutive 24-hour dietary recalls and one FFQ were administered over a one-month period. SETTING: Four communities of El Progreso, Guatemala. SUBJECTS: Seventy-three individuals aged 22-55 years. RESULTS:: Intakes of energy and other nutrients as measured by the FFQ were higher than intakes measured by 24-hour recalls. Energy was overestimated by 361 kcal, and nutrient overestimates were particularly great for vitamin C and iron. Pearson correlation coefficients for crude energy and nutrients intakes ranged from 0.64 for energy to 0.12 for vitamin C. Exact agreement for both methods (measured by the concordance correlation coefficient) ranged from 0.59 (fat) to 0.06 (vitamin C). Pearson correlation coefficients for energy-adjusted nutrients ranged from 0.59 (carbohydrates) to 0.11 (thiamin). Pearson correlation coefficients for the proportion of total energy derived from specific foods ranged from 0.59 (tortillas) to 0.01 (sugared beverages). Cross-classification of quartiles of crude nutrient intakes for both methods indicated that &lt;11% were grossly misclassified; after adjusting for energy intake, &lt;13% were grossly misclassified. CONCLUSIONS: This FFQ provides good measures of energy and macronutrient intakes and a reasonably reliable measure of micronutrient intake, indicating its suitability for comparing exposures within a study population in reference to heath-related endpoints. Our results highlight the need to adapt any FFQ to specific cultural needs - in this case, the Guatemalan 'core foods' (tortilla, bread and beans), for which inter-individual variability in intake is high.","author":[{"dropping-particle":"","family":"Rodríguez","given":"Monica M","non-dropping-particle":"","parse-names":false,"suffix":""},{"dropping-particle":"","family":"Méndez","given":"Humberto","non-dropping-particle":"","parse-names":false,"suffix":""},{"dropping-particle":"","family":"Torún","given":"Benjamín","non-dropping-particle":"","parse-names":false,"suffix":""},{"dropping-particle":"","family":"Schroeder","given":"Dirk","non-dropping-particle":"","parse-names":false,"suffix":""},{"dropping-particle":"","family":"Stein","given":"Aryeh D","non-dropping-particle":"","parse-names":false,"suffix":""}],"container-title":"Public health nutrition","id":"ITEM-1","issue":"5","issued":{"date-parts":[["2002"]]},"page":"691-699","title":"Validation of a semi-quantitative food-frequency questionnaire for use among adults in Guatemala.","type":"article-journal","volume":"5"},"uris":["http://www.mendeley.com/documents/?uuid=9bec4d27-b65c-49f3-b3c7-536ad6f5e053"]}],"mendeley":{"formattedCitation":"&lt;sup&gt;(40)&lt;/sup&gt;","plainTextFormattedCitation":"(40)","previouslyFormattedCitation":"&lt;sup&gt;(40)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7F1BA38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625CC9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1CA8701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04E0976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371DA9C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0807233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14DDD7DC"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Bland-Altman plots are mentioned in the methods section but they are not shown in the results section.</w:t>
            </w:r>
          </w:p>
        </w:tc>
        <w:tc>
          <w:tcPr>
            <w:tcW w:w="425" w:type="dxa"/>
            <w:shd w:val="clear" w:color="auto" w:fill="DD0806"/>
            <w:tcMar>
              <w:top w:w="0" w:type="dxa"/>
              <w:left w:w="45" w:type="dxa"/>
              <w:bottom w:w="0" w:type="dxa"/>
              <w:right w:w="45" w:type="dxa"/>
            </w:tcMar>
            <w:vAlign w:val="center"/>
            <w:hideMark/>
          </w:tcPr>
          <w:p w14:paraId="1DAECA3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High risk</w:t>
            </w:r>
          </w:p>
        </w:tc>
        <w:tc>
          <w:tcPr>
            <w:tcW w:w="1134" w:type="dxa"/>
            <w:shd w:val="clear" w:color="auto" w:fill="FF9900"/>
            <w:tcMar>
              <w:top w:w="0" w:type="dxa"/>
              <w:left w:w="45" w:type="dxa"/>
              <w:bottom w:w="0" w:type="dxa"/>
              <w:right w:w="45" w:type="dxa"/>
            </w:tcMar>
            <w:vAlign w:val="center"/>
            <w:hideMark/>
          </w:tcPr>
          <w:p w14:paraId="5590A22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28A8B96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6BDCC5E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0FA239C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D8FDDD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FF9900"/>
            <w:tcMar>
              <w:top w:w="0" w:type="dxa"/>
              <w:left w:w="45" w:type="dxa"/>
              <w:bottom w:w="0" w:type="dxa"/>
              <w:right w:w="45" w:type="dxa"/>
            </w:tcMar>
            <w:vAlign w:val="center"/>
            <w:hideMark/>
          </w:tcPr>
          <w:p w14:paraId="733D4FD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1422" w:type="dxa"/>
            <w:shd w:val="clear" w:color="auto" w:fill="1FB714"/>
            <w:tcMar>
              <w:top w:w="0" w:type="dxa"/>
              <w:left w:w="45" w:type="dxa"/>
              <w:bottom w:w="0" w:type="dxa"/>
              <w:right w:w="45" w:type="dxa"/>
            </w:tcMar>
            <w:vAlign w:val="center"/>
            <w:hideMark/>
          </w:tcPr>
          <w:p w14:paraId="122C34A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quartiles, kappa, deattenuation</w:t>
            </w:r>
          </w:p>
        </w:tc>
      </w:tr>
      <w:tr w:rsidR="003E400D" w:rsidRPr="00D174DC" w14:paraId="7DE72842" w14:textId="77777777" w:rsidTr="00F53D71">
        <w:trPr>
          <w:trHeight w:val="285"/>
          <w:jc w:val="center"/>
        </w:trPr>
        <w:tc>
          <w:tcPr>
            <w:tcW w:w="1452" w:type="dxa"/>
            <w:tcMar>
              <w:top w:w="0" w:type="dxa"/>
              <w:left w:w="45" w:type="dxa"/>
              <w:bottom w:w="0" w:type="dxa"/>
              <w:right w:w="45" w:type="dxa"/>
            </w:tcMar>
            <w:vAlign w:val="center"/>
            <w:hideMark/>
          </w:tcPr>
          <w:p w14:paraId="2D320F5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Masson et al. (2003)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{"citationItems":[{"id":"ITEM-1","itemData":{"author":[{"dropping-particle":"","family":"Masson","given":"L F","non-dropping-particle":"","parse-names":false,"suffix":""},{"dropping-particle":"","family":"MCNeill","given":"G","non-dropping-particle":"","parse-names":false,"suffix":""},{"dropping-particle":"","family":"Tomany","given":"J O","non-dropping-particle":"","parse-names":false,"suffix":""},{"dropping-particle":"","family":"Simpson","given":"J A","non-dropping-particle":"","parse-names":false,"suffix":""},{"dropping-particle":"","family":"Peace","given":"H S","non-dropping-particle":"","parse-names":false,"suffix":""},{"dropping-particle":"","family":"Wei","given":"L","non-dropping-particle":"","parse-names":false,"suffix":""},{"dropping-particle":"","family":"Grubb","given":"D A","non-dropping-particle":"","parse-names":false,"suffix":""}],"container-title":"Public Health Nutr.","id":"ITEM-1","issue":"3","issued":{"date-parts":[["2003"]]},"page":"313-321","title":"Statistical approaches for assessing the relative validity of a food-frequency questionnaire : use of correlation coefficients and the kappa statistic","type":"article-journal","volume":"6"},"uris":["http://www.mendeley.com/documents/?uuid=2d1891fc-3c4c-43ce-91cd-47a71b8c8526"]}],"mendeley":{"formattedCitation":"&lt;sup&gt;(16)&lt;/sup&gt;","plainTextFormattedCitation":"(16)","previouslyFormattedCitation":"&lt;sup&gt;(16)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(16)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748327B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669675C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35317A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463F3D0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DD0806"/>
            <w:tcMar>
              <w:top w:w="0" w:type="dxa"/>
              <w:left w:w="45" w:type="dxa"/>
              <w:bottom w:w="0" w:type="dxa"/>
              <w:right w:w="45" w:type="dxa"/>
            </w:tcMar>
            <w:vAlign w:val="center"/>
            <w:hideMark/>
          </w:tcPr>
          <w:p w14:paraId="03159D4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6F403F5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0ECA67BE"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5FA8F9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786228E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68C727F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3B54FBA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464830F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A8AEC5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1E98939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5E62586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tertiles</w:t>
            </w:r>
            <w:proofErr w:type="spellEnd"/>
            <w:r w:rsidRPr="002B6335">
              <w:rPr>
                <w:rFonts w:ascii="Times New Roman" w:eastAsia="Times New Roman" w:hAnsi="Times New Roman" w:cs="Times New Roman"/>
                <w:color w:val="000000"/>
                <w:sz w:val="16"/>
                <w:szCs w:val="16"/>
                <w:lang w:val="en-AU" w:eastAsia="es-ES"/>
              </w:rPr>
              <w:t>, kappa, Spearman, Wilcoxon, log transformation.</w:t>
            </w:r>
          </w:p>
        </w:tc>
      </w:tr>
      <w:tr w:rsidR="003E400D" w:rsidRPr="00322DA0" w14:paraId="4F0F3957" w14:textId="77777777" w:rsidTr="00F53D71">
        <w:trPr>
          <w:trHeight w:val="285"/>
          <w:jc w:val="center"/>
        </w:trPr>
        <w:tc>
          <w:tcPr>
            <w:tcW w:w="1452" w:type="dxa"/>
            <w:tcMar>
              <w:top w:w="0" w:type="dxa"/>
              <w:left w:w="45" w:type="dxa"/>
              <w:bottom w:w="0" w:type="dxa"/>
              <w:right w:w="45" w:type="dxa"/>
            </w:tcMar>
            <w:vAlign w:val="center"/>
            <w:hideMark/>
          </w:tcPr>
          <w:p w14:paraId="280063F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Moreira et al. (2003)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{"citationItems":[{"id":"ITEM-1","itemData":{"DOI":"10.20344/AMP.1218","ISBN":"1646-0758 (Electronic)\\r0870-399X (Linking)","ISSN":"1646-0758","PMID":"15631853","abstract":"When dietary methods are used to evaluate nutritional intake, it is important to know which methods are most appropriate to ensure validity in nutrient intake studies. Our main objective was to assess the validity of a semi-quantitative food-frequency questionnaire (FFQ) developed for Portuguese adults by comparing nutrient intake (energy and 44 nutrients) assessed by FFQ with the nutritional data from a four-day diet record (DR). The FFQ was developed by the Epidemiology Department, Faculty of Medicine, University of Porto, and allowed the subjects to indicate their daily, weekly or monthly intake of 89 foods. Subjects were 246 university students (159 females and 87 males, aged 18 to 29 years). Mean intakes from the FFQ were generally higher than those from the DR. Pearson correlation coefficients between FFQ and DR ranged from 0.21 for vitamin D, to 0.73, for iodine. When energy-adjusted, this coefficients ranged from 0.20, for selenium, to 0.75 for iodine. Misclassification in opposite extreme quintiles varied from 0% to 16%, and the proportion of subjects correctly classified within the lowest two quintiles ranged between 52% and 84%. The distribution of those correctly classified within the highest two quintiles ranged between 51% and 88%. Exact classification in the same quintile of ingestion varied from 26% and 41%. These data suggest that this FFQ provides valid estimates of intakes for major nutrients, comparable to those reported from other studies in the literature.","author":[{"dropping-particle":"","family":"Moreira","given":"Pedro","non-dropping-particle":"","parse-names":false,"suffix":""},{"dropping-particle":"","family":"Sampaio","given":"Daniel","non-dropping-particle":"","parse-names":false,"suffix":""},{"dropping-particle":"","family":"Almeida","given":"Maria","non-dropping-particle":"","parse-names":false,"suffix":""}],"container-title":"Acta Médica Portuguesa","id":"ITEM-1","issue":"6","issued":{"date-parts":[["2003"]]},"page":"412-420","title":"Validity assessment of a food frequency questionnaire by comparison with a 4-day diet record.","type":"article-journal","volume":"16"},"uris":["http://www.mendeley.com/documents/?uuid=00043cb9-fe02-4e4a-9e8d-ccfcae7732b3"]}],"mendeley":{"formattedCitation":"&lt;sup&gt;(17)&lt;/sup&gt;","plainTextFormattedCitation":"(17)","previouslyFormattedCitation":"&lt;sup&gt;(17)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(17)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3206C0A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DD0806"/>
            <w:tcMar>
              <w:top w:w="0" w:type="dxa"/>
              <w:left w:w="45" w:type="dxa"/>
              <w:bottom w:w="0" w:type="dxa"/>
              <w:right w:w="45" w:type="dxa"/>
            </w:tcMar>
            <w:vAlign w:val="center"/>
            <w:hideMark/>
          </w:tcPr>
          <w:p w14:paraId="481AD2E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48193C1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0B22E7D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5525FB4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418" w:type="dxa"/>
            <w:shd w:val="clear" w:color="auto" w:fill="DD0806"/>
            <w:tcMar>
              <w:top w:w="0" w:type="dxa"/>
              <w:left w:w="45" w:type="dxa"/>
              <w:bottom w:w="0" w:type="dxa"/>
              <w:right w:w="45" w:type="dxa"/>
            </w:tcMar>
            <w:vAlign w:val="center"/>
            <w:hideMark/>
          </w:tcPr>
          <w:p w14:paraId="2D24AAA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72B3B1C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72B88C8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2CF380C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DD0806"/>
            <w:tcMar>
              <w:top w:w="0" w:type="dxa"/>
              <w:left w:w="45" w:type="dxa"/>
              <w:bottom w:w="0" w:type="dxa"/>
              <w:right w:w="45" w:type="dxa"/>
            </w:tcMar>
            <w:vAlign w:val="center"/>
            <w:hideMark/>
          </w:tcPr>
          <w:p w14:paraId="14A0A15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1FB714"/>
            <w:tcMar>
              <w:top w:w="0" w:type="dxa"/>
              <w:left w:w="45" w:type="dxa"/>
              <w:bottom w:w="0" w:type="dxa"/>
              <w:right w:w="45" w:type="dxa"/>
            </w:tcMar>
            <w:vAlign w:val="center"/>
            <w:hideMark/>
          </w:tcPr>
          <w:p w14:paraId="71599BC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15B93A9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E08A5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DD0806"/>
            <w:tcMar>
              <w:top w:w="0" w:type="dxa"/>
              <w:left w:w="45" w:type="dxa"/>
              <w:bottom w:w="0" w:type="dxa"/>
              <w:right w:w="45" w:type="dxa"/>
            </w:tcMar>
            <w:vAlign w:val="center"/>
            <w:hideMark/>
          </w:tcPr>
          <w:p w14:paraId="2CC0A97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1422" w:type="dxa"/>
            <w:shd w:val="clear" w:color="auto" w:fill="1FB714"/>
            <w:tcMar>
              <w:top w:w="0" w:type="dxa"/>
              <w:left w:w="45" w:type="dxa"/>
              <w:bottom w:w="0" w:type="dxa"/>
              <w:right w:w="45" w:type="dxa"/>
            </w:tcMar>
            <w:vAlign w:val="center"/>
            <w:hideMark/>
          </w:tcPr>
          <w:p w14:paraId="7630F40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quintiles, Bland-Altman, concordance</w:t>
            </w:r>
          </w:p>
        </w:tc>
      </w:tr>
      <w:tr w:rsidR="003E400D" w:rsidRPr="00D174DC" w14:paraId="274DA74C" w14:textId="77777777" w:rsidTr="00F53D71">
        <w:trPr>
          <w:trHeight w:val="285"/>
          <w:jc w:val="center"/>
        </w:trPr>
        <w:tc>
          <w:tcPr>
            <w:tcW w:w="1452" w:type="dxa"/>
            <w:tcMar>
              <w:top w:w="0" w:type="dxa"/>
              <w:left w:w="45" w:type="dxa"/>
              <w:bottom w:w="0" w:type="dxa"/>
              <w:right w:w="45" w:type="dxa"/>
            </w:tcMar>
            <w:vAlign w:val="center"/>
            <w:hideMark/>
          </w:tcPr>
          <w:p w14:paraId="1617957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Chen et al. (2004)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{"citationItems":[{"id":"ITEM-1","itemData":{"ISSN":"0007-1145","PMID":"15533275","abstract":"We have developed a thirty-nine-item semi-quantitative food-frequency questionnaire (FFQ) to assess the dietary consumption of 11,746 men and women in a prospective cohort study that evaluates the health effects of As from drinking water in Bangladesh. In order to validate the FFQ, two 7 d food diaries (FD) were completed for 189 randomly selected cohort participants in two different seasons of the year. Nutrient values were converted based on both the United States Department of Agriculture's National Nutrient Database and a food composition table for the Indian subcontinent. Pearson product-moment and Spearman non-parametric rank correlation coefficients comparing food and nutrient consumptions estimated from FFQ and 7 d FD were calculated based on log-transformed consumption values with or without adjustment for total energy and correction for within-individual variation. Correlations of macronutrients and common micronutrients including total fat, monounsaturated fat, polyunsaturated fat, saturated fat, protein, carbohydrate, dietary fibre, Na, K, vitamin B6, vitamin B12, riboflavin, Mn, thiamin and Fe were moderately good, ranging from 0.30 to 0.76. However, correlations of other micronutrients were weak (&lt;0.30). Large seasonal variations in intakes of retinol equivalents and vitamin C were observed. This analysis documents the degree of validity of the FFQ in measuring specific nutrient intakes in the study population. To our knowledge, the present study is the first to document the validity of a FFQ with the use of 7 d FD in a Bangladeshi population.","author":[{"dropping-particle":"","family":"Chen","given":"Yu","non-dropping-particle":"","parse-names":false,"suffix":""},{"dropping-particle":"","family":"Ahsan","given":"Habibul","non-dropping-particle":"","parse-names":false,"suffix":""},{"dropping-particle":"","family":"Parvez","given":"Faruque","non-dropping-particle":"","parse-names":false,"suffix":""},{"dropping-particle":"","family":"Howe","given":"Geoffrey R","non-dropping-particle":"","parse-names":false,"suffix":""}],"container-title":"The British journal of nutrition","id":"ITEM-1","issue":"5","issued":{"date-parts":[["2004","11"]]},"page":"851-859","title":"Validity of a food-frequency questionnaire for a large prospective cohort study in Bangladesh.","type":"article-journal","volume":"92"},"uris":["http://www.mendeley.com/documents/?uuid=ce2dfa4b-0e37-3b13-8e4c-0d83ed064b3d"]}],"mendeley":{"formattedCitation":"&lt;sup&gt;(54)&lt;/sup&gt;","plainTextFormattedCitation":"(54)","previouslyFormattedCitation":"&lt;sup&gt;(54)&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(54)</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21CD244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55F4DCC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2DC5BD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160BFB0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64A95A4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4FF9853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3277D7D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3A9FEC3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2435815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33AF1F5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60527D2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57977F7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A0179E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5AD866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D0AEDB1"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quintiles, ICC.</w:t>
            </w:r>
          </w:p>
        </w:tc>
      </w:tr>
      <w:tr w:rsidR="003E400D" w:rsidRPr="00D174DC" w14:paraId="6C9D58B2" w14:textId="77777777" w:rsidTr="00F53D71">
        <w:trPr>
          <w:trHeight w:val="285"/>
          <w:jc w:val="center"/>
        </w:trPr>
        <w:tc>
          <w:tcPr>
            <w:tcW w:w="1452" w:type="dxa"/>
            <w:tcMar>
              <w:top w:w="0" w:type="dxa"/>
              <w:left w:w="45" w:type="dxa"/>
              <w:bottom w:w="0" w:type="dxa"/>
              <w:right w:w="45" w:type="dxa"/>
            </w:tcMar>
            <w:vAlign w:val="center"/>
            <w:hideMark/>
          </w:tcPr>
          <w:p w14:paraId="6917DC2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Ke et al. (2005)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Ke","given":"Li","non-dropping-particle":"","parse-names":false,"suffix":""},{"dropping-particle":"","family":"Toshiro","given":"Takezaki","non-dropping-particle":"","parse-names":false,"suffix":""},{"dropping-particle":"","family":"Fengyan","given":"Song","non-dropping-particle":"","parse-names":false,"suffix":""},{"dropping-particle":"","family":"Ping","given":"Yu","non-dropping-particle":"","parse-names":false,"suffix":""},{"dropping-particle":"","family":"Xiaoling","given":"Deng","non-dropping-particle":"","parse-names":false,"suffix":""},{"dropping-particle":"","family":"Kazuo","given":"Tajima","non-dropping-particle":"","parse-names":false,"suffix":""}],"container-title":"Asian Pac J Cancer Prev","id":"ITEM-1","issue":"3","issued":{"date-parts":[["2005"]]},"page":"376-381","title":"Relative validity of a Semi-quantitative Food Frequency Questionnaire versus 3 day weighed diet records in middle- aged in habitants in Chaoshan Area, China","type":"article-journal","volume":"6"},"uris":["http://www.mendeley.com/documents/?uuid=72f634f0-01f3-416c-be19-75092dc79fbc"]}],"mendeley":{"formattedCitation":"&lt;sup&gt;(57)&lt;/sup&gt;","plainTextFormattedCitation":"(57)","previouslyFormattedCitation":"&lt;sup&gt;(57)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5365EAA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776" w:type="dxa"/>
            <w:shd w:val="clear" w:color="auto" w:fill="DD0806"/>
            <w:tcMar>
              <w:top w:w="0" w:type="dxa"/>
              <w:left w:w="45" w:type="dxa"/>
              <w:bottom w:w="0" w:type="dxa"/>
              <w:right w:w="45" w:type="dxa"/>
            </w:tcMar>
            <w:vAlign w:val="center"/>
            <w:hideMark/>
          </w:tcPr>
          <w:p w14:paraId="07E8201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6F243C9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5C35611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850" w:type="dxa"/>
            <w:shd w:val="clear" w:color="auto" w:fill="DD0806"/>
            <w:tcMar>
              <w:top w:w="0" w:type="dxa"/>
              <w:left w:w="45" w:type="dxa"/>
              <w:bottom w:w="0" w:type="dxa"/>
              <w:right w:w="45" w:type="dxa"/>
            </w:tcMar>
            <w:vAlign w:val="center"/>
            <w:hideMark/>
          </w:tcPr>
          <w:p w14:paraId="06D9BEE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418" w:type="dxa"/>
            <w:shd w:val="clear" w:color="auto" w:fill="DD0806"/>
            <w:tcMar>
              <w:top w:w="0" w:type="dxa"/>
              <w:left w:w="45" w:type="dxa"/>
              <w:bottom w:w="0" w:type="dxa"/>
              <w:right w:w="45" w:type="dxa"/>
            </w:tcMar>
            <w:vAlign w:val="center"/>
            <w:hideMark/>
          </w:tcPr>
          <w:p w14:paraId="6A7CF20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565D5E5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56F9161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2CD1F6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DD0806"/>
            <w:tcMar>
              <w:top w:w="0" w:type="dxa"/>
              <w:left w:w="45" w:type="dxa"/>
              <w:bottom w:w="0" w:type="dxa"/>
              <w:right w:w="45" w:type="dxa"/>
            </w:tcMar>
            <w:vAlign w:val="center"/>
            <w:hideMark/>
          </w:tcPr>
          <w:p w14:paraId="0DE008E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FF9900"/>
            <w:tcMar>
              <w:top w:w="0" w:type="dxa"/>
              <w:left w:w="45" w:type="dxa"/>
              <w:bottom w:w="0" w:type="dxa"/>
              <w:right w:w="45" w:type="dxa"/>
            </w:tcMar>
            <w:vAlign w:val="center"/>
            <w:hideMark/>
          </w:tcPr>
          <w:p w14:paraId="66C26D1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4BE0102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DD796B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02BE6E7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5EA149E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Kappa, tertiles, Spearman</w:t>
            </w:r>
          </w:p>
        </w:tc>
      </w:tr>
      <w:tr w:rsidR="003E400D" w:rsidRPr="00D174DC" w14:paraId="67EE7A30" w14:textId="77777777" w:rsidTr="00F53D71">
        <w:trPr>
          <w:trHeight w:val="285"/>
          <w:jc w:val="center"/>
        </w:trPr>
        <w:tc>
          <w:tcPr>
            <w:tcW w:w="1452" w:type="dxa"/>
            <w:tcMar>
              <w:top w:w="0" w:type="dxa"/>
              <w:left w:w="45" w:type="dxa"/>
              <w:bottom w:w="0" w:type="dxa"/>
              <w:right w:w="45" w:type="dxa"/>
            </w:tcMar>
            <w:vAlign w:val="center"/>
            <w:hideMark/>
          </w:tcPr>
          <w:p w14:paraId="6B60887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Nath &amp; Huffman </w:t>
            </w:r>
            <w:r w:rsidRPr="00D174DC">
              <w:rPr>
                <w:rFonts w:ascii="Times New Roman" w:eastAsia="Times New Roman" w:hAnsi="Times New Roman" w:cs="Times New Roman"/>
                <w:color w:val="000000"/>
                <w:sz w:val="16"/>
                <w:szCs w:val="16"/>
                <w:lang w:val="es-MX" w:eastAsia="es-ES"/>
              </w:rPr>
              <w:lastRenderedPageBreak/>
              <w:t>(2005)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{"citationItems":[{"id":"ITEM-1","itemData":{"abstract":"To assess the validity of a 131-item semiquantative food frequency questionnaire (FFQ) by comparison with multiple food records in Cuban Americans.","author":[{"dropping-particle":"","family":"Nath","given":"Subrata D","non-dropping-particle":"","parse-names":false,"suffix":""},{"dropping-particle":"","family":"Huffman","given":"Fatma G","non-dropping-particle":"","parse-names":false,"suffix":""}],"container-title":"International Journal of Food Sciences and Nutrition","id":"ITEM-1","issue":"5","issued":{"date-parts":[["2005"]]},"page":"309-314","title":"Validation of a semiquantitative food frequency questionnaire to assess energy and macronutrient intakes of Cuban Americans.","type":"article-journal","volume":"56"},"uris":["http://www.mendeley.com/documents/?uuid=376bb196-9cda-420f-bfb3-1924b2b632bd"]}],"mendeley":{"formattedCitation":"&lt;sup&gt;(38)&lt;/sup&gt;","plainTextFormattedCitation":"(38)","previouslyFormattedCitation":"&lt;sup&gt;(38)&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(38)</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71603B5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c</w:t>
            </w:r>
          </w:p>
        </w:tc>
        <w:tc>
          <w:tcPr>
            <w:tcW w:w="776" w:type="dxa"/>
            <w:shd w:val="clear" w:color="auto" w:fill="1FB714"/>
            <w:tcMar>
              <w:top w:w="0" w:type="dxa"/>
              <w:left w:w="45" w:type="dxa"/>
              <w:bottom w:w="0" w:type="dxa"/>
              <w:right w:w="45" w:type="dxa"/>
            </w:tcMar>
            <w:vAlign w:val="center"/>
            <w:hideMark/>
          </w:tcPr>
          <w:p w14:paraId="13D120B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58E007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257AAAD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850" w:type="dxa"/>
            <w:shd w:val="clear" w:color="auto" w:fill="DD0806"/>
            <w:tcMar>
              <w:top w:w="0" w:type="dxa"/>
              <w:left w:w="45" w:type="dxa"/>
              <w:bottom w:w="0" w:type="dxa"/>
              <w:right w:w="45" w:type="dxa"/>
            </w:tcMar>
            <w:vAlign w:val="center"/>
            <w:hideMark/>
          </w:tcPr>
          <w:p w14:paraId="6DF94B1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0FC22EF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27904E0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w:t>
            </w:r>
            <w:r w:rsidRPr="002B6335">
              <w:rPr>
                <w:rFonts w:ascii="Times New Roman" w:eastAsia="Times New Roman" w:hAnsi="Times New Roman" w:cs="Times New Roman"/>
                <w:color w:val="000000"/>
                <w:sz w:val="16"/>
                <w:szCs w:val="16"/>
                <w:lang w:val="en-AU" w:eastAsia="es-ES"/>
              </w:rPr>
              <w:lastRenderedPageBreak/>
              <w:t>presented as described in the methods section.</w:t>
            </w:r>
          </w:p>
        </w:tc>
        <w:tc>
          <w:tcPr>
            <w:tcW w:w="425" w:type="dxa"/>
            <w:shd w:val="clear" w:color="auto" w:fill="1FB714"/>
            <w:tcMar>
              <w:top w:w="0" w:type="dxa"/>
              <w:left w:w="45" w:type="dxa"/>
              <w:bottom w:w="0" w:type="dxa"/>
              <w:right w:w="45" w:type="dxa"/>
            </w:tcMar>
            <w:vAlign w:val="center"/>
            <w:hideMark/>
          </w:tcPr>
          <w:p w14:paraId="660E91B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 xml:space="preserve">Low </w:t>
            </w:r>
            <w:r w:rsidRPr="00D174DC">
              <w:rPr>
                <w:rFonts w:ascii="Times New Roman" w:eastAsia="Times New Roman" w:hAnsi="Times New Roman" w:cs="Times New Roman"/>
                <w:color w:val="000000"/>
                <w:sz w:val="16"/>
                <w:szCs w:val="16"/>
                <w:lang w:val="es-MX" w:eastAsia="es-ES"/>
              </w:rPr>
              <w:lastRenderedPageBreak/>
              <w:t>risk</w:t>
            </w:r>
          </w:p>
        </w:tc>
        <w:tc>
          <w:tcPr>
            <w:tcW w:w="1134" w:type="dxa"/>
            <w:shd w:val="clear" w:color="auto" w:fill="FF9900"/>
            <w:tcMar>
              <w:top w:w="0" w:type="dxa"/>
              <w:left w:w="45" w:type="dxa"/>
              <w:bottom w:w="0" w:type="dxa"/>
              <w:right w:w="45" w:type="dxa"/>
            </w:tcMar>
            <w:vAlign w:val="center"/>
            <w:hideMark/>
          </w:tcPr>
          <w:p w14:paraId="57F959F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Incomplete</w:t>
            </w:r>
          </w:p>
        </w:tc>
        <w:tc>
          <w:tcPr>
            <w:tcW w:w="851" w:type="dxa"/>
            <w:shd w:val="clear" w:color="auto" w:fill="DD0806"/>
            <w:tcMar>
              <w:top w:w="0" w:type="dxa"/>
              <w:left w:w="45" w:type="dxa"/>
              <w:bottom w:w="0" w:type="dxa"/>
              <w:right w:w="45" w:type="dxa"/>
            </w:tcMar>
            <w:vAlign w:val="center"/>
            <w:hideMark/>
          </w:tcPr>
          <w:p w14:paraId="13FD714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850" w:type="dxa"/>
            <w:shd w:val="clear" w:color="auto" w:fill="FF9900"/>
            <w:tcMar>
              <w:top w:w="0" w:type="dxa"/>
              <w:left w:w="45" w:type="dxa"/>
              <w:bottom w:w="0" w:type="dxa"/>
              <w:right w:w="45" w:type="dxa"/>
            </w:tcMar>
            <w:vAlign w:val="center"/>
            <w:hideMark/>
          </w:tcPr>
          <w:p w14:paraId="7CEFD0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171D41F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879825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FF9900"/>
            <w:tcMar>
              <w:top w:w="0" w:type="dxa"/>
              <w:left w:w="45" w:type="dxa"/>
              <w:bottom w:w="0" w:type="dxa"/>
              <w:right w:w="45" w:type="dxa"/>
            </w:tcMar>
            <w:vAlign w:val="center"/>
            <w:hideMark/>
          </w:tcPr>
          <w:p w14:paraId="48893D7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w:t>
            </w:r>
            <w:r w:rsidRPr="00D174DC">
              <w:rPr>
                <w:rFonts w:ascii="Times New Roman" w:eastAsia="Times New Roman" w:hAnsi="Times New Roman" w:cs="Times New Roman"/>
                <w:color w:val="000000"/>
                <w:sz w:val="16"/>
                <w:szCs w:val="16"/>
                <w:lang w:val="es-MX" w:eastAsia="es-ES"/>
              </w:rPr>
              <w:lastRenderedPageBreak/>
              <w:t>te</w:t>
            </w:r>
          </w:p>
        </w:tc>
        <w:tc>
          <w:tcPr>
            <w:tcW w:w="1422" w:type="dxa"/>
            <w:shd w:val="clear" w:color="auto" w:fill="1FB714"/>
            <w:tcMar>
              <w:top w:w="0" w:type="dxa"/>
              <w:left w:w="45" w:type="dxa"/>
              <w:bottom w:w="0" w:type="dxa"/>
              <w:right w:w="45" w:type="dxa"/>
            </w:tcMar>
            <w:vAlign w:val="center"/>
            <w:hideMark/>
          </w:tcPr>
          <w:p w14:paraId="540892A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Yes: paired t-test</w:t>
            </w:r>
          </w:p>
        </w:tc>
      </w:tr>
      <w:tr w:rsidR="003E400D" w:rsidRPr="00D174DC" w14:paraId="60F3F62C" w14:textId="77777777" w:rsidTr="00F53D71">
        <w:trPr>
          <w:trHeight w:val="285"/>
          <w:jc w:val="center"/>
        </w:trPr>
        <w:tc>
          <w:tcPr>
            <w:tcW w:w="1452" w:type="dxa"/>
            <w:tcMar>
              <w:top w:w="0" w:type="dxa"/>
              <w:left w:w="45" w:type="dxa"/>
              <w:bottom w:w="0" w:type="dxa"/>
              <w:right w:w="45" w:type="dxa"/>
            </w:tcMar>
            <w:vAlign w:val="center"/>
            <w:hideMark/>
          </w:tcPr>
          <w:p w14:paraId="42D270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Roddam et al. (2005)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{"citationItems":[{"id":"ITEM-1","itemData":{"ISSN":"1368-9800","PMID":"15877913","abstract":"OBJECTIVES To assess the short- and long-term reproducibility of a short food group questionnaire, and to compare its performance for estimating nutrient intakes in comparison with a 7-day diet diary. DESIGN Participants for the reproducibility study completed the food group questionnaire at two time points, up to 2 years apart. Participants for the performance study completed both the food group questionnaire and a 7-day diet diary a few months apart. Reproducibility was assessed by kappa statistics and percentage change between the two questionnaires; performance was assessed by kappa statistics, rank correlations and percentages of participants classified into the same and opposite thirds of intake. SETTING A random sample of participants in the Million Women Study, a population-based prospective study in the UK. SUBJECTS In total, 12 221 women aged 50-64 years. RESULTS In the reproducibility study, 75% of the food group items showed at least moderate agreement for all four time-point comparisons. Items showing fair agreement or worse tended to be those where few respondents reported eating them more than once a week, those consumed in small amounts and those relating to types of fat consumed. Compared with the diet diary, the food group questionnaire showed consistently reasonable performance for the nutrients carbohydrate, saturated fat, cholesterol, total sugars, alcohol, fibre, calcium, riboflavin, folate and vitamin C. CONCLUSIONS The short food group questionnaire used in this study has been shown to be reproducible over time and to perform reasonably well for the assessment of a number of dietary nutrients.","author":[{"dropping-particle":"","family":"Roddam","given":"Andrew W","non-dropping-particle":"","parse-names":false,"suffix":""},{"dropping-particle":"","family":"Spencer","given":"Elizabeth","non-dropping-particle":"","parse-names":false,"suffix":""},{"dropping-particle":"","family":"Banks","given":"Emily","non-dropping-particle":"","parse-names":false,"suffix":""},{"dropping-particle":"","family":"Beral","given":"Valerie","non-dropping-particle":"","parse-names":false,"suffix":""},{"dropping-particle":"","family":"Reeves","given":"Gillian","non-dropping-particle":"","parse-names":false,"suffix":""},{"dropping-particle":"","family":"Appleby","given":"Paul","non-dropping-particle":"","parse-names":false,"suffix":""},{"dropping-particle":"","family":"Barnes","given":"Isobel","non-dropping-particle":"","parse-names":false,"suffix":""},{"dropping-particle":"","family":"Whiteman","given":"David C","non-dropping-particle":"","parse-names":false,"suffix":""},{"dropping-particle":"","family":"Key","given":"Timothy J","non-dropping-particle":"","parse-names":false,"suffix":""}],"container-title":"Public health nutrition","id":"ITEM-1","issue":"2","issued":{"date-parts":[["2005","4"]]},"page":"201-213","title":"Reproducibility of a short semi-quantitative food group questionnaire and its performance in estimating nutrient intake compared with a 7-day diet diary in the Million Women Study.","type":"article-journal","volume":"8"},"uris":["http://www.mendeley.com/documents/?uuid=87af3fad-cafd-3f1b-8ff1-16aa4bd3128c"]}],"mendeley":{"formattedCitation":"&lt;sup&gt;(23)&lt;/sup&gt;","plainTextFormattedCitation":"(23)","previouslyFormattedCitation":"&lt;sup&gt;(23)&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(23)</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1E3C9C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776" w:type="dxa"/>
            <w:shd w:val="clear" w:color="auto" w:fill="DD0806"/>
            <w:tcMar>
              <w:top w:w="0" w:type="dxa"/>
              <w:left w:w="45" w:type="dxa"/>
              <w:bottom w:w="0" w:type="dxa"/>
              <w:right w:w="45" w:type="dxa"/>
            </w:tcMar>
            <w:vAlign w:val="center"/>
            <w:hideMark/>
          </w:tcPr>
          <w:p w14:paraId="1659C03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0C2EFAB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0154C29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2BBA676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291DFC5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134" w:type="dxa"/>
            <w:tcMar>
              <w:top w:w="0" w:type="dxa"/>
              <w:left w:w="45" w:type="dxa"/>
              <w:bottom w:w="0" w:type="dxa"/>
              <w:right w:w="45" w:type="dxa"/>
            </w:tcMar>
            <w:vAlign w:val="center"/>
            <w:hideMark/>
          </w:tcPr>
          <w:p w14:paraId="7E6668BC"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The </w:t>
            </w:r>
            <w:proofErr w:type="gramStart"/>
            <w:r w:rsidRPr="002B6335">
              <w:rPr>
                <w:rFonts w:ascii="Times New Roman" w:eastAsia="Times New Roman" w:hAnsi="Times New Roman" w:cs="Times New Roman"/>
                <w:color w:val="000000"/>
                <w:sz w:val="16"/>
                <w:szCs w:val="16"/>
                <w:lang w:val="en-AU" w:eastAsia="es-ES"/>
              </w:rPr>
              <w:t>study have</w:t>
            </w:r>
            <w:proofErr w:type="gramEnd"/>
            <w:r w:rsidRPr="002B6335">
              <w:rPr>
                <w:rFonts w:ascii="Times New Roman" w:eastAsia="Times New Roman" w:hAnsi="Times New Roman" w:cs="Times New Roman"/>
                <w:color w:val="000000"/>
                <w:sz w:val="16"/>
                <w:szCs w:val="16"/>
                <w:lang w:val="en-AU" w:eastAsia="es-ES"/>
              </w:rPr>
              <w:t xml:space="preserve"> different sample sizes for their different objectives (although they are </w:t>
            </w:r>
            <w:proofErr w:type="spellStart"/>
            <w:r w:rsidRPr="002B6335">
              <w:rPr>
                <w:rFonts w:ascii="Times New Roman" w:eastAsia="Times New Roman" w:hAnsi="Times New Roman" w:cs="Times New Roman"/>
                <w:color w:val="000000"/>
                <w:sz w:val="16"/>
                <w:szCs w:val="16"/>
                <w:lang w:val="en-AU" w:eastAsia="es-ES"/>
              </w:rPr>
              <w:t>clealry</w:t>
            </w:r>
            <w:proofErr w:type="spellEnd"/>
            <w:r w:rsidRPr="002B6335">
              <w:rPr>
                <w:rFonts w:ascii="Times New Roman" w:eastAsia="Times New Roman" w:hAnsi="Times New Roman" w:cs="Times New Roman"/>
                <w:color w:val="000000"/>
                <w:sz w:val="16"/>
                <w:szCs w:val="16"/>
                <w:lang w:val="en-AU" w:eastAsia="es-ES"/>
              </w:rPr>
              <w:t xml:space="preserve"> specified in each analysis).</w:t>
            </w:r>
          </w:p>
        </w:tc>
        <w:tc>
          <w:tcPr>
            <w:tcW w:w="425" w:type="dxa"/>
            <w:shd w:val="clear" w:color="auto" w:fill="1FB714"/>
            <w:tcMar>
              <w:top w:w="0" w:type="dxa"/>
              <w:left w:w="45" w:type="dxa"/>
              <w:bottom w:w="0" w:type="dxa"/>
              <w:right w:w="45" w:type="dxa"/>
            </w:tcMar>
            <w:vAlign w:val="center"/>
            <w:hideMark/>
          </w:tcPr>
          <w:p w14:paraId="39CCF5A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06F9324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210ABE7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343A7C1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42B6EDB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ECA9F9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3E59EF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1B45D47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kappa</w:t>
            </w:r>
          </w:p>
        </w:tc>
      </w:tr>
      <w:tr w:rsidR="003E400D" w:rsidRPr="00D174DC" w14:paraId="645440EF" w14:textId="77777777" w:rsidTr="00F53D71">
        <w:trPr>
          <w:trHeight w:val="285"/>
          <w:jc w:val="center"/>
        </w:trPr>
        <w:tc>
          <w:tcPr>
            <w:tcW w:w="1452" w:type="dxa"/>
            <w:tcMar>
              <w:top w:w="0" w:type="dxa"/>
              <w:left w:w="45" w:type="dxa"/>
              <w:bottom w:w="0" w:type="dxa"/>
              <w:right w:w="45" w:type="dxa"/>
            </w:tcMar>
            <w:vAlign w:val="center"/>
            <w:hideMark/>
          </w:tcPr>
          <w:p w14:paraId="0A37F13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Shatenstein et al. (2005)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{"citationItems":[{"id":"ITEM-1","itemData":{"abstract":"Regular diet monitoring requires a tool validated in the target population. A 73-item, semiquantitative, self-administered food frequency questionnaire (FFQ), was adapted in French and English from the Block National Cancer Institute Health Habits and History Questionnaire. The FFQ was used to capture usual long-term food consumption among adults living in Quebec. A representative sample of adults aged 18 to 82 (57% female) was recruited by random digit dialling in the Montreal region. Approximately 64% of recruits completed and returned the instrument by mail (n=248). The FFQ was validated in a subsample (n=94, 61% female) using four nonconsecutive food records (FRs). Median energy intakes (in kcal) for men and women, respectively, were FFQ (total sample) 2,112 and 1,823, FFQ (subsample) 2,137 and 1,752, and FR (subsample) 2,510 and 1,830. Spearman correlation analyses between FFQ and FR nutrients were positive (with r ranging from 0.32 for folate to 0.58 for saturated fatty acids) and statistically significant (p&lt;0.001), with better results among women. On average, cross-classification of energy and 24 nutrients from the FFQ and means of four FRs placed 39% into identical quartiles and 78% into identical and contiguous quartiles, with only 4% frankly misclassified. These results suggest that the FFQ is a relatively valid instrument for determining usual diet in Quebec adults.","author":[{"dropping-particle":"","family":"Shatenstein","given":"Bryna","non-dropping-particle":"","parse-names":false,"suffix":""},{"dropping-particle":"","family":"Nadon","given":"Sylvie","non-dropping-particle":"","parse-names":false,"suffix":""},{"dropping-particle":"","family":"Godin","given":"Catherine","non-dropping-particle":"","parse-names":false,"suffix":""},{"dropping-particle":"","family":"Ferland","given":"Guylaine","non-dropping-particle":"","parse-names":false,"suffix":""}],"container-title":"Can J Diet Pract Res.","id":"ITEM-1","issue":"2","issued":{"date-parts":[["2005"]]},"page":"67-75","title":"Development and validation of a food frequency questionnaire.","type":"article-journal","volume":"66"},"uris":["http://www.mendeley.com/documents/?uuid=09e14827-27af-4f2f-9bd3-5ba55b008848"]}],"mendeley":{"formattedCitation":"&lt;sup&gt;(41)&lt;/sup&gt;","plainTextFormattedCitation":"(41)","previouslyFormattedCitation":"&lt;sup&gt;(41)&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(41)</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1F2EA9A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5C2EFBC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DD0806"/>
            <w:tcMar>
              <w:top w:w="0" w:type="dxa"/>
              <w:left w:w="45" w:type="dxa"/>
              <w:bottom w:w="0" w:type="dxa"/>
              <w:right w:w="45" w:type="dxa"/>
            </w:tcMar>
            <w:vAlign w:val="center"/>
            <w:hideMark/>
          </w:tcPr>
          <w:p w14:paraId="117DDD2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1FB714"/>
            <w:tcMar>
              <w:top w:w="0" w:type="dxa"/>
              <w:left w:w="45" w:type="dxa"/>
              <w:bottom w:w="0" w:type="dxa"/>
              <w:right w:w="45" w:type="dxa"/>
            </w:tcMar>
            <w:vAlign w:val="center"/>
            <w:hideMark/>
          </w:tcPr>
          <w:p w14:paraId="249A158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DD0806"/>
            <w:tcMar>
              <w:top w:w="0" w:type="dxa"/>
              <w:left w:w="45" w:type="dxa"/>
              <w:bottom w:w="0" w:type="dxa"/>
              <w:right w:w="45" w:type="dxa"/>
            </w:tcMar>
            <w:vAlign w:val="center"/>
            <w:hideMark/>
          </w:tcPr>
          <w:p w14:paraId="4638DF9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0EE788B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63759A6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31B1D9F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0F0352B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0D89E21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DB481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10D3151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0CDDD50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354218B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3BA7C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quartiles</w:t>
            </w:r>
          </w:p>
        </w:tc>
      </w:tr>
      <w:tr w:rsidR="003E400D" w:rsidRPr="00D174DC" w14:paraId="607E8145" w14:textId="77777777" w:rsidTr="00F53D71">
        <w:trPr>
          <w:trHeight w:val="285"/>
          <w:jc w:val="center"/>
        </w:trPr>
        <w:tc>
          <w:tcPr>
            <w:tcW w:w="1452" w:type="dxa"/>
            <w:tcMar>
              <w:top w:w="0" w:type="dxa"/>
              <w:left w:w="45" w:type="dxa"/>
              <w:bottom w:w="0" w:type="dxa"/>
              <w:right w:w="45" w:type="dxa"/>
            </w:tcMar>
            <w:vAlign w:val="center"/>
            <w:hideMark/>
          </w:tcPr>
          <w:p w14:paraId="0F4C023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Dumartheray et al. (2006)</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{"citationItems":[{"id":"ITEM-1","itemData":{"DOI":"10.1111/j.1365-277X.2006.00721.x","ISBN":"1365-277X","ISSN":"09523871","PMID":"16961678","abstract":"Objective The principal aim of this study was to develop a Swiss Food Frequency Questionnaire (FFQ) for the elderly population for use in a study to investigate the influence of nutritional factors on bone health. The secondary aim was to assess its validity and both short-term and long-term reproducibility. Design A 4-day weighed record (4 d WR) was applied to 51 randomly selected women of a mean age of 80.3 years. Subsequently, a detailed FFQ was developed, cross-validated against a further 44 4-d WR, and the short- (1 month, n = 15) and long-term (12 months, n = 14) reproducibility examined. Setting French speaking part of Switzerland. Subjects The subjects were randomly selected women recruited from the Swiss Evaluation of the Methods of Measurement of Osteoporotic Fracture cohort study. Results Mean energy intakes by 4-d WR and FFQ showed no significant difference [1564.9 kcal (SD 351.1); 1641.3 kcal (SD 523.2) respectively]. Mean crude nutrient intakes were also similar (with nonsignifcant P-values examining the differences in intake) and ranged from 0.13 (potassium) to 0.48 (magnesium). Similar results were found in the reproducibility studies. Conclusion These findings provide evidence that this FFQ adequately estimates nutrient intakes and can be used to rank individuals within distributions of intake in specific populations.","author":[{"dropping-particle":"","family":"Dumartheray","given":"E. Wynn","non-dropping-particle":"","parse-names":false,"suffix":""},{"dropping-particle":"","family":"Krieg","given":"M. A.","non-dropping-particle":"","parse-names":false,"suffix":""},{"dropping-particle":"","family":"Cornuz","given":"J.","non-dropping-particle":"","parse-names":false,"suffix":""},{"dropping-particle":"","family":"Whittamore","given":"D. R.","non-dropping-particle":"","parse-names":false,"suffix":""},{"dropping-particle":"","family":"Lovell","given":"D. P.","non-dropping-particle":"","parse-names":false,"suffix":""},{"dropping-particle":"","family":"Burckhardt","given":"P.","non-dropping-particle":"","parse-names":false,"suffix":""},{"dropping-particle":"","family":"Lanham-New","given":"S. A.","non-dropping-particle":"","parse-names":false,"suffix":""}],"container-title":"Journal of Human Nutrition and Dietetics","id":"ITEM-1","issue":"5","issued":{"date-parts":[["2006"]]},"page":"321-330","title":"Validation and reproducibility of a semi-quantitative food frequency questionnaire for use in elderly Swiss women","type":"article-journal","volume":"19"},"uris":["http://www.mendeley.com/documents/?uuid=68ca2432-288f-41de-8c26-589383b5e55c"]}],"mendeley":{"formattedCitation":"&lt;sup&gt;(31)&lt;/sup&gt;","plainTextFormattedCitation":"(31)","previouslyFormattedCitation":"&lt;sup&gt;(31)&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(31)</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71FCE4D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0DE3300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5FB600A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644453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1FB714"/>
            <w:tcMar>
              <w:top w:w="0" w:type="dxa"/>
              <w:left w:w="45" w:type="dxa"/>
              <w:bottom w:w="0" w:type="dxa"/>
              <w:right w:w="45" w:type="dxa"/>
            </w:tcMar>
            <w:vAlign w:val="center"/>
            <w:hideMark/>
          </w:tcPr>
          <w:p w14:paraId="2C3986E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35F9138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2F6FD493"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703AE8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1F00671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6D80C17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7F8BBF3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2F335C8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072504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1C7EC9C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71089A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Bland-Altman, log transformation, </w:t>
            </w:r>
            <w:proofErr w:type="spellStart"/>
            <w:r w:rsidRPr="002B6335">
              <w:rPr>
                <w:rFonts w:ascii="Times New Roman" w:eastAsia="Times New Roman" w:hAnsi="Times New Roman" w:cs="Times New Roman"/>
                <w:color w:val="000000"/>
                <w:sz w:val="16"/>
                <w:szCs w:val="16"/>
                <w:lang w:val="en-AU" w:eastAsia="es-ES"/>
              </w:rPr>
              <w:t>tertiles</w:t>
            </w:r>
            <w:proofErr w:type="spellEnd"/>
          </w:p>
        </w:tc>
      </w:tr>
      <w:tr w:rsidR="003E400D" w:rsidRPr="00D174DC" w14:paraId="77800CF2" w14:textId="77777777" w:rsidTr="00F53D71">
        <w:trPr>
          <w:trHeight w:val="285"/>
          <w:jc w:val="center"/>
        </w:trPr>
        <w:tc>
          <w:tcPr>
            <w:tcW w:w="1452" w:type="dxa"/>
            <w:tcMar>
              <w:top w:w="0" w:type="dxa"/>
              <w:left w:w="45" w:type="dxa"/>
              <w:bottom w:w="0" w:type="dxa"/>
              <w:right w:w="45" w:type="dxa"/>
            </w:tcMar>
            <w:vAlign w:val="center"/>
            <w:hideMark/>
          </w:tcPr>
          <w:p w14:paraId="7032229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Sudha et al. (2006)</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{"citationItems":[{"id":"ITEM-1","itemData":{"ISSN":"0963-7486","PMID":"17162327","abstract":"We report on the reproducibility and validity of a food frequency questionnaire (FFQ) developed for southern India. One hundred and two adult subjects aged &gt; or =20 years drawn from the Chennai Urban Rural Epidemiology Study participated. The FFQ was developed based on local foods and habits, and was administered three times at 0, 6 and 12 month periods (called FFQ1, FFQ2 and FFQ3) to assess the reproducibility. To test the validity of the FFQ, multiple 24-h recalls collected at 2-monthly intervals for a period of 1 year and the estimated energy intake/basal metabolic rate (EI/BMR) ratio were used. The 'EpiNu' in-house food and nutrient database was used to compile dietary intakes, which were analyzed for statistical analysis. The intraclass correlation coefficient for all three FFQs ranged from 0.72 for carbohydrates to 0.45 for folate. The de-attenuated Pearson correlation for the energy adjusted nutrients between FFQ3 and 24-h recalls ranged from 0.73 for carbohydrates to 0.35 for calcium. Bland and Altman plots for energy intake between the two methods showed the limits of agreement ranged from 768 to -1358 calories/day (+/-2 standard deviations). Misclassification was low for most of the nutrients. Under-reporting of the energy intake (EI/BMR ratio&lt;1.2) was higher in females than males. This FFQ appears to be a robust tool to measure dietary intakes in southern India.","author":[{"dropping-particle":"","family":"Sudha","given":"V","non-dropping-particle":"","parse-names":false,"suffix":""},{"dropping-particle":"","family":"Radhika","given":"G","non-dropping-particle":"","parse-names":false,"suffix":""},{"dropping-particle":"","family":"Sathya","given":"R M","non-dropping-particle":"","parse-names":false,"suffix":""},{"dropping-particle":"","family":"Ganesan","given":"A","non-dropping-particle":"","parse-names":false,"suffix":""},{"dropping-particle":"","family":"Mohan","given":"V","non-dropping-particle":"","parse-names":false,"suffix":""}],"container-title":"International journal of food sciences and nutrition","id":"ITEM-1","issue":"7-8","issued":{"date-parts":[["2006","1","6"]]},"page":"481-493","title":"Reproducibility and validity of an interviewer-administered semi-quantitative food frequency questionnaire to assess dietary intake of urban adults in southern India.","type":"article-journal","volume":"57"},"uris":["http://www.mendeley.com/documents/?uuid=2ded568a-cf7c-30ef-b4f3-01cac71c0416"]}],"mendeley":{"formattedCitation":"&lt;sup&gt;(59)&lt;/sup&gt;","plainTextFormattedCitation":"(59)","previouslyFormattedCitation":"&lt;sup&gt;(59)&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(59)</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4E65AB4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2D67EA0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0688F8D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4FBF06B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6E71F75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252BBD4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1A08DE1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13D63B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0B2715E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7580487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5569A9C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51A2B39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9D1B86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2D9CE30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6BE2435"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gramStart"/>
            <w:r w:rsidRPr="002B6335">
              <w:rPr>
                <w:rFonts w:ascii="Times New Roman" w:eastAsia="Times New Roman" w:hAnsi="Times New Roman" w:cs="Times New Roman"/>
                <w:color w:val="000000"/>
                <w:sz w:val="16"/>
                <w:szCs w:val="16"/>
                <w:lang w:val="en-AU" w:eastAsia="es-ES"/>
              </w:rPr>
              <w:t>,gráficos</w:t>
            </w:r>
            <w:proofErr w:type="spellEnd"/>
            <w:proofErr w:type="gramEnd"/>
            <w:r w:rsidRPr="002B6335">
              <w:rPr>
                <w:rFonts w:ascii="Times New Roman" w:eastAsia="Times New Roman" w:hAnsi="Times New Roman" w:cs="Times New Roman"/>
                <w:color w:val="000000"/>
                <w:sz w:val="16"/>
                <w:szCs w:val="16"/>
                <w:lang w:val="en-AU" w:eastAsia="es-ES"/>
              </w:rPr>
              <w:t xml:space="preserve"> Bland-Altman, ICC, quartiles</w:t>
            </w:r>
          </w:p>
        </w:tc>
      </w:tr>
      <w:tr w:rsidR="003E400D" w:rsidRPr="00D174DC" w14:paraId="2A2061B5" w14:textId="77777777" w:rsidTr="00F53D71">
        <w:trPr>
          <w:trHeight w:val="285"/>
          <w:jc w:val="center"/>
        </w:trPr>
        <w:tc>
          <w:tcPr>
            <w:tcW w:w="1452" w:type="dxa"/>
            <w:tcMar>
              <w:top w:w="0" w:type="dxa"/>
              <w:left w:w="45" w:type="dxa"/>
              <w:bottom w:w="0" w:type="dxa"/>
              <w:right w:w="45" w:type="dxa"/>
            </w:tcMar>
            <w:vAlign w:val="center"/>
            <w:hideMark/>
          </w:tcPr>
          <w:p w14:paraId="067D9E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Nöthlings et al. (2007)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Nöthlings","given":"U","non-dropping-particle":"","parse-names":false,"suffix":""},{"dropping-particle":"","family":"Hoffmann","given":"K","non-dropping-particle":"","parse-names":false,"suffix":""},{"dropping-particle":"","family":"Bergmann","given":"MM","non-dropping-particle":"","parse-names":false,"suffix":""},{"dropping-particle":"","family":"Boeing","given":"H","non-dropping-particle":"","parse-names":false,"suffix":""}],"container-title":"J Nutr","id":"ITEM-1","issue":"12","issued":{"date-parts":[["2007"]]},"page":"2781-2786","title":"Fitting Portion Sizes in a Self-Administered Food Frequency Questionnaire","type":"article-journal","volume":"137"},"uris":["http://www.mendeley.com/documents/?uuid=47dd2688-5945-4f59-ac59-4fe901cf4ff1"]}],"mendeley":{"formattedCitation":"&lt;sup&gt;(19)&lt;/sup&gt;","plainTextFormattedCitation":"(19)","previouslyFormattedCitation":"&lt;sup&gt;(19)&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(19)</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1C2F73C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63785CE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1B91B13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3F4838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1FB714"/>
            <w:tcMar>
              <w:top w:w="0" w:type="dxa"/>
              <w:left w:w="45" w:type="dxa"/>
              <w:bottom w:w="0" w:type="dxa"/>
              <w:right w:w="45" w:type="dxa"/>
            </w:tcMar>
            <w:vAlign w:val="center"/>
            <w:hideMark/>
          </w:tcPr>
          <w:p w14:paraId="50ADCA6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363A4A6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75441BD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described in the </w:t>
            </w:r>
            <w:r w:rsidRPr="002B6335">
              <w:rPr>
                <w:rFonts w:ascii="Times New Roman" w:eastAsia="Times New Roman" w:hAnsi="Times New Roman" w:cs="Times New Roman"/>
                <w:color w:val="000000"/>
                <w:sz w:val="16"/>
                <w:szCs w:val="16"/>
                <w:lang w:val="en-AU" w:eastAsia="es-ES"/>
              </w:rPr>
              <w:lastRenderedPageBreak/>
              <w:t>methods section.</w:t>
            </w:r>
          </w:p>
        </w:tc>
        <w:tc>
          <w:tcPr>
            <w:tcW w:w="425" w:type="dxa"/>
            <w:shd w:val="clear" w:color="auto" w:fill="1FB714"/>
            <w:tcMar>
              <w:top w:w="0" w:type="dxa"/>
              <w:left w:w="45" w:type="dxa"/>
              <w:bottom w:w="0" w:type="dxa"/>
              <w:right w:w="45" w:type="dxa"/>
            </w:tcMar>
            <w:vAlign w:val="center"/>
            <w:hideMark/>
          </w:tcPr>
          <w:p w14:paraId="50EDE91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Low risk</w:t>
            </w:r>
          </w:p>
        </w:tc>
        <w:tc>
          <w:tcPr>
            <w:tcW w:w="1134" w:type="dxa"/>
            <w:shd w:val="clear" w:color="auto" w:fill="FF9900"/>
            <w:tcMar>
              <w:top w:w="0" w:type="dxa"/>
              <w:left w:w="45" w:type="dxa"/>
              <w:bottom w:w="0" w:type="dxa"/>
              <w:right w:w="45" w:type="dxa"/>
            </w:tcMar>
            <w:vAlign w:val="center"/>
            <w:hideMark/>
          </w:tcPr>
          <w:p w14:paraId="52130DB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4001E57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23CD0B1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0C2ED9F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C6D323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042D80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60A161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deattenuation</w:t>
            </w:r>
          </w:p>
        </w:tc>
      </w:tr>
      <w:tr w:rsidR="003E400D" w:rsidRPr="00D174DC" w14:paraId="30A38A28" w14:textId="77777777" w:rsidTr="00F53D71">
        <w:trPr>
          <w:trHeight w:val="285"/>
          <w:jc w:val="center"/>
        </w:trPr>
        <w:tc>
          <w:tcPr>
            <w:tcW w:w="1452" w:type="dxa"/>
            <w:tcMar>
              <w:top w:w="0" w:type="dxa"/>
              <w:left w:w="45" w:type="dxa"/>
              <w:bottom w:w="0" w:type="dxa"/>
              <w:right w:w="45" w:type="dxa"/>
            </w:tcMar>
            <w:vAlign w:val="center"/>
            <w:hideMark/>
          </w:tcPr>
          <w:p w14:paraId="3751367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Mullie et al. (2009)</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Mullie","given":"P","non-dropping-particle":"","parse-names":false,"suffix":""},{"dropping-particle":"","family":"Clarys","given":"P","non-dropping-particle":"","parse-names":false,"suffix":""},{"dropping-particle":"","family":"Hulens","given":"M","non-dropping-particle":"","parse-names":false,"suffix":""},{"dropping-particle":"","family":"Vansant","given":"G","non-dropping-particle":"","parse-names":false,"suffix":""}],"container-title":"MILITARY MEDICINE","id":"ITEM-1","issued":{"date-parts":[["2009"]]},"page":"852-856","title":"Reproducibility and Validity of a Semiquantitative Food Frequency Questionnaire Among Military Men","type":"article-journal","volume":"8"},"uris":["http://www.mendeley.com/documents/?uuid=937c869d-550d-3f30-80e7-efd0177f11de"]}],"mendeley":{"formattedCitation":"&lt;sup&gt;(18)&lt;/sup&gt;","plainTextFormattedCitation":"(18)","previouslyFormattedCitation":"&lt;sup&gt;(18)&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(18)</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41A2772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10C1CE7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76196C2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48575A0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850" w:type="dxa"/>
            <w:shd w:val="clear" w:color="auto" w:fill="DD0806"/>
            <w:tcMar>
              <w:top w:w="0" w:type="dxa"/>
              <w:left w:w="45" w:type="dxa"/>
              <w:bottom w:w="0" w:type="dxa"/>
              <w:right w:w="45" w:type="dxa"/>
            </w:tcMar>
            <w:vAlign w:val="center"/>
            <w:hideMark/>
          </w:tcPr>
          <w:p w14:paraId="5A2699F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15EE3CA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6F999FE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7398DE9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4AA17B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300A47E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1574D07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3D6F435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07865E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5EB542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008E770"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tertiles</w:t>
            </w:r>
            <w:proofErr w:type="spellEnd"/>
            <w:r w:rsidRPr="002B6335">
              <w:rPr>
                <w:rFonts w:ascii="Times New Roman" w:eastAsia="Times New Roman" w:hAnsi="Times New Roman" w:cs="Times New Roman"/>
                <w:color w:val="000000"/>
                <w:sz w:val="16"/>
                <w:szCs w:val="16"/>
                <w:lang w:val="en-AU" w:eastAsia="es-ES"/>
              </w:rPr>
              <w:t xml:space="preserve">, paired t-test, </w:t>
            </w:r>
            <w:proofErr w:type="spellStart"/>
            <w:r w:rsidRPr="002B6335">
              <w:rPr>
                <w:rFonts w:ascii="Times New Roman" w:eastAsia="Times New Roman" w:hAnsi="Times New Roman" w:cs="Times New Roman"/>
                <w:color w:val="000000"/>
                <w:sz w:val="16"/>
                <w:szCs w:val="16"/>
                <w:lang w:val="en-AU" w:eastAsia="es-ES"/>
              </w:rPr>
              <w:t>tertiles</w:t>
            </w:r>
            <w:proofErr w:type="spellEnd"/>
            <w:r w:rsidRPr="002B6335">
              <w:rPr>
                <w:rFonts w:ascii="Times New Roman" w:eastAsia="Times New Roman" w:hAnsi="Times New Roman" w:cs="Times New Roman"/>
                <w:color w:val="000000"/>
                <w:sz w:val="16"/>
                <w:szCs w:val="16"/>
                <w:lang w:val="en-AU" w:eastAsia="es-ES"/>
              </w:rPr>
              <w:t>, kappa</w:t>
            </w:r>
          </w:p>
        </w:tc>
      </w:tr>
      <w:tr w:rsidR="003E400D" w:rsidRPr="00D174DC" w14:paraId="09103357" w14:textId="77777777" w:rsidTr="00F53D71">
        <w:trPr>
          <w:trHeight w:val="285"/>
          <w:jc w:val="center"/>
        </w:trPr>
        <w:tc>
          <w:tcPr>
            <w:tcW w:w="1452" w:type="dxa"/>
            <w:tcMar>
              <w:top w:w="0" w:type="dxa"/>
              <w:left w:w="45" w:type="dxa"/>
              <w:bottom w:w="0" w:type="dxa"/>
              <w:right w:w="45" w:type="dxa"/>
            </w:tcMar>
            <w:vAlign w:val="center"/>
            <w:hideMark/>
          </w:tcPr>
          <w:p w14:paraId="0CF7EB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Barret et al. (2010)</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{"citationItems":[{"id":"ITEM-1","itemData":{"ISSN":"1878-3570","PMID":"20869485","abstract":"BACKGROUND Fermentable, short chain carbohydrates (FODMAPs) have been identified as triggers for functional gastrointestinal symptoms. In addition, excess FODMAP consumption has been implicated in the onset of Crohn's disease, and animal studies suggest that a low glycemic index diet can impair absorption of fructose, a major dietary FODMAP. Such hypotheses cannot be tested without the ability to quantify FODMAP ingestion with a validated dietary assessment tool. OBJECTIVE To assess the validity and reproducibility of a 297-item comprehensive, semi-quantitative food frequency questionnaire (FFQ) in estimating intake of macro- and micronutrients, FODMAPs, and glycemic index/load. SUBJECTS/SETTING One hundred healthy participants were recruited to complete the FFQ on two occasions, plus four 1-week food diaries kept during a 12-month period. Participants exhibiting major dietary change during the study period or low energy reporting on the FFQ were excluded. MAIN OUTCOME MEASURES Validation and reproducibility of the semi-quantitative FFQ by comparison with the mean of four 1-week food diaries. STATISTICAL ANALYSES PERFORMED Validation was assessed using Wilcoxon signed rank test, Spearman's correlation, Bland-Altman, and weighted κ statistics. Reproducibility was examined using Shrout-Fleiss intraclass correlation coefficient. RESULTS Seventy-two participants fulfilled inclusion and exclusion criteria. Demographics of the participants were comparable with 2006 Australian Census data. Consistent with other reported FFQs, the FFQ overestimated nutrient intake by a mean 140% (range=95% to 249%). However, based on the other analyses performed, it demonstrated validity for intake of sugars, fiber, alcohol, glycemic index, glucose, FODMAPs, calcium, folate, phosphate, potassium, iron, and magnesium; moderate validation for energy, total fat, saturated fat, carbohydrates, sodium, thiamin, sucrose, and retinol; poor validation for protein, mono/polyunsaturated fat, starch, glycemic load, niacin, and zinc. Riboflavin intake was not validated. Intraclass correlation coefficients for reproducibility ranged from 0.352 to 0.928. CONCLUSIONS The FFQ was validated for assessment of a wide range of nutrients, including the new class of carbohydrates, FODMAPs, and glycemic index. This provides a useful tool for dietary research, particularly in the area of gastroenterological disorders.","author":[{"dropping-particle":"","family":"Barrett","given":"Jacqueline S","non-dropping-particle":"","parse-names":false,"suffix":""},{"dropping-particle":"","family":"Gibson","given":"Peter R","non-dropping-particle":"","parse-names":false,"suffix":""}],"container-title":"Journal of the American Dietetic Association","id":"ITEM-1","issue":"10","issued":{"date-parts":[["2010","10"]]},"page":"1469-1476","title":"Development and validation of a comprehensive semi-quantitative food frequency questionnaire that includes FODMAP intake and glycemic index.","type":"article-journal","volume":"110"},"uris":["http://www.mendeley.com/documents/?uuid=f6623037-f6d0-31d7-aa1c-32e509b03443"]}],"mendeley":{"formattedCitation":"&lt;sup&gt;(64)&lt;/sup&gt;","plainTextFormattedCitation":"(64)","previouslyFormattedCitation":"&lt;sup&gt;(64)&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(64)</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1E13B9C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DD0806"/>
            <w:tcMar>
              <w:top w:w="0" w:type="dxa"/>
              <w:left w:w="45" w:type="dxa"/>
              <w:bottom w:w="0" w:type="dxa"/>
              <w:right w:w="45" w:type="dxa"/>
            </w:tcMar>
            <w:vAlign w:val="center"/>
            <w:hideMark/>
          </w:tcPr>
          <w:p w14:paraId="75CB5E1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15E64F5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3F7D5C5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1FB714"/>
            <w:tcMar>
              <w:top w:w="0" w:type="dxa"/>
              <w:left w:w="45" w:type="dxa"/>
              <w:bottom w:w="0" w:type="dxa"/>
              <w:right w:w="45" w:type="dxa"/>
            </w:tcMar>
            <w:vAlign w:val="center"/>
            <w:hideMark/>
          </w:tcPr>
          <w:p w14:paraId="474C83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5D52E0B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4F83E9D4"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12AE54F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44FD5CB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46DBD1E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FF9900"/>
            <w:tcMar>
              <w:top w:w="0" w:type="dxa"/>
              <w:left w:w="45" w:type="dxa"/>
              <w:bottom w:w="0" w:type="dxa"/>
              <w:right w:w="45" w:type="dxa"/>
            </w:tcMar>
            <w:vAlign w:val="center"/>
            <w:hideMark/>
          </w:tcPr>
          <w:p w14:paraId="7A10151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5606A19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773317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793E9BB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71E8BFB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tertiles y kappa, ICC, Bland-Altman, ICC</w:t>
            </w:r>
          </w:p>
        </w:tc>
      </w:tr>
      <w:tr w:rsidR="003E400D" w:rsidRPr="00D174DC" w14:paraId="344FFCBC" w14:textId="77777777" w:rsidTr="00F53D71">
        <w:trPr>
          <w:trHeight w:val="285"/>
          <w:jc w:val="center"/>
        </w:trPr>
        <w:tc>
          <w:tcPr>
            <w:tcW w:w="1452" w:type="dxa"/>
            <w:tcMar>
              <w:top w:w="0" w:type="dxa"/>
              <w:left w:w="45" w:type="dxa"/>
              <w:bottom w:w="0" w:type="dxa"/>
              <w:right w:w="45" w:type="dxa"/>
            </w:tcMar>
            <w:vAlign w:val="center"/>
            <w:hideMark/>
          </w:tcPr>
          <w:p w14:paraId="4D8E5251"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174DC">
              <w:rPr>
                <w:rFonts w:ascii="Times New Roman" w:eastAsia="Times New Roman" w:hAnsi="Times New Roman" w:cs="Times New Roman"/>
                <w:color w:val="000000"/>
                <w:sz w:val="16"/>
                <w:szCs w:val="16"/>
                <w:lang w:val="es-MX" w:eastAsia="es-ES"/>
              </w:rPr>
              <w:t>Fernández et al. (2010)</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{"citationItems":[{"id":"ITEM-1","itemData":{"abstract":"The aim of the present study was to assess reproducibility and relative validity of a self-administered FFQ used in the PREDIMED Study, a clinical trial for primary prevention of CVD by Mediterranean diet in a population at high cardiovascular risk. The FFQ was administered twice (FFQ1 and FFQ2) to explore reproducibility at 1 year. Four 3 d dietary records (DR) were used as reference to explore validity; participants therefore recorded their food intake over 12 d in the course of 1 year. The degree of misclassification in the FFQ was also evaluated by a contingency table of quintiles comparing the information from the FFQ2 and the DR. A total of 158 men and women (aged 55-80 years) were asked not to modify their dietary habits during the study period. Reproducibility for food groups, energy and nutrient intake, explored by the Pearson correlation coefficient (r) ranged 0.50-0.82, and the intraclass correlation coefficient (ICC) ranged from 0.63 to 0.90. The FFQ2 tended to report higher energy and nutrient intake than the DR. The validity indices of the FFQ in relation to the DR for food groups and energy and nutrient intake ranged (r) from 0.24 to 0.72, while the range of the ICC was between 0.40 and 0.84. With regard to food groups, 68-83 % of individuals were in the same or adjacent quintile in both methods, a figure which decreased to 55-75 % for energy and nutrient intake. We concluded that FFQ measurements had good reproducibility and a relative validity similar to those of FFQ used in other prospective studies.","author":[{"dropping-particle":"","family":"Fernández-Ballart","given":"Joan D","non-dropping-particle":"","parse-names":false,"suffix":""},{"dropping-particle":"","family":"Piñol","given":"Josep Lluís","non-dropping-particle":"","parse-names":false,"suffix":""},{"dropping-particle":"","family":"Zazpe","given":"Itziar","non-dropping-particle":"","parse-names":false,"suffix":""},{"dropping-particle":"",</w:instrText>
            </w:r>
            <w:r w:rsidRPr="00322DA0">
              <w:rPr>
                <w:rFonts w:ascii="Times New Roman" w:eastAsia="Times New Roman" w:hAnsi="Times New Roman" w:cs="Times New Roman"/>
                <w:color w:val="000000"/>
                <w:sz w:val="16"/>
                <w:szCs w:val="16"/>
                <w:lang w:eastAsia="es-ES"/>
              </w:rPr>
              <w:instrText>"family":"Corella","given":"Dolores","non-dropping-particle":"","parse-names":false,"suffix":""},{"dropping-particle":"","family":"Carrasco","given":"Paula","non-dropping-particle":"","parse-names":false,"suffix":""},{"dropping-particle":"","family":"Toledo","given":"Estefanía","non-dropping-particle":"","parse-names":false,"suffix":""},{"dropping-particle":"","family":"Perez-Bauer","given":"Manuel","non-dropping-particle":"","parse-names":false,"suffix":""},{"dropping-particle":"","family":"Martínez-González","given":"Miguel Angel","non-dropping-particle":"","parse-names":false,"suffix":""},{"dropping-particle":"","family":"Salas-Salvadó","given":"Jorge","non-dropping-particle":"","parse-names":false,"suffix":""},{"dropping-particle":"","family":"Martín-Moreno","given":"José M","non-dropping-particle":"","parse-names":false,"suffix":""}],"container-title":"The British journal of nutrition","id":"ITEM-1","issue":"12","issued":{"date-parts":[["2010"]]},"page":"1808-1816","title":"Relative validity of a semi-quantitative food-frequency questionnaire in an elderly Mediterranean population of Spain.","type":"article-journal","volume":"103"},"uris":["http://www.mendeley.com/documents/?uuid=e5961794-03ba-4361-968c-f9f08b1bdc27"]}],"mendeley":{"formattedCitation":"&lt;sup&gt;(32)&lt;/sup&gt;","plainTextFormattedCitation":"(32)","previouslyFormattedCitation":"&lt;sup&gt;(32)&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(32)</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67F8D2B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*b</w:t>
            </w:r>
          </w:p>
        </w:tc>
        <w:tc>
          <w:tcPr>
            <w:tcW w:w="776" w:type="dxa"/>
            <w:shd w:val="clear" w:color="auto" w:fill="DD0806"/>
            <w:tcMar>
              <w:top w:w="0" w:type="dxa"/>
              <w:left w:w="45" w:type="dxa"/>
              <w:bottom w:w="0" w:type="dxa"/>
              <w:right w:w="45" w:type="dxa"/>
            </w:tcMar>
            <w:vAlign w:val="center"/>
            <w:hideMark/>
          </w:tcPr>
          <w:p w14:paraId="4FB9199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992" w:type="dxa"/>
            <w:shd w:val="clear" w:color="auto" w:fill="1FB714"/>
            <w:tcMar>
              <w:top w:w="0" w:type="dxa"/>
              <w:left w:w="45" w:type="dxa"/>
              <w:bottom w:w="0" w:type="dxa"/>
              <w:right w:w="45" w:type="dxa"/>
            </w:tcMar>
            <w:vAlign w:val="center"/>
            <w:hideMark/>
          </w:tcPr>
          <w:p w14:paraId="0B177E8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851" w:type="dxa"/>
            <w:shd w:val="clear" w:color="auto" w:fill="DD0806"/>
            <w:tcMar>
              <w:top w:w="0" w:type="dxa"/>
              <w:left w:w="45" w:type="dxa"/>
              <w:bottom w:w="0" w:type="dxa"/>
              <w:right w:w="45" w:type="dxa"/>
            </w:tcMar>
            <w:vAlign w:val="center"/>
            <w:hideMark/>
          </w:tcPr>
          <w:p w14:paraId="1F5E2EF4"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c</w:t>
            </w:r>
          </w:p>
        </w:tc>
        <w:tc>
          <w:tcPr>
            <w:tcW w:w="850" w:type="dxa"/>
            <w:shd w:val="clear" w:color="auto" w:fill="1FB714"/>
            <w:tcMar>
              <w:top w:w="0" w:type="dxa"/>
              <w:left w:w="45" w:type="dxa"/>
              <w:bottom w:w="0" w:type="dxa"/>
              <w:right w:w="45" w:type="dxa"/>
            </w:tcMar>
            <w:vAlign w:val="center"/>
            <w:hideMark/>
          </w:tcPr>
          <w:p w14:paraId="7B3C10AB"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4A585BA5"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*a</w:t>
            </w:r>
          </w:p>
        </w:tc>
        <w:tc>
          <w:tcPr>
            <w:tcW w:w="1134" w:type="dxa"/>
            <w:tcMar>
              <w:top w:w="0" w:type="dxa"/>
              <w:left w:w="45" w:type="dxa"/>
              <w:bottom w:w="0" w:type="dxa"/>
              <w:right w:w="45" w:type="dxa"/>
            </w:tcMar>
            <w:vAlign w:val="center"/>
            <w:hideMark/>
          </w:tcPr>
          <w:p w14:paraId="3AC09598"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937BB1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Low risk</w:t>
            </w:r>
          </w:p>
        </w:tc>
        <w:tc>
          <w:tcPr>
            <w:tcW w:w="1134" w:type="dxa"/>
            <w:shd w:val="clear" w:color="auto" w:fill="FF9900"/>
            <w:tcMar>
              <w:top w:w="0" w:type="dxa"/>
              <w:left w:w="45" w:type="dxa"/>
              <w:bottom w:w="0" w:type="dxa"/>
              <w:right w:w="45" w:type="dxa"/>
            </w:tcMar>
            <w:vAlign w:val="center"/>
            <w:hideMark/>
          </w:tcPr>
          <w:p w14:paraId="3A113726"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Incomplete</w:t>
            </w:r>
          </w:p>
        </w:tc>
        <w:tc>
          <w:tcPr>
            <w:tcW w:w="851" w:type="dxa"/>
            <w:shd w:val="clear" w:color="auto" w:fill="1FB714"/>
            <w:tcMar>
              <w:top w:w="0" w:type="dxa"/>
              <w:left w:w="45" w:type="dxa"/>
              <w:bottom w:w="0" w:type="dxa"/>
              <w:right w:w="45" w:type="dxa"/>
            </w:tcMar>
            <w:vAlign w:val="center"/>
            <w:hideMark/>
          </w:tcPr>
          <w:p w14:paraId="417D85D2"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850" w:type="dxa"/>
            <w:shd w:val="clear" w:color="auto" w:fill="1FB714"/>
            <w:tcMar>
              <w:top w:w="0" w:type="dxa"/>
              <w:left w:w="45" w:type="dxa"/>
              <w:bottom w:w="0" w:type="dxa"/>
              <w:right w:w="45" w:type="dxa"/>
            </w:tcMar>
            <w:vAlign w:val="center"/>
            <w:hideMark/>
          </w:tcPr>
          <w:p w14:paraId="07839B0A"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5EDF88A0"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4089529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6F325D58" w14:textId="77777777" w:rsidR="003E400D" w:rsidRPr="00D732E0" w:rsidRDefault="003E400D" w:rsidP="00F53D71">
            <w:pPr>
              <w:spacing w:after="0" w:line="240" w:lineRule="auto"/>
              <w:rPr>
                <w:rFonts w:ascii="Times New Roman" w:eastAsia="Times New Roman" w:hAnsi="Times New Roman" w:cs="Times New Roman"/>
                <w:color w:val="000000"/>
                <w:sz w:val="16"/>
                <w:szCs w:val="16"/>
                <w:lang w:val="en-AU" w:eastAsia="es-ES"/>
              </w:rPr>
            </w:pPr>
            <w:r w:rsidRPr="00D732E0">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7A33E7C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ICC, quintiles, Bland-Altman,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w:t>
            </w:r>
          </w:p>
        </w:tc>
      </w:tr>
      <w:tr w:rsidR="003E400D" w:rsidRPr="00D174DC" w14:paraId="7C51210B" w14:textId="77777777" w:rsidTr="00F53D71">
        <w:trPr>
          <w:trHeight w:val="285"/>
          <w:jc w:val="center"/>
        </w:trPr>
        <w:tc>
          <w:tcPr>
            <w:tcW w:w="1452" w:type="dxa"/>
            <w:tcMar>
              <w:top w:w="0" w:type="dxa"/>
              <w:left w:w="45" w:type="dxa"/>
              <w:bottom w:w="0" w:type="dxa"/>
              <w:right w:w="45" w:type="dxa"/>
            </w:tcMar>
            <w:vAlign w:val="center"/>
            <w:hideMark/>
          </w:tcPr>
          <w:p w14:paraId="7B9F95B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732E0">
              <w:rPr>
                <w:rFonts w:ascii="Times New Roman" w:eastAsia="Times New Roman" w:hAnsi="Times New Roman" w:cs="Times New Roman"/>
                <w:color w:val="000000"/>
                <w:sz w:val="16"/>
                <w:szCs w:val="16"/>
                <w:lang w:val="en-AU" w:eastAsia="es-ES"/>
              </w:rPr>
              <w:t>Yang et al. (2010)</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n-AU" w:eastAsia="es-ES"/>
              </w:rPr>
              <w:instrText>ADDIN CSL_CITATION {"citationItems":[{"id":"ITEM-1","itemData":{"DOI":"10.4162/nrp.2010.4.2.142","author":[{"dropping-particle":"","family":"Yang","given":"Yoon Jung","non-dropping-particle":"","parse-names":false,"suffix":""},{"dropping-particle":"","family":"Kim","given":"Mi Kyung","non-dropping-particle":"","parse-names":false,"suffix":""},{"dropping-particle":"","family":"Hwang","given":"Se Hee","non-dropping-particle":"","parse-names":false,"suffix":""},{"dropping-particle":"","family":"Ahn","given":"Younjhin","non-dropping-particle":"","parse-names":false,"suffix":""},{"dropping-particle":"","family":"Shim","given":"Jae Eun","non-dropping-particle":"","parse-names":false,"suffix":""},{"dropping-particle":"","family":"Kim","given":"Dong Hyun","non-dropping-particle":"","parse-names":false,"suffix":""}],"container-title":"Nutr Resp Pract","id":"ITEM-1","issue":"2","issued":{"date-parts":[["2010"]]},"page":"142-148","title":"Relative validities of 3-day food records and the food frequency questionnaire","type":"article-journal","volume":"4"},"uris":["http://www.mendeley.com/documents/?uuid=7684bd81-38e0-42cd-975c-3b8c0d8a883a"]}],"mendeley":{"formattedCitation":"&lt;sup&gt;(61)&lt;/sup&gt;","plainTextFormattedCitation":"(61)","previouslyFormattedCitation":"&lt;sup&gt;(61)&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(61)</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3440142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1952FC4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1FA437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 and *b</w:t>
            </w:r>
          </w:p>
        </w:tc>
        <w:tc>
          <w:tcPr>
            <w:tcW w:w="851" w:type="dxa"/>
            <w:shd w:val="clear" w:color="auto" w:fill="1FB714"/>
            <w:tcMar>
              <w:top w:w="0" w:type="dxa"/>
              <w:left w:w="45" w:type="dxa"/>
              <w:bottom w:w="0" w:type="dxa"/>
              <w:right w:w="45" w:type="dxa"/>
            </w:tcMar>
            <w:vAlign w:val="center"/>
            <w:hideMark/>
          </w:tcPr>
          <w:p w14:paraId="79FBE7C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4FF71F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567973D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0C5CE967"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372CB0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45E4286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5CEFF01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BDA339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7CF9F92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1CD82A2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2BD6040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C65E6B9"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paired t-test,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quartiles</w:t>
            </w:r>
          </w:p>
        </w:tc>
      </w:tr>
      <w:tr w:rsidR="003E400D" w:rsidRPr="00D174DC" w14:paraId="38A3CFA4" w14:textId="77777777" w:rsidTr="00F53D71">
        <w:trPr>
          <w:trHeight w:val="285"/>
          <w:jc w:val="center"/>
        </w:trPr>
        <w:tc>
          <w:tcPr>
            <w:tcW w:w="1452" w:type="dxa"/>
            <w:tcMar>
              <w:top w:w="0" w:type="dxa"/>
              <w:left w:w="45" w:type="dxa"/>
              <w:bottom w:w="0" w:type="dxa"/>
              <w:right w:w="45" w:type="dxa"/>
            </w:tcMar>
            <w:vAlign w:val="center"/>
            <w:hideMark/>
          </w:tcPr>
          <w:p w14:paraId="4F6D9B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Fayet et al. (2011)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{"citationItems":[{"id":"ITEM-1","itemData":{"abstract":"Folate, vitamin B 12, iron, and zinc are particularly important nutrients for women of childbearing age. We tested the hypothesis that an electronic, 235-item, semiquantitative food frequency questionnaire (FFQ) is a valid measure of dietary intake when compared with repeat dietary 24-hour recalls. Biomarkers of folate, vitamin B 12, iron, and zinc were determined because their measurement errors are unrelated to errors in dietary questionnaires. Female adults (N = 256) aged 18 to 35 years completed the FFQ, and a representative subset (n = 53) completed repeat dietary 24-hour recalls. The FFQ estimates (mean ?? SD) were 315 ?? 132 ??g for folate, 3.1 ?? 2.1 ??g for vitamin B 12, 15.4 ?? 5.6 mg for iron, and 15.1 ?? 6.4 mg for zinc. The percentage of women classified within the same ??1 quartile for energy intake by the 2 methods was 77.3%. There was moderate agreement between the 2 dietary methods, and no systematic bias was noted for energy, folate, vitamin B 12, and zinc. The deattenuated energy-adjusted correlation coefficients ranged from 0.41 (dietary folate equivalents) to 0.60 (folate). Significant correlations between biomarker and nutrient intakes were found for folate (r = 0.37, P &lt; .01) and vitamin B 12 (r = 0.27, P &lt; .01). The electronic FFQ developed in the present study is a relatively valid tool that was able to adequately assess and rank individuals according to their nutrient intakes. ?? 2011 Elsevier Inc.","author":[{"dropping-particle":"","family":"Fayet","given":"Flavia","non-dropping-particle":"","parse-names":false,"suffix":""},{"dropping-particle":"","family":"Flood","given":"Victoria","non-dropping-particle":"","parse-names":false,"suffix":""},{"dropping-particle":"","family":"Petocz","given":"Peter","non-dropping-particle":"","parse-names":false,"suffix":""},{"dropping-particle":"","family":"Samman","given":"Samir","non-dropping-particle":"","parse-names":false,"suffix":""}],"container-title":"Nutrition Research","id":"ITEM-1","issue":"1","issued":{"date-parts":[["2011"]]},"page":"14-20","title":"Relative and biomarker-based validity of a food frequency questionnaire that measures the intakes of vitamin B 12, folate, iron, and zinc in young women","type":"article-journal","volume":"31"},"uris":["http://www.mendeley.com/documents/?uuid=bdb61b2f-1252-4464-aaaa-21bf5cc9d9d7"]}],"mendeley":{"formattedCitation":"&lt;sup&gt;(65)&lt;/sup&gt;","plainTextFormattedCitation":"(65)","previouslyFormattedCitation":"&lt;sup&gt;(65)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(65)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3AE15B7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727E009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66E8F14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117CFD9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031991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06DD871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7B947D7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Deattenuated correlation coefficients are not shown for all nutrients (incomplete data). </w:t>
            </w:r>
          </w:p>
        </w:tc>
        <w:tc>
          <w:tcPr>
            <w:tcW w:w="425" w:type="dxa"/>
            <w:shd w:val="clear" w:color="auto" w:fill="DD0806"/>
            <w:tcMar>
              <w:top w:w="0" w:type="dxa"/>
              <w:left w:w="45" w:type="dxa"/>
              <w:bottom w:w="0" w:type="dxa"/>
              <w:right w:w="45" w:type="dxa"/>
            </w:tcMar>
            <w:vAlign w:val="center"/>
            <w:hideMark/>
          </w:tcPr>
          <w:p w14:paraId="0A9EDFB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High risk</w:t>
            </w:r>
          </w:p>
        </w:tc>
        <w:tc>
          <w:tcPr>
            <w:tcW w:w="1134" w:type="dxa"/>
            <w:shd w:val="clear" w:color="auto" w:fill="FF9900"/>
            <w:tcMar>
              <w:top w:w="0" w:type="dxa"/>
              <w:left w:w="45" w:type="dxa"/>
              <w:bottom w:w="0" w:type="dxa"/>
              <w:right w:w="45" w:type="dxa"/>
            </w:tcMar>
            <w:vAlign w:val="center"/>
            <w:hideMark/>
          </w:tcPr>
          <w:p w14:paraId="0BFA67B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2068F22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51F925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573F212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2BE88D1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1379B21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3EB1735F"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Bland-Altman,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xml:space="preserve">, quartiles, log transformation </w:t>
            </w:r>
          </w:p>
        </w:tc>
      </w:tr>
      <w:tr w:rsidR="003E400D" w:rsidRPr="00D174DC" w14:paraId="1FAF9267" w14:textId="77777777" w:rsidTr="00F53D71">
        <w:trPr>
          <w:trHeight w:val="285"/>
          <w:jc w:val="center"/>
        </w:trPr>
        <w:tc>
          <w:tcPr>
            <w:tcW w:w="1452" w:type="dxa"/>
            <w:tcMar>
              <w:top w:w="0" w:type="dxa"/>
              <w:left w:w="45" w:type="dxa"/>
              <w:bottom w:w="0" w:type="dxa"/>
              <w:right w:w="45" w:type="dxa"/>
            </w:tcMar>
            <w:vAlign w:val="center"/>
            <w:hideMark/>
          </w:tcPr>
          <w:p w14:paraId="7F618F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van Dongen et al. (2011)</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{"citationItems":[{"id":"ITEM-1","itemData":{"abstract":"Objective: To validate an integrated food-frequency questionnaire (FFQ) developed to assess habitual food intake of Flemish and Italian-native subjects in Belgium as part of the European Collaborative Dietary Habit Profile in European Communities With Different Risk of Myocardial Infarction: the Impact of Migration as a Model of Gene/Environment Interaction (IMMIDIET Project). Methods: The semiquantitative FFQ contained 322 items on food and food preparation. FFQs filled by a sample (n = 70) of the Flemish-Flemish and Flemish-Italian IMMIDIET subpopulations were randomly selected. Five 24-h recalls, administered over a period of 1 y by the same sample, served for validation. Energy and macronutrients were calculated using the Dutch NEVO and the Belgian NUBEL food composition tables. Intakes of energy and macronutrients estimated by the FFQ and repeated 24-h recall, respectively, were compared by means of correlation coefficients, classification into quartiles, and Bland-Altman plotting. Results: The FFQ overestimated intake of energy and most macronutrients by 40-70%. This overestimation largely disappeared when values were expressed as energy percentage. Correlations ranked from 0.40 to 0.60 for energy and most macronutrients (median 0.53); correlations were lower (null to 0.41) for fat and higher (up to 0.90) for alcohol. Classification in quartiles of intake showed good agreement: 83% were classified in the same or adjacent quartile of energy, and 66-90% for macronutrients. Correlations and classification of macronutrient intake into quartiles remained similar when macronutrients were expressed as energy percentage. Stratification according to ethnic subgroup, age, body mass index, or social status showed no differences. Conclusion: The IMMIDIET FFQ is a valuable tool for studies of the role of energy and macronutrients in disease etiology or outcome, but less suitable for estimating absolute intake levels. © 2011 Elsevier Inc.","author":[{"dropping-particle":"","family":"Dongen","given":"M","non-dropping-particle":"Van","parse-names":false,"suffix":""},{"dropping-particle":"","family":"Lentjes","given":"M","non-dropping-particle":"","parse-names":false,"suffix":""},{"dropping-particle":"","family":"Wijckmans","given":"N","non-dropping-particle":"","parse-names":false,"suffix":""},{"dropping-particle":"","family":"Dirckx","given":"C","non-dropping-particle":"","parse-names":false,"suffix":""},{"dropping-particle":"","family":"Lemaître","given":"Dirk","non-dropping-particle":"","parse-names":false,"suffix":""},{"dropping-particle":"","family":"Achten","given":"Ward","non-dropping-particle":"","parse-names":false,"suffix":""},{"dropping-particle":"","family":"Celis","given":"Marleen","non-dropping-particle":"","parse-names":false,"suffix":""},{"dropping-particle":"","family":"Sieri","given":"Sabina","non-dropping-particle":"","parse-names":false,"suffix":""},{"dropping-particle":"","family":"Arnout","given":"Jef","non-dropping-particle":"","parse-names":false,"suffix":""},{"dropping-particle":"","family":"Buntinx","given":"Frank","non-dropping-particle":"","parse-names":false,"suffix":""},{"dropping-particle":"","family":"Siani","given":"Alfonso","non-dropping-particle":"","parse-names":false,"suffix":""},{"dropping-particle":"","family":"Cappuccio","given":"Francesco P.","non-dropping-particle":"","parse-names":false,"suffix":""},{"dropping-particle":"","family":"Lorgeril","given":"Michel","non-dropping-particle":"de","parse-names":false,"suffix":""},{"dropping-particle":"","family":"Iacoviello","given":"Licia","non-dropping-particle":"","parse-names":false,"suffix":""},{"dropping-particle":"","family":"Dagnelie","given":"Pieter C.","non-dropping-particle":"","parse-names":false,"suffix":""}],"container-title":"Nutrition","id":"ITEM-1","issue":"3","issued":{"date-parts":[["2011"]]},"page":"302-309","title":"Validation of a food-frequency questionnaire for Flemish and Italian-native subjects in Belgium: The IMMIDIET study","type":"article-journal","volume":"27"},"uris":["http://www.mendeley.com/documents/?uuid=d7d4af75-6082-4c16-b7ef-07337125fbaa"]}],"mendeley":{"formattedCitation":"&lt;sup&gt;(28)&lt;/sup&gt;","plainTextFormattedCitation":"(28)","previouslyFormattedCitation":"&lt;sup&gt;(28)&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(28)</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5CB9188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43EF896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DD0806"/>
            <w:tcMar>
              <w:top w:w="0" w:type="dxa"/>
              <w:left w:w="45" w:type="dxa"/>
              <w:bottom w:w="0" w:type="dxa"/>
              <w:right w:w="45" w:type="dxa"/>
            </w:tcMar>
            <w:vAlign w:val="center"/>
            <w:hideMark/>
          </w:tcPr>
          <w:p w14:paraId="5777066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1FB714"/>
            <w:tcMar>
              <w:top w:w="0" w:type="dxa"/>
              <w:left w:w="45" w:type="dxa"/>
              <w:bottom w:w="0" w:type="dxa"/>
              <w:right w:w="45" w:type="dxa"/>
            </w:tcMar>
            <w:vAlign w:val="center"/>
            <w:hideMark/>
          </w:tcPr>
          <w:p w14:paraId="0C3CF9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0" w:type="dxa"/>
            <w:shd w:val="clear" w:color="auto" w:fill="1FB714"/>
            <w:tcMar>
              <w:top w:w="0" w:type="dxa"/>
              <w:left w:w="45" w:type="dxa"/>
              <w:bottom w:w="0" w:type="dxa"/>
              <w:right w:w="45" w:type="dxa"/>
            </w:tcMar>
            <w:vAlign w:val="center"/>
            <w:hideMark/>
          </w:tcPr>
          <w:p w14:paraId="1A320A2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0CBD2D9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508B2AD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w:t>
            </w:r>
            <w:r w:rsidRPr="002B6335">
              <w:rPr>
                <w:rFonts w:ascii="Times New Roman" w:eastAsia="Times New Roman" w:hAnsi="Times New Roman" w:cs="Times New Roman"/>
                <w:color w:val="000000"/>
                <w:sz w:val="16"/>
                <w:szCs w:val="16"/>
                <w:lang w:val="en-AU" w:eastAsia="es-ES"/>
              </w:rPr>
              <w:lastRenderedPageBreak/>
              <w:t>described in the methods section.</w:t>
            </w:r>
          </w:p>
        </w:tc>
        <w:tc>
          <w:tcPr>
            <w:tcW w:w="425" w:type="dxa"/>
            <w:shd w:val="clear" w:color="auto" w:fill="1FB714"/>
            <w:tcMar>
              <w:top w:w="0" w:type="dxa"/>
              <w:left w:w="45" w:type="dxa"/>
              <w:bottom w:w="0" w:type="dxa"/>
              <w:right w:w="45" w:type="dxa"/>
            </w:tcMar>
            <w:vAlign w:val="center"/>
            <w:hideMark/>
          </w:tcPr>
          <w:p w14:paraId="05F72EE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Low risk</w:t>
            </w:r>
          </w:p>
        </w:tc>
        <w:tc>
          <w:tcPr>
            <w:tcW w:w="1134" w:type="dxa"/>
            <w:shd w:val="clear" w:color="auto" w:fill="1FB714"/>
            <w:tcMar>
              <w:top w:w="0" w:type="dxa"/>
              <w:left w:w="45" w:type="dxa"/>
              <w:bottom w:w="0" w:type="dxa"/>
              <w:right w:w="45" w:type="dxa"/>
            </w:tcMar>
            <w:vAlign w:val="center"/>
            <w:hideMark/>
          </w:tcPr>
          <w:p w14:paraId="76D03C7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2DACC9E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58CA2B3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5EE97CD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3E67B22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2B2A5EC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1382E59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Bland-Altman, quartiles</w:t>
            </w:r>
          </w:p>
        </w:tc>
      </w:tr>
      <w:tr w:rsidR="003E400D" w:rsidRPr="00D174DC" w14:paraId="782E72AF" w14:textId="77777777" w:rsidTr="00F53D71">
        <w:trPr>
          <w:trHeight w:val="285"/>
          <w:jc w:val="center"/>
        </w:trPr>
        <w:tc>
          <w:tcPr>
            <w:tcW w:w="1452" w:type="dxa"/>
            <w:tcMar>
              <w:top w:w="0" w:type="dxa"/>
              <w:left w:w="45" w:type="dxa"/>
              <w:bottom w:w="0" w:type="dxa"/>
              <w:right w:w="45" w:type="dxa"/>
            </w:tcMar>
            <w:vAlign w:val="center"/>
            <w:hideMark/>
          </w:tcPr>
          <w:p w14:paraId="2D902F2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Bowen et al. (2012)</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{"citationItems":[{"id":"ITEM-1","itemData":{"author":[{"dropping-particle":"","family":"Bowen","given":"Liza","non-dropping-particle":"","parse-names":false,"suffix":""},{"dropping-particle":"","family":"Bharathi","given":"Ankalmadagu Venkatsubbareddy","non-dropping-particle":"","parse-names":false,"suffix":""},{"dropping-particle":"","family":"Kinra","given":"Sanjay","non-dropping-particle":"","parse-names":false,"suffix":""},{"dropping-particle":"","family":"Destavola","given":"Bianca","non-dropping-particle":"","parse-names":false,"suffix":""},{"dropping-particle":"","family":"Ness","given":"Andy","non-dropping-particle":"","parse-names":false,"suffix":""},{"dropping-particle":"","family":"Dm","given":"Shah Ebrahim","non-dropping-particle":"","parse-names":false,"suffix":""}],"container-title":"Asia Pacific Journal of Clinical Nutrition","id":"ITEM-1","issue":"June 2011","issued":{"date-parts":[["2012"]]},"page":"355-360","title":"Short Communication Development and evaluation of a semi-quantitative food frequency questionnaire for use in urban and rural India","type":"article-journal","volume":"21"},"uris":["http://www.mendeley.com/documents/?uuid=53ac0457-2490-4148-8b66-09d2b18712b2"]}],"mendeley":{"formattedCitation":"&lt;sup&gt;(53)&lt;/sup&gt;","plainTextFormattedCitation":"(53)","previouslyFormattedCitation":"&lt;sup&gt;(53)&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(53)</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0F6D5AF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7148466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7CC16A2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231255E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1175480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5B58B2E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74D3D52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Final sample size is not clearly stated.</w:t>
            </w:r>
          </w:p>
        </w:tc>
        <w:tc>
          <w:tcPr>
            <w:tcW w:w="425" w:type="dxa"/>
            <w:shd w:val="clear" w:color="auto" w:fill="DD0806"/>
            <w:tcMar>
              <w:top w:w="0" w:type="dxa"/>
              <w:left w:w="45" w:type="dxa"/>
              <w:bottom w:w="0" w:type="dxa"/>
              <w:right w:w="45" w:type="dxa"/>
            </w:tcMar>
            <w:vAlign w:val="center"/>
            <w:hideMark/>
          </w:tcPr>
          <w:p w14:paraId="7DA6255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High risk</w:t>
            </w:r>
          </w:p>
        </w:tc>
        <w:tc>
          <w:tcPr>
            <w:tcW w:w="1134" w:type="dxa"/>
            <w:shd w:val="clear" w:color="auto" w:fill="FF9900"/>
            <w:tcMar>
              <w:top w:w="0" w:type="dxa"/>
              <w:left w:w="45" w:type="dxa"/>
              <w:bottom w:w="0" w:type="dxa"/>
              <w:right w:w="45" w:type="dxa"/>
            </w:tcMar>
            <w:vAlign w:val="center"/>
            <w:hideMark/>
          </w:tcPr>
          <w:p w14:paraId="69F28BE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18EF453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2E4000D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686CFD1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383726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36CE504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23EA8CF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Bland-Altman, kappa</w:t>
            </w:r>
          </w:p>
        </w:tc>
      </w:tr>
      <w:tr w:rsidR="003E400D" w:rsidRPr="00D174DC" w14:paraId="472D3449" w14:textId="77777777" w:rsidTr="00F53D71">
        <w:trPr>
          <w:trHeight w:val="285"/>
          <w:jc w:val="center"/>
        </w:trPr>
        <w:tc>
          <w:tcPr>
            <w:tcW w:w="1452" w:type="dxa"/>
            <w:tcMar>
              <w:top w:w="0" w:type="dxa"/>
              <w:left w:w="45" w:type="dxa"/>
              <w:bottom w:w="0" w:type="dxa"/>
              <w:right w:w="45" w:type="dxa"/>
            </w:tcMar>
            <w:vAlign w:val="center"/>
            <w:hideMark/>
          </w:tcPr>
          <w:p w14:paraId="28F2A20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Dehghan et al. (2012)</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{"citationItems":[{"id":"ITEM-1","itemData":{"abstract":"BACKGROUND: The Food Frequency Questionnaire (FFQ) is the most commonly used method for ranking individuals based on long term food intake in large epidemiological studies. The validation of an FFQ for specific populations is essential as food consumption is culture dependent. The aim of this study was to develop a Semi-quantitative Food Frequency Questionnaire (SFFQ) and evaluate its validity and reproducibility in estimating nutrient intake in urban and rural areas of Argentina.\\n\\nMETHODS/PRINCIPAL FINDINGS: Overall, 256 participants in the Argentinean arm of the ongoing Prospective Urban and Rural Epidemiological study (PURE) were enrolled for development and validation of the SFFQ. One hundred individuals participated in the SFFQ development. The other 156 individuals completed the SFFQs on two occasions, four 24-hour Dietary Recalls (24DRs) in urban, and three 24DRs in rural areas during a one-year period. Correlation coefficients (r) and de-attenuated correlation coefficients between 24DRs and SFFQ were calculated for macro and micro-nutrients. The level of agreement between the two methods was evaluated using classification into same and extreme quartiles and the Bland-Altman method. The reproducibility of the SFFQ was assessed by Pearson correlation coefficients and Intra-class Correlation Coefficients (ICC). The SFFQ consists of 96 food items. In both urban and rural settings de-attenuated correlations exceeded 0.4 for most of the nutrients. The classification into the same and adjacent quartiles was more than 70% for urban and 60% for rural settings. The Pearson correlation between two SFFQs varied from 0.30-0.56 and 0.32-0.60 in urban and rural settings, respectively.\\n\\nCONCLUSION: Our results showed that this SFFQ had moderate relative validity and reproducibility for macro and micronutrients in relation to the comparison method and can be used to rank individuals based on habitual nutrient intake.","author":[{"dropping-particle":"","family":"Dehghan","given":"Mahshid","non-dropping-particle":"","parse-names":false,"suffix":""},{"dropping-particle":"","family":"Cerro","given":"Silvia","non-dropping-particle":"del","parse-names":false,"suffix":""},{"dropping-particle":"","family":"Zhang","given":"Xiaohe","non-dropping-particle":"","parse-names":false,"suffix":""},{"dropping-particle":"","family":"Cuneo","given":"Jose Maini","non-dropping-particle":"","parse-names":false,"suffix":""},{"dropping-particle":"","family":"Linetzky","given":"Bruno","non-dropping-particle":"","parse-names":false,"suffix":""},{"dropping-particle":"","family":"Diaz","given":"Rafael","non-dropping-particle":"","parse-names":false,"suffix":""},{"dropping-particle":"","family":"Merchant","given":"Anwar T.","non-dropping-particle":"","parse-names":false,"suffix":""}],"container-title":"PLoS ONE","id":"ITEM-1","issue":"5","issued":{"date-parts":[["2012"]]},"page":"1-9","title":"Validation of a semi-quantitative food frequency questionnaire for argentinean adults","type":"article-journal","volume":"7"},"uris":["http://www.mendeley.com/documents/?uuid=b79b5bad-aa9c-42de-865d-70a89550080c"]}],"mendeley":{"formattedCitation":"&lt;sup&gt;(37)&lt;/sup&gt;","plainTextFormattedCitation":"(37)","previouslyFormattedCitation":"&lt;sup&gt;(37)&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(37)</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7F3FBDF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4B668BA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3807B1F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 and *b</w:t>
            </w:r>
          </w:p>
        </w:tc>
        <w:tc>
          <w:tcPr>
            <w:tcW w:w="851" w:type="dxa"/>
            <w:shd w:val="clear" w:color="auto" w:fill="1FB714"/>
            <w:tcMar>
              <w:top w:w="0" w:type="dxa"/>
              <w:left w:w="45" w:type="dxa"/>
              <w:bottom w:w="0" w:type="dxa"/>
              <w:right w:w="45" w:type="dxa"/>
            </w:tcMar>
            <w:vAlign w:val="center"/>
            <w:hideMark/>
          </w:tcPr>
          <w:p w14:paraId="1A437B6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29E2892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72B5138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27BB2B3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52768D1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2910761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778F210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48F3E19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4F23217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11C7E5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3CC93C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0F22DAB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log transformation,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Bland Altman, quartiles, ICC.</w:t>
            </w:r>
          </w:p>
        </w:tc>
      </w:tr>
      <w:tr w:rsidR="003E400D" w:rsidRPr="00D174DC" w14:paraId="6C64181E" w14:textId="77777777" w:rsidTr="00F53D71">
        <w:trPr>
          <w:trHeight w:val="285"/>
          <w:jc w:val="center"/>
        </w:trPr>
        <w:tc>
          <w:tcPr>
            <w:tcW w:w="1452" w:type="dxa"/>
            <w:tcMar>
              <w:top w:w="0" w:type="dxa"/>
              <w:left w:w="45" w:type="dxa"/>
              <w:bottom w:w="0" w:type="dxa"/>
              <w:right w:w="45" w:type="dxa"/>
            </w:tcMar>
            <w:vAlign w:val="center"/>
            <w:hideMark/>
          </w:tcPr>
          <w:p w14:paraId="2C3BA8E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Park et al (2012)</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{"citationItems":[{"id":"ITEM-1","itemData":{"author":[{"dropping-particle":"","family":"Park","given":"Min Kyung","non-dropping-particle":"","parse-names":false,"suffix":""},{"dropping-particle":"","family":"Noh","given":"Hwa Young","non-dropping-particle":"","parse-names":false,"suffix":""},{"dropping-particle":"","family":"Song","given":"Na Yeun","non-dropping-particle":"","parse-names":false,"suffix":""},{"dropping-particle":"","family":"Paik","given":"Hee Young","non-dropping-particle":"","parse-names":false,"suffix":""},{"dropping-particle":"","family":"Joung","given":"Hyojee","non-dropping-particle":"","parse-names":false,"suffix":""},{"dropping-particle":"","family":"Song","given":"Won O","non-dropping-particle":"","parse-names":false,"suffix":""},{"dropping-particle":"","family":"Kim","given":"Jeongseon","non-dropping-particle":"","parse-names":false,"suffix":""}],"id":"ITEM-1","issued":{"date-parts":[["2012"]]},"page":"545-552","title":"Validity and Reliability of a Dish-based , Semi-quantitative Food Frequency Questionnaire for Korean Diet and Cancer","type":"article-journal","volume":"13"},"uris":["http://www.mendeley.com/documents/?uuid=0ca45f31-cd66-4ed4-88cc-a14fe20332b2"]}],"mendeley":{"formattedCitation":"&lt;sup&gt;(58)&lt;/sup&gt;","plainTextFormattedCitation":"(58)","previouslyFormattedCitation":"&lt;sup&gt;(58)&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(58)</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07CAFA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DD0806"/>
            <w:tcMar>
              <w:top w:w="0" w:type="dxa"/>
              <w:left w:w="45" w:type="dxa"/>
              <w:bottom w:w="0" w:type="dxa"/>
              <w:right w:w="45" w:type="dxa"/>
            </w:tcMar>
            <w:vAlign w:val="center"/>
            <w:hideMark/>
          </w:tcPr>
          <w:p w14:paraId="10FA2D1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68A0A49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FF9900"/>
            <w:tcMar>
              <w:top w:w="0" w:type="dxa"/>
              <w:left w:w="45" w:type="dxa"/>
              <w:bottom w:w="0" w:type="dxa"/>
              <w:right w:w="45" w:type="dxa"/>
            </w:tcMar>
            <w:vAlign w:val="center"/>
            <w:hideMark/>
          </w:tcPr>
          <w:p w14:paraId="75D741D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 and c)</w:t>
            </w:r>
          </w:p>
        </w:tc>
        <w:tc>
          <w:tcPr>
            <w:tcW w:w="850" w:type="dxa"/>
            <w:shd w:val="clear" w:color="auto" w:fill="1FB714"/>
            <w:tcMar>
              <w:top w:w="0" w:type="dxa"/>
              <w:left w:w="45" w:type="dxa"/>
              <w:bottom w:w="0" w:type="dxa"/>
              <w:right w:w="45" w:type="dxa"/>
            </w:tcMar>
            <w:vAlign w:val="center"/>
            <w:hideMark/>
          </w:tcPr>
          <w:p w14:paraId="5E06DC0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1FB714"/>
            <w:tcMar>
              <w:top w:w="0" w:type="dxa"/>
              <w:left w:w="45" w:type="dxa"/>
              <w:bottom w:w="0" w:type="dxa"/>
              <w:right w:w="45" w:type="dxa"/>
            </w:tcMar>
            <w:vAlign w:val="center"/>
            <w:hideMark/>
          </w:tcPr>
          <w:p w14:paraId="4833040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682E6F6F"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5875EEE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3F5C191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4B3B987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4855ED6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23810A7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287A673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7AD6A4D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177E894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quintiles</w:t>
            </w:r>
          </w:p>
        </w:tc>
      </w:tr>
      <w:tr w:rsidR="003E400D" w:rsidRPr="00D174DC" w14:paraId="26525ABF" w14:textId="77777777" w:rsidTr="00F53D71">
        <w:trPr>
          <w:trHeight w:val="285"/>
          <w:jc w:val="center"/>
        </w:trPr>
        <w:tc>
          <w:tcPr>
            <w:tcW w:w="1452" w:type="dxa"/>
            <w:tcMar>
              <w:top w:w="0" w:type="dxa"/>
              <w:left w:w="45" w:type="dxa"/>
              <w:bottom w:w="0" w:type="dxa"/>
              <w:right w:w="45" w:type="dxa"/>
            </w:tcMar>
            <w:vAlign w:val="center"/>
            <w:hideMark/>
          </w:tcPr>
          <w:p w14:paraId="56FE15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Macedo et al. (2013)</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Macedo-Ojeda","given":"Gabriela","non-dropping-particle":"","parse-names":false,"suffix":""},{"dropping-particle":"","family":"Vizmanos-Lamotte","given":"Barbara","non-dropping-particle":"","parse-names":false,"suffix":""},{"dropping-particle":"","family":"Márquez-Sandoval","given":"Yolanda Fabiola","non-dropping-particle":"","parse-names":false,"suffix":""},{"dropping-particle":"","family":"Rodríguez-Rocha","given":"Norma Patricia","non-dropping-particle":"","parse-names":false,"suffix":""},{"dropping-particle":"","family":"López-Uriarte","given":"Patricia Josefina","non-dropping-particle":"","parse-names":false,"suffix":""},{"dropping-particle":"","family":"Fernández-Ballart","given":"Joan D","non-dropping-particle":"","parse-names":false,"suffix":""}],"container-title":"Nutr Hosp","id":"ITEM-1","issue":"6","issued":{"date-parts":[["2013"]]},"page":"2212-2220","title":"Validation of a semi-quantitative food frequency questionnaire to assess food groups and nutrient intake","type":"article-journal","volume":"28"},"uris":["http://www.mendeley.com/documents/?uuid=4f461e82-20a5-4001-a413-65b79899aa3e"]}],"mendeley":{"formattedCitation":"&lt;sup&gt;(52)&lt;/sup&gt;","plainTextFormattedCitation":"(52)","previouslyFormattedCitation":"&lt;sup&gt;(52)&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(52)</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6C958BD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1FB714"/>
            <w:tcMar>
              <w:top w:w="0" w:type="dxa"/>
              <w:left w:w="45" w:type="dxa"/>
              <w:bottom w:w="0" w:type="dxa"/>
              <w:right w:w="45" w:type="dxa"/>
            </w:tcMar>
            <w:vAlign w:val="center"/>
            <w:hideMark/>
          </w:tcPr>
          <w:p w14:paraId="4021B0A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992" w:type="dxa"/>
            <w:shd w:val="clear" w:color="auto" w:fill="1FB714"/>
            <w:tcMar>
              <w:top w:w="0" w:type="dxa"/>
              <w:left w:w="45" w:type="dxa"/>
              <w:bottom w:w="0" w:type="dxa"/>
              <w:right w:w="45" w:type="dxa"/>
            </w:tcMar>
            <w:vAlign w:val="center"/>
            <w:hideMark/>
          </w:tcPr>
          <w:p w14:paraId="678408C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4F52C1D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34E445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3440AB4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1134" w:type="dxa"/>
            <w:tcMar>
              <w:top w:w="0" w:type="dxa"/>
              <w:left w:w="45" w:type="dxa"/>
              <w:bottom w:w="0" w:type="dxa"/>
              <w:right w:w="45" w:type="dxa"/>
            </w:tcMar>
            <w:vAlign w:val="center"/>
            <w:hideMark/>
          </w:tcPr>
          <w:p w14:paraId="2FF750CE"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Results are presented as described in the methods </w:t>
            </w:r>
            <w:proofErr w:type="spellStart"/>
            <w:r w:rsidRPr="002B6335">
              <w:rPr>
                <w:rFonts w:ascii="Times New Roman" w:eastAsia="Times New Roman" w:hAnsi="Times New Roman" w:cs="Times New Roman"/>
                <w:color w:val="000000"/>
                <w:sz w:val="16"/>
                <w:szCs w:val="16"/>
                <w:lang w:val="en-AU" w:eastAsia="es-ES"/>
              </w:rPr>
              <w:t>section</w:t>
            </w:r>
            <w:r w:rsidRPr="002B6335">
              <w:rPr>
                <w:rFonts w:ascii="Times New Roman" w:eastAsia="Times New Roman" w:hAnsi="Times New Roman" w:cs="Times New Roman"/>
                <w:color w:val="000000"/>
                <w:sz w:val="16"/>
                <w:szCs w:val="16"/>
                <w:vertAlign w:val="superscript"/>
                <w:lang w:val="en-AU" w:eastAsia="es-ES"/>
              </w:rPr>
              <w:t>b</w:t>
            </w:r>
            <w:proofErr w:type="spellEnd"/>
          </w:p>
        </w:tc>
        <w:tc>
          <w:tcPr>
            <w:tcW w:w="425" w:type="dxa"/>
            <w:shd w:val="clear" w:color="auto" w:fill="1FB714"/>
            <w:tcMar>
              <w:top w:w="0" w:type="dxa"/>
              <w:left w:w="45" w:type="dxa"/>
              <w:bottom w:w="0" w:type="dxa"/>
              <w:right w:w="45" w:type="dxa"/>
            </w:tcMar>
            <w:vAlign w:val="center"/>
            <w:hideMark/>
          </w:tcPr>
          <w:p w14:paraId="3DE3C76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666588B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603ACD9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4AECFB8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007A71A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746757C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3B9E6E8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8029671"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Bland Altman, ICC, quintiles.</w:t>
            </w:r>
          </w:p>
        </w:tc>
      </w:tr>
      <w:tr w:rsidR="003E400D" w:rsidRPr="00D174DC" w14:paraId="36750100" w14:textId="77777777" w:rsidTr="00F53D71">
        <w:trPr>
          <w:trHeight w:val="285"/>
          <w:jc w:val="center"/>
        </w:trPr>
        <w:tc>
          <w:tcPr>
            <w:tcW w:w="1452" w:type="dxa"/>
            <w:tcMar>
              <w:top w:w="0" w:type="dxa"/>
              <w:left w:w="45" w:type="dxa"/>
              <w:bottom w:w="0" w:type="dxa"/>
              <w:right w:w="45" w:type="dxa"/>
            </w:tcMar>
            <w:vAlign w:val="center"/>
            <w:hideMark/>
          </w:tcPr>
          <w:p w14:paraId="4070283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Bábic et al. (2014)</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Babíc","given":"Dora","non-dropping-particle":"","parse-names":false,"suffix":""},{"dropping-particle":"","family":"Sindik","given":"Jo","non-dropping-particle":"","parse-names":false,"suffix":""},{"dropping-particle":"","family":"Missoni","given":"Sa","non-dropping-particle":"","parse-names":false,"suffix":""}],"container-title":"Coll Antopol","id":"ITEM-1","issue":"3","issued":{"date-parts":[["2014"]]},"page":"1017-1026","title":"Development and Validation of a Self-Administered Food Frequency Questionnaire to Assess Habitual Dietary Intake and Quality of Diet in Healthy Adults in the Republic of Croatia","type":"article-journal","volume":"38"},"uris":["http://www.mendeley.com/documents/?uuid=76065940-25d6-414b-a83c-5da952e21429"]}],"mendeley":{"formattedCitation":"&lt;sup&gt;(24)&lt;/sup&gt;","plainTextFormattedCitation":"(24)","previouslyFormattedCitation":"&lt;sup&gt;(24)&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(24)</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29C426E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w:t>
            </w:r>
          </w:p>
        </w:tc>
        <w:tc>
          <w:tcPr>
            <w:tcW w:w="776" w:type="dxa"/>
            <w:shd w:val="clear" w:color="auto" w:fill="DD0806"/>
            <w:tcMar>
              <w:top w:w="0" w:type="dxa"/>
              <w:left w:w="45" w:type="dxa"/>
              <w:bottom w:w="0" w:type="dxa"/>
              <w:right w:w="45" w:type="dxa"/>
            </w:tcMar>
            <w:vAlign w:val="center"/>
            <w:hideMark/>
          </w:tcPr>
          <w:p w14:paraId="6515C3C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0F04DBA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851" w:type="dxa"/>
            <w:shd w:val="clear" w:color="auto" w:fill="DD0806"/>
            <w:tcMar>
              <w:top w:w="0" w:type="dxa"/>
              <w:left w:w="45" w:type="dxa"/>
              <w:bottom w:w="0" w:type="dxa"/>
              <w:right w:w="45" w:type="dxa"/>
            </w:tcMar>
            <w:vAlign w:val="center"/>
            <w:hideMark/>
          </w:tcPr>
          <w:p w14:paraId="486A484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30641D7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DD0806"/>
            <w:tcMar>
              <w:top w:w="0" w:type="dxa"/>
              <w:left w:w="45" w:type="dxa"/>
              <w:bottom w:w="0" w:type="dxa"/>
              <w:right w:w="45" w:type="dxa"/>
            </w:tcMar>
            <w:vAlign w:val="center"/>
            <w:hideMark/>
          </w:tcPr>
          <w:p w14:paraId="0BCA5AB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6D079A3D"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Food group correlation coefficients are not shown in the results section; in the tables, it is not clear whether Spearman or Pearson </w:t>
            </w:r>
            <w:r w:rsidRPr="002B6335">
              <w:rPr>
                <w:rFonts w:ascii="Times New Roman" w:eastAsia="Times New Roman" w:hAnsi="Times New Roman" w:cs="Times New Roman"/>
                <w:color w:val="000000"/>
                <w:sz w:val="16"/>
                <w:szCs w:val="16"/>
                <w:lang w:val="en-AU" w:eastAsia="es-ES"/>
              </w:rPr>
              <w:lastRenderedPageBreak/>
              <w:t xml:space="preserve">correlation </w:t>
            </w:r>
            <w:proofErr w:type="spellStart"/>
            <w:r w:rsidRPr="002B6335">
              <w:rPr>
                <w:rFonts w:ascii="Times New Roman" w:eastAsia="Times New Roman" w:hAnsi="Times New Roman" w:cs="Times New Roman"/>
                <w:color w:val="000000"/>
                <w:sz w:val="16"/>
                <w:szCs w:val="16"/>
                <w:lang w:val="en-AU" w:eastAsia="es-ES"/>
              </w:rPr>
              <w:t>coefficientes</w:t>
            </w:r>
            <w:proofErr w:type="spellEnd"/>
            <w:r w:rsidRPr="002B6335">
              <w:rPr>
                <w:rFonts w:ascii="Times New Roman" w:eastAsia="Times New Roman" w:hAnsi="Times New Roman" w:cs="Times New Roman"/>
                <w:color w:val="000000"/>
                <w:sz w:val="16"/>
                <w:szCs w:val="16"/>
                <w:lang w:val="en-AU" w:eastAsia="es-ES"/>
              </w:rPr>
              <w:t xml:space="preserve"> where performed.</w:t>
            </w:r>
          </w:p>
        </w:tc>
        <w:tc>
          <w:tcPr>
            <w:tcW w:w="425" w:type="dxa"/>
            <w:shd w:val="clear" w:color="auto" w:fill="DD0806"/>
            <w:tcMar>
              <w:top w:w="0" w:type="dxa"/>
              <w:left w:w="45" w:type="dxa"/>
              <w:bottom w:w="0" w:type="dxa"/>
              <w:right w:w="45" w:type="dxa"/>
            </w:tcMar>
            <w:vAlign w:val="center"/>
            <w:hideMark/>
          </w:tcPr>
          <w:p w14:paraId="57B4FBF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High risk</w:t>
            </w:r>
          </w:p>
        </w:tc>
        <w:tc>
          <w:tcPr>
            <w:tcW w:w="1134" w:type="dxa"/>
            <w:shd w:val="clear" w:color="auto" w:fill="FF9900"/>
            <w:tcMar>
              <w:top w:w="0" w:type="dxa"/>
              <w:left w:w="45" w:type="dxa"/>
              <w:bottom w:w="0" w:type="dxa"/>
              <w:right w:w="45" w:type="dxa"/>
            </w:tcMar>
            <w:vAlign w:val="center"/>
            <w:hideMark/>
          </w:tcPr>
          <w:p w14:paraId="5533ED0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441A0B4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362E75E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2F6F29F1"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6A8CD6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24DCD3D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46B8B14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Spearman</w:t>
            </w:r>
          </w:p>
        </w:tc>
      </w:tr>
      <w:tr w:rsidR="003E400D" w:rsidRPr="00D174DC" w14:paraId="1D7960CC" w14:textId="77777777" w:rsidTr="00F53D71">
        <w:trPr>
          <w:trHeight w:val="285"/>
          <w:jc w:val="center"/>
        </w:trPr>
        <w:tc>
          <w:tcPr>
            <w:tcW w:w="1452" w:type="dxa"/>
            <w:tcMar>
              <w:top w:w="0" w:type="dxa"/>
              <w:left w:w="45" w:type="dxa"/>
              <w:bottom w:w="0" w:type="dxa"/>
              <w:right w:w="45" w:type="dxa"/>
            </w:tcMar>
            <w:vAlign w:val="center"/>
            <w:hideMark/>
          </w:tcPr>
          <w:p w14:paraId="41B4368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lastRenderedPageBreak/>
              <w:t>Gunes et al. (2015)</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{"citationItems":[{"id":"ITEM-1","itemData":{"author":[{"dropping-particle":"","family":"Gunes","given":"Fatma Esra","non-dropping-particle":"","parse-names":false,"suffix":""},{"dropping-particle":"","family":"Imeryuz","given":"Nese","non-dropping-particle":"","parse-names":false,"suffix":""},{"dropping-particle":"","family":"Akalin","given":"Arzu","non-dropping-particle":"","parse-names":false,"suffix":""},{"dropping-particle":"","family":"Calik","given":"Burcu","non-dropping-particle":"","parse-names":false,"suffix":""},{"dropping-particle":"","family":"Bekiroglu","given":"Nural","non-dropping-particle":"","parse-names":false,"suffix":""},{"dropping-particle":"","family":"Alphan","given":"Emel","non-dropping-particle":"","parse-names":false,"suffix":""},{"dropping-particle":"","family":"Oguz","given":"Aytekin","non-dropping-particle":"","parse-names":false,"suffix":""},{"dropping-particle":"","family":"Dehghan","given":"Mahshid","non-dropping-particle":"","parse-names":false,"suffix":""}],"container-title":"J Pak Med Assoc","id":"ITEM-1","issued":{"date-parts":[["2015"]]},"page":"756-763","title":"Development and validation of a semi-quantitative food frequency questionnaire to assess dietary intake in Turkish adults","type":"article-journal","volume":"65"},"uris":["http://www.mendeley.com/documents/?uuid=32ef0598-2ad5-4936-890d-1146f24a65b6"]}],"mendeley":{"formattedCitation":"&lt;sup&gt;(70)&lt;/sup&gt;","plainTextFormattedCitation":"(70)","previouslyFormattedCitation":"&lt;sup&gt;(70)&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6A4393">
              <w:rPr>
                <w:rFonts w:ascii="Times New Roman" w:eastAsia="Times New Roman" w:hAnsi="Times New Roman" w:cs="Times New Roman"/>
                <w:noProof/>
                <w:color w:val="000000"/>
                <w:sz w:val="16"/>
                <w:szCs w:val="16"/>
                <w:vertAlign w:val="superscript"/>
                <w:lang w:val="es-MX" w:eastAsia="es-ES"/>
              </w:rPr>
              <w:t>(70)</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399D284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5D1FAF1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238E04F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1A6237C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1FB714"/>
            <w:tcMar>
              <w:top w:w="0" w:type="dxa"/>
              <w:left w:w="45" w:type="dxa"/>
              <w:bottom w:w="0" w:type="dxa"/>
              <w:right w:w="45" w:type="dxa"/>
            </w:tcMar>
            <w:vAlign w:val="center"/>
            <w:hideMark/>
          </w:tcPr>
          <w:p w14:paraId="4501926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1418" w:type="dxa"/>
            <w:shd w:val="clear" w:color="auto" w:fill="DD0806"/>
            <w:tcMar>
              <w:top w:w="0" w:type="dxa"/>
              <w:left w:w="45" w:type="dxa"/>
              <w:bottom w:w="0" w:type="dxa"/>
              <w:right w:w="45" w:type="dxa"/>
            </w:tcMar>
            <w:vAlign w:val="center"/>
            <w:hideMark/>
          </w:tcPr>
          <w:p w14:paraId="685B129F"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1134" w:type="dxa"/>
            <w:tcMar>
              <w:top w:w="0" w:type="dxa"/>
              <w:left w:w="45" w:type="dxa"/>
              <w:bottom w:w="0" w:type="dxa"/>
              <w:right w:w="45" w:type="dxa"/>
            </w:tcMar>
            <w:vAlign w:val="center"/>
            <w:hideMark/>
          </w:tcPr>
          <w:p w14:paraId="08E6525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6F2127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0FBA91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1FB714"/>
            <w:tcMar>
              <w:top w:w="0" w:type="dxa"/>
              <w:left w:w="45" w:type="dxa"/>
              <w:bottom w:w="0" w:type="dxa"/>
              <w:right w:w="45" w:type="dxa"/>
            </w:tcMar>
            <w:vAlign w:val="center"/>
            <w:hideMark/>
          </w:tcPr>
          <w:p w14:paraId="03767A0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7333002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0699D42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566D8D8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43DA487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281A8BFE"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quartiles, Bland-Altman, kappa</w:t>
            </w:r>
          </w:p>
        </w:tc>
      </w:tr>
      <w:tr w:rsidR="003E400D" w:rsidRPr="00D174DC" w14:paraId="3161E824" w14:textId="77777777" w:rsidTr="00F53D71">
        <w:trPr>
          <w:trHeight w:val="285"/>
          <w:jc w:val="center"/>
        </w:trPr>
        <w:tc>
          <w:tcPr>
            <w:tcW w:w="1452" w:type="dxa"/>
            <w:tcMar>
              <w:top w:w="0" w:type="dxa"/>
              <w:left w:w="45" w:type="dxa"/>
              <w:bottom w:w="0" w:type="dxa"/>
              <w:right w:w="45" w:type="dxa"/>
            </w:tcMar>
            <w:vAlign w:val="center"/>
            <w:hideMark/>
          </w:tcPr>
          <w:p w14:paraId="54833D9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Denova et al. (2016)</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uthor":[{"dropping-particle":"","family":"Denova-Gutiérrez","given":"Edgar","non-dropping-particle":"","parse-names":false,"suffix":""},{"dropping-particle":"","family":"Ramírez-Silva","given":"Ivonne","non-dropping-particle":"","parse-names":false,"suffix":""},{"dropping-particle":"","family":"Rodríguez-Ramírez","given":"Sonia","non-dropping-particle":"","parse-names":false,"suffix":""},{"dropping-particle":"","family":"Jiménez-Aguilar","given":"Alejandra","non-dropping-particle":"","parse-names":false,"suffix":""},{"dropping-particle":"","family":"Shamah-Levy","given":"Teresa","non-dropping-particle":"","parse-names":false,"suffix":""},{"dropping-particle":"","family":"Rivera-Dommarco","given":"Juan A","non-dropping-particle":"","parse-names":false,"suffix":""}],"container-title":"Salud pública de México","id":"ITEM-1","issue":"6","issued":{"date-parts":[["2016"]]},"page":"617-628","title":"Validity of a food frequency questionnaire to assess food intake in Mexican adolescent and adult population","type":"article-journal","volume":"58"},"uris":["http://www.mendeley.com/documents/?uuid=2044430d-339d-4f1c-8e60-dd0fabc642e9"]}],"mendeley":{"formattedCitation":"&lt;sup&gt;(45)&lt;/sup&gt;","plainTextFormattedCitation":"(45)","previouslyFormattedCitation":"&lt;sup&gt;(45)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(45)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49DD93C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1FB714"/>
            <w:tcMar>
              <w:top w:w="0" w:type="dxa"/>
              <w:left w:w="45" w:type="dxa"/>
              <w:bottom w:w="0" w:type="dxa"/>
              <w:right w:w="45" w:type="dxa"/>
            </w:tcMar>
            <w:vAlign w:val="center"/>
            <w:hideMark/>
          </w:tcPr>
          <w:p w14:paraId="547B2AA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992" w:type="dxa"/>
            <w:shd w:val="clear" w:color="auto" w:fill="1FB714"/>
            <w:tcMar>
              <w:top w:w="0" w:type="dxa"/>
              <w:left w:w="45" w:type="dxa"/>
              <w:bottom w:w="0" w:type="dxa"/>
              <w:right w:w="45" w:type="dxa"/>
            </w:tcMar>
            <w:vAlign w:val="center"/>
            <w:hideMark/>
          </w:tcPr>
          <w:p w14:paraId="1420686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1FB714"/>
            <w:tcMar>
              <w:top w:w="0" w:type="dxa"/>
              <w:left w:w="45" w:type="dxa"/>
              <w:bottom w:w="0" w:type="dxa"/>
              <w:right w:w="45" w:type="dxa"/>
            </w:tcMar>
            <w:vAlign w:val="center"/>
            <w:hideMark/>
          </w:tcPr>
          <w:p w14:paraId="3A528E3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0C278AF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6409C55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65E3B41A"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B81371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572A570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1FB714"/>
            <w:tcMar>
              <w:top w:w="0" w:type="dxa"/>
              <w:left w:w="45" w:type="dxa"/>
              <w:bottom w:w="0" w:type="dxa"/>
              <w:right w:w="45" w:type="dxa"/>
            </w:tcMar>
            <w:vAlign w:val="center"/>
            <w:hideMark/>
          </w:tcPr>
          <w:p w14:paraId="0E5A597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0" w:type="dxa"/>
            <w:shd w:val="clear" w:color="auto" w:fill="1FB714"/>
            <w:tcMar>
              <w:top w:w="0" w:type="dxa"/>
              <w:left w:w="45" w:type="dxa"/>
              <w:bottom w:w="0" w:type="dxa"/>
              <w:right w:w="45" w:type="dxa"/>
            </w:tcMar>
            <w:vAlign w:val="center"/>
            <w:hideMark/>
          </w:tcPr>
          <w:p w14:paraId="3B27694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71FF697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6E7EDB4A"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13AFA1E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53E272FB"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Bland-Altman,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kappa, quartiles, log transformation, regression</w:t>
            </w:r>
          </w:p>
        </w:tc>
      </w:tr>
      <w:tr w:rsidR="003E400D" w:rsidRPr="00D174DC" w14:paraId="7387ADF8" w14:textId="77777777" w:rsidTr="00F53D71">
        <w:trPr>
          <w:trHeight w:val="285"/>
          <w:jc w:val="center"/>
        </w:trPr>
        <w:tc>
          <w:tcPr>
            <w:tcW w:w="1452" w:type="dxa"/>
            <w:tcMar>
              <w:top w:w="0" w:type="dxa"/>
              <w:left w:w="45" w:type="dxa"/>
              <w:bottom w:w="0" w:type="dxa"/>
              <w:right w:w="45" w:type="dxa"/>
            </w:tcMar>
            <w:vAlign w:val="center"/>
            <w:hideMark/>
          </w:tcPr>
          <w:p w14:paraId="1413889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Jayawarena et al. (2016)</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{"citationItems":[{"id":"ITEM-1","itemData":{"ISSN":"2193-1801","author":[{"dropping-particle":"","family":"Jayawardena","given":"Ranil","non-dropping-particle":"","parse-names":false,"suffix":""},{"dropping-particle":"","family":"Byrne","given":"Nuala M","non-dropping-particle":"","parse-names":false,"suffix":""},{"dropping-particle":"","family":"Soares","given":"Mario J","non-dropping-particle":"","parse-names":false,"suffix":""},{"dropping-particle":"","family":"Katulanda","given":"Prasad","non-dropping-particle":"","parse-names":false,"suffix":""},{"dropping-particle":"","family":"Hills","given":"Andrew P","non-dropping-particle":"","parse-names":false,"suffix":""}],"container-title":"SpringerPlus","id":"ITEM-1","issued":{"date-parts":[["2016"]]},"page":"162","title":"Validity of a food frequency questionnaire to assess nutritional intake among Sri Lankan adults","type":"article-journal","volume":"5"},"uris":["http://www.mendeley.com/documents/?uuid=3f79ce7e-5393-4fea-846b-71b174c0845b"]}],"mendeley":{"formattedCitation":"&lt;sup&gt;(56)&lt;/sup&gt;","plainTextFormattedCitation":"(56)","previouslyFormattedCitation":"&lt;sup&gt;(56)&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(56)</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4C6AF43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776" w:type="dxa"/>
            <w:shd w:val="clear" w:color="auto" w:fill="DD0806"/>
            <w:tcMar>
              <w:top w:w="0" w:type="dxa"/>
              <w:left w:w="45" w:type="dxa"/>
              <w:bottom w:w="0" w:type="dxa"/>
              <w:right w:w="45" w:type="dxa"/>
            </w:tcMar>
            <w:vAlign w:val="center"/>
            <w:hideMark/>
          </w:tcPr>
          <w:p w14:paraId="3E2713F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DD0806"/>
            <w:tcMar>
              <w:top w:w="0" w:type="dxa"/>
              <w:left w:w="45" w:type="dxa"/>
              <w:bottom w:w="0" w:type="dxa"/>
              <w:right w:w="45" w:type="dxa"/>
            </w:tcMar>
            <w:vAlign w:val="center"/>
            <w:hideMark/>
          </w:tcPr>
          <w:p w14:paraId="7C365AA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None</w:t>
            </w:r>
          </w:p>
        </w:tc>
        <w:tc>
          <w:tcPr>
            <w:tcW w:w="851" w:type="dxa"/>
            <w:shd w:val="clear" w:color="auto" w:fill="1FB714"/>
            <w:tcMar>
              <w:top w:w="0" w:type="dxa"/>
              <w:left w:w="45" w:type="dxa"/>
              <w:bottom w:w="0" w:type="dxa"/>
              <w:right w:w="45" w:type="dxa"/>
            </w:tcMar>
            <w:vAlign w:val="center"/>
            <w:hideMark/>
          </w:tcPr>
          <w:p w14:paraId="4C4083A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0" w:type="dxa"/>
            <w:shd w:val="clear" w:color="auto" w:fill="DD0806"/>
            <w:tcMar>
              <w:top w:w="0" w:type="dxa"/>
              <w:left w:w="45" w:type="dxa"/>
              <w:bottom w:w="0" w:type="dxa"/>
              <w:right w:w="45" w:type="dxa"/>
            </w:tcMar>
            <w:vAlign w:val="center"/>
            <w:hideMark/>
          </w:tcPr>
          <w:p w14:paraId="6208309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6F3C887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004C09E3"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0023F60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FF9900"/>
            <w:tcMar>
              <w:top w:w="0" w:type="dxa"/>
              <w:left w:w="45" w:type="dxa"/>
              <w:bottom w:w="0" w:type="dxa"/>
              <w:right w:w="45" w:type="dxa"/>
            </w:tcMar>
            <w:vAlign w:val="center"/>
            <w:hideMark/>
          </w:tcPr>
          <w:p w14:paraId="7EA3071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1" w:type="dxa"/>
            <w:shd w:val="clear" w:color="auto" w:fill="FF9900"/>
            <w:tcMar>
              <w:top w:w="0" w:type="dxa"/>
              <w:left w:w="45" w:type="dxa"/>
              <w:bottom w:w="0" w:type="dxa"/>
              <w:right w:w="45" w:type="dxa"/>
            </w:tcMar>
            <w:vAlign w:val="center"/>
            <w:hideMark/>
          </w:tcPr>
          <w:p w14:paraId="4F55138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1FB714"/>
            <w:tcMar>
              <w:top w:w="0" w:type="dxa"/>
              <w:left w:w="45" w:type="dxa"/>
              <w:bottom w:w="0" w:type="dxa"/>
              <w:right w:w="45" w:type="dxa"/>
            </w:tcMar>
            <w:vAlign w:val="center"/>
            <w:hideMark/>
          </w:tcPr>
          <w:p w14:paraId="0DDB101E"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9" w:type="dxa"/>
            <w:shd w:val="clear" w:color="auto" w:fill="DD0806"/>
            <w:tcMar>
              <w:top w:w="0" w:type="dxa"/>
              <w:left w:w="45" w:type="dxa"/>
              <w:bottom w:w="0" w:type="dxa"/>
              <w:right w:w="45" w:type="dxa"/>
            </w:tcMar>
            <w:vAlign w:val="center"/>
            <w:hideMark/>
          </w:tcPr>
          <w:p w14:paraId="2805FBDB"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089BD9CD"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5DFF4DC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265705D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 Bland-Altman</w:t>
            </w:r>
          </w:p>
        </w:tc>
      </w:tr>
      <w:tr w:rsidR="003E400D" w:rsidRPr="00D174DC" w14:paraId="76F33F01" w14:textId="77777777" w:rsidTr="00F53D71">
        <w:trPr>
          <w:trHeight w:val="285"/>
          <w:jc w:val="center"/>
        </w:trPr>
        <w:tc>
          <w:tcPr>
            <w:tcW w:w="1452" w:type="dxa"/>
            <w:tcMar>
              <w:top w:w="0" w:type="dxa"/>
              <w:left w:w="45" w:type="dxa"/>
              <w:bottom w:w="0" w:type="dxa"/>
              <w:right w:w="45" w:type="dxa"/>
            </w:tcMar>
            <w:vAlign w:val="center"/>
            <w:hideMark/>
          </w:tcPr>
          <w:p w14:paraId="3729EB05"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Knudsen et al. (2016)</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val="es-MX" w:eastAsia="es-ES"/>
              </w:rPr>
              <w:instrText>ADDIN CSL_CITATION {"citationItems":[{"id":"ITEM-1","itemData":{"abstract":"OBJECTIVE To assess the relative validity of a semi-quantitative, web-based FFQ completed by female pregnancy planners in the Danish 'Snart Forældre' study. DESIGN We validated a web-based FFQ based on the FFQ used in the Danish National Birth Cohort against a 4 d food diary (FD) and assessed the relative validity of intakes of foods and nutrients. We compared means and medians of intakes, and calculated Pearson correlation coefficients and de-attenuated coefficients to assess agreement between the two methods. We also calculated the proportion correctly classified based on the same or adjacent quintile of intake and the proportion of grossly misclassified (extreme quintiles). SETTING Participants (n 128) in the 'Snart Forældre' study who had completed the web-based FFQ were invited to participate in the validation study. SUBJECTS Participants in the 'Snart Forældre' study, in total ninety-seven women aged 20-42 years. RESULTS Reported intakes of dairy products, vegetables and potatoes were higher in the FFQ compared with the FD, whereas reported intakes of fruit, meat, sugar and beverages were lower in the FFQ than in the FD. Overall the de-attenuated correlation coefficients were acceptable, ranging from 0·33 for energy to 0·93 for vitamin D. The majority of the women were classified in the same or adjacent quintile and few women were misclassified (extreme quintiles). CONCLUSION The web-based FFQ performs well for ranking women of reproductive age according to high or low intake of foods and nutrients and, thus, provides a solid basis for investigating associations between diet and fertility.","author":[{"dropping-particle":"","family":"Knudsen","given":"Vibeke K","non-dropping-particle":"","parse-names":false,"suffix":""},{"dropping-particle":"","family":"Hatch","given":"Elizabeth E","non-dropping-particle":"","parse-names":false,"suffix":""},{"dropping-particle":"","family":"Cueto","given":"Heidi","non-dropping-particle":"","parse-names":false,"suffix":""},{"dropping-particle":"","family":"Tucker","given":"Katherine L","non-dropping-particle":"","parse-names":false,"suffix":""},{"dropping-particle":"","family":"Wise","given":"Lauren","non-dropping-particle":"","parse-names":false,"suffix":""},{"dropping-particle":"","family":"Christensen","given":"Tue","non-dropping-particle":"","parse-names":false,"suffix":""},{"dropping-particle":"","family":"Mikkelsen","given":"Ellen M","non-dropping-particle":"","parse-names":false,"suffix":""}],"container-title":"Public Health Nutr.","id":"ITEM-1","issue":"6","issued":{"date-parts":[["2016","4"]]},"page":"1027-1034","title":"Relative validity of a semi-quantitative, web-based FFQ used in the 'Snart Forældre' cohort - a Danish study of diet and fertility.","type":"article-journal","volume":"19"},"uris":["http://www.mendeley.com/documents/?uuid=fa12a4a2-e741-31cb-a5b5-d45eb9d67369"]}],"mendeley":{"formattedCitation":"&lt;sup&gt;(15)&lt;/sup&gt;","plainTextFormattedCitation":"(15)","previouslyFormattedCitation":"&lt;sup&gt;(15)&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s-MX" w:eastAsia="es-ES"/>
              </w:rPr>
              <w:t>(15)</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DD0806"/>
            <w:tcMar>
              <w:top w:w="0" w:type="dxa"/>
              <w:left w:w="45" w:type="dxa"/>
              <w:bottom w:w="0" w:type="dxa"/>
              <w:right w:w="45" w:type="dxa"/>
            </w:tcMar>
            <w:vAlign w:val="center"/>
            <w:hideMark/>
          </w:tcPr>
          <w:p w14:paraId="5E29F642"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776" w:type="dxa"/>
            <w:shd w:val="clear" w:color="auto" w:fill="DD0806"/>
            <w:tcMar>
              <w:top w:w="0" w:type="dxa"/>
              <w:left w:w="45" w:type="dxa"/>
              <w:bottom w:w="0" w:type="dxa"/>
              <w:right w:w="45" w:type="dxa"/>
            </w:tcMar>
            <w:vAlign w:val="center"/>
            <w:hideMark/>
          </w:tcPr>
          <w:p w14:paraId="0AD91AD8"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992" w:type="dxa"/>
            <w:shd w:val="clear" w:color="auto" w:fill="1FB714"/>
            <w:tcMar>
              <w:top w:w="0" w:type="dxa"/>
              <w:left w:w="45" w:type="dxa"/>
              <w:bottom w:w="0" w:type="dxa"/>
              <w:right w:w="45" w:type="dxa"/>
            </w:tcMar>
            <w:vAlign w:val="center"/>
            <w:hideMark/>
          </w:tcPr>
          <w:p w14:paraId="45E7944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*a</w:t>
            </w:r>
          </w:p>
        </w:tc>
        <w:tc>
          <w:tcPr>
            <w:tcW w:w="851" w:type="dxa"/>
            <w:shd w:val="clear" w:color="auto" w:fill="DD0806"/>
            <w:tcMar>
              <w:top w:w="0" w:type="dxa"/>
              <w:left w:w="45" w:type="dxa"/>
              <w:bottom w:w="0" w:type="dxa"/>
              <w:right w:w="45" w:type="dxa"/>
            </w:tcMar>
            <w:vAlign w:val="center"/>
            <w:hideMark/>
          </w:tcPr>
          <w:p w14:paraId="60305064"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c</w:t>
            </w:r>
          </w:p>
        </w:tc>
        <w:tc>
          <w:tcPr>
            <w:tcW w:w="850" w:type="dxa"/>
            <w:shd w:val="clear" w:color="auto" w:fill="DD0806"/>
            <w:tcMar>
              <w:top w:w="0" w:type="dxa"/>
              <w:left w:w="45" w:type="dxa"/>
              <w:bottom w:w="0" w:type="dxa"/>
              <w:right w:w="45" w:type="dxa"/>
            </w:tcMar>
            <w:vAlign w:val="center"/>
            <w:hideMark/>
          </w:tcPr>
          <w:p w14:paraId="3888FC0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 xml:space="preserve">b </w:t>
            </w:r>
          </w:p>
        </w:tc>
        <w:tc>
          <w:tcPr>
            <w:tcW w:w="1418" w:type="dxa"/>
            <w:shd w:val="clear" w:color="auto" w:fill="1FB714"/>
            <w:tcMar>
              <w:top w:w="0" w:type="dxa"/>
              <w:left w:w="45" w:type="dxa"/>
              <w:bottom w:w="0" w:type="dxa"/>
              <w:right w:w="45" w:type="dxa"/>
            </w:tcMar>
            <w:vAlign w:val="center"/>
            <w:hideMark/>
          </w:tcPr>
          <w:p w14:paraId="7A3A2B8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*b</w:t>
            </w:r>
          </w:p>
        </w:tc>
        <w:tc>
          <w:tcPr>
            <w:tcW w:w="1134" w:type="dxa"/>
            <w:tcMar>
              <w:top w:w="0" w:type="dxa"/>
              <w:left w:w="45" w:type="dxa"/>
              <w:bottom w:w="0" w:type="dxa"/>
              <w:right w:w="45" w:type="dxa"/>
            </w:tcMar>
            <w:vAlign w:val="center"/>
            <w:hideMark/>
          </w:tcPr>
          <w:p w14:paraId="24A4CBB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6127CDB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Low risk</w:t>
            </w:r>
          </w:p>
        </w:tc>
        <w:tc>
          <w:tcPr>
            <w:tcW w:w="1134" w:type="dxa"/>
            <w:shd w:val="clear" w:color="auto" w:fill="1FB714"/>
            <w:tcMar>
              <w:top w:w="0" w:type="dxa"/>
              <w:left w:w="45" w:type="dxa"/>
              <w:bottom w:w="0" w:type="dxa"/>
              <w:right w:w="45" w:type="dxa"/>
            </w:tcMar>
            <w:vAlign w:val="center"/>
            <w:hideMark/>
          </w:tcPr>
          <w:p w14:paraId="4F0C0C6C"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851" w:type="dxa"/>
            <w:shd w:val="clear" w:color="auto" w:fill="FF9900"/>
            <w:tcMar>
              <w:top w:w="0" w:type="dxa"/>
              <w:left w:w="45" w:type="dxa"/>
              <w:bottom w:w="0" w:type="dxa"/>
              <w:right w:w="45" w:type="dxa"/>
            </w:tcMar>
            <w:vAlign w:val="center"/>
            <w:hideMark/>
          </w:tcPr>
          <w:p w14:paraId="1C455963"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850" w:type="dxa"/>
            <w:shd w:val="clear" w:color="auto" w:fill="FF9900"/>
            <w:tcMar>
              <w:top w:w="0" w:type="dxa"/>
              <w:left w:w="45" w:type="dxa"/>
              <w:bottom w:w="0" w:type="dxa"/>
              <w:right w:w="45" w:type="dxa"/>
            </w:tcMar>
            <w:vAlign w:val="center"/>
            <w:hideMark/>
          </w:tcPr>
          <w:p w14:paraId="2B82EFC0"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Incomplete</w:t>
            </w:r>
          </w:p>
        </w:tc>
        <w:tc>
          <w:tcPr>
            <w:tcW w:w="709" w:type="dxa"/>
            <w:shd w:val="clear" w:color="auto" w:fill="DD0806"/>
            <w:tcMar>
              <w:top w:w="0" w:type="dxa"/>
              <w:left w:w="45" w:type="dxa"/>
              <w:bottom w:w="0" w:type="dxa"/>
              <w:right w:w="45" w:type="dxa"/>
            </w:tcMar>
            <w:vAlign w:val="center"/>
            <w:hideMark/>
          </w:tcPr>
          <w:p w14:paraId="593468D9"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No</w:t>
            </w:r>
          </w:p>
        </w:tc>
        <w:tc>
          <w:tcPr>
            <w:tcW w:w="709" w:type="dxa"/>
            <w:shd w:val="clear" w:color="auto" w:fill="1FB714"/>
            <w:tcMar>
              <w:top w:w="0" w:type="dxa"/>
              <w:left w:w="45" w:type="dxa"/>
              <w:bottom w:w="0" w:type="dxa"/>
              <w:right w:w="45" w:type="dxa"/>
            </w:tcMar>
            <w:vAlign w:val="center"/>
            <w:hideMark/>
          </w:tcPr>
          <w:p w14:paraId="4AA72D57"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708" w:type="dxa"/>
            <w:shd w:val="clear" w:color="auto" w:fill="1FB714"/>
            <w:tcMar>
              <w:top w:w="0" w:type="dxa"/>
              <w:left w:w="45" w:type="dxa"/>
              <w:bottom w:w="0" w:type="dxa"/>
              <w:right w:w="45" w:type="dxa"/>
            </w:tcMar>
            <w:vAlign w:val="center"/>
            <w:hideMark/>
          </w:tcPr>
          <w:p w14:paraId="0A833AA6" w14:textId="77777777" w:rsidR="003E400D" w:rsidRPr="00D174DC" w:rsidRDefault="003E400D" w:rsidP="00F53D71">
            <w:pPr>
              <w:spacing w:after="0" w:line="240" w:lineRule="auto"/>
              <w:rPr>
                <w:rFonts w:ascii="Times New Roman" w:eastAsia="Times New Roman" w:hAnsi="Times New Roman" w:cs="Times New Roman"/>
                <w:color w:val="000000"/>
                <w:sz w:val="16"/>
                <w:szCs w:val="16"/>
                <w:lang w:val="es-MX" w:eastAsia="es-ES"/>
              </w:rPr>
            </w:pPr>
            <w:r w:rsidRPr="00D174DC">
              <w:rPr>
                <w:rFonts w:ascii="Times New Roman" w:eastAsia="Times New Roman" w:hAnsi="Times New Roman" w:cs="Times New Roman"/>
                <w:color w:val="000000"/>
                <w:sz w:val="16"/>
                <w:szCs w:val="16"/>
                <w:lang w:val="es-MX" w:eastAsia="es-ES"/>
              </w:rPr>
              <w:t>Yes</w:t>
            </w:r>
          </w:p>
        </w:tc>
        <w:tc>
          <w:tcPr>
            <w:tcW w:w="1422" w:type="dxa"/>
            <w:shd w:val="clear" w:color="auto" w:fill="1FB714"/>
            <w:tcMar>
              <w:top w:w="0" w:type="dxa"/>
              <w:left w:w="45" w:type="dxa"/>
              <w:bottom w:w="0" w:type="dxa"/>
              <w:right w:w="45" w:type="dxa"/>
            </w:tcMar>
            <w:vAlign w:val="center"/>
            <w:hideMark/>
          </w:tcPr>
          <w:p w14:paraId="676DB630"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 xml:space="preserve">Yes: Bland-Altman, </w:t>
            </w:r>
            <w:proofErr w:type="spellStart"/>
            <w:r w:rsidRPr="002B6335">
              <w:rPr>
                <w:rFonts w:ascii="Times New Roman" w:eastAsia="Times New Roman" w:hAnsi="Times New Roman" w:cs="Times New Roman"/>
                <w:color w:val="000000"/>
                <w:sz w:val="16"/>
                <w:szCs w:val="16"/>
                <w:lang w:val="en-AU" w:eastAsia="es-ES"/>
              </w:rPr>
              <w:t>deattenuation</w:t>
            </w:r>
            <w:proofErr w:type="spellEnd"/>
            <w:r w:rsidRPr="002B6335">
              <w:rPr>
                <w:rFonts w:ascii="Times New Roman" w:eastAsia="Times New Roman" w:hAnsi="Times New Roman" w:cs="Times New Roman"/>
                <w:color w:val="000000"/>
                <w:sz w:val="16"/>
                <w:szCs w:val="16"/>
                <w:lang w:val="en-AU" w:eastAsia="es-ES"/>
              </w:rPr>
              <w:t>, quintiles, paired t-test, Wilcoxon</w:t>
            </w:r>
          </w:p>
        </w:tc>
      </w:tr>
      <w:tr w:rsidR="003E400D" w14:paraId="52570D60" w14:textId="77777777" w:rsidTr="00F53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322"/>
          <w:jc w:val="center"/>
        </w:trPr>
        <w:tc>
          <w:tcPr>
            <w:tcW w:w="1452" w:type="dxa"/>
            <w:tcMar>
              <w:top w:w="0" w:type="dxa"/>
              <w:left w:w="45" w:type="dxa"/>
              <w:bottom w:w="0" w:type="dxa"/>
              <w:right w:w="45" w:type="dxa"/>
            </w:tcMar>
            <w:vAlign w:val="center"/>
          </w:tcPr>
          <w:p w14:paraId="6CC4F4F5" w14:textId="77777777" w:rsidR="003E400D" w:rsidRPr="001C5F2A" w:rsidRDefault="003E400D" w:rsidP="00F53D71">
            <w:pPr>
              <w:spacing w:after="0" w:line="240" w:lineRule="auto"/>
              <w:rPr>
                <w:rFonts w:ascii="Times New Roman" w:eastAsia="Times New Roman" w:hAnsi="Times New Roman" w:cs="Times New Roman"/>
                <w:sz w:val="16"/>
                <w:szCs w:val="16"/>
                <w:highlight w:val="yellow"/>
              </w:rPr>
            </w:pPr>
            <w:r w:rsidRPr="001C5F2A">
              <w:rPr>
                <w:rFonts w:ascii="Times New Roman" w:eastAsia="Times New Roman" w:hAnsi="Times New Roman" w:cs="Times New Roman"/>
                <w:sz w:val="16"/>
                <w:szCs w:val="16"/>
              </w:rPr>
              <w:t>Gazan et al. (2017)</w:t>
            </w:r>
            <w:r w:rsidRPr="001C5F2A">
              <w:rPr>
                <w:rFonts w:ascii="Times New Roman" w:eastAsia="Times New Roman" w:hAnsi="Times New Roman" w:cs="Times New Roman"/>
                <w:sz w:val="16"/>
                <w:szCs w:val="16"/>
                <w:lang w:val="es-MX" w:eastAsia="es-ES"/>
              </w:rPr>
              <w:t xml:space="preserve"> </w:t>
            </w:r>
            <w:r w:rsidRPr="001C5F2A">
              <w:rPr>
                <w:rFonts w:ascii="Times New Roman" w:eastAsia="Times New Roman" w:hAnsi="Times New Roman" w:cs="Times New Roman"/>
                <w:sz w:val="16"/>
                <w:szCs w:val="16"/>
                <w:lang w:val="es-MX" w:eastAsia="es-ES"/>
              </w:rPr>
              <w:fldChar w:fldCharType="begin" w:fldLock="1"/>
            </w:r>
            <w:r w:rsidRPr="001C5F2A">
              <w:rPr>
                <w:rFonts w:ascii="Times New Roman" w:eastAsia="Times New Roman" w:hAnsi="Times New Roman" w:cs="Times New Roman"/>
                <w:sz w:val="16"/>
                <w:szCs w:val="16"/>
                <w:lang w:val="es-MX" w:eastAsia="es-ES"/>
              </w:rPr>
              <w:instrText>ADDIN CSL_CITATION {"citationItems":[{"id":"ITEM-1","itemData":{"DOI":"10.3389/fnut.2017.00062","ISSN":"2296861X","abstract":"Background: Food frequency questionnaires (FFQs) are used to estimate the usual food and nutrient intakes over a period of time. Such estimates can suffer from measurement errors, either due to bias induced by respondent’s answers or to errors induced by the structure of the questionnaire (e.g., using a limited number of food items and an aggregated food database with average portion sizes). The “structural validation” presented in this study aims to isolate and quantify the impact of the inherent structure of a FFQ on the estimation of food and nutrient intakes, independently of respondent’s perception of the questionnaire. Methods: A semi-quantitative FFQ (n = 94 items, including 50 items with questions on portion sizes) and an associated aggregated food composition database (named the item-composition database) were developed, based on the self-reported weekly dietary records of 1918 adults (18–79 years-old) in the French Individual and National Dietary Survey 2 (INCA2), and the French CIQUAL 2013 food-composition database of all the foods (n = 1342 foods) declared as consumed in the population. Reference intakes of foods (“REF_FOOD”) and nutrients (“REF_NUT”) were calculated for each adult using the food-composition database and the amounts of foods self-reported in his/her dietary record. Then, answers to the FFQ were simulated for each adult based on his/her self-reported dietary record. “FFQ_FOOD” and “FFQ_NUT” intakes were estimated using the simulated answers and the item-composition database. Measurement errors (in %), spearman correlations and cross-classification were used to compare “REF_FOOD” with “FFQ_FOOD” and “REF_NUT” with “FFQ_NUT”. Results: Compared to “REF_NUT,” “FFQ_NUT” total quantity and total energy intake were underestimated on average by 198 g/day and 666 kJ/day, respectively. “FFQ_FOOD” intakes were well estimated for starches, underestimated for most of the subgroups, and overestimated for some subgroups, in part</w:instrText>
            </w:r>
            <w:r w:rsidRPr="003E400D">
              <w:rPr>
                <w:rFonts w:ascii="Times New Roman" w:eastAsia="Times New Roman" w:hAnsi="Times New Roman" w:cs="Times New Roman"/>
                <w:sz w:val="16"/>
                <w:szCs w:val="16"/>
                <w:lang w:eastAsia="es-ES"/>
              </w:rPr>
              <w:instrText>icular vegetables. Underestimation were mainly due to the use of portion sizes, leading to an underestimation of most of nutrients, except free sugars which were overestimated. Conclusion: The “structural validation” by simulating answers to a FFQ based on a reference dietary survey is innovative and pragmatic and allows quantifying the error induced by the simplification of the method of collection.","author":[{"dropping-particle":"","family":"Gazan","given":"Rozenn","non-dropping-particle":"","parse-names":false,"suffix":""},{"dropping-particle":"","family":"Vieux","given":"Florent","non-dropping-particle":"","parse-names":false,"suffix":""},{"dropping-particle":"","family":"Darmon","given":"Nicole","non-dropping-particle":"","parse-names":false,"suffix":""},{"dropping-particle":"","family":"Maillot","given":"Matthieu","non-dropping-particle":"","parse-names":false,"suffix":""}],"container-title":"Frontiers in Nutrition","id":"ITEM-1","issued":{"date-parts":[["2017","12","20"]]},"publisher":"Frontiers Media S.A.","title":"Structural Validation of a French Food Frequency Questionnaire of 94 Items","type":"article-journal","volume":"4"},"uris":["http://www.mendeley.com/documents/?uuid=d73b372b-5d24-35a1-887b-58ae2e0f722a"]}],"mendeley":{"formattedCitation":"&lt;sup&gt;(29)&lt;/sup&gt;","plainTextFormattedCitation":"(29)","previouslyFormattedCitation":"&lt;sup&gt;(29)&lt;/sup&gt;"},"properties":{"noteIndex":0},"schema":"https://github.com/citation-style-language/schema/raw/master/csl-citation.json"}</w:instrText>
            </w:r>
            <w:r w:rsidRPr="001C5F2A">
              <w:rPr>
                <w:rFonts w:ascii="Times New Roman" w:eastAsia="Times New Roman" w:hAnsi="Times New Roman" w:cs="Times New Roman"/>
                <w:sz w:val="16"/>
                <w:szCs w:val="16"/>
                <w:lang w:val="es-MX" w:eastAsia="es-ES"/>
              </w:rPr>
              <w:fldChar w:fldCharType="separate"/>
            </w:r>
            <w:r w:rsidRPr="001C5F2A">
              <w:rPr>
                <w:rFonts w:ascii="Times New Roman" w:eastAsia="Times New Roman" w:hAnsi="Times New Roman" w:cs="Times New Roman"/>
                <w:noProof/>
                <w:sz w:val="16"/>
                <w:szCs w:val="16"/>
                <w:vertAlign w:val="superscript"/>
                <w:lang w:eastAsia="es-ES"/>
              </w:rPr>
              <w:t>(29)</w:t>
            </w:r>
            <w:r w:rsidRPr="001C5F2A">
              <w:rPr>
                <w:rFonts w:ascii="Times New Roman" w:eastAsia="Times New Roman" w:hAnsi="Times New Roman" w:cs="Times New Roman"/>
                <w:sz w:val="16"/>
                <w:szCs w:val="16"/>
                <w:lang w:val="es-MX" w:eastAsia="es-ES"/>
              </w:rPr>
              <w:fldChar w:fldCharType="end"/>
            </w:r>
          </w:p>
        </w:tc>
        <w:tc>
          <w:tcPr>
            <w:tcW w:w="1208" w:type="dxa"/>
            <w:shd w:val="clear" w:color="auto" w:fill="DD0806"/>
            <w:tcMar>
              <w:top w:w="0" w:type="dxa"/>
              <w:left w:w="45" w:type="dxa"/>
              <w:bottom w:w="0" w:type="dxa"/>
              <w:right w:w="45" w:type="dxa"/>
            </w:tcMar>
            <w:vAlign w:val="center"/>
          </w:tcPr>
          <w:p w14:paraId="5AF654E9"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w:t>
            </w:r>
          </w:p>
        </w:tc>
        <w:tc>
          <w:tcPr>
            <w:tcW w:w="776" w:type="dxa"/>
            <w:shd w:val="clear" w:color="auto" w:fill="DD0806"/>
            <w:tcMar>
              <w:top w:w="0" w:type="dxa"/>
              <w:left w:w="45" w:type="dxa"/>
              <w:bottom w:w="0" w:type="dxa"/>
              <w:right w:w="45" w:type="dxa"/>
            </w:tcMar>
            <w:vAlign w:val="center"/>
          </w:tcPr>
          <w:p w14:paraId="37245CDD"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w:t>
            </w:r>
          </w:p>
        </w:tc>
        <w:tc>
          <w:tcPr>
            <w:tcW w:w="992" w:type="dxa"/>
            <w:shd w:val="clear" w:color="auto" w:fill="00B900"/>
            <w:tcMar>
              <w:top w:w="0" w:type="dxa"/>
              <w:left w:w="45" w:type="dxa"/>
              <w:bottom w:w="0" w:type="dxa"/>
              <w:right w:w="45" w:type="dxa"/>
            </w:tcMar>
            <w:vAlign w:val="center"/>
          </w:tcPr>
          <w:p w14:paraId="090B6B8C"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851" w:type="dxa"/>
            <w:shd w:val="clear" w:color="auto" w:fill="FF0000"/>
            <w:tcMar>
              <w:top w:w="0" w:type="dxa"/>
              <w:left w:w="45" w:type="dxa"/>
              <w:bottom w:w="0" w:type="dxa"/>
              <w:right w:w="45" w:type="dxa"/>
            </w:tcMar>
            <w:vAlign w:val="center"/>
          </w:tcPr>
          <w:p w14:paraId="1629847F"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w:t>
            </w:r>
          </w:p>
        </w:tc>
        <w:tc>
          <w:tcPr>
            <w:tcW w:w="850" w:type="dxa"/>
            <w:shd w:val="clear" w:color="auto" w:fill="FF0000"/>
            <w:tcMar>
              <w:top w:w="0" w:type="dxa"/>
              <w:left w:w="45" w:type="dxa"/>
              <w:bottom w:w="0" w:type="dxa"/>
              <w:right w:w="45" w:type="dxa"/>
            </w:tcMar>
            <w:vAlign w:val="center"/>
          </w:tcPr>
          <w:p w14:paraId="51CCBD2C"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418" w:type="dxa"/>
            <w:shd w:val="clear" w:color="auto" w:fill="00B900"/>
            <w:tcMar>
              <w:top w:w="0" w:type="dxa"/>
              <w:left w:w="45" w:type="dxa"/>
              <w:bottom w:w="0" w:type="dxa"/>
              <w:right w:w="45" w:type="dxa"/>
            </w:tcMar>
            <w:vAlign w:val="center"/>
          </w:tcPr>
          <w:p w14:paraId="3682344D"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134" w:type="dxa"/>
            <w:shd w:val="clear" w:color="auto" w:fill="FFFFFF"/>
            <w:tcMar>
              <w:top w:w="0" w:type="dxa"/>
              <w:left w:w="45" w:type="dxa"/>
              <w:bottom w:w="0" w:type="dxa"/>
              <w:right w:w="45" w:type="dxa"/>
            </w:tcMar>
            <w:vAlign w:val="center"/>
          </w:tcPr>
          <w:p w14:paraId="3C1D365B" w14:textId="77777777" w:rsidR="003E400D" w:rsidRDefault="003E400D" w:rsidP="00F53D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Results are presented as described in the methods section</w:t>
            </w:r>
          </w:p>
        </w:tc>
        <w:tc>
          <w:tcPr>
            <w:tcW w:w="425" w:type="dxa"/>
            <w:shd w:val="clear" w:color="auto" w:fill="00B900"/>
            <w:tcMar>
              <w:top w:w="0" w:type="dxa"/>
              <w:left w:w="45" w:type="dxa"/>
              <w:bottom w:w="0" w:type="dxa"/>
              <w:right w:w="45" w:type="dxa"/>
            </w:tcMar>
            <w:vAlign w:val="center"/>
          </w:tcPr>
          <w:p w14:paraId="47BB065E"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Low risk</w:t>
            </w:r>
          </w:p>
        </w:tc>
        <w:tc>
          <w:tcPr>
            <w:tcW w:w="1134" w:type="dxa"/>
            <w:shd w:val="clear" w:color="auto" w:fill="FF0000"/>
            <w:tcMar>
              <w:top w:w="0" w:type="dxa"/>
              <w:left w:w="45" w:type="dxa"/>
              <w:bottom w:w="0" w:type="dxa"/>
              <w:right w:w="45" w:type="dxa"/>
            </w:tcMar>
            <w:vAlign w:val="center"/>
          </w:tcPr>
          <w:p w14:paraId="6CF01EA9"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851" w:type="dxa"/>
            <w:shd w:val="clear" w:color="auto" w:fill="FF0000"/>
            <w:tcMar>
              <w:top w:w="0" w:type="dxa"/>
              <w:left w:w="45" w:type="dxa"/>
              <w:bottom w:w="0" w:type="dxa"/>
              <w:right w:w="45" w:type="dxa"/>
            </w:tcMar>
            <w:vAlign w:val="center"/>
          </w:tcPr>
          <w:p w14:paraId="52D5236B"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850" w:type="dxa"/>
            <w:shd w:val="clear" w:color="auto" w:fill="FF0000"/>
            <w:tcMar>
              <w:top w:w="0" w:type="dxa"/>
              <w:left w:w="45" w:type="dxa"/>
              <w:bottom w:w="0" w:type="dxa"/>
              <w:right w:w="45" w:type="dxa"/>
            </w:tcMar>
            <w:vAlign w:val="center"/>
          </w:tcPr>
          <w:p w14:paraId="55BC9A9C"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709" w:type="dxa"/>
            <w:shd w:val="clear" w:color="auto" w:fill="FF0000"/>
            <w:tcMar>
              <w:top w:w="0" w:type="dxa"/>
              <w:left w:w="45" w:type="dxa"/>
              <w:bottom w:w="0" w:type="dxa"/>
              <w:right w:w="45" w:type="dxa"/>
            </w:tcMar>
            <w:vAlign w:val="center"/>
          </w:tcPr>
          <w:p w14:paraId="3F842B3D"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709" w:type="dxa"/>
            <w:shd w:val="clear" w:color="auto" w:fill="00B900"/>
            <w:tcMar>
              <w:top w:w="0" w:type="dxa"/>
              <w:left w:w="45" w:type="dxa"/>
              <w:bottom w:w="0" w:type="dxa"/>
              <w:right w:w="45" w:type="dxa"/>
            </w:tcMar>
            <w:vAlign w:val="center"/>
          </w:tcPr>
          <w:p w14:paraId="4C7B9176"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8" w:type="dxa"/>
            <w:shd w:val="clear" w:color="auto" w:fill="DD0806"/>
            <w:tcMar>
              <w:top w:w="0" w:type="dxa"/>
              <w:left w:w="45" w:type="dxa"/>
              <w:bottom w:w="0" w:type="dxa"/>
              <w:right w:w="45" w:type="dxa"/>
            </w:tcMar>
            <w:vAlign w:val="center"/>
          </w:tcPr>
          <w:p w14:paraId="3B882E97"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1422" w:type="dxa"/>
            <w:shd w:val="clear" w:color="auto" w:fill="00B900"/>
            <w:tcMar>
              <w:top w:w="0" w:type="dxa"/>
              <w:left w:w="45" w:type="dxa"/>
              <w:bottom w:w="0" w:type="dxa"/>
              <w:right w:w="45" w:type="dxa"/>
            </w:tcMar>
            <w:vAlign w:val="center"/>
          </w:tcPr>
          <w:p w14:paraId="72701EB5"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 kappa, quartiles</w:t>
            </w:r>
          </w:p>
        </w:tc>
      </w:tr>
      <w:tr w:rsidR="003E400D" w:rsidRPr="007D0835" w14:paraId="321E974D" w14:textId="77777777" w:rsidTr="00F53D71">
        <w:trPr>
          <w:trHeight w:val="315"/>
          <w:jc w:val="center"/>
        </w:trPr>
        <w:tc>
          <w:tcPr>
            <w:tcW w:w="1452" w:type="dxa"/>
            <w:tcMar>
              <w:top w:w="0" w:type="dxa"/>
              <w:left w:w="45" w:type="dxa"/>
              <w:bottom w:w="0" w:type="dxa"/>
              <w:right w:w="45" w:type="dxa"/>
            </w:tcMar>
            <w:vAlign w:val="bottom"/>
            <w:hideMark/>
          </w:tcPr>
          <w:p w14:paraId="70A8ED05" w14:textId="77777777" w:rsidR="003E400D" w:rsidRPr="001C5F2A" w:rsidRDefault="003E400D" w:rsidP="00F53D71">
            <w:pPr>
              <w:spacing w:after="0" w:line="240" w:lineRule="auto"/>
              <w:rPr>
                <w:rFonts w:ascii="Times New Roman" w:eastAsia="Times New Roman" w:hAnsi="Times New Roman" w:cs="Times New Roman"/>
                <w:sz w:val="16"/>
                <w:szCs w:val="16"/>
                <w:lang w:eastAsia="es-ES"/>
              </w:rPr>
            </w:pPr>
            <w:proofErr w:type="spellStart"/>
            <w:r w:rsidRPr="001C5F2A">
              <w:rPr>
                <w:rFonts w:ascii="Times New Roman" w:eastAsia="Times New Roman" w:hAnsi="Times New Roman" w:cs="Times New Roman"/>
                <w:sz w:val="16"/>
                <w:szCs w:val="16"/>
                <w:lang w:eastAsia="es-ES"/>
              </w:rPr>
              <w:t>Sanjeevi</w:t>
            </w:r>
            <w:proofErr w:type="spellEnd"/>
            <w:r w:rsidRPr="001C5F2A">
              <w:rPr>
                <w:rFonts w:ascii="Times New Roman" w:eastAsia="Times New Roman" w:hAnsi="Times New Roman" w:cs="Times New Roman"/>
                <w:sz w:val="16"/>
                <w:szCs w:val="16"/>
                <w:lang w:eastAsia="es-ES"/>
              </w:rPr>
              <w:t xml:space="preserve"> et al. (2017) </w:t>
            </w:r>
            <w:r w:rsidRPr="001C5F2A">
              <w:rPr>
                <w:rFonts w:ascii="Times New Roman" w:eastAsia="Times New Roman" w:hAnsi="Times New Roman" w:cs="Times New Roman"/>
                <w:sz w:val="16"/>
                <w:szCs w:val="16"/>
                <w:lang w:eastAsia="es-ES"/>
              </w:rPr>
              <w:fldChar w:fldCharType="begin" w:fldLock="1"/>
            </w:r>
            <w:r w:rsidRPr="001C5F2A">
              <w:rPr>
                <w:rFonts w:ascii="Times New Roman" w:eastAsia="Times New Roman" w:hAnsi="Times New Roman" w:cs="Times New Roman"/>
                <w:sz w:val="16"/>
                <w:szCs w:val="16"/>
                <w:lang w:eastAsia="es-ES"/>
              </w:rPr>
              <w:instrText>ADDIN CSL_CITATION {"citationItems":[{"id":"ITEM-1","itemData":{"DOI":"10.1016/j.jand.2017.05.013","ISSN":"22122672","abstract":"Background The Supplemental Nutrition Assistance Program (SNAP) plays a critical role in reducing food insecurity by distribution of benefits at a monthly interval to participants. Households that receive assistance from SNAP spend at least three-quarters of benefits within the first 2 weeks of receipt. Because this expenditure pattern may be associated with lower food intake toward the end of the month, it is important to develop a tool that can assess the weekly diets of SNAP participants. Objective The goal of this study was to develop and assess the relative validity and reliability of a semiquantitative 1-week food frequency questionnaire (FFQ) tailored to a population of women participating in SNAP. Design The FFQ was derived from an existing 195-item FFQ that was based on a reference period of 1 month. This 195-item FFQ has been validated in a population of low-income postpartum women who were recruited from central Texas during 2004. Mean daily servings of each food item in the 195-item FFQ completed by women who took part in the 2004 validation study were calculated to determine the most frequently consumed food items. Emphasis on these items led to the creation of a shorter, 1-week FFQ of only 95 items. This new 1-week instrument was compared with 3-day diet records to evaluate relative validity in a sample of women participating in SNAP. For reliability, the FFQ was administered a second time, separated by a 1-month time interval. Participants/setting The validity study included 70 female SNAP participants who were recruited from the partner agencies of the Central Texas Food Bank from March to June 2015. A subsample of 40 women participated in the reliability study. Main outcome measures Outcome measures were mean nutrient intake values obtained from the two tests of the 95-item FFQ and 3-day diet records. Statistical analysis performed Deattenuated Pearson correlation coefficients examined relationships in nutrient intake between the 95-item FFQ and 3-day diet records, and a paired samples t test determined differences in mean nutrient intake. Weighted Cohen's κ indicated agreement in quartile classification of study participants by the 95-item FFQ and 3-day diet records, according to nutrient intake. Test–retest reliability was assessed by intraclass correlations and weighted Cohen's κ. Results Mean deattenuated Pearson correlation between the FFQ and 3-day diet records was 0.61, and the weighted Cohen's κ=0.39. Finally, the average test–r…","author":[{"dropping-particle":"","family":"Sanjeevi","given":"Namrata","non-dropping-particle":"","parse-names":false,"suffix":""},{"dropping-particle":"","family":"Freeland-Graves","given":"Jeanne","non-dropping-particle":"","parse-names":false,"suffix":""},{"dropping-particle":"","family":"George","given":"Goldy Chacko","non-dropping-particle":"","parse-names":false,"suffix":""}],"container-title":"Journal of the Academy of Nutrition and Dietetics","id":"ITEM-1","issue":"12","issued":{"date-parts":[["2017","12","1"]]},"page":"1972-1982.e2","publisher":"Elsevier B.V.","title":"Relative Validity and Reliability of a 1-Week, Semiquantitative Food Frequency Questionnaire for Women Participating in the Supplemental Nutrition Assistance Program","type":"article-journal","volume":"117"},"uris":["http://www.mendeley.com/documents/?uuid=5e4df9ba-13b2-3e36-a086-1d10f663c6f3"]}],"mendeley":{"formattedCitation":"&lt;sup&gt;(44)&lt;/sup&gt;","plainTextFormattedCitation":"(44)","previouslyFormattedCitation":"&lt;sup&gt;(44)&lt;/sup&gt;"},"properties":{"noteIndex":0},"schema":"https://github.com/citation-style-language/schema/raw/master/csl-citation.json"}</w:instrText>
            </w:r>
            <w:r w:rsidRPr="001C5F2A">
              <w:rPr>
                <w:rFonts w:ascii="Times New Roman" w:eastAsia="Times New Roman" w:hAnsi="Times New Roman" w:cs="Times New Roman"/>
                <w:sz w:val="16"/>
                <w:szCs w:val="16"/>
                <w:lang w:eastAsia="es-ES"/>
              </w:rPr>
              <w:fldChar w:fldCharType="separate"/>
            </w:r>
            <w:r w:rsidRPr="001C5F2A">
              <w:rPr>
                <w:rFonts w:ascii="Times New Roman" w:eastAsia="Times New Roman" w:hAnsi="Times New Roman" w:cs="Times New Roman"/>
                <w:noProof/>
                <w:sz w:val="16"/>
                <w:szCs w:val="16"/>
                <w:vertAlign w:val="superscript"/>
                <w:lang w:eastAsia="es-ES"/>
              </w:rPr>
              <w:t>(44)</w:t>
            </w:r>
            <w:r w:rsidRPr="001C5F2A">
              <w:rPr>
                <w:rFonts w:ascii="Times New Roman" w:eastAsia="Times New Roman" w:hAnsi="Times New Roman" w:cs="Times New Roman"/>
                <w:sz w:val="16"/>
                <w:szCs w:val="16"/>
                <w:lang w:eastAsia="es-ES"/>
              </w:rPr>
              <w:fldChar w:fldCharType="end"/>
            </w:r>
          </w:p>
        </w:tc>
        <w:tc>
          <w:tcPr>
            <w:tcW w:w="1208" w:type="dxa"/>
            <w:shd w:val="clear" w:color="auto" w:fill="DD0806"/>
            <w:tcMar>
              <w:top w:w="0" w:type="dxa"/>
              <w:left w:w="45" w:type="dxa"/>
              <w:bottom w:w="0" w:type="dxa"/>
              <w:right w:w="45" w:type="dxa"/>
            </w:tcMar>
            <w:vAlign w:val="bottom"/>
            <w:hideMark/>
          </w:tcPr>
          <w:p w14:paraId="1B99CE28"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c</w:t>
            </w:r>
          </w:p>
        </w:tc>
        <w:tc>
          <w:tcPr>
            <w:tcW w:w="776" w:type="dxa"/>
            <w:shd w:val="clear" w:color="auto" w:fill="1FB714"/>
            <w:tcMar>
              <w:top w:w="0" w:type="dxa"/>
              <w:left w:w="45" w:type="dxa"/>
              <w:bottom w:w="0" w:type="dxa"/>
              <w:right w:w="45" w:type="dxa"/>
            </w:tcMar>
            <w:vAlign w:val="bottom"/>
            <w:hideMark/>
          </w:tcPr>
          <w:p w14:paraId="76869963"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992" w:type="dxa"/>
            <w:shd w:val="clear" w:color="auto" w:fill="DD0806"/>
            <w:tcMar>
              <w:top w:w="0" w:type="dxa"/>
              <w:left w:w="45" w:type="dxa"/>
              <w:bottom w:w="0" w:type="dxa"/>
              <w:right w:w="45" w:type="dxa"/>
            </w:tcMar>
            <w:vAlign w:val="bottom"/>
            <w:hideMark/>
          </w:tcPr>
          <w:p w14:paraId="24B7686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None</w:t>
            </w:r>
          </w:p>
        </w:tc>
        <w:tc>
          <w:tcPr>
            <w:tcW w:w="851" w:type="dxa"/>
            <w:shd w:val="clear" w:color="auto" w:fill="1FB714"/>
            <w:tcMar>
              <w:top w:w="0" w:type="dxa"/>
              <w:left w:w="45" w:type="dxa"/>
              <w:bottom w:w="0" w:type="dxa"/>
              <w:right w:w="45" w:type="dxa"/>
            </w:tcMar>
            <w:vAlign w:val="bottom"/>
            <w:hideMark/>
          </w:tcPr>
          <w:p w14:paraId="2B2CC73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850" w:type="dxa"/>
            <w:shd w:val="clear" w:color="auto" w:fill="DD0806"/>
            <w:tcMar>
              <w:top w:w="0" w:type="dxa"/>
              <w:left w:w="45" w:type="dxa"/>
              <w:bottom w:w="0" w:type="dxa"/>
              <w:right w:w="45" w:type="dxa"/>
            </w:tcMar>
            <w:vAlign w:val="bottom"/>
            <w:hideMark/>
          </w:tcPr>
          <w:p w14:paraId="6FE3E26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1418" w:type="dxa"/>
            <w:shd w:val="clear" w:color="auto" w:fill="1FB714"/>
            <w:tcMar>
              <w:top w:w="0" w:type="dxa"/>
              <w:left w:w="45" w:type="dxa"/>
              <w:bottom w:w="0" w:type="dxa"/>
              <w:right w:w="45" w:type="dxa"/>
            </w:tcMar>
            <w:vAlign w:val="bottom"/>
            <w:hideMark/>
          </w:tcPr>
          <w:p w14:paraId="147227B9"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1134" w:type="dxa"/>
            <w:tcMar>
              <w:top w:w="0" w:type="dxa"/>
              <w:left w:w="45" w:type="dxa"/>
              <w:bottom w:w="0" w:type="dxa"/>
              <w:right w:w="45" w:type="dxa"/>
            </w:tcMar>
            <w:vAlign w:val="bottom"/>
            <w:hideMark/>
          </w:tcPr>
          <w:p w14:paraId="7A6A99A1"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 xml:space="preserve">It is not clear which correlation </w:t>
            </w:r>
            <w:r w:rsidRPr="003255C0">
              <w:rPr>
                <w:rFonts w:ascii="Times New Roman" w:eastAsia="Times New Roman" w:hAnsi="Times New Roman" w:cs="Times New Roman"/>
                <w:color w:val="000000"/>
                <w:sz w:val="16"/>
                <w:szCs w:val="16"/>
                <w:lang w:eastAsia="es-ES"/>
              </w:rPr>
              <w:lastRenderedPageBreak/>
              <w:t xml:space="preserve">coefficients are log transformed (analysis performed with non-parametric data) and </w:t>
            </w:r>
            <w:proofErr w:type="spellStart"/>
            <w:r w:rsidRPr="003255C0">
              <w:rPr>
                <w:rFonts w:ascii="Times New Roman" w:eastAsia="Times New Roman" w:hAnsi="Times New Roman" w:cs="Times New Roman"/>
                <w:color w:val="000000"/>
                <w:sz w:val="16"/>
                <w:szCs w:val="16"/>
                <w:lang w:eastAsia="es-ES"/>
              </w:rPr>
              <w:t>whic</w:t>
            </w:r>
            <w:proofErr w:type="spellEnd"/>
            <w:r w:rsidRPr="003255C0">
              <w:rPr>
                <w:rFonts w:ascii="Times New Roman" w:eastAsia="Times New Roman" w:hAnsi="Times New Roman" w:cs="Times New Roman"/>
                <w:color w:val="000000"/>
                <w:sz w:val="16"/>
                <w:szCs w:val="16"/>
                <w:lang w:eastAsia="es-ES"/>
              </w:rPr>
              <w:t xml:space="preserve"> are not.</w:t>
            </w:r>
          </w:p>
        </w:tc>
        <w:tc>
          <w:tcPr>
            <w:tcW w:w="425" w:type="dxa"/>
            <w:shd w:val="clear" w:color="auto" w:fill="FF9900"/>
            <w:tcMar>
              <w:top w:w="0" w:type="dxa"/>
              <w:left w:w="45" w:type="dxa"/>
              <w:bottom w:w="0" w:type="dxa"/>
              <w:right w:w="45" w:type="dxa"/>
            </w:tcMar>
            <w:vAlign w:val="bottom"/>
            <w:hideMark/>
          </w:tcPr>
          <w:p w14:paraId="6694A2E2"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lastRenderedPageBreak/>
              <w:t>Not clear</w:t>
            </w:r>
          </w:p>
        </w:tc>
        <w:tc>
          <w:tcPr>
            <w:tcW w:w="1134" w:type="dxa"/>
            <w:shd w:val="clear" w:color="auto" w:fill="1FB714"/>
            <w:tcMar>
              <w:top w:w="0" w:type="dxa"/>
              <w:left w:w="45" w:type="dxa"/>
              <w:bottom w:w="0" w:type="dxa"/>
              <w:right w:w="45" w:type="dxa"/>
            </w:tcMar>
            <w:vAlign w:val="bottom"/>
            <w:hideMark/>
          </w:tcPr>
          <w:p w14:paraId="6F39996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851" w:type="dxa"/>
            <w:shd w:val="clear" w:color="auto" w:fill="1FB714"/>
            <w:tcMar>
              <w:top w:w="0" w:type="dxa"/>
              <w:left w:w="45" w:type="dxa"/>
              <w:bottom w:w="0" w:type="dxa"/>
              <w:right w:w="45" w:type="dxa"/>
            </w:tcMar>
            <w:vAlign w:val="bottom"/>
            <w:hideMark/>
          </w:tcPr>
          <w:p w14:paraId="0FC00F4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850" w:type="dxa"/>
            <w:shd w:val="clear" w:color="auto" w:fill="FF9900"/>
            <w:tcMar>
              <w:top w:w="0" w:type="dxa"/>
              <w:left w:w="45" w:type="dxa"/>
              <w:bottom w:w="0" w:type="dxa"/>
              <w:right w:w="45" w:type="dxa"/>
            </w:tcMar>
            <w:vAlign w:val="bottom"/>
            <w:hideMark/>
          </w:tcPr>
          <w:p w14:paraId="56176D50"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Incomplete</w:t>
            </w:r>
          </w:p>
        </w:tc>
        <w:tc>
          <w:tcPr>
            <w:tcW w:w="709" w:type="dxa"/>
            <w:shd w:val="clear" w:color="auto" w:fill="1FB714"/>
            <w:tcMar>
              <w:top w:w="0" w:type="dxa"/>
              <w:left w:w="45" w:type="dxa"/>
              <w:bottom w:w="0" w:type="dxa"/>
              <w:right w:w="45" w:type="dxa"/>
            </w:tcMar>
            <w:vAlign w:val="bottom"/>
            <w:hideMark/>
          </w:tcPr>
          <w:p w14:paraId="5BC97153"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9" w:type="dxa"/>
            <w:shd w:val="clear" w:color="auto" w:fill="1FB714"/>
            <w:tcMar>
              <w:top w:w="0" w:type="dxa"/>
              <w:left w:w="45" w:type="dxa"/>
              <w:bottom w:w="0" w:type="dxa"/>
              <w:right w:w="45" w:type="dxa"/>
            </w:tcMar>
            <w:vAlign w:val="bottom"/>
            <w:hideMark/>
          </w:tcPr>
          <w:p w14:paraId="5A0D6022"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8" w:type="dxa"/>
            <w:shd w:val="clear" w:color="auto" w:fill="1FB714"/>
            <w:tcMar>
              <w:top w:w="0" w:type="dxa"/>
              <w:left w:w="45" w:type="dxa"/>
              <w:bottom w:w="0" w:type="dxa"/>
              <w:right w:w="45" w:type="dxa"/>
            </w:tcMar>
            <w:vAlign w:val="bottom"/>
            <w:hideMark/>
          </w:tcPr>
          <w:p w14:paraId="4E2DD02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1422" w:type="dxa"/>
            <w:shd w:val="clear" w:color="auto" w:fill="1FB714"/>
            <w:tcMar>
              <w:top w:w="0" w:type="dxa"/>
              <w:left w:w="45" w:type="dxa"/>
              <w:bottom w:w="0" w:type="dxa"/>
              <w:right w:w="45" w:type="dxa"/>
            </w:tcMar>
            <w:vAlign w:val="bottom"/>
            <w:hideMark/>
          </w:tcPr>
          <w:p w14:paraId="4E97D6F7"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proofErr w:type="spellStart"/>
            <w:r w:rsidRPr="003255C0">
              <w:rPr>
                <w:rFonts w:ascii="Times New Roman" w:eastAsia="Times New Roman" w:hAnsi="Times New Roman" w:cs="Times New Roman"/>
                <w:color w:val="000000"/>
                <w:sz w:val="16"/>
                <w:szCs w:val="16"/>
                <w:lang w:eastAsia="es-ES"/>
              </w:rPr>
              <w:t>Deattenuation</w:t>
            </w:r>
            <w:proofErr w:type="spellEnd"/>
            <w:r w:rsidRPr="003255C0">
              <w:rPr>
                <w:rFonts w:ascii="Times New Roman" w:eastAsia="Times New Roman" w:hAnsi="Times New Roman" w:cs="Times New Roman"/>
                <w:color w:val="000000"/>
                <w:sz w:val="16"/>
                <w:szCs w:val="16"/>
                <w:lang w:eastAsia="es-ES"/>
              </w:rPr>
              <w:t xml:space="preserve">, log-transformation (for non-parametric </w:t>
            </w:r>
            <w:r w:rsidRPr="003255C0">
              <w:rPr>
                <w:rFonts w:ascii="Times New Roman" w:eastAsia="Times New Roman" w:hAnsi="Times New Roman" w:cs="Times New Roman"/>
                <w:color w:val="000000"/>
                <w:sz w:val="16"/>
                <w:szCs w:val="16"/>
                <w:lang w:eastAsia="es-ES"/>
              </w:rPr>
              <w:lastRenderedPageBreak/>
              <w:t>variables), paired t-test, Weighted Cohen’s kappa, quartile classification.</w:t>
            </w:r>
          </w:p>
        </w:tc>
      </w:tr>
      <w:tr w:rsidR="003E400D" w:rsidRPr="007D0835" w14:paraId="5E4AAADF" w14:textId="77777777" w:rsidTr="00F53D71">
        <w:trPr>
          <w:trHeight w:val="315"/>
          <w:jc w:val="center"/>
        </w:trPr>
        <w:tc>
          <w:tcPr>
            <w:tcW w:w="1452" w:type="dxa"/>
            <w:tcMar>
              <w:top w:w="0" w:type="dxa"/>
              <w:left w:w="45" w:type="dxa"/>
              <w:bottom w:w="0" w:type="dxa"/>
              <w:right w:w="45" w:type="dxa"/>
            </w:tcMar>
            <w:vAlign w:val="bottom"/>
            <w:hideMark/>
          </w:tcPr>
          <w:p w14:paraId="5A9F2915" w14:textId="77777777" w:rsidR="003E400D" w:rsidRPr="001C5F2A" w:rsidRDefault="003E400D" w:rsidP="00F53D71">
            <w:pPr>
              <w:spacing w:after="0" w:line="240" w:lineRule="auto"/>
              <w:rPr>
                <w:rFonts w:ascii="Times New Roman" w:eastAsia="Times New Roman" w:hAnsi="Times New Roman" w:cs="Times New Roman"/>
                <w:sz w:val="16"/>
                <w:szCs w:val="16"/>
                <w:lang w:eastAsia="es-ES"/>
              </w:rPr>
            </w:pPr>
            <w:r w:rsidRPr="001C5F2A">
              <w:rPr>
                <w:rFonts w:ascii="Times New Roman" w:eastAsia="Times New Roman" w:hAnsi="Times New Roman" w:cs="Times New Roman"/>
                <w:sz w:val="16"/>
                <w:szCs w:val="16"/>
                <w:lang w:eastAsia="es-ES"/>
              </w:rPr>
              <w:lastRenderedPageBreak/>
              <w:t xml:space="preserve">Whitton et al. (2017) </w:t>
            </w:r>
            <w:r w:rsidRPr="001C5F2A">
              <w:rPr>
                <w:rFonts w:ascii="Times New Roman" w:eastAsia="Times New Roman" w:hAnsi="Times New Roman" w:cs="Times New Roman"/>
                <w:sz w:val="16"/>
                <w:szCs w:val="16"/>
                <w:lang w:val="es-MX" w:eastAsia="es-ES"/>
              </w:rPr>
              <w:fldChar w:fldCharType="begin" w:fldLock="1"/>
            </w:r>
            <w:r w:rsidRPr="001C5F2A">
              <w:rPr>
                <w:rFonts w:ascii="Times New Roman" w:eastAsia="Times New Roman" w:hAnsi="Times New Roman" w:cs="Times New Roman"/>
                <w:sz w:val="16"/>
                <w:szCs w:val="16"/>
                <w:lang w:eastAsia="es-ES"/>
              </w:rPr>
              <w:instrText>ADDIN CSL_CITATION {"citationItems":[{"id":"ITEM-1","itemData":{"DOI":"10.3390/nu9101059","ISSN":"20726643","abstract":"The assessment of diets in multi-ethnic cosmopolitan settings is challenging. A semi-quantitative 163-item food frequency questionnaire (FFQ) was developed for the adult Singapore population, and this study aimed to assess its reproducibility and relative validity against 24-h dietary recalls (24 h DR) and biomarkers. The FFQ was administered twice within a six-month interval in 161 adults (59 Chinese, 46 Malay, and 56 Indian). Fasting plasma, overnight urine, and 24 h DR were collected after one month and five months. Intra-class correlation coefficients between the two FFQ were above 0.70 for most foods and nutrients. The median correlation coefficient between energy-adjusted deattenuated FFQ and 24 h DR nutrient intakes was 0.40 for FFQ1 and 0.39 for FFQ2, highest for calcium and iron, and lowest for energy and carbohydrates. Significant associations were observed between urinary isoflavones and soy protein intake (r = 0.46), serum carotenoids and fruit and vegetable intake (r = 0.34), plasma eicosapentaenoic acid and docosahexaenoic acid (EPA + DHA) and fish/seafood intake (r = 0.36), and plasma odd chain saturated fatty acids (SFA) and dairy fat intake (r = 0.25). Associations between plasma EPA + DHA and fish/seafood intake were consistent across ethnic groups (r = 0.28–0.49), while differences were observed for other associations. FFQ assessment of dietary intakes in modern cosmopolitan populations remains feasible for the purpose of ranking individuals’ dietary exposures in epidemiological studies.","author":[{"dropping-particle":"","family":"Whitton","given":"Clare","non-dropping-particle":"","parse-names":false,"suffix":""},{"dropping-particle":"","family":"Ho","given":"Jolene Chien Yee","non-dropping-particle":"","parse-names":false,"suffix":""},{"dropping-particle":"","family":"Tay","given":"Zoey","non-dropping-particle":"","parse-names":false,"suffix":""},{"dropping-particle":"","family":"Rebello","given":"Salome A.","non-dropping-particle":"","parse-names":false,"suffix":""},{"dropping-particle":"","family":"Lu","given":"Yonghai","non-dropping-particle":"","parse-names":false,"suffix":""},{"dropping-particle":"","family":"Ong","given":"Choon Nam","non-dropping-particle":"","parse-names":false,"suffix":""},{"dropping-particle":"","family":"Dam","given":"Rob M.","non-dropping-particle":"Van","parse-names":false,"suffix":""}],"container-title":"Nutrients","id":"ITEM-1","issue":"10","issued":{"date-parts":[["2017","10","1"]]},"publisher":"MDPI AG","title":"Relative validity and reproducibility of a food frequency questionnaire for assessing dietary intakes in a multi-ethnic asian population using 24-h dietary recalls and biomarkers","type":"article-journal","volume":"9"},"uris":["http://www.mendeley.com/documents/?uuid=f108b1ba-fee5-3ea4-85d1-8eae68d901eb"]}],"mendeley":{"formattedCitation":"&lt;sup&gt;(62)&lt;/sup&gt;","plainTextFormattedCitation":"(62)","previouslyFormattedCitation":"&lt;sup&gt;(62)&lt;/sup&gt;"},"properties":{"noteIndex":0},"schema":"https://github.com/citation-style-language/schema/raw/master/csl-citation.json"}</w:instrText>
            </w:r>
            <w:r w:rsidRPr="001C5F2A">
              <w:rPr>
                <w:rFonts w:ascii="Times New Roman" w:eastAsia="Times New Roman" w:hAnsi="Times New Roman" w:cs="Times New Roman"/>
                <w:sz w:val="16"/>
                <w:szCs w:val="16"/>
                <w:lang w:val="es-MX" w:eastAsia="es-ES"/>
              </w:rPr>
              <w:fldChar w:fldCharType="separate"/>
            </w:r>
            <w:r w:rsidRPr="001C5F2A">
              <w:rPr>
                <w:rFonts w:ascii="Times New Roman" w:eastAsia="Times New Roman" w:hAnsi="Times New Roman" w:cs="Times New Roman"/>
                <w:noProof/>
                <w:sz w:val="16"/>
                <w:szCs w:val="16"/>
                <w:vertAlign w:val="superscript"/>
                <w:lang w:eastAsia="es-ES"/>
              </w:rPr>
              <w:t>(62)</w:t>
            </w:r>
            <w:r w:rsidRPr="001C5F2A">
              <w:rPr>
                <w:rFonts w:ascii="Times New Roman" w:eastAsia="Times New Roman" w:hAnsi="Times New Roman" w:cs="Times New Roman"/>
                <w:sz w:val="16"/>
                <w:szCs w:val="16"/>
                <w:lang w:val="es-MX" w:eastAsia="es-ES"/>
              </w:rPr>
              <w:fldChar w:fldCharType="end"/>
            </w:r>
          </w:p>
        </w:tc>
        <w:tc>
          <w:tcPr>
            <w:tcW w:w="1208" w:type="dxa"/>
            <w:shd w:val="clear" w:color="auto" w:fill="1FB714"/>
            <w:tcMar>
              <w:top w:w="0" w:type="dxa"/>
              <w:left w:w="45" w:type="dxa"/>
              <w:bottom w:w="0" w:type="dxa"/>
              <w:right w:w="45" w:type="dxa"/>
            </w:tcMar>
            <w:vAlign w:val="bottom"/>
            <w:hideMark/>
          </w:tcPr>
          <w:p w14:paraId="26F7E8B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776" w:type="dxa"/>
            <w:shd w:val="clear" w:color="auto" w:fill="1FB714"/>
            <w:tcMar>
              <w:top w:w="0" w:type="dxa"/>
              <w:left w:w="45" w:type="dxa"/>
              <w:bottom w:w="0" w:type="dxa"/>
              <w:right w:w="45" w:type="dxa"/>
            </w:tcMar>
            <w:vAlign w:val="bottom"/>
            <w:hideMark/>
          </w:tcPr>
          <w:p w14:paraId="0FA879E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992" w:type="dxa"/>
            <w:shd w:val="clear" w:color="auto" w:fill="1FB714"/>
            <w:tcMar>
              <w:top w:w="0" w:type="dxa"/>
              <w:left w:w="45" w:type="dxa"/>
              <w:bottom w:w="0" w:type="dxa"/>
              <w:right w:w="45" w:type="dxa"/>
            </w:tcMar>
            <w:vAlign w:val="bottom"/>
            <w:hideMark/>
          </w:tcPr>
          <w:p w14:paraId="4D591ADC"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851" w:type="dxa"/>
            <w:shd w:val="clear" w:color="auto" w:fill="1FB714"/>
            <w:tcMar>
              <w:top w:w="0" w:type="dxa"/>
              <w:left w:w="45" w:type="dxa"/>
              <w:bottom w:w="0" w:type="dxa"/>
              <w:right w:w="45" w:type="dxa"/>
            </w:tcMar>
            <w:vAlign w:val="bottom"/>
            <w:hideMark/>
          </w:tcPr>
          <w:p w14:paraId="6E684D80"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850" w:type="dxa"/>
            <w:shd w:val="clear" w:color="auto" w:fill="DD0806"/>
            <w:tcMar>
              <w:top w:w="0" w:type="dxa"/>
              <w:left w:w="45" w:type="dxa"/>
              <w:bottom w:w="0" w:type="dxa"/>
              <w:right w:w="45" w:type="dxa"/>
            </w:tcMar>
            <w:vAlign w:val="bottom"/>
            <w:hideMark/>
          </w:tcPr>
          <w:p w14:paraId="327210B3"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1418" w:type="dxa"/>
            <w:shd w:val="clear" w:color="auto" w:fill="1FB714"/>
            <w:tcMar>
              <w:top w:w="0" w:type="dxa"/>
              <w:left w:w="45" w:type="dxa"/>
              <w:bottom w:w="0" w:type="dxa"/>
              <w:right w:w="45" w:type="dxa"/>
            </w:tcMar>
            <w:vAlign w:val="bottom"/>
            <w:hideMark/>
          </w:tcPr>
          <w:p w14:paraId="5CF77DC4"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1134" w:type="dxa"/>
            <w:tcMar>
              <w:top w:w="0" w:type="dxa"/>
              <w:left w:w="45" w:type="dxa"/>
              <w:bottom w:w="0" w:type="dxa"/>
              <w:right w:w="45" w:type="dxa"/>
            </w:tcMar>
            <w:vAlign w:val="bottom"/>
            <w:hideMark/>
          </w:tcPr>
          <w:p w14:paraId="1DA0A0C5"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Results are presented as described in the methods section.</w:t>
            </w:r>
          </w:p>
        </w:tc>
        <w:tc>
          <w:tcPr>
            <w:tcW w:w="425" w:type="dxa"/>
            <w:shd w:val="clear" w:color="auto" w:fill="1FB714"/>
            <w:tcMar>
              <w:top w:w="0" w:type="dxa"/>
              <w:left w:w="45" w:type="dxa"/>
              <w:bottom w:w="0" w:type="dxa"/>
              <w:right w:w="45" w:type="dxa"/>
            </w:tcMar>
            <w:vAlign w:val="bottom"/>
            <w:hideMark/>
          </w:tcPr>
          <w:p w14:paraId="364473D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Low risk</w:t>
            </w:r>
          </w:p>
        </w:tc>
        <w:tc>
          <w:tcPr>
            <w:tcW w:w="1134" w:type="dxa"/>
            <w:shd w:val="clear" w:color="auto" w:fill="DD0806"/>
            <w:tcMar>
              <w:top w:w="0" w:type="dxa"/>
              <w:left w:w="45" w:type="dxa"/>
              <w:bottom w:w="0" w:type="dxa"/>
              <w:right w:w="45" w:type="dxa"/>
            </w:tcMar>
            <w:vAlign w:val="bottom"/>
            <w:hideMark/>
          </w:tcPr>
          <w:p w14:paraId="7B1DDE5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No</w:t>
            </w:r>
          </w:p>
        </w:tc>
        <w:tc>
          <w:tcPr>
            <w:tcW w:w="851" w:type="dxa"/>
            <w:shd w:val="clear" w:color="auto" w:fill="1FB714"/>
            <w:tcMar>
              <w:top w:w="0" w:type="dxa"/>
              <w:left w:w="45" w:type="dxa"/>
              <w:bottom w:w="0" w:type="dxa"/>
              <w:right w:w="45" w:type="dxa"/>
            </w:tcMar>
            <w:vAlign w:val="bottom"/>
            <w:hideMark/>
          </w:tcPr>
          <w:p w14:paraId="43E8AA5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850" w:type="dxa"/>
            <w:shd w:val="clear" w:color="auto" w:fill="1FB714"/>
            <w:tcMar>
              <w:top w:w="0" w:type="dxa"/>
              <w:left w:w="45" w:type="dxa"/>
              <w:bottom w:w="0" w:type="dxa"/>
              <w:right w:w="45" w:type="dxa"/>
            </w:tcMar>
            <w:vAlign w:val="bottom"/>
            <w:hideMark/>
          </w:tcPr>
          <w:p w14:paraId="4FDCB97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9" w:type="dxa"/>
            <w:shd w:val="clear" w:color="auto" w:fill="1FB714"/>
            <w:tcMar>
              <w:top w:w="0" w:type="dxa"/>
              <w:left w:w="45" w:type="dxa"/>
              <w:bottom w:w="0" w:type="dxa"/>
              <w:right w:w="45" w:type="dxa"/>
            </w:tcMar>
            <w:vAlign w:val="bottom"/>
            <w:hideMark/>
          </w:tcPr>
          <w:p w14:paraId="61C47BA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9" w:type="dxa"/>
            <w:shd w:val="clear" w:color="auto" w:fill="1FB714"/>
            <w:tcMar>
              <w:top w:w="0" w:type="dxa"/>
              <w:left w:w="45" w:type="dxa"/>
              <w:bottom w:w="0" w:type="dxa"/>
              <w:right w:w="45" w:type="dxa"/>
            </w:tcMar>
            <w:vAlign w:val="bottom"/>
            <w:hideMark/>
          </w:tcPr>
          <w:p w14:paraId="49C8729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8" w:type="dxa"/>
            <w:shd w:val="clear" w:color="auto" w:fill="1FB714"/>
            <w:tcMar>
              <w:top w:w="0" w:type="dxa"/>
              <w:left w:w="45" w:type="dxa"/>
              <w:bottom w:w="0" w:type="dxa"/>
              <w:right w:w="45" w:type="dxa"/>
            </w:tcMar>
            <w:vAlign w:val="bottom"/>
            <w:hideMark/>
          </w:tcPr>
          <w:p w14:paraId="29E0B1D2"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1422" w:type="dxa"/>
            <w:shd w:val="clear" w:color="auto" w:fill="1FB714"/>
            <w:tcMar>
              <w:top w:w="0" w:type="dxa"/>
              <w:left w:w="45" w:type="dxa"/>
              <w:bottom w:w="0" w:type="dxa"/>
              <w:right w:w="45" w:type="dxa"/>
            </w:tcMar>
            <w:vAlign w:val="bottom"/>
            <w:hideMark/>
          </w:tcPr>
          <w:p w14:paraId="2C128A2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 xml:space="preserve">Log transformation, </w:t>
            </w:r>
            <w:proofErr w:type="spellStart"/>
            <w:r w:rsidRPr="003255C0">
              <w:rPr>
                <w:rFonts w:ascii="Times New Roman" w:eastAsia="Times New Roman" w:hAnsi="Times New Roman" w:cs="Times New Roman"/>
                <w:color w:val="000000"/>
                <w:sz w:val="16"/>
                <w:szCs w:val="16"/>
                <w:lang w:eastAsia="es-ES"/>
              </w:rPr>
              <w:t>deattenuation</w:t>
            </w:r>
            <w:proofErr w:type="spellEnd"/>
            <w:r w:rsidRPr="003255C0">
              <w:rPr>
                <w:rFonts w:ascii="Times New Roman" w:eastAsia="Times New Roman" w:hAnsi="Times New Roman" w:cs="Times New Roman"/>
                <w:color w:val="000000"/>
                <w:sz w:val="16"/>
                <w:szCs w:val="16"/>
                <w:lang w:eastAsia="es-ES"/>
              </w:rPr>
              <w:t>, ICC, ANOVA, chi-square.</w:t>
            </w:r>
          </w:p>
        </w:tc>
      </w:tr>
      <w:tr w:rsidR="003E400D" w:rsidRPr="00D174DC" w14:paraId="5974FB49" w14:textId="77777777" w:rsidTr="00F53D71">
        <w:trPr>
          <w:trHeight w:val="285"/>
          <w:jc w:val="center"/>
        </w:trPr>
        <w:tc>
          <w:tcPr>
            <w:tcW w:w="1452" w:type="dxa"/>
            <w:tcMar>
              <w:top w:w="0" w:type="dxa"/>
              <w:left w:w="45" w:type="dxa"/>
              <w:bottom w:w="0" w:type="dxa"/>
              <w:right w:w="45" w:type="dxa"/>
            </w:tcMar>
            <w:vAlign w:val="center"/>
            <w:hideMark/>
          </w:tcPr>
          <w:p w14:paraId="718A0965"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3255C0">
              <w:rPr>
                <w:rFonts w:ascii="Times New Roman" w:eastAsia="Times New Roman" w:hAnsi="Times New Roman" w:cs="Times New Roman"/>
                <w:color w:val="000000"/>
                <w:sz w:val="16"/>
                <w:szCs w:val="16"/>
                <w:lang w:eastAsia="es-ES"/>
              </w:rPr>
              <w:t>Yuan et al. (2017)</w:t>
            </w:r>
            <w:r>
              <w:rPr>
                <w:rFonts w:ascii="Times New Roman" w:eastAsia="Times New Roman" w:hAnsi="Times New Roman" w:cs="Times New Roman"/>
                <w:color w:val="000000"/>
                <w:sz w:val="16"/>
                <w:szCs w:val="16"/>
                <w:lang w:val="es-MX" w:eastAsia="es-ES"/>
              </w:rPr>
              <w:fldChar w:fldCharType="begin" w:fldLock="1"/>
            </w:r>
            <w:r>
              <w:rPr>
                <w:rFonts w:ascii="Times New Roman" w:eastAsia="Times New Roman" w:hAnsi="Times New Roman" w:cs="Times New Roman"/>
                <w:color w:val="000000"/>
                <w:sz w:val="16"/>
                <w:szCs w:val="16"/>
                <w:lang w:eastAsia="es-ES"/>
              </w:rPr>
              <w:instrText>ADDIN CSL_CITATION {"citationItems":[{"id":"ITEM-1","itemData":{"DOI":"10.1093/aje/kww104","ISSN":"14766256","PMID":"28338828","abstract":"The authors evaluated the validity of a 152-item semiquantitative food frequency questionnaire (SFFQ) by comparing it with two 7-day dietary records (7DDRs) or up to 4 automated self-administered 24-hour recalls (ASA24s) over a 1-year period in the women's Lifestyle Validation Study (2010-2012), conducted among subgroups of the Nurses' Health Studies. Intakes of energy and 44 nutrients were assessed using the 3 methods among 632 US women. Compared with the 7DDRs, SFFQ responses tended to underestimate sodium intake but overestimate intakes of energy, macronutrients, and several nutrients in fruits and vegetables, such as carotenoids. Spearman correlation coefficients between energy-adjusted intakes from 7DDRs and the SFFQ completed at the end of the data-collection period ranged from 0.36 for lauric acid to 0.77 for alcohol (mean r = 0.53). Correlations of the end-period SFFQ were weaker when ASA24s were used as the comparison method (mean r = 0.43). After adjustment for within-person variation in the comparison method, the correlations of the final SFFQ were similar with 7DDRs (mean r = 0.63) and ASA24s (mean r = 0.62). These data indicate that this SFFQ provided reasonably valid estimates for intakes of a wide variety of dietary variables and that use of multiple 24-hour recalls or 7DDRs as a comparison method provided similar conclusions if day-to-day variation was taken into account.","author":[{"dropping-particle":"","family":"Yuan","given":"Changzheng","non-dropping-particle":"","parse-names":false,"suffix":""},{"dropping-particle":"","family":"Spiegelman","given":"Donna","non-dropping-particle":"","parse-names":false,"suffix":""},{"dropping-particle":"","family":"Rimm","given":"Eric B.","non-dropping-particle":"","parse-names":false,"suffix":""},{"dropping-particle":"","family":"Rosner","given":"Bernard A.","non-dropping-particle":"","parse-names":false,"suffix":""},{"dropping-particle":"","family":"Stampfer","given":"Meir J.","non-dropping-particle":"","parse-names":false,"suffix":""},{"dropping-particle":"","family":"Barnett","given":"Junaidah B.","non-dropping-particle":"","parse-names":false,"suffix":""},{"dropping-particle":"","family":"Chavarro","given":"Jorge E.","non-dropping-particle":"","parse-names":false,"suffix":""},{"dropping-particle":"","family":"Subar","given":"Amy F.","non-dropping-particle":"","parse-names":false,"suffix":""},{"dropping-particle":"","family":"Sampson","given":"Laura K.","non-dropping-particle":"","parse-names":false,"suffix":""},{"dropping-particle":"","family":"Willett","given":"Walter C.","non-dropping-particle":"","parse-names":false,"suffix":""}],"container-title":"American Journal of Epidemiology","id":"ITEM-1","issue":"7","issued":{"date-parts":[["2017"]]},"page":"570-584","title":"Validity of a Dietary Questionnaire Assessed by Comparison With Multiple Weighed Dietary Records or 24-Hour Recalls","type":"article-journal","volume":"185"},"uris":["http://www.mendeley.com/documents/?uuid=4dfad0b9-9786-4156-bcff-b86934f58f5e"]}],"mendeley":{"formattedCitation":"&lt;sup&gt;(43)&lt;/sup&gt;","plainTextFormattedCitation":"(43)","previouslyFormattedCitation":"&lt;sup&gt;(43)&lt;/sup&gt;"},"properties":{"noteIndex":0},"schema":"https://github.com/citation-style-language/schema/raw/master/csl-citation.json"}</w:instrText>
            </w:r>
            <w:r>
              <w:rPr>
                <w:rFonts w:ascii="Times New Roman" w:eastAsia="Times New Roman" w:hAnsi="Times New Roman" w:cs="Times New Roman"/>
                <w:color w:val="000000"/>
                <w:sz w:val="16"/>
                <w:szCs w:val="16"/>
                <w:lang w:val="es-MX" w:eastAsia="es-ES"/>
              </w:rPr>
              <w:fldChar w:fldCharType="separate"/>
            </w:r>
            <w:r w:rsidRPr="00322DA0">
              <w:rPr>
                <w:rFonts w:ascii="Times New Roman" w:eastAsia="Times New Roman" w:hAnsi="Times New Roman" w:cs="Times New Roman"/>
                <w:noProof/>
                <w:color w:val="000000"/>
                <w:sz w:val="16"/>
                <w:szCs w:val="16"/>
                <w:vertAlign w:val="superscript"/>
                <w:lang w:val="en-AU" w:eastAsia="es-ES"/>
              </w:rPr>
              <w:t>(43)</w:t>
            </w:r>
            <w:r>
              <w:rPr>
                <w:rFonts w:ascii="Times New Roman" w:eastAsia="Times New Roman" w:hAnsi="Times New Roman" w:cs="Times New Roman"/>
                <w:color w:val="000000"/>
                <w:sz w:val="16"/>
                <w:szCs w:val="16"/>
                <w:lang w:val="es-MX" w:eastAsia="es-ES"/>
              </w:rPr>
              <w:fldChar w:fldCharType="end"/>
            </w:r>
          </w:p>
        </w:tc>
        <w:tc>
          <w:tcPr>
            <w:tcW w:w="1208" w:type="dxa"/>
            <w:shd w:val="clear" w:color="auto" w:fill="1FB714"/>
            <w:tcMar>
              <w:top w:w="0" w:type="dxa"/>
              <w:left w:w="45" w:type="dxa"/>
              <w:bottom w:w="0" w:type="dxa"/>
              <w:right w:w="45" w:type="dxa"/>
            </w:tcMar>
            <w:vAlign w:val="center"/>
            <w:hideMark/>
          </w:tcPr>
          <w:p w14:paraId="57976678"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*b</w:t>
            </w:r>
          </w:p>
        </w:tc>
        <w:tc>
          <w:tcPr>
            <w:tcW w:w="776" w:type="dxa"/>
            <w:shd w:val="clear" w:color="auto" w:fill="DD0806"/>
            <w:tcMar>
              <w:top w:w="0" w:type="dxa"/>
              <w:left w:w="45" w:type="dxa"/>
              <w:bottom w:w="0" w:type="dxa"/>
              <w:right w:w="45" w:type="dxa"/>
            </w:tcMar>
            <w:vAlign w:val="center"/>
            <w:hideMark/>
          </w:tcPr>
          <w:p w14:paraId="6642F052"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c</w:t>
            </w:r>
          </w:p>
        </w:tc>
        <w:tc>
          <w:tcPr>
            <w:tcW w:w="992" w:type="dxa"/>
            <w:shd w:val="clear" w:color="auto" w:fill="1FB714"/>
            <w:tcMar>
              <w:top w:w="0" w:type="dxa"/>
              <w:left w:w="45" w:type="dxa"/>
              <w:bottom w:w="0" w:type="dxa"/>
              <w:right w:w="45" w:type="dxa"/>
            </w:tcMar>
            <w:vAlign w:val="center"/>
            <w:hideMark/>
          </w:tcPr>
          <w:p w14:paraId="310A54C1"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*a</w:t>
            </w:r>
          </w:p>
        </w:tc>
        <w:tc>
          <w:tcPr>
            <w:tcW w:w="851" w:type="dxa"/>
            <w:shd w:val="clear" w:color="auto" w:fill="DD0806"/>
            <w:tcMar>
              <w:top w:w="0" w:type="dxa"/>
              <w:left w:w="45" w:type="dxa"/>
              <w:bottom w:w="0" w:type="dxa"/>
              <w:right w:w="45" w:type="dxa"/>
            </w:tcMar>
            <w:vAlign w:val="center"/>
            <w:hideMark/>
          </w:tcPr>
          <w:p w14:paraId="74623738"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c</w:t>
            </w:r>
          </w:p>
        </w:tc>
        <w:tc>
          <w:tcPr>
            <w:tcW w:w="850" w:type="dxa"/>
            <w:shd w:val="clear" w:color="auto" w:fill="1FB714"/>
            <w:tcMar>
              <w:top w:w="0" w:type="dxa"/>
              <w:left w:w="45" w:type="dxa"/>
              <w:bottom w:w="0" w:type="dxa"/>
              <w:right w:w="45" w:type="dxa"/>
            </w:tcMar>
            <w:vAlign w:val="center"/>
            <w:hideMark/>
          </w:tcPr>
          <w:p w14:paraId="76ED47A4"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*a</w:t>
            </w:r>
          </w:p>
        </w:tc>
        <w:tc>
          <w:tcPr>
            <w:tcW w:w="1418" w:type="dxa"/>
            <w:shd w:val="clear" w:color="auto" w:fill="1FB714"/>
            <w:tcMar>
              <w:top w:w="0" w:type="dxa"/>
              <w:left w:w="45" w:type="dxa"/>
              <w:bottom w:w="0" w:type="dxa"/>
              <w:right w:w="45" w:type="dxa"/>
            </w:tcMar>
            <w:vAlign w:val="center"/>
            <w:hideMark/>
          </w:tcPr>
          <w:p w14:paraId="07E258CA"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*b</w:t>
            </w:r>
          </w:p>
        </w:tc>
        <w:tc>
          <w:tcPr>
            <w:tcW w:w="1134" w:type="dxa"/>
            <w:tcMar>
              <w:top w:w="0" w:type="dxa"/>
              <w:left w:w="45" w:type="dxa"/>
              <w:bottom w:w="0" w:type="dxa"/>
              <w:right w:w="45" w:type="dxa"/>
            </w:tcMar>
            <w:vAlign w:val="center"/>
            <w:hideMark/>
          </w:tcPr>
          <w:p w14:paraId="1174FAC1"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Results are presented as described in the methods section.</w:t>
            </w:r>
          </w:p>
        </w:tc>
        <w:tc>
          <w:tcPr>
            <w:tcW w:w="425" w:type="dxa"/>
            <w:shd w:val="clear" w:color="auto" w:fill="1FB714"/>
            <w:tcMar>
              <w:top w:w="0" w:type="dxa"/>
              <w:left w:w="45" w:type="dxa"/>
              <w:bottom w:w="0" w:type="dxa"/>
              <w:right w:w="45" w:type="dxa"/>
            </w:tcMar>
            <w:vAlign w:val="center"/>
            <w:hideMark/>
          </w:tcPr>
          <w:p w14:paraId="4FC46886"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Low risk</w:t>
            </w:r>
          </w:p>
        </w:tc>
        <w:tc>
          <w:tcPr>
            <w:tcW w:w="1134" w:type="dxa"/>
            <w:shd w:val="clear" w:color="auto" w:fill="1FB714"/>
            <w:tcMar>
              <w:top w:w="0" w:type="dxa"/>
              <w:left w:w="45" w:type="dxa"/>
              <w:bottom w:w="0" w:type="dxa"/>
              <w:right w:w="45" w:type="dxa"/>
            </w:tcMar>
            <w:vAlign w:val="center"/>
            <w:hideMark/>
          </w:tcPr>
          <w:p w14:paraId="3CEAAF2D"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Yes</w:t>
            </w:r>
          </w:p>
        </w:tc>
        <w:tc>
          <w:tcPr>
            <w:tcW w:w="851" w:type="dxa"/>
            <w:shd w:val="clear" w:color="auto" w:fill="1FB714"/>
            <w:tcMar>
              <w:top w:w="0" w:type="dxa"/>
              <w:left w:w="45" w:type="dxa"/>
              <w:bottom w:w="0" w:type="dxa"/>
              <w:right w:w="45" w:type="dxa"/>
            </w:tcMar>
            <w:vAlign w:val="center"/>
            <w:hideMark/>
          </w:tcPr>
          <w:p w14:paraId="124F2AAA"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Yes</w:t>
            </w:r>
          </w:p>
        </w:tc>
        <w:tc>
          <w:tcPr>
            <w:tcW w:w="850" w:type="dxa"/>
            <w:shd w:val="clear" w:color="auto" w:fill="1FB714"/>
            <w:tcMar>
              <w:top w:w="0" w:type="dxa"/>
              <w:left w:w="45" w:type="dxa"/>
              <w:bottom w:w="0" w:type="dxa"/>
              <w:right w:w="45" w:type="dxa"/>
            </w:tcMar>
            <w:vAlign w:val="center"/>
            <w:hideMark/>
          </w:tcPr>
          <w:p w14:paraId="02248305"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Yes</w:t>
            </w:r>
          </w:p>
        </w:tc>
        <w:tc>
          <w:tcPr>
            <w:tcW w:w="709" w:type="dxa"/>
            <w:shd w:val="clear" w:color="auto" w:fill="DD0806"/>
            <w:tcMar>
              <w:top w:w="0" w:type="dxa"/>
              <w:left w:w="45" w:type="dxa"/>
              <w:bottom w:w="0" w:type="dxa"/>
              <w:right w:w="45" w:type="dxa"/>
            </w:tcMar>
            <w:vAlign w:val="center"/>
            <w:hideMark/>
          </w:tcPr>
          <w:p w14:paraId="4DC30053"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No</w:t>
            </w:r>
          </w:p>
        </w:tc>
        <w:tc>
          <w:tcPr>
            <w:tcW w:w="709" w:type="dxa"/>
            <w:shd w:val="clear" w:color="auto" w:fill="1FB714"/>
            <w:tcMar>
              <w:top w:w="0" w:type="dxa"/>
              <w:left w:w="45" w:type="dxa"/>
              <w:bottom w:w="0" w:type="dxa"/>
              <w:right w:w="45" w:type="dxa"/>
            </w:tcMar>
            <w:vAlign w:val="center"/>
            <w:hideMark/>
          </w:tcPr>
          <w:p w14:paraId="4CF0621F"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Yes</w:t>
            </w:r>
          </w:p>
        </w:tc>
        <w:tc>
          <w:tcPr>
            <w:tcW w:w="708" w:type="dxa"/>
            <w:shd w:val="clear" w:color="auto" w:fill="1FB714"/>
            <w:tcMar>
              <w:top w:w="0" w:type="dxa"/>
              <w:left w:w="45" w:type="dxa"/>
              <w:bottom w:w="0" w:type="dxa"/>
              <w:right w:w="45" w:type="dxa"/>
            </w:tcMar>
            <w:vAlign w:val="center"/>
            <w:hideMark/>
          </w:tcPr>
          <w:p w14:paraId="3CF1144E" w14:textId="77777777" w:rsidR="003E400D" w:rsidRPr="00E209A6" w:rsidRDefault="003E400D" w:rsidP="00F53D71">
            <w:pPr>
              <w:spacing w:after="0" w:line="240" w:lineRule="auto"/>
              <w:rPr>
                <w:rFonts w:ascii="Times New Roman" w:eastAsia="Times New Roman" w:hAnsi="Times New Roman" w:cs="Times New Roman"/>
                <w:color w:val="000000"/>
                <w:sz w:val="16"/>
                <w:szCs w:val="16"/>
                <w:lang w:val="en-AU" w:eastAsia="es-ES"/>
              </w:rPr>
            </w:pPr>
            <w:r w:rsidRPr="00E209A6">
              <w:rPr>
                <w:rFonts w:ascii="Times New Roman" w:eastAsia="Times New Roman" w:hAnsi="Times New Roman" w:cs="Times New Roman"/>
                <w:color w:val="000000"/>
                <w:sz w:val="16"/>
                <w:szCs w:val="16"/>
                <w:lang w:val="en-AU" w:eastAsia="es-ES"/>
              </w:rPr>
              <w:t>Yes</w:t>
            </w:r>
          </w:p>
        </w:tc>
        <w:tc>
          <w:tcPr>
            <w:tcW w:w="1422" w:type="dxa"/>
            <w:shd w:val="clear" w:color="auto" w:fill="1FB714"/>
            <w:tcMar>
              <w:top w:w="0" w:type="dxa"/>
              <w:left w:w="45" w:type="dxa"/>
              <w:bottom w:w="0" w:type="dxa"/>
              <w:right w:w="45" w:type="dxa"/>
            </w:tcMar>
            <w:vAlign w:val="center"/>
            <w:hideMark/>
          </w:tcPr>
          <w:p w14:paraId="07A4D466" w14:textId="77777777" w:rsidR="003E400D" w:rsidRPr="002B6335" w:rsidRDefault="003E400D" w:rsidP="00F53D71">
            <w:pPr>
              <w:spacing w:after="0" w:line="240" w:lineRule="auto"/>
              <w:rPr>
                <w:rFonts w:ascii="Times New Roman" w:eastAsia="Times New Roman" w:hAnsi="Times New Roman" w:cs="Times New Roman"/>
                <w:color w:val="000000"/>
                <w:sz w:val="16"/>
                <w:szCs w:val="16"/>
                <w:lang w:val="en-AU" w:eastAsia="es-ES"/>
              </w:rPr>
            </w:pPr>
            <w:r w:rsidRPr="002B6335">
              <w:rPr>
                <w:rFonts w:ascii="Times New Roman" w:eastAsia="Times New Roman" w:hAnsi="Times New Roman" w:cs="Times New Roman"/>
                <w:color w:val="000000"/>
                <w:sz w:val="16"/>
                <w:szCs w:val="16"/>
                <w:lang w:val="en-AU" w:eastAsia="es-ES"/>
              </w:rPr>
              <w:t>Yes: log transformation, Bland-Altman, Spearman</w:t>
            </w:r>
          </w:p>
        </w:tc>
      </w:tr>
      <w:tr w:rsidR="003E400D" w14:paraId="330F1AD3" w14:textId="77777777" w:rsidTr="00F53D71">
        <w:tblPrEx>
          <w:tblCellMar>
            <w:left w:w="108" w:type="dxa"/>
            <w:right w:w="108" w:type="dxa"/>
          </w:tblCellMar>
          <w:tblLook w:val="0400" w:firstRow="0" w:lastRow="0" w:firstColumn="0" w:lastColumn="0" w:noHBand="0" w:noVBand="1"/>
        </w:tblPrEx>
        <w:trPr>
          <w:trHeight w:val="322"/>
          <w:jc w:val="center"/>
        </w:trPr>
        <w:tc>
          <w:tcPr>
            <w:tcW w:w="1452" w:type="dxa"/>
            <w:tcMar>
              <w:top w:w="0" w:type="dxa"/>
              <w:left w:w="45" w:type="dxa"/>
              <w:bottom w:w="0" w:type="dxa"/>
              <w:right w:w="45" w:type="dxa"/>
            </w:tcMar>
            <w:vAlign w:val="center"/>
          </w:tcPr>
          <w:p w14:paraId="77D8FC21" w14:textId="77777777" w:rsidR="003E400D" w:rsidRPr="001C5F2A" w:rsidRDefault="003E400D" w:rsidP="00F53D71">
            <w:pPr>
              <w:spacing w:after="0" w:line="240" w:lineRule="auto"/>
              <w:rPr>
                <w:rFonts w:ascii="Times New Roman" w:eastAsia="Times New Roman" w:hAnsi="Times New Roman" w:cs="Times New Roman"/>
                <w:sz w:val="16"/>
                <w:szCs w:val="16"/>
                <w:highlight w:val="yellow"/>
              </w:rPr>
            </w:pPr>
            <w:proofErr w:type="spellStart"/>
            <w:r w:rsidRPr="001C5F2A">
              <w:rPr>
                <w:rFonts w:ascii="Times New Roman" w:eastAsia="Times New Roman" w:hAnsi="Times New Roman" w:cs="Times New Roman"/>
                <w:sz w:val="16"/>
                <w:szCs w:val="16"/>
              </w:rPr>
              <w:t>Bijani</w:t>
            </w:r>
            <w:proofErr w:type="spellEnd"/>
            <w:r w:rsidRPr="001C5F2A">
              <w:rPr>
                <w:rFonts w:ascii="Times New Roman" w:eastAsia="Times New Roman" w:hAnsi="Times New Roman" w:cs="Times New Roman"/>
                <w:sz w:val="16"/>
                <w:szCs w:val="16"/>
              </w:rPr>
              <w:t xml:space="preserve"> et al. (2018)</w:t>
            </w:r>
            <w:r w:rsidRPr="001C5F2A">
              <w:rPr>
                <w:rFonts w:ascii="Times New Roman" w:eastAsia="Times New Roman" w:hAnsi="Times New Roman" w:cs="Times New Roman"/>
                <w:sz w:val="16"/>
                <w:szCs w:val="16"/>
              </w:rPr>
              <w:fldChar w:fldCharType="begin" w:fldLock="1"/>
            </w:r>
            <w:r w:rsidRPr="001C5F2A">
              <w:rPr>
                <w:rFonts w:ascii="Times New Roman" w:eastAsia="Times New Roman" w:hAnsi="Times New Roman" w:cs="Times New Roman"/>
                <w:sz w:val="16"/>
                <w:szCs w:val="16"/>
              </w:rPr>
              <w:instrText>ADDIN CSL_CITATION {"citationItems":[{"id":"ITEM-1","itemData":{"DOI":"10.22088/cjim.9.1.78","ISSN":"20086172","abstract":"Background: The study was conducted to assess reliability of modified semi-quantitative food frequency questionnaire (SQFFQ) as a part of the Amirkola Health and Aging Project (AHAP). Methods: The study was carried out in a sample of 200 men and women aged 60 years and older. A 138-item SQFFQ and two 24-hour dietary recalls were completed. The reliability of SQFFQ was evaluated by comparing eighteen food groups, energy and nutrient intakes derived from both methods using Spearman and Pearson's correlation coefficients for food groups and nutrients, respectively. Bland-Altman plots and Pitman's tests were applied to compare the two dietary assessment methods. Results: The mean (SD) age of subjects was 68.16 (6.56) years. The average energy intake from 24-hour dietary recalls and the SQFFQ were 1470.2 and 1535.4 kcal/day, respectively. Spearman correlation coefficients, comparing food groups intake based on two dietary assessment methods ranged from 0.25 (meat) to 0.62 (tea and coffee) in men and from 0.39 (whole grains) to 0.60 (sugars) in women. Pearson coefficients for energy and macronutrients were 0.53 for energy to 0.21 for zinc in male and 0.71 for energy to 0.26 for vitamin C in females. The Pitman's test reflected the reasonable agreement between the mean energy and macronutrients of the SQFFQ and 24-hour recalls. Conclusions: The modified SQFFQ that was designed for the AHAP was found to be reliable for assessing the intake of several food groups, energy, micro-and macronutrients.","author":[{"dropping-particle":"","family":"Bijani","given":"Ali","non-dropping-particle":"","parse-names":false,"suffix":""},{"dropping-particle":"","family":"Esmaili","given":"Haleh","non-dropping-particle":"","parse-names":false,"suffix":""},{"dropping-particle":"","family":"Ghadimi","given":"Reza","non-dropping-particle":"","parse-names":false,"suffix":""},{"dropping-particle":"","family":"Babazadeh","given":"Atekeh","non-dropping-particle":"","parse-names":false,"suffix":""},{"dropping-particle":"","family":"Rezaei","given":"Reyhaneh","non-dropping-particle":"","parse-names":false,"suffix":""},{"dropping-particle":"","family":"Cumming","given":"Robert G.","non-dropping-particle":"","parse-names":false,"suffix":""},{"dropping-particle":"","family":"Hosseini","given":"Seyed Reza","non-dropping-particle":"","parse-names":false,"suffix":""}],"container-title":"Caspian Journal of Internal Medicine","id":"ITEM-1","issue":"1","issued":{"date-parts":[["2018"]]},"page":"78-86","publisher":"Babol University of Medical Sciences","title":"Development and validation of a Semi-quantitative food frequency questionnaire among older people in north of Iran","type":"article-journal","volume":"9"},"uris":["http://www.mendeley.com/documents/?uuid=174dfa05-9e0f-301b-a21d-613731384e83"]}],"mendeley":{"formattedCitation":"&lt;sup&gt;(55)&lt;/sup&gt;","plainTextFormattedCitation":"(55)","previouslyFormattedCitation":"&lt;sup&gt;(55)&lt;/sup&gt;"},"properties":{"noteIndex":0},"schema":"https://github.com/citation-style-language/schema/raw/master/csl-citation.json"}</w:instrText>
            </w:r>
            <w:r w:rsidRPr="001C5F2A">
              <w:rPr>
                <w:rFonts w:ascii="Times New Roman" w:eastAsia="Times New Roman" w:hAnsi="Times New Roman" w:cs="Times New Roman"/>
                <w:sz w:val="16"/>
                <w:szCs w:val="16"/>
              </w:rPr>
              <w:fldChar w:fldCharType="separate"/>
            </w:r>
            <w:r w:rsidRPr="001C5F2A">
              <w:rPr>
                <w:rFonts w:ascii="Times New Roman" w:eastAsia="Times New Roman" w:hAnsi="Times New Roman" w:cs="Times New Roman"/>
                <w:noProof/>
                <w:sz w:val="16"/>
                <w:szCs w:val="16"/>
                <w:vertAlign w:val="superscript"/>
              </w:rPr>
              <w:t>(55)</w:t>
            </w:r>
            <w:r w:rsidRPr="001C5F2A">
              <w:rPr>
                <w:rFonts w:ascii="Times New Roman" w:eastAsia="Times New Roman" w:hAnsi="Times New Roman" w:cs="Times New Roman"/>
                <w:sz w:val="16"/>
                <w:szCs w:val="16"/>
              </w:rPr>
              <w:fldChar w:fldCharType="end"/>
            </w:r>
          </w:p>
        </w:tc>
        <w:tc>
          <w:tcPr>
            <w:tcW w:w="1208" w:type="dxa"/>
            <w:shd w:val="clear" w:color="auto" w:fill="00B900"/>
            <w:tcMar>
              <w:top w:w="0" w:type="dxa"/>
              <w:left w:w="45" w:type="dxa"/>
              <w:bottom w:w="0" w:type="dxa"/>
              <w:right w:w="45" w:type="dxa"/>
            </w:tcMar>
            <w:vAlign w:val="center"/>
          </w:tcPr>
          <w:p w14:paraId="5A4D6B4F"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776" w:type="dxa"/>
            <w:shd w:val="clear" w:color="auto" w:fill="00B900"/>
            <w:tcMar>
              <w:top w:w="0" w:type="dxa"/>
              <w:left w:w="45" w:type="dxa"/>
              <w:bottom w:w="0" w:type="dxa"/>
              <w:right w:w="45" w:type="dxa"/>
            </w:tcMar>
            <w:vAlign w:val="center"/>
          </w:tcPr>
          <w:p w14:paraId="671A9023"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992" w:type="dxa"/>
            <w:shd w:val="clear" w:color="auto" w:fill="FF0000"/>
            <w:tcMar>
              <w:top w:w="0" w:type="dxa"/>
              <w:left w:w="45" w:type="dxa"/>
              <w:bottom w:w="0" w:type="dxa"/>
              <w:right w:w="45" w:type="dxa"/>
            </w:tcMar>
            <w:vAlign w:val="center"/>
          </w:tcPr>
          <w:p w14:paraId="011871C6"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none</w:t>
            </w:r>
          </w:p>
        </w:tc>
        <w:tc>
          <w:tcPr>
            <w:tcW w:w="851" w:type="dxa"/>
            <w:shd w:val="clear" w:color="auto" w:fill="00B900"/>
            <w:tcMar>
              <w:top w:w="0" w:type="dxa"/>
              <w:left w:w="45" w:type="dxa"/>
              <w:bottom w:w="0" w:type="dxa"/>
              <w:right w:w="45" w:type="dxa"/>
            </w:tcMar>
            <w:vAlign w:val="center"/>
          </w:tcPr>
          <w:p w14:paraId="21D1715A"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850" w:type="dxa"/>
            <w:shd w:val="clear" w:color="auto" w:fill="FF0000"/>
            <w:tcMar>
              <w:top w:w="0" w:type="dxa"/>
              <w:left w:w="45" w:type="dxa"/>
              <w:bottom w:w="0" w:type="dxa"/>
              <w:right w:w="45" w:type="dxa"/>
            </w:tcMar>
            <w:vAlign w:val="center"/>
          </w:tcPr>
          <w:p w14:paraId="7AF65AEA"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418" w:type="dxa"/>
            <w:shd w:val="clear" w:color="auto" w:fill="00B900"/>
            <w:tcMar>
              <w:top w:w="0" w:type="dxa"/>
              <w:left w:w="45" w:type="dxa"/>
              <w:bottom w:w="0" w:type="dxa"/>
              <w:right w:w="45" w:type="dxa"/>
            </w:tcMar>
            <w:vAlign w:val="center"/>
          </w:tcPr>
          <w:p w14:paraId="580ACAD0"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134" w:type="dxa"/>
            <w:shd w:val="clear" w:color="auto" w:fill="FFFFFF"/>
            <w:tcMar>
              <w:top w:w="0" w:type="dxa"/>
              <w:left w:w="45" w:type="dxa"/>
              <w:bottom w:w="0" w:type="dxa"/>
              <w:right w:w="45" w:type="dxa"/>
            </w:tcMar>
            <w:vAlign w:val="center"/>
          </w:tcPr>
          <w:p w14:paraId="31138347" w14:textId="77777777" w:rsidR="003E400D" w:rsidRDefault="003E400D" w:rsidP="00F53D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Results are presented as described in the methods section</w:t>
            </w:r>
          </w:p>
        </w:tc>
        <w:tc>
          <w:tcPr>
            <w:tcW w:w="425" w:type="dxa"/>
            <w:shd w:val="clear" w:color="auto" w:fill="00B900"/>
            <w:tcMar>
              <w:top w:w="0" w:type="dxa"/>
              <w:left w:w="45" w:type="dxa"/>
              <w:bottom w:w="0" w:type="dxa"/>
              <w:right w:w="45" w:type="dxa"/>
            </w:tcMar>
            <w:vAlign w:val="center"/>
          </w:tcPr>
          <w:p w14:paraId="549FFBFB"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Low risk</w:t>
            </w:r>
          </w:p>
        </w:tc>
        <w:tc>
          <w:tcPr>
            <w:tcW w:w="1134" w:type="dxa"/>
            <w:shd w:val="clear" w:color="auto" w:fill="FF9900"/>
            <w:tcMar>
              <w:top w:w="0" w:type="dxa"/>
              <w:left w:w="45" w:type="dxa"/>
              <w:bottom w:w="0" w:type="dxa"/>
              <w:right w:w="45" w:type="dxa"/>
            </w:tcMar>
            <w:vAlign w:val="center"/>
          </w:tcPr>
          <w:p w14:paraId="1892A713"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Incomplete</w:t>
            </w:r>
          </w:p>
        </w:tc>
        <w:tc>
          <w:tcPr>
            <w:tcW w:w="851" w:type="dxa"/>
            <w:shd w:val="clear" w:color="auto" w:fill="FF0000"/>
            <w:tcMar>
              <w:top w:w="0" w:type="dxa"/>
              <w:left w:w="45" w:type="dxa"/>
              <w:bottom w:w="0" w:type="dxa"/>
              <w:right w:w="45" w:type="dxa"/>
            </w:tcMar>
            <w:vAlign w:val="center"/>
          </w:tcPr>
          <w:p w14:paraId="4D20440A"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850" w:type="dxa"/>
            <w:shd w:val="clear" w:color="auto" w:fill="00B900"/>
            <w:tcMar>
              <w:top w:w="0" w:type="dxa"/>
              <w:left w:w="45" w:type="dxa"/>
              <w:bottom w:w="0" w:type="dxa"/>
              <w:right w:w="45" w:type="dxa"/>
            </w:tcMar>
            <w:vAlign w:val="center"/>
          </w:tcPr>
          <w:p w14:paraId="69DF200D"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9" w:type="dxa"/>
            <w:shd w:val="clear" w:color="auto" w:fill="FF0000"/>
            <w:tcMar>
              <w:top w:w="0" w:type="dxa"/>
              <w:left w:w="45" w:type="dxa"/>
              <w:bottom w:w="0" w:type="dxa"/>
              <w:right w:w="45" w:type="dxa"/>
            </w:tcMar>
            <w:vAlign w:val="center"/>
          </w:tcPr>
          <w:p w14:paraId="2FDD8C8F"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No </w:t>
            </w:r>
          </w:p>
        </w:tc>
        <w:tc>
          <w:tcPr>
            <w:tcW w:w="709" w:type="dxa"/>
            <w:shd w:val="clear" w:color="auto" w:fill="00B900"/>
            <w:tcMar>
              <w:top w:w="0" w:type="dxa"/>
              <w:left w:w="45" w:type="dxa"/>
              <w:bottom w:w="0" w:type="dxa"/>
              <w:right w:w="45" w:type="dxa"/>
            </w:tcMar>
            <w:vAlign w:val="center"/>
          </w:tcPr>
          <w:p w14:paraId="61660AC3"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8" w:type="dxa"/>
            <w:shd w:val="clear" w:color="auto" w:fill="00B900"/>
            <w:tcMar>
              <w:top w:w="0" w:type="dxa"/>
              <w:left w:w="45" w:type="dxa"/>
              <w:bottom w:w="0" w:type="dxa"/>
              <w:right w:w="45" w:type="dxa"/>
            </w:tcMar>
            <w:vAlign w:val="center"/>
          </w:tcPr>
          <w:p w14:paraId="22B7B940"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1422" w:type="dxa"/>
            <w:shd w:val="clear" w:color="auto" w:fill="00B900"/>
            <w:tcMar>
              <w:top w:w="0" w:type="dxa"/>
              <w:left w:w="45" w:type="dxa"/>
              <w:bottom w:w="0" w:type="dxa"/>
              <w:right w:w="45" w:type="dxa"/>
            </w:tcMar>
            <w:vAlign w:val="center"/>
          </w:tcPr>
          <w:p w14:paraId="7D4AA0FE" w14:textId="77777777" w:rsidR="003E400D" w:rsidRDefault="003E400D" w:rsidP="00F53D7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 Pitman's test, Bland-Altman, Spearman</w:t>
            </w:r>
          </w:p>
        </w:tc>
      </w:tr>
      <w:tr w:rsidR="003E400D" w:rsidRPr="007D0835" w14:paraId="34168204" w14:textId="77777777" w:rsidTr="00F53D71">
        <w:trPr>
          <w:trHeight w:val="315"/>
          <w:jc w:val="center"/>
        </w:trPr>
        <w:tc>
          <w:tcPr>
            <w:tcW w:w="1452" w:type="dxa"/>
            <w:tcMar>
              <w:top w:w="0" w:type="dxa"/>
              <w:left w:w="45" w:type="dxa"/>
              <w:bottom w:w="0" w:type="dxa"/>
              <w:right w:w="45" w:type="dxa"/>
            </w:tcMar>
            <w:vAlign w:val="bottom"/>
            <w:hideMark/>
          </w:tcPr>
          <w:p w14:paraId="6584CF84" w14:textId="77777777" w:rsidR="003E400D" w:rsidRPr="001C5F2A" w:rsidRDefault="003E400D" w:rsidP="00F53D71">
            <w:pPr>
              <w:spacing w:after="0" w:line="240" w:lineRule="auto"/>
              <w:rPr>
                <w:rFonts w:ascii="Times New Roman" w:eastAsia="Times New Roman" w:hAnsi="Times New Roman" w:cs="Times New Roman"/>
                <w:sz w:val="16"/>
                <w:szCs w:val="16"/>
                <w:lang w:eastAsia="es-ES"/>
              </w:rPr>
            </w:pPr>
            <w:r w:rsidRPr="001C5F2A">
              <w:rPr>
                <w:rFonts w:ascii="Times New Roman" w:eastAsia="Times New Roman" w:hAnsi="Times New Roman" w:cs="Times New Roman"/>
                <w:sz w:val="16"/>
                <w:szCs w:val="16"/>
                <w:lang w:eastAsia="es-ES"/>
              </w:rPr>
              <w:t>Zack et al. (2018)</w:t>
            </w:r>
            <w:r w:rsidRPr="001C5F2A">
              <w:rPr>
                <w:rFonts w:ascii="Times New Roman" w:eastAsia="Times New Roman" w:hAnsi="Times New Roman" w:cs="Times New Roman"/>
                <w:sz w:val="16"/>
                <w:szCs w:val="16"/>
                <w:lang w:val="es-MX" w:eastAsia="es-ES"/>
              </w:rPr>
              <w:fldChar w:fldCharType="begin" w:fldLock="1"/>
            </w:r>
            <w:r w:rsidRPr="001C5F2A">
              <w:rPr>
                <w:rFonts w:ascii="Times New Roman" w:eastAsia="Times New Roman" w:hAnsi="Times New Roman" w:cs="Times New Roman"/>
                <w:sz w:val="16"/>
                <w:szCs w:val="16"/>
                <w:lang w:eastAsia="es-ES"/>
              </w:rPr>
              <w:instrText>ADDIN CSL_CITATION {"citationItems":[{"id":"ITEM-1","itemData":{"DOI":"10.1017/S1368980018000848","ISSN":"00286885","abstract":"Objective FFQ are often used to estimate food and nutrient intakes to rank individuals by their level of intake. We evaluated the relative validity of a semi-quantitative FFQ created for use in Tanzania by comparing it with two 24 h diet recalls.Design We measured relative validity of the FFQ with deattenuated energy-adjusted rank correlations for nutrients, deattenuated rank correlations for food groups, and performed a cross-classification analysis of energy-adjusted nutrient quartiles using percentage of agreement and Bland-Altman analysis.Setting Interviews were conducted in 2014 in participants' homes in Ukonga, Dar es Salaam, Tanzania.Subjects We surveyed 317 adults aged 40 years or older from the general public.Results Deattenuated energy-adjusted rank correlation coefficients of nutrients ranged from -0·03 for riboflavin to 0·41 for percentage of energy from carbohydrates, with a median correlation of 0·21. Coefficients for food groups ranged from 0·00 for root vegetables to 0·51 for alcohol, with a median of 0·35. Relative to the average of the two 24 h diet recalls, the FFQ overestimated energy intake and intakes of all nutrients and food groups, other than tea, with ratios among nutrients ranging from 1·34 for SFA to 7·08 for Vitamin A; and among food groups from 0·92 for tea to 9·00 for fruit. The percentage of participants classified into the same nutrient intake quartile ranged from 23 % for SFA to 32 % for both niacin and pantothenic acid, with a median of 28 %.Conclusions The FFQ performed moderately well in urban Tanzanian adults.","author":[{"dropping-particle":"","family":"Zack","given":"Rachel M.","non-dropping-particle":"","parse-names":false,"suffix":""},{"dropping-particle":"","family":"Irema","given":"Kahema","non-dropping-particle":"","parse-names":false,"suffix":""},{"dropping-particle":"","family":"Kazonda","given":"Patrick","non-dropping-particle":"","parse-names":false,"suffix":""},{"dropping-particle":"","family":"Leyna","given":"Germana H.","non-dropping-particle":"","parse-names":false,"suffix":""},{"dropping-particle":"","family":"Liu","given":"Enju","non-dropping-particle":"","parse-names":false,"suffix":""},{"dropping-particle":"","family":"Gilbert","given":"Susan","non-dropping-particle":"","parse-names":false,"suffix":""},{"dropping-particle":"","family":"Lukmanji","given":"Zohra","non-dropping-particle":"","parse-names":false,"suffix":""},{"dropping-particle":"","family":"Spiegelman","given":"Donna","non-dropping-particle":"","parse-names":false,"suffix":""},{"dropping-particle":"","family":"Fawzi","given":"Wafaie","non-dropping-particle":"","parse-names":false,"suffix":""},{"dropping-particle":"","family":"Njelekela","given":"Marina","non-dropping-particle":"","parse-names":false,"suffix":""},{"dropping-particle":"","family":"Killewo","given":"Japhet","non-dropping-particle":"","parse-names":false,"suffix":""},{"dropping-particle":"","family":"Danaei","given":"Goodarz","non-dropping-particle":"","parse-names":false,"suffix":""}],"container-title":"New Testament Studies","id":"ITEM-1","issue":"12","issued":{"date-parts":[["2018","8","1"]]},"page":"2211-2220","publisher":"Cambridge University Press","title":"Validity of an FFQ to measure nutrient and food intakes in Tanzania","type":"article-journal","volume":"21"},"uris":["http://www.mendeley.com/documents/?uuid=3424e38b-1bb1-318a-90d4-759de922abe8"]}],"mendeley":{"formattedCitation":"&lt;sup&gt;(69)&lt;/sup&gt;","plainTextFormattedCitation":"(69)","previouslyFormattedCitation":"&lt;sup&gt;(69)&lt;/sup&gt;"},"properties":{"noteIndex":0},"schema":"https://github.com/citation-style-language/schema/raw/master/csl-citation.json"}</w:instrText>
            </w:r>
            <w:r w:rsidRPr="001C5F2A">
              <w:rPr>
                <w:rFonts w:ascii="Times New Roman" w:eastAsia="Times New Roman" w:hAnsi="Times New Roman" w:cs="Times New Roman"/>
                <w:sz w:val="16"/>
                <w:szCs w:val="16"/>
                <w:lang w:val="es-MX" w:eastAsia="es-ES"/>
              </w:rPr>
              <w:fldChar w:fldCharType="separate"/>
            </w:r>
            <w:r w:rsidRPr="001C5F2A">
              <w:rPr>
                <w:rFonts w:ascii="Times New Roman" w:eastAsia="Times New Roman" w:hAnsi="Times New Roman" w:cs="Times New Roman"/>
                <w:noProof/>
                <w:sz w:val="16"/>
                <w:szCs w:val="16"/>
                <w:vertAlign w:val="superscript"/>
                <w:lang w:eastAsia="es-ES"/>
              </w:rPr>
              <w:t>(69)</w:t>
            </w:r>
            <w:r w:rsidRPr="001C5F2A">
              <w:rPr>
                <w:rFonts w:ascii="Times New Roman" w:eastAsia="Times New Roman" w:hAnsi="Times New Roman" w:cs="Times New Roman"/>
                <w:sz w:val="16"/>
                <w:szCs w:val="16"/>
                <w:lang w:val="es-MX" w:eastAsia="es-ES"/>
              </w:rPr>
              <w:fldChar w:fldCharType="end"/>
            </w:r>
          </w:p>
        </w:tc>
        <w:tc>
          <w:tcPr>
            <w:tcW w:w="1208" w:type="dxa"/>
            <w:shd w:val="clear" w:color="auto" w:fill="1FB714"/>
            <w:tcMar>
              <w:top w:w="0" w:type="dxa"/>
              <w:left w:w="45" w:type="dxa"/>
              <w:bottom w:w="0" w:type="dxa"/>
              <w:right w:w="45" w:type="dxa"/>
            </w:tcMar>
            <w:vAlign w:val="bottom"/>
            <w:hideMark/>
          </w:tcPr>
          <w:p w14:paraId="3319E401"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776" w:type="dxa"/>
            <w:shd w:val="clear" w:color="auto" w:fill="1FB714"/>
            <w:tcMar>
              <w:top w:w="0" w:type="dxa"/>
              <w:left w:w="45" w:type="dxa"/>
              <w:bottom w:w="0" w:type="dxa"/>
              <w:right w:w="45" w:type="dxa"/>
            </w:tcMar>
            <w:vAlign w:val="bottom"/>
            <w:hideMark/>
          </w:tcPr>
          <w:p w14:paraId="034CC72B"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992" w:type="dxa"/>
            <w:shd w:val="clear" w:color="auto" w:fill="1FB714"/>
            <w:tcMar>
              <w:top w:w="0" w:type="dxa"/>
              <w:left w:w="45" w:type="dxa"/>
              <w:bottom w:w="0" w:type="dxa"/>
              <w:right w:w="45" w:type="dxa"/>
            </w:tcMar>
            <w:vAlign w:val="bottom"/>
            <w:hideMark/>
          </w:tcPr>
          <w:p w14:paraId="33817711"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851" w:type="dxa"/>
            <w:shd w:val="clear" w:color="auto" w:fill="1FB714"/>
            <w:tcMar>
              <w:top w:w="0" w:type="dxa"/>
              <w:left w:w="45" w:type="dxa"/>
              <w:bottom w:w="0" w:type="dxa"/>
              <w:right w:w="45" w:type="dxa"/>
            </w:tcMar>
            <w:vAlign w:val="bottom"/>
            <w:hideMark/>
          </w:tcPr>
          <w:p w14:paraId="08C194BC"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*a</w:t>
            </w:r>
          </w:p>
        </w:tc>
        <w:tc>
          <w:tcPr>
            <w:tcW w:w="850" w:type="dxa"/>
            <w:shd w:val="clear" w:color="auto" w:fill="DD0806"/>
            <w:tcMar>
              <w:top w:w="0" w:type="dxa"/>
              <w:left w:w="45" w:type="dxa"/>
              <w:bottom w:w="0" w:type="dxa"/>
              <w:right w:w="45" w:type="dxa"/>
            </w:tcMar>
            <w:vAlign w:val="bottom"/>
            <w:hideMark/>
          </w:tcPr>
          <w:p w14:paraId="05739457"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1418" w:type="dxa"/>
            <w:shd w:val="clear" w:color="auto" w:fill="1FB714"/>
            <w:tcMar>
              <w:top w:w="0" w:type="dxa"/>
              <w:left w:w="45" w:type="dxa"/>
              <w:bottom w:w="0" w:type="dxa"/>
              <w:right w:w="45" w:type="dxa"/>
            </w:tcMar>
            <w:vAlign w:val="bottom"/>
            <w:hideMark/>
          </w:tcPr>
          <w:p w14:paraId="3E0E8F3E"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*b</w:t>
            </w:r>
          </w:p>
        </w:tc>
        <w:tc>
          <w:tcPr>
            <w:tcW w:w="1134" w:type="dxa"/>
            <w:tcMar>
              <w:top w:w="0" w:type="dxa"/>
              <w:left w:w="45" w:type="dxa"/>
              <w:bottom w:w="0" w:type="dxa"/>
              <w:right w:w="45" w:type="dxa"/>
            </w:tcMar>
            <w:vAlign w:val="bottom"/>
            <w:hideMark/>
          </w:tcPr>
          <w:p w14:paraId="4F9A1BDC"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Results are presented as described in the methods section.</w:t>
            </w:r>
          </w:p>
        </w:tc>
        <w:tc>
          <w:tcPr>
            <w:tcW w:w="425" w:type="dxa"/>
            <w:shd w:val="clear" w:color="auto" w:fill="1FB714"/>
            <w:tcMar>
              <w:top w:w="0" w:type="dxa"/>
              <w:left w:w="45" w:type="dxa"/>
              <w:bottom w:w="0" w:type="dxa"/>
              <w:right w:w="45" w:type="dxa"/>
            </w:tcMar>
            <w:vAlign w:val="bottom"/>
            <w:hideMark/>
          </w:tcPr>
          <w:p w14:paraId="662B94B2"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Low risk</w:t>
            </w:r>
          </w:p>
        </w:tc>
        <w:tc>
          <w:tcPr>
            <w:tcW w:w="1134" w:type="dxa"/>
            <w:shd w:val="clear" w:color="auto" w:fill="DD0806"/>
            <w:tcMar>
              <w:top w:w="0" w:type="dxa"/>
              <w:left w:w="45" w:type="dxa"/>
              <w:bottom w:w="0" w:type="dxa"/>
              <w:right w:w="45" w:type="dxa"/>
            </w:tcMar>
            <w:vAlign w:val="bottom"/>
            <w:hideMark/>
          </w:tcPr>
          <w:p w14:paraId="30F45F5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851" w:type="dxa"/>
            <w:shd w:val="clear" w:color="auto" w:fill="1FB714"/>
            <w:tcMar>
              <w:top w:w="0" w:type="dxa"/>
              <w:left w:w="45" w:type="dxa"/>
              <w:bottom w:w="0" w:type="dxa"/>
              <w:right w:w="45" w:type="dxa"/>
            </w:tcMar>
            <w:vAlign w:val="bottom"/>
            <w:hideMark/>
          </w:tcPr>
          <w:p w14:paraId="29FA2496"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850" w:type="dxa"/>
            <w:shd w:val="clear" w:color="auto" w:fill="1FB714"/>
            <w:tcMar>
              <w:top w:w="0" w:type="dxa"/>
              <w:left w:w="45" w:type="dxa"/>
              <w:bottom w:w="0" w:type="dxa"/>
              <w:right w:w="45" w:type="dxa"/>
            </w:tcMar>
            <w:vAlign w:val="bottom"/>
            <w:hideMark/>
          </w:tcPr>
          <w:p w14:paraId="7C5A46C3"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9" w:type="dxa"/>
            <w:shd w:val="clear" w:color="auto" w:fill="DD0806"/>
            <w:tcMar>
              <w:top w:w="0" w:type="dxa"/>
              <w:left w:w="45" w:type="dxa"/>
              <w:bottom w:w="0" w:type="dxa"/>
              <w:right w:w="45" w:type="dxa"/>
            </w:tcMar>
            <w:vAlign w:val="bottom"/>
            <w:hideMark/>
          </w:tcPr>
          <w:p w14:paraId="2E59907D"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No</w:t>
            </w:r>
          </w:p>
        </w:tc>
        <w:tc>
          <w:tcPr>
            <w:tcW w:w="709" w:type="dxa"/>
            <w:shd w:val="clear" w:color="auto" w:fill="1FB714"/>
            <w:tcMar>
              <w:top w:w="0" w:type="dxa"/>
              <w:left w:w="45" w:type="dxa"/>
              <w:bottom w:w="0" w:type="dxa"/>
              <w:right w:w="45" w:type="dxa"/>
            </w:tcMar>
            <w:vAlign w:val="bottom"/>
            <w:hideMark/>
          </w:tcPr>
          <w:p w14:paraId="3D08E9BF"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708" w:type="dxa"/>
            <w:shd w:val="clear" w:color="auto" w:fill="1FB714"/>
            <w:tcMar>
              <w:top w:w="0" w:type="dxa"/>
              <w:left w:w="45" w:type="dxa"/>
              <w:bottom w:w="0" w:type="dxa"/>
              <w:right w:w="45" w:type="dxa"/>
            </w:tcMar>
            <w:vAlign w:val="bottom"/>
            <w:hideMark/>
          </w:tcPr>
          <w:p w14:paraId="19FC122A"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Yes</w:t>
            </w:r>
          </w:p>
        </w:tc>
        <w:tc>
          <w:tcPr>
            <w:tcW w:w="1422" w:type="dxa"/>
            <w:shd w:val="clear" w:color="auto" w:fill="1FB714"/>
            <w:tcMar>
              <w:top w:w="0" w:type="dxa"/>
              <w:left w:w="45" w:type="dxa"/>
              <w:bottom w:w="0" w:type="dxa"/>
              <w:right w:w="45" w:type="dxa"/>
            </w:tcMar>
            <w:vAlign w:val="bottom"/>
            <w:hideMark/>
          </w:tcPr>
          <w:p w14:paraId="76519D90" w14:textId="77777777" w:rsidR="003E400D" w:rsidRPr="003255C0" w:rsidRDefault="003E400D" w:rsidP="00F53D71">
            <w:pPr>
              <w:spacing w:after="0" w:line="240" w:lineRule="auto"/>
              <w:rPr>
                <w:rFonts w:ascii="Times New Roman" w:eastAsia="Times New Roman" w:hAnsi="Times New Roman" w:cs="Times New Roman"/>
                <w:color w:val="000000"/>
                <w:sz w:val="16"/>
                <w:szCs w:val="16"/>
                <w:lang w:eastAsia="es-ES"/>
              </w:rPr>
            </w:pPr>
            <w:r w:rsidRPr="003255C0">
              <w:rPr>
                <w:rFonts w:ascii="Times New Roman" w:eastAsia="Times New Roman" w:hAnsi="Times New Roman" w:cs="Times New Roman"/>
                <w:color w:val="000000"/>
                <w:sz w:val="16"/>
                <w:szCs w:val="16"/>
                <w:lang w:eastAsia="es-ES"/>
              </w:rPr>
              <w:t xml:space="preserve">Deattenuated energy-adjusted rank correlations for nutrients, deattenuated rank correlations for food groups, cross-classification analysis of energy-adjusted nutrient </w:t>
            </w:r>
            <w:r w:rsidRPr="003255C0">
              <w:rPr>
                <w:rFonts w:ascii="Times New Roman" w:eastAsia="Times New Roman" w:hAnsi="Times New Roman" w:cs="Times New Roman"/>
                <w:color w:val="000000"/>
                <w:sz w:val="16"/>
                <w:szCs w:val="16"/>
                <w:lang w:eastAsia="es-ES"/>
              </w:rPr>
              <w:lastRenderedPageBreak/>
              <w:t>quartiles using percent agreement, kappa, Bland-Altman analysis, ICC.</w:t>
            </w:r>
          </w:p>
        </w:tc>
      </w:tr>
      <w:tr w:rsidR="003E400D" w14:paraId="68FC1678" w14:textId="77777777" w:rsidTr="003E400D">
        <w:tblPrEx>
          <w:tblCellMar>
            <w:left w:w="108" w:type="dxa"/>
            <w:right w:w="108" w:type="dxa"/>
          </w:tblCellMar>
          <w:tblLook w:val="0400" w:firstRow="0" w:lastRow="0" w:firstColumn="0" w:lastColumn="0" w:noHBand="0" w:noVBand="1"/>
        </w:tblPrEx>
        <w:trPr>
          <w:trHeight w:val="1010"/>
          <w:jc w:val="center"/>
        </w:trPr>
        <w:tc>
          <w:tcPr>
            <w:tcW w:w="1452" w:type="dxa"/>
            <w:tcMar>
              <w:top w:w="0" w:type="dxa"/>
              <w:left w:w="45" w:type="dxa"/>
              <w:bottom w:w="0" w:type="dxa"/>
              <w:right w:w="45" w:type="dxa"/>
            </w:tcMar>
            <w:vAlign w:val="center"/>
          </w:tcPr>
          <w:p w14:paraId="5E86B216" w14:textId="77777777" w:rsidR="003E400D" w:rsidRPr="001C5F2A" w:rsidRDefault="003E400D" w:rsidP="003E400D">
            <w:pPr>
              <w:spacing w:after="0" w:line="240" w:lineRule="auto"/>
              <w:rPr>
                <w:rFonts w:ascii="Times New Roman" w:eastAsia="Times New Roman" w:hAnsi="Times New Roman" w:cs="Times New Roman"/>
                <w:sz w:val="16"/>
                <w:szCs w:val="16"/>
              </w:rPr>
            </w:pPr>
            <w:r w:rsidRPr="001C5F2A">
              <w:rPr>
                <w:rFonts w:ascii="Times New Roman" w:eastAsia="Times New Roman" w:hAnsi="Times New Roman" w:cs="Times New Roman"/>
                <w:sz w:val="16"/>
                <w:szCs w:val="16"/>
              </w:rPr>
              <w:lastRenderedPageBreak/>
              <w:t>Aoun et al. (2019)</w:t>
            </w:r>
            <w:r w:rsidRPr="001C5F2A">
              <w:rPr>
                <w:rFonts w:ascii="Times New Roman" w:eastAsia="Times New Roman" w:hAnsi="Times New Roman" w:cs="Times New Roman"/>
                <w:sz w:val="16"/>
                <w:szCs w:val="16"/>
              </w:rPr>
              <w:fldChar w:fldCharType="begin" w:fldLock="1"/>
            </w:r>
            <w:r w:rsidRPr="001C5F2A">
              <w:rPr>
                <w:rFonts w:ascii="Times New Roman" w:eastAsia="Times New Roman" w:hAnsi="Times New Roman" w:cs="Times New Roman"/>
                <w:sz w:val="16"/>
                <w:szCs w:val="16"/>
              </w:rPr>
              <w:instrText>ADDIN CSL_CITATION {"citationItems":[{"id":"ITEM-1","itemData":{"DOI":"10.1371/journal.pone.0218541","ISSN":"19326203","abstract":"Objective Food frequency questionnaires (FFQs) must be validated among the population of interest due to the specificities in dietary habits, culture and food in each country of the Mediterranean region. The objective of this study was to determine the relative validity and reproducibility of a 157 item semi-quantitative FFQ among Lebanese adult population. Material and methods Dietary intake was assessed through dietary recalls, a FFQ with food items, and traditional recipes from the Mediterranean cuisine. Validity of the FFQ was measured by comparing the intake of calories, macro and micronutrients to the mean values derived from three dietary recalls (DR). Reproducibility of the FFQ was evaluated after repeating the same FFQ among the participant after a four-month period. Results 114 healthy adults aged between 18 and 60 years of which 52.6% are men participated in this study. 53 of these adults participated in the reproducibility study. Intra class correlation coefficient (ICC) between the two FFQ measurements ranged from 0.822 for sodium to 0.998 for energy indicating excellent reproducibility. The FFQ showed slightly higher intakes than the dietary recalls for most of the nutrients and foods reaching 2.1% for nutrients (polyunsaturated fatty acids) and 18% for food groups (olive oil). Correlation coefficients ranged between 0.783 (sodium) and 0.996 (carbs) for nutrients and between 0.906 (fish) and 1 (fruits and nuts) for food groups, with a significant p value (p = 0.038 for folate). Cross-classification of nutrients into quartiles showed that more than 81% of the participants were classified in the same quartile. Misclassifications were low for most nutrients with one to three persons misclassified at the extreme quartiles. Conclusion The FFQ used in this research contained western and Mediterranean type of dishes and foods. Statistical analysis showed good reproducibility and validity of the tested tool in a heterogeneous sample of adults living in a Mediterranean country. It is a useful tool for future investigations and strategies promoting the comeback of this traditional diet.","author":[{"dropping-particle":"","family":"Aoun","given":"Carla","non-dropping-particle":"","parse-names":false,"suffix":""},{"dropping-particle":"","family":"Daher","given":"Reine Bou","non-dropping-particle":"","parse-names":false,"suffix":""},{"dropping-particle":"El","family":"Osta","given":"Nada","non-dropping-particle":"","parse-names":false,"suffix":""},{"dropping-particle":"","family":"Papazian","given":"Tatiana","non-dropping-particle":"","parse-names":false,"suffix":""},{"dropping-particle":"","family":"Khabbaz","given":"Lydia Rabbaa","non-dropping-particle":"","parse-names":false,"suffix":""}],"container-title":"PLoS ONE","id":"ITEM-1","issue":"6","issued":{"date-parts":[["2019","6","1"]]},"page":"e0218541","publisher":"Public Library of Science","title":"Reproducibility and relative validity of a food frequency questionnaire to assess dietary intake of adults living in a Mediterranean country","type":"article-journal","volume":"14"},"uris":["http://www.mendeley.com/documents/?uuid=8fa8edc7-b932-3b90-a6fa-e3a36d7dd876"]}],"mendeley":{"formattedCitation":"&lt;sup&gt;(63)&lt;/sup&gt;","plainTextFormattedCitation":"(63)","previouslyFormattedCitation":"&lt;sup&gt;(63)&lt;/sup&gt;"},"properties":{"noteIndex":0},"schema":"https://github.com/citation-style-language/schema/raw/master/csl-citation.json"}</w:instrText>
            </w:r>
            <w:r w:rsidRPr="001C5F2A">
              <w:rPr>
                <w:rFonts w:ascii="Times New Roman" w:eastAsia="Times New Roman" w:hAnsi="Times New Roman" w:cs="Times New Roman"/>
                <w:sz w:val="16"/>
                <w:szCs w:val="16"/>
              </w:rPr>
              <w:fldChar w:fldCharType="separate"/>
            </w:r>
            <w:r w:rsidRPr="001C5F2A">
              <w:rPr>
                <w:rFonts w:ascii="Times New Roman" w:eastAsia="Times New Roman" w:hAnsi="Times New Roman" w:cs="Times New Roman"/>
                <w:noProof/>
                <w:sz w:val="16"/>
                <w:szCs w:val="16"/>
                <w:vertAlign w:val="superscript"/>
              </w:rPr>
              <w:t>(63)</w:t>
            </w:r>
            <w:r w:rsidRPr="001C5F2A">
              <w:rPr>
                <w:rFonts w:ascii="Times New Roman" w:eastAsia="Times New Roman" w:hAnsi="Times New Roman" w:cs="Times New Roman"/>
                <w:sz w:val="16"/>
                <w:szCs w:val="16"/>
              </w:rPr>
              <w:fldChar w:fldCharType="end"/>
            </w:r>
          </w:p>
        </w:tc>
        <w:tc>
          <w:tcPr>
            <w:tcW w:w="1208" w:type="dxa"/>
            <w:shd w:val="clear" w:color="auto" w:fill="00B800"/>
            <w:tcMar>
              <w:top w:w="0" w:type="dxa"/>
              <w:left w:w="45" w:type="dxa"/>
              <w:bottom w:w="0" w:type="dxa"/>
              <w:right w:w="45" w:type="dxa"/>
            </w:tcMar>
            <w:vAlign w:val="center"/>
          </w:tcPr>
          <w:p w14:paraId="706ADFA3"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776" w:type="dxa"/>
            <w:shd w:val="clear" w:color="auto" w:fill="00B800"/>
            <w:tcMar>
              <w:top w:w="0" w:type="dxa"/>
              <w:left w:w="45" w:type="dxa"/>
              <w:bottom w:w="0" w:type="dxa"/>
              <w:right w:w="45" w:type="dxa"/>
            </w:tcMar>
            <w:vAlign w:val="center"/>
          </w:tcPr>
          <w:p w14:paraId="4F1274C3"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992" w:type="dxa"/>
            <w:shd w:val="clear" w:color="auto" w:fill="00B800"/>
            <w:tcMar>
              <w:top w:w="0" w:type="dxa"/>
              <w:left w:w="45" w:type="dxa"/>
              <w:bottom w:w="0" w:type="dxa"/>
              <w:right w:w="45" w:type="dxa"/>
            </w:tcMar>
            <w:vAlign w:val="center"/>
          </w:tcPr>
          <w:p w14:paraId="1216431F"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851" w:type="dxa"/>
            <w:shd w:val="clear" w:color="auto" w:fill="00B800"/>
            <w:tcMar>
              <w:top w:w="0" w:type="dxa"/>
              <w:left w:w="45" w:type="dxa"/>
              <w:bottom w:w="0" w:type="dxa"/>
              <w:right w:w="45" w:type="dxa"/>
            </w:tcMar>
            <w:vAlign w:val="center"/>
          </w:tcPr>
          <w:p w14:paraId="7B19AD69"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850" w:type="dxa"/>
            <w:shd w:val="clear" w:color="auto" w:fill="CC0000"/>
            <w:tcMar>
              <w:top w:w="0" w:type="dxa"/>
              <w:left w:w="45" w:type="dxa"/>
              <w:bottom w:w="0" w:type="dxa"/>
              <w:right w:w="45" w:type="dxa"/>
            </w:tcMar>
            <w:vAlign w:val="center"/>
          </w:tcPr>
          <w:p w14:paraId="231E9B58"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418" w:type="dxa"/>
            <w:shd w:val="clear" w:color="auto" w:fill="00B800"/>
            <w:tcMar>
              <w:top w:w="0" w:type="dxa"/>
              <w:left w:w="45" w:type="dxa"/>
              <w:bottom w:w="0" w:type="dxa"/>
              <w:right w:w="45" w:type="dxa"/>
            </w:tcMar>
            <w:vAlign w:val="center"/>
          </w:tcPr>
          <w:p w14:paraId="683A3EBB"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1134" w:type="dxa"/>
            <w:shd w:val="clear" w:color="auto" w:fill="FFFFFF"/>
            <w:tcMar>
              <w:top w:w="0" w:type="dxa"/>
              <w:left w:w="45" w:type="dxa"/>
              <w:bottom w:w="0" w:type="dxa"/>
              <w:right w:w="45" w:type="dxa"/>
            </w:tcMar>
            <w:vAlign w:val="center"/>
          </w:tcPr>
          <w:p w14:paraId="1D857BE1" w14:textId="77777777" w:rsidR="003E400D" w:rsidRDefault="003E400D" w:rsidP="003E400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the validation table the correlation coefficients </w:t>
            </w:r>
            <w:proofErr w:type="spellStart"/>
            <w:r>
              <w:rPr>
                <w:rFonts w:ascii="Times New Roman" w:eastAsia="Times New Roman" w:hAnsi="Times New Roman" w:cs="Times New Roman"/>
                <w:sz w:val="16"/>
                <w:szCs w:val="16"/>
              </w:rPr>
              <w:t>Sp</w:t>
            </w:r>
            <w:proofErr w:type="spellEnd"/>
            <w:r>
              <w:rPr>
                <w:rFonts w:ascii="Times New Roman" w:eastAsia="Times New Roman" w:hAnsi="Times New Roman" w:cs="Times New Roman"/>
                <w:sz w:val="16"/>
                <w:szCs w:val="16"/>
              </w:rPr>
              <w:t xml:space="preserve"> and P were used depending on their distribution but it's not specific.</w:t>
            </w:r>
          </w:p>
        </w:tc>
        <w:tc>
          <w:tcPr>
            <w:tcW w:w="425" w:type="dxa"/>
            <w:shd w:val="clear" w:color="auto" w:fill="FF9900"/>
            <w:tcMar>
              <w:top w:w="0" w:type="dxa"/>
              <w:left w:w="45" w:type="dxa"/>
              <w:bottom w:w="0" w:type="dxa"/>
              <w:right w:w="45" w:type="dxa"/>
            </w:tcMar>
            <w:vAlign w:val="center"/>
          </w:tcPr>
          <w:p w14:paraId="24EE2874"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Not clear </w:t>
            </w:r>
          </w:p>
        </w:tc>
        <w:tc>
          <w:tcPr>
            <w:tcW w:w="1134" w:type="dxa"/>
            <w:shd w:val="clear" w:color="auto" w:fill="00B800"/>
            <w:tcMar>
              <w:top w:w="0" w:type="dxa"/>
              <w:left w:w="45" w:type="dxa"/>
              <w:bottom w:w="0" w:type="dxa"/>
              <w:right w:w="45" w:type="dxa"/>
            </w:tcMar>
            <w:vAlign w:val="center"/>
          </w:tcPr>
          <w:p w14:paraId="5F92A914"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Yes </w:t>
            </w:r>
          </w:p>
        </w:tc>
        <w:tc>
          <w:tcPr>
            <w:tcW w:w="851" w:type="dxa"/>
            <w:shd w:val="clear" w:color="auto" w:fill="00B800"/>
            <w:tcMar>
              <w:top w:w="0" w:type="dxa"/>
              <w:left w:w="45" w:type="dxa"/>
              <w:bottom w:w="0" w:type="dxa"/>
              <w:right w:w="45" w:type="dxa"/>
            </w:tcMar>
            <w:vAlign w:val="center"/>
          </w:tcPr>
          <w:p w14:paraId="186D5449"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Yes </w:t>
            </w:r>
          </w:p>
        </w:tc>
        <w:tc>
          <w:tcPr>
            <w:tcW w:w="850" w:type="dxa"/>
            <w:shd w:val="clear" w:color="auto" w:fill="00B800"/>
            <w:tcMar>
              <w:top w:w="0" w:type="dxa"/>
              <w:left w:w="45" w:type="dxa"/>
              <w:bottom w:w="0" w:type="dxa"/>
              <w:right w:w="45" w:type="dxa"/>
            </w:tcMar>
            <w:vAlign w:val="center"/>
          </w:tcPr>
          <w:p w14:paraId="35473D33"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Yes </w:t>
            </w:r>
          </w:p>
        </w:tc>
        <w:tc>
          <w:tcPr>
            <w:tcW w:w="709" w:type="dxa"/>
            <w:shd w:val="clear" w:color="auto" w:fill="00B900"/>
            <w:tcMar>
              <w:top w:w="0" w:type="dxa"/>
              <w:left w:w="45" w:type="dxa"/>
              <w:bottom w:w="0" w:type="dxa"/>
              <w:right w:w="45" w:type="dxa"/>
            </w:tcMar>
            <w:vAlign w:val="center"/>
          </w:tcPr>
          <w:p w14:paraId="0903AEB7"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9" w:type="dxa"/>
            <w:shd w:val="clear" w:color="auto" w:fill="1FB714"/>
            <w:tcMar>
              <w:top w:w="0" w:type="dxa"/>
              <w:left w:w="45" w:type="dxa"/>
              <w:bottom w:w="0" w:type="dxa"/>
              <w:right w:w="45" w:type="dxa"/>
            </w:tcMar>
            <w:vAlign w:val="center"/>
          </w:tcPr>
          <w:p w14:paraId="6D524625"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8" w:type="dxa"/>
            <w:shd w:val="clear" w:color="auto" w:fill="FF9900"/>
            <w:tcMar>
              <w:top w:w="0" w:type="dxa"/>
              <w:left w:w="45" w:type="dxa"/>
              <w:bottom w:w="0" w:type="dxa"/>
              <w:right w:w="45" w:type="dxa"/>
            </w:tcMar>
            <w:vAlign w:val="center"/>
          </w:tcPr>
          <w:p w14:paraId="0859E4F8"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Incomplete</w:t>
            </w:r>
          </w:p>
        </w:tc>
        <w:tc>
          <w:tcPr>
            <w:tcW w:w="1422" w:type="dxa"/>
            <w:shd w:val="clear" w:color="auto" w:fill="1FB714"/>
            <w:tcMar>
              <w:top w:w="0" w:type="dxa"/>
              <w:left w:w="45" w:type="dxa"/>
              <w:bottom w:w="0" w:type="dxa"/>
              <w:right w:w="45" w:type="dxa"/>
            </w:tcMar>
            <w:vAlign w:val="center"/>
          </w:tcPr>
          <w:p w14:paraId="7BB1A461"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Yes: Bland-Altman, kappa, quartiles, ICC </w:t>
            </w:r>
            <w:proofErr w:type="spellStart"/>
            <w:r>
              <w:rPr>
                <w:rFonts w:ascii="Times New Roman" w:eastAsia="Times New Roman" w:hAnsi="Times New Roman" w:cs="Times New Roman"/>
                <w:sz w:val="16"/>
                <w:szCs w:val="16"/>
              </w:rPr>
              <w:t>Sp</w:t>
            </w:r>
            <w:proofErr w:type="spellEnd"/>
          </w:p>
        </w:tc>
      </w:tr>
      <w:tr w:rsidR="003E400D" w14:paraId="1C8555ED" w14:textId="77777777" w:rsidTr="003E400D">
        <w:tblPrEx>
          <w:tblCellMar>
            <w:left w:w="108" w:type="dxa"/>
            <w:right w:w="108" w:type="dxa"/>
          </w:tblCellMar>
          <w:tblLook w:val="0400" w:firstRow="0" w:lastRow="0" w:firstColumn="0" w:lastColumn="0" w:noHBand="0" w:noVBand="1"/>
        </w:tblPrEx>
        <w:trPr>
          <w:trHeight w:val="1331"/>
          <w:jc w:val="center"/>
        </w:trPr>
        <w:tc>
          <w:tcPr>
            <w:tcW w:w="1452" w:type="dxa"/>
            <w:tcMar>
              <w:top w:w="0" w:type="dxa"/>
              <w:left w:w="45" w:type="dxa"/>
              <w:bottom w:w="0" w:type="dxa"/>
              <w:right w:w="45" w:type="dxa"/>
            </w:tcMar>
            <w:vAlign w:val="center"/>
          </w:tcPr>
          <w:p w14:paraId="29F6F5E7" w14:textId="303A5DFF" w:rsidR="003E400D" w:rsidRPr="003E400D" w:rsidRDefault="003E400D" w:rsidP="003E400D">
            <w:pPr>
              <w:spacing w:after="0" w:line="240" w:lineRule="auto"/>
              <w:rPr>
                <w:rFonts w:ascii="Times New Roman" w:eastAsia="Times New Roman" w:hAnsi="Times New Roman" w:cs="Times New Roman"/>
                <w:noProof/>
                <w:sz w:val="16"/>
                <w:szCs w:val="16"/>
                <w:vertAlign w:val="superscript"/>
                <w:lang w:eastAsia="es-ES"/>
              </w:rPr>
            </w:pPr>
            <w:r w:rsidRPr="001C5F2A">
              <w:rPr>
                <w:rFonts w:ascii="Times New Roman" w:eastAsia="Times New Roman" w:hAnsi="Times New Roman" w:cs="Times New Roman"/>
                <w:sz w:val="16"/>
                <w:szCs w:val="16"/>
              </w:rPr>
              <w:t>Beck et al. (2019)</w:t>
            </w:r>
            <w:r w:rsidRPr="001C5F2A">
              <w:rPr>
                <w:rFonts w:ascii="Times New Roman" w:eastAsia="Times New Roman" w:hAnsi="Times New Roman" w:cs="Times New Roman"/>
                <w:sz w:val="16"/>
                <w:szCs w:val="16"/>
                <w:lang w:val="es-MX" w:eastAsia="es-ES"/>
              </w:rPr>
              <w:fldChar w:fldCharType="begin" w:fldLock="1"/>
            </w:r>
            <w:r w:rsidRPr="001C5F2A">
              <w:rPr>
                <w:rFonts w:ascii="Times New Roman" w:eastAsia="Times New Roman" w:hAnsi="Times New Roman" w:cs="Times New Roman"/>
                <w:sz w:val="16"/>
                <w:szCs w:val="16"/>
                <w:lang w:eastAsia="es-ES"/>
              </w:rPr>
              <w:instrText>ADDIN CSL_CITATION {"citationItems":[{"id":"ITEM-1","itemData":{"DOI":"10.1111/1747-0080.12472","ISSN":"17470080","abstract":"Aim: In New Zealand, there are few adequate food frequency questionnaires for assessing dietary intake. This study aimed to develop and assess the relative validity of a multi-nutrient, culturally appropriate, semi-quantitative food frequency questionnaire for use in young adult New Zealand women (the New Zealand Women's Food Frequency Questionnaire (NZWFFQ)). Methods: Women (n = 110) aged 16–45 years of Māori, Pacific or European ethnicity completed a NZWFFQ assessing dietary intake over the previous month, and a 4-day weighed food record. Relative validity was evaluated by comparing nutrient intakes from the NZWFFQ with the food record using Spearman's rank correlation coefficients, cross-classification, the weighted kappa statistic and Bland–Altman analysis. Results: Nutrient intake was higher from the NZWFFQ compared with the food record for all nutrients (range: 1%–64% difference) except alcohol (−16% difference). Energy-adjusted correlations ranged from 0.23 to 0.67 (average 0.48). Correct classification into same and adjacent quartiles was over 70% for all nutrients except folate and vitamin D. Gross misclassification into opposite quartiles ranged from 1% (monounsaturated fat, magnesium, calcium) to 10% (iron). The weighted kappa showed poor agreement for vitamin D and folate, fair agreement for most nutrients, and moderate agreement for fibre, vitamin E, magnesium, calcium and phosphorus. Conclusions: The NZWFFQ overestimated intake of nearly all nutrients. While not suitable for assessing absolute intake, the NZWFFQ is suitable for ranking individuals based on nutrient intake demonstrating reasonable relative validity for this purpose.","author":[{"dropping-particle":"","family":"Beck","given":"Kathryn L.","non-dropping-particle":"","parse-names":false,"suffix":""},{"dropping-particle":"","family":"Houston","given":"Zara L.","non-dropping-particle":"","parse-names":false,"suffix":""},{"dropping-particle":"","family":"McNaughton","given":"Sarah A.","non-dropping-particle":"","parse-names":false,"suffix":""},{"dropping-particle":"","family":"Kruger","given":"Rozanne","non-dropping-particle":"","parse-names":false,"suffix":""}],"container-title":"Nutrition and Dietetics","id":"ITEM-1","issued":{"date-parts":[["2018","9","14"]]},"publisher":"Blackwell Publishing Ltd","title":"Development and evaluation of a food frequency questionnaire to assess nutrient intakes of adult women in New Zealand","type":"article-journal"},"uris":["http://www.mendeley.com/documents/?uuid=2f7bd62d-e6d5-361b-bf13-27a0eff881d6"]}],"mendeley":{"formattedCitation":"&lt;sup&gt;(68)&lt;/sup&gt;","plainTextFormattedCitation":"(68)","previouslyFormattedCitation":"&lt;sup&gt;(68)&lt;/sup&gt;"},"properties":{"noteIndex":0},"schema":"https://github.com/citation-style-language/schema/raw/master/csl-citation.json"}</w:instrText>
            </w:r>
            <w:r w:rsidRPr="001C5F2A">
              <w:rPr>
                <w:rFonts w:ascii="Times New Roman" w:eastAsia="Times New Roman" w:hAnsi="Times New Roman" w:cs="Times New Roman"/>
                <w:sz w:val="16"/>
                <w:szCs w:val="16"/>
                <w:lang w:val="es-MX" w:eastAsia="es-ES"/>
              </w:rPr>
              <w:fldChar w:fldCharType="separate"/>
            </w:r>
            <w:r w:rsidRPr="001C5F2A">
              <w:rPr>
                <w:rFonts w:ascii="Times New Roman" w:eastAsia="Times New Roman" w:hAnsi="Times New Roman" w:cs="Times New Roman"/>
                <w:noProof/>
                <w:sz w:val="16"/>
                <w:szCs w:val="16"/>
                <w:vertAlign w:val="superscript"/>
                <w:lang w:eastAsia="es-ES"/>
              </w:rPr>
              <w:t>(68)</w:t>
            </w:r>
            <w:r w:rsidRPr="001C5F2A">
              <w:rPr>
                <w:rFonts w:ascii="Times New Roman" w:eastAsia="Times New Roman" w:hAnsi="Times New Roman" w:cs="Times New Roman"/>
                <w:sz w:val="16"/>
                <w:szCs w:val="16"/>
                <w:lang w:val="es-MX" w:eastAsia="es-ES"/>
              </w:rPr>
              <w:fldChar w:fldCharType="end"/>
            </w:r>
          </w:p>
        </w:tc>
        <w:tc>
          <w:tcPr>
            <w:tcW w:w="1208" w:type="dxa"/>
            <w:shd w:val="clear" w:color="auto" w:fill="00B900"/>
            <w:tcMar>
              <w:top w:w="0" w:type="dxa"/>
              <w:left w:w="45" w:type="dxa"/>
              <w:bottom w:w="0" w:type="dxa"/>
              <w:right w:w="45" w:type="dxa"/>
            </w:tcMar>
            <w:vAlign w:val="center"/>
          </w:tcPr>
          <w:p w14:paraId="41119684" w14:textId="149CACA4" w:rsidR="003E400D" w:rsidRPr="006A4393" w:rsidRDefault="003E400D" w:rsidP="003E400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776" w:type="dxa"/>
            <w:shd w:val="clear" w:color="auto" w:fill="FF0000"/>
            <w:tcMar>
              <w:top w:w="0" w:type="dxa"/>
              <w:left w:w="45" w:type="dxa"/>
              <w:bottom w:w="0" w:type="dxa"/>
              <w:right w:w="45" w:type="dxa"/>
            </w:tcMar>
            <w:vAlign w:val="center"/>
          </w:tcPr>
          <w:p w14:paraId="5AC820D7"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c</w:t>
            </w:r>
          </w:p>
        </w:tc>
        <w:tc>
          <w:tcPr>
            <w:tcW w:w="992" w:type="dxa"/>
            <w:shd w:val="clear" w:color="auto" w:fill="00B900"/>
            <w:tcMar>
              <w:top w:w="0" w:type="dxa"/>
              <w:left w:w="45" w:type="dxa"/>
              <w:bottom w:w="0" w:type="dxa"/>
              <w:right w:w="45" w:type="dxa"/>
            </w:tcMar>
            <w:vAlign w:val="center"/>
          </w:tcPr>
          <w:p w14:paraId="4AA0BE9B"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p>
        </w:tc>
        <w:tc>
          <w:tcPr>
            <w:tcW w:w="851" w:type="dxa"/>
            <w:shd w:val="clear" w:color="auto" w:fill="FF0000"/>
            <w:tcMar>
              <w:top w:w="0" w:type="dxa"/>
              <w:left w:w="45" w:type="dxa"/>
              <w:bottom w:w="0" w:type="dxa"/>
              <w:right w:w="45" w:type="dxa"/>
            </w:tcMar>
            <w:vAlign w:val="center"/>
          </w:tcPr>
          <w:p w14:paraId="13BD2CBC"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c</w:t>
            </w:r>
          </w:p>
        </w:tc>
        <w:tc>
          <w:tcPr>
            <w:tcW w:w="850" w:type="dxa"/>
            <w:shd w:val="clear" w:color="auto" w:fill="FF0000"/>
            <w:tcMar>
              <w:top w:w="0" w:type="dxa"/>
              <w:left w:w="45" w:type="dxa"/>
              <w:bottom w:w="0" w:type="dxa"/>
              <w:right w:w="45" w:type="dxa"/>
            </w:tcMar>
            <w:vAlign w:val="center"/>
          </w:tcPr>
          <w:p w14:paraId="5B69D567"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418" w:type="dxa"/>
            <w:shd w:val="clear" w:color="auto" w:fill="00B900"/>
            <w:tcMar>
              <w:top w:w="0" w:type="dxa"/>
              <w:left w:w="45" w:type="dxa"/>
              <w:bottom w:w="0" w:type="dxa"/>
              <w:right w:w="45" w:type="dxa"/>
            </w:tcMar>
            <w:vAlign w:val="center"/>
          </w:tcPr>
          <w:p w14:paraId="062CB799"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*b</w:t>
            </w:r>
          </w:p>
        </w:tc>
        <w:tc>
          <w:tcPr>
            <w:tcW w:w="1134" w:type="dxa"/>
            <w:shd w:val="clear" w:color="auto" w:fill="FFFFFF"/>
            <w:tcMar>
              <w:top w:w="0" w:type="dxa"/>
              <w:left w:w="45" w:type="dxa"/>
              <w:bottom w:w="0" w:type="dxa"/>
              <w:right w:w="45" w:type="dxa"/>
            </w:tcMar>
            <w:vAlign w:val="center"/>
          </w:tcPr>
          <w:p w14:paraId="7C8C20A0"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Results are presented as described in the methods section</w:t>
            </w:r>
          </w:p>
        </w:tc>
        <w:tc>
          <w:tcPr>
            <w:tcW w:w="425" w:type="dxa"/>
            <w:shd w:val="clear" w:color="auto" w:fill="00B900"/>
            <w:tcMar>
              <w:top w:w="0" w:type="dxa"/>
              <w:left w:w="45" w:type="dxa"/>
              <w:bottom w:w="0" w:type="dxa"/>
              <w:right w:w="45" w:type="dxa"/>
            </w:tcMar>
            <w:vAlign w:val="center"/>
          </w:tcPr>
          <w:p w14:paraId="26CC953C"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Low risk</w:t>
            </w:r>
          </w:p>
        </w:tc>
        <w:tc>
          <w:tcPr>
            <w:tcW w:w="1134" w:type="dxa"/>
            <w:shd w:val="clear" w:color="auto" w:fill="00B900"/>
            <w:tcMar>
              <w:top w:w="0" w:type="dxa"/>
              <w:left w:w="45" w:type="dxa"/>
              <w:bottom w:w="0" w:type="dxa"/>
              <w:right w:w="45" w:type="dxa"/>
            </w:tcMar>
            <w:vAlign w:val="center"/>
          </w:tcPr>
          <w:p w14:paraId="1185E30F" w14:textId="15ACC4FE"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851" w:type="dxa"/>
            <w:shd w:val="clear" w:color="auto" w:fill="FF9900"/>
            <w:tcMar>
              <w:top w:w="0" w:type="dxa"/>
              <w:left w:w="45" w:type="dxa"/>
              <w:bottom w:w="0" w:type="dxa"/>
              <w:right w:w="45" w:type="dxa"/>
            </w:tcMar>
            <w:vAlign w:val="center"/>
          </w:tcPr>
          <w:p w14:paraId="58647C22"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Incomplete</w:t>
            </w:r>
          </w:p>
        </w:tc>
        <w:tc>
          <w:tcPr>
            <w:tcW w:w="850" w:type="dxa"/>
            <w:shd w:val="clear" w:color="auto" w:fill="00B900"/>
            <w:tcMar>
              <w:top w:w="0" w:type="dxa"/>
              <w:left w:w="45" w:type="dxa"/>
              <w:bottom w:w="0" w:type="dxa"/>
              <w:right w:w="45" w:type="dxa"/>
            </w:tcMar>
            <w:vAlign w:val="center"/>
          </w:tcPr>
          <w:p w14:paraId="21FAFB58"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9" w:type="dxa"/>
            <w:shd w:val="clear" w:color="auto" w:fill="FF0000"/>
            <w:tcMar>
              <w:top w:w="0" w:type="dxa"/>
              <w:left w:w="45" w:type="dxa"/>
              <w:bottom w:w="0" w:type="dxa"/>
              <w:right w:w="45" w:type="dxa"/>
            </w:tcMar>
            <w:vAlign w:val="center"/>
          </w:tcPr>
          <w:p w14:paraId="34893463"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No</w:t>
            </w:r>
          </w:p>
        </w:tc>
        <w:tc>
          <w:tcPr>
            <w:tcW w:w="709" w:type="dxa"/>
            <w:shd w:val="clear" w:color="auto" w:fill="00B900"/>
            <w:tcMar>
              <w:top w:w="0" w:type="dxa"/>
              <w:left w:w="45" w:type="dxa"/>
              <w:bottom w:w="0" w:type="dxa"/>
              <w:right w:w="45" w:type="dxa"/>
            </w:tcMar>
            <w:vAlign w:val="center"/>
          </w:tcPr>
          <w:p w14:paraId="0EAB9681" w14:textId="200E0623"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708" w:type="dxa"/>
            <w:shd w:val="clear" w:color="auto" w:fill="00B900"/>
            <w:tcMar>
              <w:top w:w="0" w:type="dxa"/>
              <w:left w:w="45" w:type="dxa"/>
              <w:bottom w:w="0" w:type="dxa"/>
              <w:right w:w="45" w:type="dxa"/>
            </w:tcMar>
            <w:vAlign w:val="center"/>
          </w:tcPr>
          <w:p w14:paraId="67B992DA"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w:t>
            </w:r>
          </w:p>
        </w:tc>
        <w:tc>
          <w:tcPr>
            <w:tcW w:w="1422" w:type="dxa"/>
            <w:shd w:val="clear" w:color="auto" w:fill="00B900"/>
            <w:tcMar>
              <w:top w:w="0" w:type="dxa"/>
              <w:left w:w="45" w:type="dxa"/>
              <w:bottom w:w="0" w:type="dxa"/>
              <w:right w:w="45" w:type="dxa"/>
            </w:tcMar>
            <w:vAlign w:val="center"/>
          </w:tcPr>
          <w:p w14:paraId="554393AE" w14:textId="77777777" w:rsidR="003E400D" w:rsidRDefault="003E400D" w:rsidP="003E400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Yes: Bland-Altman, kappa, quartiles</w:t>
            </w:r>
          </w:p>
        </w:tc>
      </w:tr>
    </w:tbl>
    <w:p w14:paraId="07C0530F" w14:textId="788B97DA" w:rsidR="008C18EB" w:rsidRPr="00065D90" w:rsidRDefault="008A448F" w:rsidP="00065D90">
      <w:pPr>
        <w:spacing w:after="0" w:line="240" w:lineRule="auto"/>
        <w:rPr>
          <w:rFonts w:ascii="Times New Roman" w:eastAsia="Times New Roman" w:hAnsi="Times New Roman" w:cs="Times New Roman"/>
          <w:sz w:val="16"/>
          <w:lang w:val="en-AU" w:eastAsia="es-ES"/>
        </w:rPr>
      </w:pPr>
      <w:proofErr w:type="gramStart"/>
      <w:r w:rsidRPr="00065D90">
        <w:rPr>
          <w:rFonts w:ascii="Times New Roman" w:eastAsia="Times New Roman" w:hAnsi="Times New Roman" w:cs="Times New Roman"/>
          <w:sz w:val="16"/>
          <w:vertAlign w:val="superscript"/>
          <w:lang w:val="en-AU" w:eastAsia="es-ES"/>
        </w:rPr>
        <w:t>a</w:t>
      </w:r>
      <w:proofErr w:type="gramEnd"/>
      <w:r w:rsidRPr="00065D90">
        <w:rPr>
          <w:rFonts w:ascii="Times New Roman" w:eastAsia="Times New Roman" w:hAnsi="Times New Roman" w:cs="Times New Roman"/>
          <w:sz w:val="16"/>
          <w:lang w:val="en-AU" w:eastAsia="es-ES"/>
        </w:rPr>
        <w:t xml:space="preserve"> Authors mention in the results section (not in the methods section)</w:t>
      </w:r>
      <w:r w:rsidR="006862E7" w:rsidRPr="00065D90">
        <w:rPr>
          <w:rFonts w:ascii="Times New Roman" w:eastAsia="Times New Roman" w:hAnsi="Times New Roman" w:cs="Times New Roman"/>
          <w:sz w:val="16"/>
          <w:lang w:val="en-AU" w:eastAsia="es-ES"/>
        </w:rPr>
        <w:t xml:space="preserve"> that they performed energy adjustment correlation coefficients but that they do not show them because they are similar to raw data</w:t>
      </w:r>
      <w:r w:rsidRPr="00065D90">
        <w:rPr>
          <w:rFonts w:ascii="Times New Roman" w:eastAsia="Times New Roman" w:hAnsi="Times New Roman" w:cs="Times New Roman"/>
          <w:sz w:val="16"/>
          <w:lang w:val="en-AU" w:eastAsia="es-ES"/>
        </w:rPr>
        <w:t>.</w:t>
      </w:r>
    </w:p>
    <w:p w14:paraId="6F985A1C" w14:textId="02AAB4C0" w:rsidR="008A448F" w:rsidRPr="00065D90" w:rsidRDefault="008A448F" w:rsidP="00065D90">
      <w:pPr>
        <w:spacing w:after="0" w:line="240" w:lineRule="auto"/>
        <w:rPr>
          <w:rFonts w:ascii="Times New Roman" w:hAnsi="Times New Roman" w:cs="Times New Roman"/>
          <w:sz w:val="16"/>
          <w:lang w:val="en-AU"/>
        </w:rPr>
      </w:pPr>
      <w:r w:rsidRPr="00065D90">
        <w:rPr>
          <w:rFonts w:ascii="Times New Roman" w:eastAsia="Times New Roman" w:hAnsi="Times New Roman" w:cs="Times New Roman"/>
          <w:sz w:val="16"/>
          <w:vertAlign w:val="superscript"/>
          <w:lang w:val="en-AU" w:eastAsia="es-ES"/>
        </w:rPr>
        <w:t>b</w:t>
      </w:r>
      <w:r w:rsidRPr="00065D90">
        <w:rPr>
          <w:rFonts w:ascii="Times New Roman" w:eastAsia="Times New Roman" w:hAnsi="Times New Roman" w:cs="Times New Roman"/>
          <w:sz w:val="16"/>
          <w:lang w:val="en-AU" w:eastAsia="es-ES"/>
        </w:rPr>
        <w:t xml:space="preserve"> There is an error in energy-adjustment data </w:t>
      </w:r>
      <w:proofErr w:type="spellStart"/>
      <w:r w:rsidRPr="00065D90">
        <w:rPr>
          <w:rFonts w:ascii="Times New Roman" w:eastAsia="Times New Roman" w:hAnsi="Times New Roman" w:cs="Times New Roman"/>
          <w:sz w:val="16"/>
          <w:lang w:val="en-AU" w:eastAsia="es-ES"/>
        </w:rPr>
        <w:t>acommodation</w:t>
      </w:r>
      <w:proofErr w:type="spellEnd"/>
      <w:r w:rsidRPr="00065D90">
        <w:rPr>
          <w:rFonts w:ascii="Times New Roman" w:eastAsia="Times New Roman" w:hAnsi="Times New Roman" w:cs="Times New Roman"/>
          <w:sz w:val="16"/>
          <w:lang w:val="en-AU" w:eastAsia="es-ES"/>
        </w:rPr>
        <w:t xml:space="preserve"> in table II.</w:t>
      </w:r>
    </w:p>
    <w:p w14:paraId="12DB7D44" w14:textId="77777777" w:rsidR="00937167" w:rsidRPr="002B6335" w:rsidRDefault="00937167" w:rsidP="008D0D0A">
      <w:pPr>
        <w:rPr>
          <w:rFonts w:ascii="Times New Roman" w:hAnsi="Times New Roman" w:cs="Times New Roman"/>
          <w:lang w:val="en-AU"/>
        </w:rPr>
        <w:sectPr w:rsidR="00937167" w:rsidRPr="002B6335" w:rsidSect="005C0102">
          <w:headerReference w:type="default" r:id="rId9"/>
          <w:footerReference w:type="default" r:id="rId10"/>
          <w:pgSz w:w="15840" w:h="12240" w:orient="landscape"/>
          <w:pgMar w:top="1134" w:right="1134" w:bottom="1134" w:left="1134" w:header="708" w:footer="708" w:gutter="0"/>
          <w:lnNumType w:countBy="1"/>
          <w:cols w:space="708"/>
          <w:docGrid w:linePitch="360"/>
        </w:sectPr>
      </w:pPr>
    </w:p>
    <w:p w14:paraId="777BC9B6" w14:textId="520D05AC" w:rsidR="008D0D0A" w:rsidRPr="002655BA" w:rsidRDefault="002655BA" w:rsidP="006A0FC0">
      <w:pPr>
        <w:pStyle w:val="Normal1"/>
        <w:suppressLineNumbers/>
        <w:spacing w:after="0" w:line="360" w:lineRule="auto"/>
        <w:rPr>
          <w:rFonts w:ascii="Times New Roman" w:eastAsia="Times New Roman" w:hAnsi="Times New Roman" w:cs="Times New Roman"/>
          <w:b/>
          <w:color w:val="000000" w:themeColor="text1"/>
          <w:sz w:val="24"/>
          <w:szCs w:val="24"/>
        </w:rPr>
      </w:pPr>
      <w:r w:rsidRPr="002655BA">
        <w:rPr>
          <w:rFonts w:ascii="Times New Roman" w:eastAsia="Times New Roman" w:hAnsi="Times New Roman" w:cs="Times New Roman"/>
          <w:b/>
          <w:color w:val="000000" w:themeColor="text1"/>
          <w:sz w:val="24"/>
          <w:szCs w:val="24"/>
          <w:lang w:eastAsia="en-US"/>
        </w:rPr>
        <w:lastRenderedPageBreak/>
        <w:t xml:space="preserve">Supplemental Table 1-b. </w:t>
      </w:r>
      <w:r w:rsidRPr="002655BA">
        <w:rPr>
          <w:rFonts w:ascii="Times New Roman" w:hAnsi="Times New Roman" w:cs="Times New Roman"/>
          <w:b/>
          <w:color w:val="000000" w:themeColor="text1"/>
          <w:sz w:val="24"/>
          <w:szCs w:val="24"/>
          <w:lang w:bidi="en-US"/>
        </w:rPr>
        <w:t xml:space="preserve">Quality assessment and risk of bias of the included articles, ordered in accordance with those that had the highest number of </w:t>
      </w:r>
      <w:r w:rsidR="00B12834">
        <w:rPr>
          <w:rFonts w:ascii="Times New Roman" w:hAnsi="Times New Roman" w:cs="Times New Roman"/>
          <w:b/>
          <w:color w:val="000000" w:themeColor="text1"/>
          <w:sz w:val="24"/>
          <w:szCs w:val="24"/>
          <w:lang w:bidi="en-US"/>
        </w:rPr>
        <w:t xml:space="preserve">met criteria elements </w:t>
      </w:r>
      <w:r w:rsidRPr="002655BA">
        <w:rPr>
          <w:rFonts w:ascii="Times New Roman" w:hAnsi="Times New Roman" w:cs="Times New Roman"/>
          <w:b/>
          <w:color w:val="000000" w:themeColor="text1"/>
          <w:sz w:val="24"/>
          <w:szCs w:val="24"/>
          <w:lang w:bidi="en-US"/>
        </w:rPr>
        <w:t>and in chronological order</w:t>
      </w:r>
      <w:r w:rsidRPr="002655BA">
        <w:rPr>
          <w:rFonts w:ascii="Times New Roman" w:eastAsia="Times New Roman" w:hAnsi="Times New Roman" w:cs="Times New Roman"/>
          <w:b/>
          <w:color w:val="000000" w:themeColor="text1"/>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1"/>
        <w:gridCol w:w="392"/>
        <w:gridCol w:w="392"/>
        <w:gridCol w:w="393"/>
        <w:gridCol w:w="392"/>
        <w:gridCol w:w="392"/>
        <w:gridCol w:w="393"/>
        <w:gridCol w:w="392"/>
        <w:gridCol w:w="392"/>
        <w:gridCol w:w="393"/>
        <w:gridCol w:w="392"/>
        <w:gridCol w:w="392"/>
        <w:gridCol w:w="393"/>
        <w:gridCol w:w="392"/>
        <w:gridCol w:w="393"/>
      </w:tblGrid>
      <w:tr w:rsidR="003E400D" w:rsidRPr="006A0FC0" w14:paraId="4E0332B7" w14:textId="77777777" w:rsidTr="00F53D71">
        <w:trPr>
          <w:trHeight w:val="49"/>
          <w:tblHeader/>
        </w:trPr>
        <w:tc>
          <w:tcPr>
            <w:tcW w:w="4451" w:type="dxa"/>
            <w:tcMar>
              <w:top w:w="0" w:type="dxa"/>
              <w:left w:w="45" w:type="dxa"/>
              <w:bottom w:w="0" w:type="dxa"/>
              <w:right w:w="45" w:type="dxa"/>
            </w:tcMar>
            <w:vAlign w:val="bottom"/>
            <w:hideMark/>
          </w:tcPr>
          <w:p w14:paraId="2690D6FD" w14:textId="77777777" w:rsidR="003E400D" w:rsidRPr="006A0FC0" w:rsidRDefault="003E400D" w:rsidP="00F53D71">
            <w:pPr>
              <w:spacing w:after="0" w:line="240" w:lineRule="auto"/>
              <w:rPr>
                <w:rFonts w:ascii="Times New Roman" w:eastAsia="Times New Roman" w:hAnsi="Times New Roman" w:cs="Times New Roman"/>
                <w:b/>
                <w:sz w:val="24"/>
                <w:szCs w:val="24"/>
                <w:lang w:val="en-AU" w:eastAsia="es-ES"/>
              </w:rPr>
            </w:pPr>
            <w:r w:rsidRPr="006A0FC0">
              <w:rPr>
                <w:rFonts w:ascii="Times New Roman" w:eastAsia="Times New Roman" w:hAnsi="Times New Roman" w:cs="Times New Roman"/>
                <w:b/>
                <w:sz w:val="24"/>
                <w:szCs w:val="24"/>
                <w:lang w:val="en-AU" w:eastAsia="es-ES"/>
              </w:rPr>
              <w:t>Reference</w:t>
            </w:r>
          </w:p>
        </w:tc>
        <w:tc>
          <w:tcPr>
            <w:tcW w:w="392" w:type="dxa"/>
            <w:tcMar>
              <w:top w:w="0" w:type="dxa"/>
              <w:left w:w="45" w:type="dxa"/>
              <w:bottom w:w="0" w:type="dxa"/>
              <w:right w:w="45" w:type="dxa"/>
            </w:tcMar>
            <w:vAlign w:val="bottom"/>
            <w:hideMark/>
          </w:tcPr>
          <w:p w14:paraId="1D948054"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w:t>
            </w:r>
          </w:p>
        </w:tc>
        <w:tc>
          <w:tcPr>
            <w:tcW w:w="392" w:type="dxa"/>
            <w:tcMar>
              <w:top w:w="0" w:type="dxa"/>
              <w:left w:w="45" w:type="dxa"/>
              <w:bottom w:w="0" w:type="dxa"/>
              <w:right w:w="45" w:type="dxa"/>
            </w:tcMar>
            <w:vAlign w:val="bottom"/>
            <w:hideMark/>
          </w:tcPr>
          <w:p w14:paraId="650BD6E1"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2</w:t>
            </w:r>
          </w:p>
        </w:tc>
        <w:tc>
          <w:tcPr>
            <w:tcW w:w="393" w:type="dxa"/>
            <w:tcMar>
              <w:top w:w="0" w:type="dxa"/>
              <w:left w:w="45" w:type="dxa"/>
              <w:bottom w:w="0" w:type="dxa"/>
              <w:right w:w="45" w:type="dxa"/>
            </w:tcMar>
            <w:vAlign w:val="bottom"/>
            <w:hideMark/>
          </w:tcPr>
          <w:p w14:paraId="123F50B4"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3</w:t>
            </w:r>
          </w:p>
        </w:tc>
        <w:tc>
          <w:tcPr>
            <w:tcW w:w="392" w:type="dxa"/>
            <w:tcMar>
              <w:top w:w="0" w:type="dxa"/>
              <w:left w:w="45" w:type="dxa"/>
              <w:bottom w:w="0" w:type="dxa"/>
              <w:right w:w="45" w:type="dxa"/>
            </w:tcMar>
            <w:vAlign w:val="bottom"/>
            <w:hideMark/>
          </w:tcPr>
          <w:p w14:paraId="2207D080"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4</w:t>
            </w:r>
          </w:p>
        </w:tc>
        <w:tc>
          <w:tcPr>
            <w:tcW w:w="392" w:type="dxa"/>
            <w:tcMar>
              <w:top w:w="0" w:type="dxa"/>
              <w:left w:w="45" w:type="dxa"/>
              <w:bottom w:w="0" w:type="dxa"/>
              <w:right w:w="45" w:type="dxa"/>
            </w:tcMar>
            <w:vAlign w:val="bottom"/>
            <w:hideMark/>
          </w:tcPr>
          <w:p w14:paraId="20D68070"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5</w:t>
            </w:r>
          </w:p>
        </w:tc>
        <w:tc>
          <w:tcPr>
            <w:tcW w:w="393" w:type="dxa"/>
            <w:tcMar>
              <w:top w:w="0" w:type="dxa"/>
              <w:left w:w="45" w:type="dxa"/>
              <w:bottom w:w="0" w:type="dxa"/>
              <w:right w:w="45" w:type="dxa"/>
            </w:tcMar>
            <w:vAlign w:val="bottom"/>
            <w:hideMark/>
          </w:tcPr>
          <w:p w14:paraId="600A1C88"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6</w:t>
            </w:r>
          </w:p>
        </w:tc>
        <w:tc>
          <w:tcPr>
            <w:tcW w:w="392" w:type="dxa"/>
            <w:tcMar>
              <w:top w:w="0" w:type="dxa"/>
              <w:left w:w="45" w:type="dxa"/>
              <w:bottom w:w="0" w:type="dxa"/>
              <w:right w:w="45" w:type="dxa"/>
            </w:tcMar>
            <w:vAlign w:val="bottom"/>
            <w:hideMark/>
          </w:tcPr>
          <w:p w14:paraId="7EF5710F"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7</w:t>
            </w:r>
          </w:p>
        </w:tc>
        <w:tc>
          <w:tcPr>
            <w:tcW w:w="392" w:type="dxa"/>
            <w:tcMar>
              <w:top w:w="0" w:type="dxa"/>
              <w:left w:w="45" w:type="dxa"/>
              <w:bottom w:w="0" w:type="dxa"/>
              <w:right w:w="45" w:type="dxa"/>
            </w:tcMar>
            <w:vAlign w:val="bottom"/>
            <w:hideMark/>
          </w:tcPr>
          <w:p w14:paraId="28FF3C9E"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8</w:t>
            </w:r>
          </w:p>
        </w:tc>
        <w:tc>
          <w:tcPr>
            <w:tcW w:w="393" w:type="dxa"/>
            <w:tcMar>
              <w:top w:w="0" w:type="dxa"/>
              <w:left w:w="45" w:type="dxa"/>
              <w:bottom w:w="0" w:type="dxa"/>
              <w:right w:w="45" w:type="dxa"/>
            </w:tcMar>
            <w:vAlign w:val="bottom"/>
            <w:hideMark/>
          </w:tcPr>
          <w:p w14:paraId="62C55017"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9</w:t>
            </w:r>
          </w:p>
        </w:tc>
        <w:tc>
          <w:tcPr>
            <w:tcW w:w="392" w:type="dxa"/>
            <w:tcMar>
              <w:top w:w="0" w:type="dxa"/>
              <w:left w:w="45" w:type="dxa"/>
              <w:bottom w:w="0" w:type="dxa"/>
              <w:right w:w="45" w:type="dxa"/>
            </w:tcMar>
            <w:vAlign w:val="bottom"/>
            <w:hideMark/>
          </w:tcPr>
          <w:p w14:paraId="469E6243"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10</w:t>
            </w:r>
          </w:p>
        </w:tc>
        <w:tc>
          <w:tcPr>
            <w:tcW w:w="392" w:type="dxa"/>
            <w:tcMar>
              <w:top w:w="0" w:type="dxa"/>
              <w:left w:w="45" w:type="dxa"/>
              <w:bottom w:w="0" w:type="dxa"/>
              <w:right w:w="45" w:type="dxa"/>
            </w:tcMar>
            <w:vAlign w:val="bottom"/>
            <w:hideMark/>
          </w:tcPr>
          <w:p w14:paraId="452C915C"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11</w:t>
            </w:r>
          </w:p>
        </w:tc>
        <w:tc>
          <w:tcPr>
            <w:tcW w:w="393" w:type="dxa"/>
            <w:tcMar>
              <w:top w:w="0" w:type="dxa"/>
              <w:left w:w="45" w:type="dxa"/>
              <w:bottom w:w="0" w:type="dxa"/>
              <w:right w:w="45" w:type="dxa"/>
            </w:tcMar>
            <w:vAlign w:val="bottom"/>
            <w:hideMark/>
          </w:tcPr>
          <w:p w14:paraId="59D15B46"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12</w:t>
            </w:r>
          </w:p>
        </w:tc>
        <w:tc>
          <w:tcPr>
            <w:tcW w:w="392" w:type="dxa"/>
            <w:tcMar>
              <w:top w:w="0" w:type="dxa"/>
              <w:left w:w="45" w:type="dxa"/>
              <w:bottom w:w="0" w:type="dxa"/>
              <w:right w:w="45" w:type="dxa"/>
            </w:tcMar>
            <w:vAlign w:val="bottom"/>
            <w:hideMark/>
          </w:tcPr>
          <w:p w14:paraId="4FA77900"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13</w:t>
            </w:r>
          </w:p>
        </w:tc>
        <w:tc>
          <w:tcPr>
            <w:tcW w:w="393" w:type="dxa"/>
            <w:tcMar>
              <w:top w:w="0" w:type="dxa"/>
              <w:left w:w="45" w:type="dxa"/>
              <w:bottom w:w="0" w:type="dxa"/>
              <w:right w:w="45" w:type="dxa"/>
            </w:tcMar>
            <w:vAlign w:val="bottom"/>
            <w:hideMark/>
          </w:tcPr>
          <w:p w14:paraId="66D9D668" w14:textId="77777777" w:rsidR="003E400D" w:rsidRPr="006A0FC0" w:rsidRDefault="003E400D" w:rsidP="00F53D71">
            <w:pPr>
              <w:spacing w:after="0" w:line="240" w:lineRule="auto"/>
              <w:jc w:val="right"/>
              <w:rPr>
                <w:rFonts w:ascii="Times New Roman" w:eastAsia="Times New Roman" w:hAnsi="Times New Roman" w:cs="Times New Roman"/>
                <w:b/>
                <w:color w:val="000000"/>
                <w:sz w:val="24"/>
                <w:szCs w:val="24"/>
                <w:lang w:val="en-AU" w:eastAsia="es-ES"/>
              </w:rPr>
            </w:pPr>
            <w:r w:rsidRPr="006A0FC0">
              <w:rPr>
                <w:rFonts w:ascii="Times New Roman" w:eastAsia="Times New Roman" w:hAnsi="Times New Roman" w:cs="Times New Roman"/>
                <w:b/>
                <w:color w:val="000000"/>
                <w:sz w:val="24"/>
                <w:szCs w:val="24"/>
                <w:lang w:val="en-AU" w:eastAsia="es-ES"/>
              </w:rPr>
              <w:t>14</w:t>
            </w:r>
          </w:p>
        </w:tc>
      </w:tr>
      <w:tr w:rsidR="003E400D" w:rsidRPr="008A448F" w14:paraId="3745D556" w14:textId="77777777" w:rsidTr="00F53D71">
        <w:trPr>
          <w:trHeight w:val="49"/>
        </w:trPr>
        <w:tc>
          <w:tcPr>
            <w:tcW w:w="4451" w:type="dxa"/>
            <w:tcMar>
              <w:top w:w="0" w:type="dxa"/>
              <w:left w:w="45" w:type="dxa"/>
              <w:bottom w:w="0" w:type="dxa"/>
              <w:right w:w="45" w:type="dxa"/>
            </w:tcMar>
            <w:vAlign w:val="bottom"/>
            <w:hideMark/>
          </w:tcPr>
          <w:p w14:paraId="6BBD75A3"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proofErr w:type="spellStart"/>
            <w:r w:rsidRPr="00E209A6">
              <w:rPr>
                <w:rFonts w:ascii="Times New Roman" w:eastAsia="Times New Roman" w:hAnsi="Times New Roman" w:cs="Times New Roman"/>
                <w:color w:val="000000"/>
                <w:sz w:val="24"/>
                <w:szCs w:val="24"/>
                <w:lang w:val="en-AU" w:eastAsia="es-ES"/>
              </w:rPr>
              <w:t>Klipstein</w:t>
            </w:r>
            <w:proofErr w:type="spellEnd"/>
            <w:r w:rsidRPr="00E209A6">
              <w:rPr>
                <w:rFonts w:ascii="Times New Roman" w:eastAsia="Times New Roman" w:hAnsi="Times New Roman" w:cs="Times New Roman"/>
                <w:color w:val="000000"/>
                <w:sz w:val="24"/>
                <w:szCs w:val="24"/>
                <w:lang w:val="en-AU" w:eastAsia="es-ES"/>
              </w:rPr>
              <w:t xml:space="preserve"> et al. (1998)</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n-AU" w:eastAsia="es-ES"/>
              </w:rPr>
              <w:instrText>ADDIN CSL_CITATION {"citationItems":[{"id":"ITEM-1","itemData":{"DOI":"10.1038/sj.ejcn.1600611","ISBN":"0954-3007","ISSN":"09543007","PMID":"9725660","abstract":"OBJECTIVE: The study was conducted to assess the relative validity of a 170-item semiquantitative food frequency questionnaire (SFFQ) adapted for use in the elderly. DESIGN AND SUBJECTS: The study was carried out in a sample of 80 men and women aged 55-75 y participating in a community based prospective cohort study in Rotterdam, The Netherlands. The two-step dietary assessment comprised a simple self-administered questionnaire (20 min) followed by a structured interview with trained dietitians (20 min) based on the completed questionnaire. Multiple food records (FR) collected over a one year period served as reference method. 24 h urine urea was used as indirect marker for protein intake. RESULTS: Compared with FR, the SFFQ generally overestimated nutrient intake as reflected by difference in means and the ratio of SFFQ to FR. Energy adjustment reduced the observed overestimation. Pearson's correlation coefficients varied from close to 0.5 to about 0.9 for crude data, and after adjustment for age, sex, total energy intake, and for within-person variability in daily intake for 0.4-0.8. Cross-classification into quintiles resulted in correct classification into the same or adjacent quintile of 75.8% for crude and 76.8% for energy-adjusted data. Validation of protein intake estimated by SFFQ with protein excretion from 24h urine urea indicated overestimation of protein intake by SFFQ. Spearman correlation coefficient between protein intake estimated from urea excretion and SFFQ was 0.67. CONCLUSIONS: Adaptation of a SFFQ for use in the elderly resulted in a valid and time-efficient dietary assessment instrument. Its ability to adequately rank study subjects according to their dietary intake support its application in epidemiological studies in the elderly.","author":[{"dropping-particle":"","family":"Klipstein-Grobusch","given":"K.","non-dropping-particle":"","parse-names":false,"suffix":""},{"dropping-particle":"","family":"Breeijen","given":"J. H.","non-dropping-particle":"Den","parse-names":false,"suffix":""},{"dropping-particle":"","family":"Goldbohm","given":"R. A.","non-dropping-particle":"","parse-names":false,"suffix":""},{"dropping-particle":"","family":"Geleijnse","given":"J. M.","non-dropping-particle":"","parse-names":false,"suffix":""},{"dropping-particle":"","family":"Hofman","given":"A.","non-dropping-particle":"","parse-names":false,"suffix":""},{"dropping-particle":"","family":"Grobbee","given":"D. E.","non-dropping-particle":"","parse-names":false,"suffix":""},{"dropping-particle":"","family":"Witteman","given":"J. C.M.","non-dropping-particle":"","parse-names":false,"suffix":""}],"container-title":"European Journal of Clinical Nutrition","id":"ITEM-1","issue":"8","issued":{"date-parts":[["1998"]]},"page":"588-596","title":"Dietary assessment in the elderly: Validation of a semiquantitative food frequency questionnaire","type":"article-journal","volume":"52"},"uris":["http://www.mendeley.com/documents/?uuid=dfd6429b-d3ee-4cf3-bf05-d639331c7508"]}],"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(14)</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5E56E24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633A5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6639B7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65024B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B9E077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891C2B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AE8AA6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ADDC78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93C298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413308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F39CC9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76A880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0CF095B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4AB36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59A16FC" w14:textId="77777777" w:rsidTr="00F53D71">
        <w:trPr>
          <w:trHeight w:val="49"/>
        </w:trPr>
        <w:tc>
          <w:tcPr>
            <w:tcW w:w="4451" w:type="dxa"/>
            <w:tcMar>
              <w:top w:w="0" w:type="dxa"/>
              <w:left w:w="45" w:type="dxa"/>
              <w:bottom w:w="0" w:type="dxa"/>
              <w:right w:w="45" w:type="dxa"/>
            </w:tcMar>
            <w:vAlign w:val="bottom"/>
            <w:hideMark/>
          </w:tcPr>
          <w:p w14:paraId="0D160FB3"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Chen et al. (2004)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{"citationItems":[{"id":"ITEM-1","itemData":{"ISSN":"0007-1145","PMID":"15533275","abstract":"We have developed a thirty-nine-item semi-quantitative food-frequency questionnaire (FFQ) to assess the dietary consumption of 11,746 men and women in a prospective cohort study that evaluates the health effects of As from drinking water in Bangladesh. In order to validate the FFQ, two 7 d food diaries (FD) were completed for 189 randomly selected cohort participants in two different seasons of the year. Nutrient values were converted based on both the United States Department of Agriculture's National Nutrient Database and a food composition table for the Indian subcontinent. Pearson product-moment and Spearman non-parametric rank correlation coefficients comparing food and nutrient consumptions estimated from FFQ and 7 d FD were calculated based on log-transformed consumption values with or without adjustment for total energy and correction for within-individual variation. Correlations of macronutrients and common micronutrients including total fat, monounsaturated fat, polyunsaturated fat, saturated fat, protein, carbohydrate, dietary fibre, Na, K, vitamin B6, vitamin B12, riboflavin, Mn, thiamin and Fe were moderately good, ranging from 0.30 to 0.76. However, correlations of other micronutrients were weak (&lt;0.30). Large seasonal variations in intakes of retinol equivalents and vitamin C were observed. This analysis documents the degree of validity of the FFQ in measuring specific nutrient intakes in the study population. To our knowledge, the present study is the first to document the validity of a FFQ with the use of 7 d FD in a Bangladeshi population.","author":[{"dropping-particle":"","family":"Chen","given":"Yu","non-dropping-particle":"","parse-names":false,"suffix":""},{"dropping-particle":"","family":"Ahsan","given":"Habibul","non-dropping-particle":"","parse-names":false,"suffix":""},{"dropping-particle":"","family":"Parvez","given":"Faruque","non-dropping-particle":"","parse-names":false,"suffix":""},{"dropping-particle":"","family":"Howe","given":"Geoffrey R","non-dropping-particle":"","parse-names":false,"suffix":""}],"container-title":"The British journal of nutrition","id":"ITEM-1","issue":"5","issued":{"date-parts":[["2004","11"]]},"page":"851-859","title":"Validity of a food-frequency questionnaire for a large prospective cohort study in Bangladesh.","type":"article-journal","volume":"92"},"uris":["http://www.mendeley.com/documents/?uuid=ce2dfa4b-0e37-3b13-8e4c-0d83ed064b3d"]}],"mendeley":{"formattedCitation":"&lt;sup&gt;(54)&lt;/sup&gt;","plainTextFormattedCitation":"(54)","previouslyFormattedCitation":"&lt;sup&gt;(54)&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(54)</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264F6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643415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D2F131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1FBCA0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3810C6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8C5EA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BC785E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6886D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508FDF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503676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EA304F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F01EE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58224AF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6A1BB4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B4B3462" w14:textId="77777777" w:rsidTr="00F53D71">
        <w:trPr>
          <w:trHeight w:val="49"/>
        </w:trPr>
        <w:tc>
          <w:tcPr>
            <w:tcW w:w="4451" w:type="dxa"/>
            <w:tcMar>
              <w:top w:w="0" w:type="dxa"/>
              <w:left w:w="45" w:type="dxa"/>
              <w:bottom w:w="0" w:type="dxa"/>
              <w:right w:w="45" w:type="dxa"/>
            </w:tcMar>
            <w:vAlign w:val="bottom"/>
            <w:hideMark/>
          </w:tcPr>
          <w:p w14:paraId="3370C858"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Ocké et al. (1997)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{"citationItems":[{"id":"ITEM-1","itemData":{"ISSN":"0300-5771","PMID":"9126533","abstract":"BACKGROUND A self-administered semi-quantitative food frequency questionnaire (FFQ) was developed for the Dutch cohort of the European Prospective Investigation into Cancer and Nutrition (EPIC). METHODS The reproducibility and relative validity of nutrient intake as assessed by this questionnaire were investigated in a population of 121 men and women. To assess the relative validity, 12 monthly 24-hour recalls served as reference method, together with four determinations of 24-hour urinary nitrogen excretion, predicted basal metabolic rate, and serum beta-carotene and alpha-tocopherol levels. RESULTS Protein and among women, energy intake were underestimated by the questionnaire compared to urinary nitrogen excretion and the basal metabolic rate, respectively. The underestimation for protein decreased with increasing protein intake. Pearson correlation coefficients between nutrient intakes assessed by repeated questionnaires ranged from 0.70 to 0.94 among men and from 0.59 to 0.94 among women. Correlation coefficients between nutrient intakes assessed by the questionnaire and 24-hour recalls ranged from 0.26 to 0.83 for men and from 0.35 to 0.90 for women, with medians of 0.59 and 0.58, respectively. Correlation coefficients between 0.2 and 0.5 were observed for beta-carotene and vitamin C for men and for beta-carotene and vitamin E for women. Associations with serum beta-carotene (r = -0.16 for men; 0.13 for women) and alpha-tocopherol (0.23 and 0.15, respectively) were much poorer than those obtained with 24-hour recalls. Correlations between protein intake and 24-hour urinary nitrogen excretion were 0.47 and 0.53, respectively. CONCLUSIONS The FFQ seems adequate for ranking subjects according to intake of energy, macronutrients, dietary fibre and retinol, but it does not yield such good results for beta-carotene, vitamin C for men, vitamin E for women.","author":[{"dropping-particle":"","family":"Ocké","given":"M C","non-dropping-particle":"","parse-names":false,"suffix":""},{"dropping-particle":"","family":"Bueno-de-Mesquita","given":"H B","non-dropping-particle":"","parse-names":false,"suffix":""},{"dropping-particle":"","family":"Pols","given":"M A","non-dropping-particle":"","parse-names":false,"suffix":""},{"dropping-particle":"","family":"Smit","given":"H A","non-dropping-particle":"","parse-names":false,"suffix":""},{"dropping-particle":"","family":"Staveren","given":"W A","non-dropping-particle":"van","parse-names":false,"suffix":""},{"dropping-particle":"","family":"Kromhout","given":"D","non-dropping-particle":"","parse-names":false,"suffix":""}],"container-title":"International journal of epidemiology","id":"ITEM-1","issued":{"date-parts":[["1997"]]},"page":"S49-S58","title":"The Dutch EPIC food frequency questionnaire. II. Relative validity and reproducibility for nutrients.","type":"article-journal","volume":"26 Suppl 1"},"uris":["http://www.mendeley.com/documents/?uuid=50a692de-a3cb-3a31-9ba2-8128a737d5c0"]}],"mendeley":{"formattedCitation":"&lt;sup&gt;(20)&lt;/sup&gt;","plainTextFormattedCitation":"(20)","previouslyFormattedCitation":"&lt;sup&gt;(20)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8C2A91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EDEB2E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081001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FED151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5502AE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F8A447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672838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22D494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E621F1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54E679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E9610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33C1A7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3D027A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38E75D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4603D367" w14:textId="77777777" w:rsidTr="00F53D71">
        <w:trPr>
          <w:trHeight w:val="54"/>
        </w:trPr>
        <w:tc>
          <w:tcPr>
            <w:tcW w:w="4451" w:type="dxa"/>
            <w:tcMar>
              <w:top w:w="0" w:type="dxa"/>
              <w:left w:w="45" w:type="dxa"/>
              <w:bottom w:w="0" w:type="dxa"/>
              <w:right w:w="45" w:type="dxa"/>
            </w:tcMar>
            <w:vAlign w:val="bottom"/>
            <w:hideMark/>
          </w:tcPr>
          <w:p w14:paraId="3F2582CC"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Gunes et al. (2015)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{"citationItems":[{"id":"ITEM-1","itemData":{"author":[{"dropping-particle":"","family":"Gunes","given":"Fatma Esra","non-dropping-particle":"","parse-names":false,"suffix":""},{"dropping-particle":"","family":"Imeryuz","given":"Nese","non-dropping-particle":"","parse-names":false,"suffix":""},{"dropping-particle":"","family":"Akalin","given":"Arzu","non-dropping-particle":"","parse-names":false,"suffix":""},{"dropping-particle":"","family":"Calik","given":"Burcu","non-dropping-particle":"","parse-names":false,"suffix":""},{"dropping-particle":"","family":"Bekiroglu","given":"Nural","non-dropping-particle":"","parse-names":false,"suffix":""},{"dropping-particle":"","family":"Alphan","given":"Emel","non-dropping-particle":"","parse-names":false,"suffix":""},{"dropping-particle":"","family":"Oguz","given":"Aytekin","non-dropping-particle":"","parse-names":false,"suffix":""},{"dropping-particle":"","family":"Dehghan","given":"Mahshid","non-dropping-particle":"","parse-names":false,"suffix":""}],"container-title":"J Pak Med Assoc","id":"ITEM-1","issued":{"date-parts":[["2015"]]},"page":"756-763","title":"Development and validation of a semi-quantitative food frequency questionnaire to assess dietary intake in Turkish adults","type":"article-journal","volume":"65"},"uris":["http://www.mendeley.com/documents/?uuid=32ef0598-2ad5-4936-890d-1146f24a65b6"]}],"mendeley":{"formattedCitation":"&lt;sup&gt;(70)&lt;/sup&gt;","plainTextFormattedCitation":"(70)","previouslyFormattedCitation":"&lt;sup&gt;(70)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(70)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D1794D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CB6CA7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B80F0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9AE31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D07BE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D35744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6BB89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3A6849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63A544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6BFE81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B3741C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1E3221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19FD2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B5D514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F522E13" w14:textId="77777777" w:rsidTr="00F53D71">
        <w:trPr>
          <w:trHeight w:val="54"/>
        </w:trPr>
        <w:tc>
          <w:tcPr>
            <w:tcW w:w="4451" w:type="dxa"/>
            <w:tcMar>
              <w:top w:w="0" w:type="dxa"/>
              <w:left w:w="45" w:type="dxa"/>
              <w:bottom w:w="0" w:type="dxa"/>
              <w:right w:w="45" w:type="dxa"/>
            </w:tcMar>
            <w:vAlign w:val="bottom"/>
            <w:hideMark/>
          </w:tcPr>
          <w:p w14:paraId="1BD202B1" w14:textId="77777777" w:rsidR="003E400D" w:rsidRPr="003E400D" w:rsidRDefault="003E400D" w:rsidP="00F53D71">
            <w:pPr>
              <w:spacing w:after="0" w:line="240" w:lineRule="auto"/>
              <w:rPr>
                <w:rFonts w:ascii="Times New Roman" w:eastAsia="Times New Roman" w:hAnsi="Times New Roman" w:cs="Times New Roman"/>
                <w:sz w:val="24"/>
                <w:szCs w:val="24"/>
                <w:lang w:val="es-MX" w:eastAsia="es-ES"/>
              </w:rPr>
            </w:pPr>
            <w:r w:rsidRPr="003E400D">
              <w:rPr>
                <w:rFonts w:ascii="Times New Roman" w:eastAsia="Times New Roman" w:hAnsi="Times New Roman" w:cs="Times New Roman"/>
                <w:sz w:val="24"/>
                <w:szCs w:val="24"/>
                <w:lang w:val="es-MX" w:eastAsia="es-ES"/>
              </w:rPr>
              <w:t>Whitton et al. (2017)</w:t>
            </w:r>
            <w:r w:rsidRPr="003E400D">
              <w:rPr>
                <w:rFonts w:ascii="Times New Roman" w:eastAsia="Times New Roman" w:hAnsi="Times New Roman" w:cs="Times New Roman"/>
                <w:sz w:val="24"/>
                <w:szCs w:val="24"/>
                <w:lang w:val="es-MX" w:eastAsia="es-ES"/>
              </w:rPr>
              <w:fldChar w:fldCharType="begin" w:fldLock="1"/>
            </w:r>
            <w:r w:rsidRPr="003E400D">
              <w:rPr>
                <w:rFonts w:ascii="Times New Roman" w:eastAsia="Times New Roman" w:hAnsi="Times New Roman" w:cs="Times New Roman"/>
                <w:sz w:val="24"/>
                <w:szCs w:val="24"/>
                <w:lang w:val="es-MX" w:eastAsia="es-ES"/>
              </w:rPr>
              <w:instrText>ADDIN CSL_CITATION {"citationItems":[{"id":"ITEM-1","itemData":{"DOI":"10.3390/nu9101059","ISSN":"20726643","abstract":"The assessment of diets in multi-ethnic cosmopolitan settings is challenging. A semi-quantitative 163-item food frequency questionnaire (FFQ) was developed for the adult Singapore population, and this study aimed to assess its reproducibility and relative validity against 24-h dietary recalls (24 h DR) and biomarkers. The FFQ was administered twice within a six-month interval in 161 adults (59 Chinese, 46 Malay, and 56 Indian). Fasting plasma, overnight urine, and 24 h DR were collected after one month and five months. Intra-class correlation coefficients between the two FFQ were above 0.70 for most foods and nutrients. The median correlation coefficient between energy-adjusted deattenuated FFQ and 24 h DR nutrient intakes was 0.40 for FFQ1 and 0.39 for FFQ2, highest for calcium and iron, and lowest for energy and carbohydrates. Significant associations were observed between urinary isoflavones and soy protein intake (r = 0.46), serum carotenoids and fruit and vegetable intake (r = 0.34), plasma eicosapentaenoic acid and docosahexaenoic acid (EPA + DHA) and fish/seafood intake (r = 0.36), and plasma odd chain saturated fatty acids (SFA) and dairy fat intake (r = 0.25). Associations between plasma EPA + DHA and fish/seafood intake were consistent across ethnic groups (r = 0.28–0.49), while differences were observed for other associations. FFQ assessment of dietary intakes in modern cosmopolitan populations remains feasible for the purpose of ranking individuals’ dietary exposures in epidemiological studies.","author":[{"dropping-particle":"","family":"Whitton","given":"Clare","non-dropping-particle":"","parse-names":false,"suffix":""},{"dropping-particle":"","family":"Ho","given":"Jolene Chien Yee","non-dropping-particle":"","parse-names":false,"suffix":""},{"dropping-particle":"","family":"Tay","given":"Zoey","non-dropping-particle":"","parse-names":false,"suffix":""},{"dropping-particle":"","family":"Rebello","given":"Salome A.","non-dropping-particle":"","parse-names":false,"suffix":""},{"dropping-particle":"","family":"Lu","given":"Yonghai","non-dropping-particle":"","parse-names":false,"suffix":""},{"dropping-particle":"","family":"Ong","given":"Choon Nam","non-dropping-particle":"","parse-names":false,"suffix":""},{"dropping-particle":"","family":"Dam","given":"Rob M.","non-dropping-particle":"Van","parse-names":false,"suffix":""}],"container-title":"Nutrients","id":"ITEM-1","issue":"10","issued":{"date-parts":[["2017","10","1"]]},"publisher":"MDPI AG","title":"Relative validity and reproducibility of a food frequency questionnaire for assessing dietary intakes in a multi-ethnic asian population using 24-h dietary recalls and biomarkers","type":"article-journal","volume":"9"},"uris":["http://www.mendeley.com/documents/?uuid=f108b1ba-fee5-3ea4-85d1-8eae68d901eb"]}],"mendeley":{"formattedCitation":"&lt;sup&gt;(62)&lt;/sup&gt;","plainTextFormattedCitation":"(62)","previouslyFormattedCitation":"&lt;sup&gt;(62)&lt;/sup&gt;"},"properties":{"noteIndex":0},"schema":"https://github.com/citation-style-language/schema/raw/master/csl-citation.json"}</w:instrText>
            </w:r>
            <w:r w:rsidRPr="003E400D">
              <w:rPr>
                <w:rFonts w:ascii="Times New Roman" w:eastAsia="Times New Roman" w:hAnsi="Times New Roman" w:cs="Times New Roman"/>
                <w:sz w:val="24"/>
                <w:szCs w:val="24"/>
                <w:lang w:val="es-MX" w:eastAsia="es-ES"/>
              </w:rPr>
              <w:fldChar w:fldCharType="separate"/>
            </w:r>
            <w:r w:rsidRPr="003E400D">
              <w:rPr>
                <w:rFonts w:ascii="Times New Roman" w:eastAsia="Times New Roman" w:hAnsi="Times New Roman" w:cs="Times New Roman"/>
                <w:noProof/>
                <w:sz w:val="24"/>
                <w:szCs w:val="24"/>
                <w:vertAlign w:val="superscript"/>
                <w:lang w:val="es-MX" w:eastAsia="es-ES"/>
              </w:rPr>
              <w:t>(62)</w:t>
            </w:r>
            <w:r w:rsidRPr="003E400D">
              <w:rPr>
                <w:rFonts w:ascii="Times New Roman" w:eastAsia="Times New Roman" w:hAnsi="Times New Roman" w:cs="Times New Roman"/>
                <w:sz w:val="24"/>
                <w:szCs w:val="24"/>
                <w:lang w:val="es-MX" w:eastAsia="es-ES"/>
              </w:rPr>
              <w:fldChar w:fldCharType="end"/>
            </w:r>
            <w:r w:rsidRPr="003E400D">
              <w:rPr>
                <w:rFonts w:ascii="Times New Roman" w:eastAsia="Times New Roman" w:hAnsi="Times New Roman" w:cs="Times New Roman"/>
                <w:sz w:val="24"/>
                <w:szCs w:val="24"/>
                <w:lang w:val="es-MX" w:eastAsia="es-ES"/>
              </w:rPr>
              <w:t xml:space="preserve"> </w:t>
            </w:r>
          </w:p>
        </w:tc>
        <w:tc>
          <w:tcPr>
            <w:tcW w:w="392" w:type="dxa"/>
            <w:shd w:val="clear" w:color="auto" w:fill="008000"/>
            <w:tcMar>
              <w:top w:w="0" w:type="dxa"/>
              <w:left w:w="45" w:type="dxa"/>
              <w:bottom w:w="0" w:type="dxa"/>
              <w:right w:w="45" w:type="dxa"/>
            </w:tcMar>
            <w:vAlign w:val="bottom"/>
            <w:hideMark/>
          </w:tcPr>
          <w:p w14:paraId="62BE05D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EF2ABC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EB58EC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632F75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C48251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6C3C4B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F5D6BF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E0440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41ABBB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A153B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814AE2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C6ADE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AE1BD2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123391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92A7900" w14:textId="77777777" w:rsidTr="00F53D71">
        <w:trPr>
          <w:trHeight w:val="54"/>
        </w:trPr>
        <w:tc>
          <w:tcPr>
            <w:tcW w:w="4451" w:type="dxa"/>
            <w:tcMar>
              <w:top w:w="0" w:type="dxa"/>
              <w:left w:w="45" w:type="dxa"/>
              <w:bottom w:w="0" w:type="dxa"/>
              <w:right w:w="45" w:type="dxa"/>
            </w:tcMar>
            <w:vAlign w:val="bottom"/>
            <w:hideMark/>
          </w:tcPr>
          <w:p w14:paraId="6EBE7F5E"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Ramón et al. (1994)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Ramón","given":"JM","non-dropping-particle":"","parse-names":false,"suffix":""},{"dropping-particle":"","family":"Micaló","given":"T","non-dropping-particle":"","parse-names":false,"suffix":""},{"dropping-particle":"","family":"Benítez","given":"D","non-dropping-particle":"","parse-names":false,"suffix":""},{"dropping-particle":"","family":"Escolano","given":"L","non-dropping-particle":"","parse-names":false,"suffix":""},{"dropping-particle":"","family":"Pe","given":"P","non-dropping-particle":"","parse-names":false,"suffix":""},{"dropping-particle":"","family":"Recasens","given":"A","non-dropping-particle":"","parse-names":false,"suffix":""},{"dropping-particle":"","family":"Romera","given":"M","non-dropping-particle":"","parse-names":false,"suffix":""}],"container-title":"Med Clin","id":"ITEM-1","issue":"1","issued":{"date-parts":[["1994"]]},"page":"1-4","title":"Dietary habits of 2 populations of the province of Barcelona (I): design and validation of asemiquantitative questionnaire of frequency of food consumption.","type":"article-journal","volume":"103"},"uris":["http://www.mendeley.com/documents/?uuid=c2af8e87-4b83-4c2d-9953-93afd2f419f2"]}],"mendeley":{"formattedCitation":"&lt;sup&gt;(22)&lt;/sup&gt;","plainTextFormattedCitation":"(22)","previouslyFormattedCitation":"&lt;sup&gt;(22)&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(22)</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D292B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F7BFB0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25A548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E6A554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5562A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6B6517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5F65C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5D00AD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93D81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78B9A9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1B79EB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C502A2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7A6E981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FCDE72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418920EE" w14:textId="77777777" w:rsidTr="00F53D71">
        <w:trPr>
          <w:trHeight w:val="54"/>
        </w:trPr>
        <w:tc>
          <w:tcPr>
            <w:tcW w:w="4451" w:type="dxa"/>
            <w:tcMar>
              <w:top w:w="0" w:type="dxa"/>
              <w:left w:w="45" w:type="dxa"/>
              <w:bottom w:w="0" w:type="dxa"/>
              <w:right w:w="45" w:type="dxa"/>
            </w:tcMar>
            <w:vAlign w:val="bottom"/>
            <w:hideMark/>
          </w:tcPr>
          <w:p w14:paraId="0D70ABC7"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Jackson et al. (2001)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{"citationItems":[{"id":"ITEM-1","itemData":{"abstract":"BACKGROUND: An interviewer-administered quantitative food-frequency questionnaire (FFQ) was developed to determine the energy and nutrient intakes of adult Jamaicans of African origin as part of a study of the epidemiology of diabetes and hypertension. METHODS: Reproducibility of the questionnaire was investigated in 123 participants aged 25-74 years. The relative validity of the FFQ was assessed against twelve 24-hour recalls administered over 12 months in 73 of the participants. In addition, energy intakes (EI) were compared with estimated basal metabolic rates (BMR). RESULTS: Reproducibility correlation coefficients (Pearson and intraclass) varied between 0.42 for retinol and 0.71 for carbohydrate, with most values falling between 0.50 and 0.60. When compared with repeated 24-hour recalls, the FFQ estimated slightly higher energy (mean 6%) and macronutrient intakes (mean 2-14%), and was within 5% when expressed as a percentage of energy intake. Micronutrients were higher by 1.19 (calcium) to 1.61 times (vitamin C). Unadjusted correlations between the FFQ and the reference method ranged from 0.20 for beta-carotene to 0.86 for alcohol. Cross-classification of nutrients into quartiles showed that 46-48% of participants in the lowest and highest quartiles were jointly classified by both methods. Misclassifications were low for most nutrients with one or two persons misclassified at the extreme quartiles. EI/BMR ratios suggested light to moderate activity levels appropriate for an urban population in a developing country. CONCLUSIONS: The FFQ showed reasonable reproducibility and validity and is suitable for estimating the habitual intakes of energy and macronutrients, but was poor for some micronutrients (retinol and beta-carotene).","author":[{"dropping-particle":"","family":"Jackson","given":"M","non-dropping-particle":"","parse-names":false,"suffix":""},{"dropping-particle":"","family":"Walker","given":"S","non-dropping-particle":"","parse-names":false,"suffix":""},{"dropping-particle":"","family":"Cade","given":"J","non-dropping-particle":"","parse-names":false,"suffix":""},{"dropping-particle":"","family":"Forrester","given":"T","non-dropping-particle":"","parse-names":false,"suffix":""},{"dropping-particle":"","family":"Cruickshank","given":"J K","non-dropping-particle":"","parse-names":false,"suffix":""},{"dropping-particle":"","family":"Wilks","given":"R","non-dropping-particle":"","parse-names":false,"suffix":""}],"container-title":"Public health nutrition","id":"ITEM-1","issue":"5","issued":{"date-parts":[["2001"]]},"page":"971-980","title":"Reproducibility and validity of a quantitative food-frequency questionnaire among Jamaicans of African origin.","type":"article-journal","volume":"4"},"uris":["http://www.mendeley.com/documents/?uuid=4a76aa25-59dc-46c6-9b6c-8e91c4bbafc1"]}],"mendeley":{"formattedCitation":"&lt;sup&gt;(48)&lt;/sup&gt;","plainTextFormattedCitation":"(48)","previouslyFormattedCitation":"&lt;sup&gt;(48)&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(48)</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67A9C4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8CB19D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2AB9E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CFBF48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8E105D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BA9A2F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5DD5E1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870083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CF776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C9A393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392BC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2F59C81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25F09E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30AD48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AD1E372" w14:textId="77777777" w:rsidTr="00F53D71">
        <w:trPr>
          <w:trHeight w:val="54"/>
        </w:trPr>
        <w:tc>
          <w:tcPr>
            <w:tcW w:w="4451" w:type="dxa"/>
            <w:tcMar>
              <w:top w:w="0" w:type="dxa"/>
              <w:left w:w="45" w:type="dxa"/>
              <w:bottom w:w="0" w:type="dxa"/>
              <w:right w:w="45" w:type="dxa"/>
            </w:tcMar>
            <w:vAlign w:val="bottom"/>
            <w:hideMark/>
          </w:tcPr>
          <w:p w14:paraId="44C12007"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Sudha et al. (2006)</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{"citationItems":[{"id":"ITEM-1","itemData":{"ISSN":"0963-7486","PMID":"17162327","abstract":"We report on the reproducibility and validity of a food frequency questionnaire (FFQ) developed for southern India. One hundred and two adult subjects aged &gt; or =20 years drawn from the Chennai Urban Rural Epidemiology Study participated. The FFQ was developed based on local foods and habits, and was administered three times at 0, 6 and 12 month periods (called FFQ1, FFQ2 and FFQ3) to assess the reproducibility. To test the validity of the FFQ, multiple 24-h recalls collected at 2-monthly intervals for a period of 1 year and the estimated energy intake/basal metabolic rate (EI/BMR) ratio were used. The 'EpiNu' in-house food and nutrient database was used to compile dietary intakes, which were analyzed for statistical analysis. The intraclass correlation coefficient for all three FFQs ranged from 0.72 for carbohydrates to 0.45 for folate. The de-attenuated Pearson correlation for the energy adjusted nutrients between FFQ3 and 24-h recalls ranged from 0.73 for carbohydrates to 0.35 for calcium. Bland and Altman plots for energy intake between the two methods showed the limits of agreement ranged from 768 to -1358 calories/day (+/-2 standard deviations). Misclassification was low for most of the nutrients. Under-reporting of the energy intake (EI/BMR ratio&lt;1.2) was higher in females than males. This FFQ appears to be a robust tool to measure dietary intakes in southern India.","author":[{"dropping-particle":"","family":"Sudha","given":"V","non-dropping-particle":"","parse-names":false,"suffix":""},{"dropping-particle":"","family":"Radhika","given":"G","non-dropping-particle":"","parse-names":false,"suffix":""},{"dropping-particle":"","family":"Sathya","given":"R M","non-dropping-particle":"","parse-names":false,"suffix":""},{"dropping-particle":"","family":"Ganesan","given":"A","non-dropping-particle":"","parse-names":false,"suffix":""},{"dropping-particle":"","family":"Mohan","given":"V","non-dropping-particle":"","parse-names":false,"suffix":""}],"container-title":"International journal of food sciences and nutrition","id":"ITEM-1","issue":"7-8","issued":{"date-parts":[["2006","1","6"]]},"page":"481-493","title":"Reproducibility and validity of an interviewer-administered semi-quantitative food frequency questionnaire to assess dietary intake of urban adults in southern India.","type":"article-journal","volume":"57"},"uris":["http://www.mendeley.com/documents/?uuid=2ded568a-cf7c-30ef-b4f3-01cac71c0416"]}],"mendeley":{"formattedCitation":"&lt;sup&gt;(59)&lt;/sup&gt;","plainTextFormattedCitation":"(59)","previouslyFormattedCitation":"&lt;sup&gt;(59)&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(59)</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FF6970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20C528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DC83D8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5EDF89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567167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ED6C4D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04ABA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DDD1D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6C5EBF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1FA84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2B722B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6BA92A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E98EC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BC54AC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D705157" w14:textId="77777777" w:rsidTr="00F53D71">
        <w:trPr>
          <w:trHeight w:val="54"/>
        </w:trPr>
        <w:tc>
          <w:tcPr>
            <w:tcW w:w="4451" w:type="dxa"/>
            <w:tcMar>
              <w:top w:w="0" w:type="dxa"/>
              <w:left w:w="45" w:type="dxa"/>
              <w:bottom w:w="0" w:type="dxa"/>
              <w:right w:w="45" w:type="dxa"/>
            </w:tcMar>
            <w:vAlign w:val="bottom"/>
            <w:hideMark/>
          </w:tcPr>
          <w:p w14:paraId="510F66A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Dehghan et al. (2012)</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{"citationItems":[{"id":"ITEM-1","itemData":{"abstract":"BACKGROUND: The Food Frequency Questionnaire (FFQ) is the most commonly used method for ranking individuals based on long term food intake in large epidemiological studies. The validation of an FFQ for specific populations is essential as food consumption is culture dependent. The aim of this study was to develop a Semi-quantitative Food Frequency Questionnaire (SFFQ) and evaluate its validity and reproducibility in estimating nutrient intake in urban and rural areas of Argentina.\\n\\nMETHODS/PRINCIPAL FINDINGS: Overall, 256 participants in the Argentinean arm of the ongoing Prospective Urban and Rural Epidemiological study (PURE) were enrolled for development and validation of the SFFQ. One hundred individuals participated in the SFFQ development. The other 156 individuals completed the SFFQs on two occasions, four 24-hour Dietary Recalls (24DRs) in urban, and three 24DRs in rural areas during a one-year period. Correlation coefficients (r) and de-attenuated correlation coefficients between 24DRs and SFFQ were calculated for macro and micro-nutrients. The level of agreement between the two methods was evaluated using classification into same and extreme quartiles and the Bland-Altman method. The reproducibility of the SFFQ was assessed by Pearson correlation coefficients and Intra-class Correlation Coefficients (ICC). The SFFQ consists of 96 food items. In both urban and rural settings de-attenuated correlations exceeded 0.4 for most of the nutrients. The classification into the same and adjacent quartiles was more than 70% for urban and 60% for rural settings. The Pearson correlation between two SFFQs varied from 0.30-0.56 and 0.32-0.60 in urban and rural settings, respectively.\\n\\nCONCLUSION: Our results showed that this SFFQ had moderate relative validity and reproducibility for macro and micronutrients in relation to the comparison method and can be used to rank individuals based on habitual nutrient intake.","author":[{"dropping-particle":"","family":"Dehghan","given":"Mahshid","non-dropping-particle":"","parse-names":false,"suffix":""},{"dropping-particle":"","family":"Cerro","given":"Silvia","non-dropping-particle":"del","parse-names":false,"suffix":""},{"dropping-particle":"","family":"Zhang","given":"Xiaohe","non-dropping-particle":"","parse-names":false,"suffix":""},{"dropping-particle":"","family":"Cuneo","given":"Jose Maini","non-dropping-particle":"","parse-names":false,"suffix":""},{"dropping-particle":"","family":"Linetzky","given":"Bruno","non-dropping-particle":"","parse-names":false,"suffix":""},{"dropping-particle":"","family":"Diaz","given":"Rafael","non-dropping-particle":"","parse-names":false,"suffix":""},{"dropping-particle":"","family":"Merchant","given":"Anwar T.","non-dropping-particle":"","parse-names":false,"suffix":""}],"container-title":"PLoS ONE","id":"ITEM-1","issue":"5","issued":{"date-parts":[["2012"]]},"page":"1-9","title":"Validation of a semi-quantitative food frequency questionnaire for argentinean adults","type":"article-journal","volume":"7"},"uris":["http://www.mendeley.com/documents/?uuid=b79b5bad-aa9c-42de-865d-70a89550080c"]}],"mendeley":{"formattedCitation":"&lt;sup&gt;(37)&lt;/sup&gt;","plainTextFormattedCitation":"(37)","previouslyFormattedCitation":"&lt;sup&gt;(37)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(37)</w:t>
            </w:r>
            <w:r>
              <w:rPr>
                <w:rFonts w:ascii="Times New Roman" w:eastAsia="Times New Roman" w:hAnsi="Times New Roman" w:cs="Times New Roman"/>
                <w:color w:val="000000"/>
                <w:sz w:val="24"/>
                <w:szCs w:val="24"/>
                <w:lang w:val="es-MX" w:eastAsia="es-ES"/>
              </w:rPr>
              <w:fldChar w:fldCharType="end"/>
            </w:r>
            <w:r w:rsidRPr="008A448F">
              <w:rPr>
                <w:rFonts w:ascii="Times New Roman" w:eastAsia="Times New Roman" w:hAnsi="Times New Roman" w:cs="Times New Roman"/>
                <w:color w:val="000000"/>
                <w:sz w:val="24"/>
                <w:szCs w:val="24"/>
                <w:lang w:val="es-MX" w:eastAsia="es-ES"/>
              </w:rPr>
              <w:t xml:space="preserve"> </w:t>
            </w:r>
          </w:p>
        </w:tc>
        <w:tc>
          <w:tcPr>
            <w:tcW w:w="392" w:type="dxa"/>
            <w:shd w:val="clear" w:color="auto" w:fill="008000"/>
            <w:tcMar>
              <w:top w:w="0" w:type="dxa"/>
              <w:left w:w="45" w:type="dxa"/>
              <w:bottom w:w="0" w:type="dxa"/>
              <w:right w:w="45" w:type="dxa"/>
            </w:tcMar>
            <w:vAlign w:val="bottom"/>
            <w:hideMark/>
          </w:tcPr>
          <w:p w14:paraId="56E0FCA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48E4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76D93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1CF25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2E2A9B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C95955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190005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C6A68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932B8A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9E3156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7B9848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31E4D5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1C8AE1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6FC706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275B4BB" w14:textId="77777777" w:rsidTr="00F53D71">
        <w:trPr>
          <w:trHeight w:val="54"/>
        </w:trPr>
        <w:tc>
          <w:tcPr>
            <w:tcW w:w="4451" w:type="dxa"/>
            <w:tcMar>
              <w:top w:w="0" w:type="dxa"/>
              <w:left w:w="45" w:type="dxa"/>
              <w:bottom w:w="0" w:type="dxa"/>
              <w:right w:w="45" w:type="dxa"/>
            </w:tcMar>
            <w:vAlign w:val="bottom"/>
            <w:hideMark/>
          </w:tcPr>
          <w:p w14:paraId="08ED6C79"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Dumartheray et al. (2006)</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{"citationItems":[{"id":"ITEM-1","itemData":{"DOI":"10.1111/j.1365-277X.2006.00721.x","ISBN":"1365-277X","ISSN":"09523871","PMID":"16961678","abstract":"Objective The principal aim of this study was to develop a Swiss Food Frequency Questionnaire (FFQ) for the elderly population for use in a study to investigate the influence of nutritional factors on bone health. The secondary aim was to assess its validity and both short-term and long-term reproducibility. Design A 4-day weighed record (4 d WR) was applied to 51 randomly selected women of a mean age of 80.3 years. Subsequently, a detailed FFQ was developed, cross-validated against a further 44 4-d WR, and the short- (1 month, n = 15) and long-term (12 months, n = 14) reproducibility examined. Setting French speaking part of Switzerland. Subjects The subjects were randomly selected women recruited from the Swiss Evaluation of the Methods of Measurement of Osteoporotic Fracture cohort study. Results Mean energy intakes by 4-d WR and FFQ showed no significant difference [1564.9 kcal (SD 351.1); 1641.3 kcal (SD 523.2) respectively]. Mean crude nutrient intakes were also similar (with nonsignifcant P-values examining the differences in intake) and ranged from 0.13 (potassium) to 0.48 (magnesium). Similar results were found in the reproducibility studies. Conclusion These findings provide evidence that this FFQ adequately estimates nutrient intakes and can be used to rank individuals within distributions of intake in specific populations.","author":[{"dropping-particle":"","family":"Dumartheray","given":"E. Wynn","non-dropping-particle":"","parse-names":false,"suffix":""},{"dropping-particle":"","family":"Krieg","given":"M. A.","non-dropping-particle":"","parse-names":false,"suffix":""},{"dropping-particle":"","family":"Cornuz","given":"J.","non-dropping-particle":"","parse-names":false,"suffix":""},{"dropping-particle":"","family":"Whittamore","given":"D. R.","non-dropping-particle":"","parse-names":false,"suffix":""},{"dropping-particle":"","family":"Lovell","given":"D. P.","non-dropping-particle":"","parse-names":false,"suffix":""},{"dropping-particle":"","family":"Burckhardt","given":"P.","non-dropping-particle":"","parse-names":false,"suffix":""},{"dropping-particle":"","family":"Lanham-New","given":"S. A.","non-dropping-particle":"","parse-names":false,"suffix":""}],"container-title":"Journal of Human Nutrition and Dietetics","id":"ITEM-1","issue":"5","issued":{"date-parts":[["2006"]]},"page":"321-330","title":"Validation and reproducibility of a semi-quantitative food frequency questionnaire for use in elderly Swiss women","type":"article-journal","volume":"19"},"uris":["http://www.mendeley.com/documents/?uuid=68ca2432-288f-41de-8c26-589383b5e55c"]}],"mendeley":{"formattedCitation":"&lt;sup&gt;(31)&lt;/sup&gt;","plainTextFormattedCitation":"(31)","previouslyFormattedCitation":"&lt;sup&gt;(31)&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(31)</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76706C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67C735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F6273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EF7CDF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3A5BC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84D800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036562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F93F16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9A1EC1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EB142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72232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1BB14C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11954C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3D58C5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8B414A8" w14:textId="77777777" w:rsidTr="00F53D71">
        <w:trPr>
          <w:trHeight w:val="54"/>
        </w:trPr>
        <w:tc>
          <w:tcPr>
            <w:tcW w:w="4451" w:type="dxa"/>
            <w:tcMar>
              <w:top w:w="0" w:type="dxa"/>
              <w:left w:w="45" w:type="dxa"/>
              <w:bottom w:w="0" w:type="dxa"/>
              <w:right w:w="45" w:type="dxa"/>
            </w:tcMar>
            <w:vAlign w:val="bottom"/>
            <w:hideMark/>
          </w:tcPr>
          <w:p w14:paraId="08A33C95"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Denova et al. (2016)</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Denova-Gutiérrez","given":"Edgar","non-dropping-particle":"","parse-names":false,"suffix":""},{"dropping-particle":"","family":"Ramírez-Silva","given":"Ivonne","non-dropping-particle":"","parse-names":false,"suffix":""},{"dropping-particle":"","family":"Rodríguez-Ramírez","given":"Sonia","non-dropping-particle":"","parse-names":false,"suffix":""},{"dropping-particle":"","family":"Jiménez-Aguilar","given":"Alejandra","non-dropping-particle":"","parse-names":false,"suffix":""},{"dropping-particle":"","family":"Shamah-Levy","given":"Teresa","non-dropping-particle":"","parse-names":false,"suffix":""},{"dropping-particle":"","family":"Rivera-Dommarco","given":"Juan A","non-dropping-particle":"","parse-names":false,"suffix":""}],"container-title":"Salud pública de México","id":"ITEM-1","issue":"6","issued":{"date-parts":[["2016"]]},"page":"617-628","title":"Validity of a food frequency questionnaire to assess food intake in Mexican adolescent and adult population","type":"article-journal","volume":"58"},"uris":["http://www.mendeley.com/documents/?uuid=2044430d-339d-4f1c-8e60-dd0fabc642e9"]}],"mendeley":{"formattedCitation":"&lt;sup&gt;(45)&lt;/sup&gt;","plainTextFormattedCitation":"(45)","previouslyFormattedCitation":"&lt;sup&gt;(45)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7957E10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B603BD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5E42B1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D5569C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0C86E2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437C7F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AFED56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D4D8A4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2BE0ED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04D55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D1584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735A20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F95730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36BC6B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14:paraId="1796729E" w14:textId="77777777" w:rsidTr="00F53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54"/>
        </w:trPr>
        <w:tc>
          <w:tcPr>
            <w:tcW w:w="4451" w:type="dxa"/>
            <w:tcMar>
              <w:top w:w="0" w:type="dxa"/>
              <w:left w:w="45" w:type="dxa"/>
              <w:bottom w:w="0" w:type="dxa"/>
              <w:right w:w="45" w:type="dxa"/>
            </w:tcMar>
            <w:vAlign w:val="bottom"/>
          </w:tcPr>
          <w:p w14:paraId="1F893C43" w14:textId="77777777" w:rsidR="003E400D" w:rsidRPr="003E400D" w:rsidRDefault="003E400D" w:rsidP="00F53D71">
            <w:pPr>
              <w:spacing w:after="0" w:line="240" w:lineRule="auto"/>
              <w:rPr>
                <w:rFonts w:ascii="Times New Roman" w:eastAsia="Times New Roman" w:hAnsi="Times New Roman" w:cs="Times New Roman"/>
                <w:sz w:val="24"/>
                <w:szCs w:val="24"/>
                <w:highlight w:val="yellow"/>
              </w:rPr>
            </w:pPr>
            <w:r w:rsidRPr="003E400D">
              <w:rPr>
                <w:rFonts w:ascii="Times New Roman" w:eastAsia="Times New Roman" w:hAnsi="Times New Roman" w:cs="Times New Roman"/>
                <w:sz w:val="24"/>
                <w:szCs w:val="24"/>
              </w:rPr>
              <w:t>Aoun et al. (2019)</w:t>
            </w:r>
            <w:r w:rsidRPr="003E400D">
              <w:rPr>
                <w:rFonts w:ascii="Times New Roman" w:eastAsia="Times New Roman" w:hAnsi="Times New Roman" w:cs="Times New Roman"/>
                <w:sz w:val="24"/>
                <w:szCs w:val="24"/>
              </w:rPr>
              <w:fldChar w:fldCharType="begin" w:fldLock="1"/>
            </w:r>
            <w:r w:rsidRPr="003E400D">
              <w:rPr>
                <w:rFonts w:ascii="Times New Roman" w:eastAsia="Times New Roman" w:hAnsi="Times New Roman" w:cs="Times New Roman"/>
                <w:sz w:val="24"/>
                <w:szCs w:val="24"/>
              </w:rPr>
              <w:instrText>ADDIN CSL_CITATION {"citationItems":[{"id":"ITEM-1","itemData":{"DOI":"10.1371/journal.pone.0218541","ISSN":"19326203","abstract":"Objective Food frequency questionnaires (FFQs) must be validated among the population of interest due to the specificities in dietary habits, culture and food in each country of the Mediterranean region. The objective of this study was to determine the relative validity and reproducibility of a 157 item semi-quantitative FFQ among Lebanese adult population. Material and methods Dietary intake was assessed through dietary recalls, a FFQ with food items, and traditional recipes from the Mediterranean cuisine. Validity of the FFQ was measured by comparing the intake of calories, macro and micronutrients to the mean values derived from three dietary recalls (DR). Reproducibility of the FFQ was evaluated after repeating the same FFQ among the participant after a four-month period. Results 114 healthy adults aged between 18 and 60 years of which 52.6% are men participated in this study. 53 of these adults participated in the reproducibility study. Intra class correlation coefficient (ICC) between the two FFQ measurements ranged from 0.822 for sodium to 0.998 for energy indicating excellent reproducibility. The FFQ showed slightly higher intakes than the dietary recalls for most of the nutrients and foods reaching 2.1% for nutrients (polyunsaturated fatty acids) and 18% for food groups (olive oil). Correlation coefficients ranged between 0.783 (sodium) and 0.996 (carbs) for nutrients and between 0.906 (fish) and 1 (fruits and nuts) for food groups, with a significant p value (p = 0.038 for folate). Cross-classification of nutrients into quartiles showed that more than 81% of the participants were classified in the same quartile. Misclassifications were low for most nutrients with one to three persons misclassified at the extreme quartiles. Conclusion The FFQ used in this research contained western and Mediterranean type of dishes and foods. Statistical analysis showed good reproducibility and validity of the tested tool in a heterogeneous sample of adults living in a Mediterranean country. It is a useful tool for future investigations and strategies promoting the comeback of this traditional diet.","author":[{"dropping-particle":"","family":"Aoun","given":"Carla","non-dropping-particle":"","parse-names":false,"suffix":""},{"dropping-particle":"","family":"Daher","given":"Reine Bou","non-dropping-particle":"","parse-names":false,"suffix":""},{"dropping-particle":"El","family":"Osta","given":"Nada","non-dropping-particle":"","parse-names":false,"suffix":""},{"dropping-particle":"","family":"Papazian","given":"Tatiana","non-dropping-particle":"","parse-names":false,"suffix":""},{"dropping-particle":"","family":"Khabbaz","given":"Lydia Rabbaa","non-dropping-particle":"","parse-names":false,"suffix":""}],"container-title":"PLoS ONE","id":"ITEM-1","issue":"6","issued":{"date-parts":[["2019","6","1"]]},"page":"e0218541","publisher":"Public Library of Science","title":"Reproducibility and relative validity of a food frequency questionnaire to assess dietary intake of adults living in a Mediterranean country","type":"article-journal","volume":"14"},"uris":["http://www.mendeley.com/documents/?uuid=8fa8edc7-b932-3b90-a6fa-e3a36d7dd876"]}],"mendeley":{"formattedCitation":"&lt;sup&gt;(63)&lt;/sup&gt;","plainTextFormattedCitation":"(63)","previouslyFormattedCitation":"&lt;sup&gt;(63)&lt;/sup&gt;"},"properties":{"noteIndex":0},"schema":"https://github.com/citation-style-language/schema/raw/master/csl-citation.json"}</w:instrText>
            </w:r>
            <w:r w:rsidRPr="003E400D">
              <w:rPr>
                <w:rFonts w:ascii="Times New Roman" w:eastAsia="Times New Roman" w:hAnsi="Times New Roman" w:cs="Times New Roman"/>
                <w:sz w:val="24"/>
                <w:szCs w:val="24"/>
              </w:rPr>
              <w:fldChar w:fldCharType="separate"/>
            </w:r>
            <w:r w:rsidRPr="003E400D">
              <w:rPr>
                <w:rFonts w:ascii="Times New Roman" w:eastAsia="Times New Roman" w:hAnsi="Times New Roman" w:cs="Times New Roman"/>
                <w:noProof/>
                <w:sz w:val="24"/>
                <w:szCs w:val="24"/>
                <w:vertAlign w:val="superscript"/>
              </w:rPr>
              <w:t>(63)</w:t>
            </w:r>
            <w:r w:rsidRPr="003E400D">
              <w:rPr>
                <w:rFonts w:ascii="Times New Roman" w:eastAsia="Times New Roman" w:hAnsi="Times New Roman" w:cs="Times New Roman"/>
                <w:sz w:val="24"/>
                <w:szCs w:val="24"/>
              </w:rPr>
              <w:fldChar w:fldCharType="end"/>
            </w:r>
          </w:p>
        </w:tc>
        <w:tc>
          <w:tcPr>
            <w:tcW w:w="392" w:type="dxa"/>
            <w:shd w:val="clear" w:color="auto" w:fill="008000"/>
            <w:tcMar>
              <w:top w:w="0" w:type="dxa"/>
              <w:left w:w="45" w:type="dxa"/>
              <w:bottom w:w="0" w:type="dxa"/>
              <w:right w:w="45" w:type="dxa"/>
            </w:tcMar>
            <w:vAlign w:val="bottom"/>
          </w:tcPr>
          <w:p w14:paraId="6ED997E6"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2CA55049"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5D05D291"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436BDA8B"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1BABE67B"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2CB5CA5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551F196E"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251F7DE9"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442E0B2B"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356F3AF3"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07355D50"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79646"/>
            <w:tcMar>
              <w:top w:w="0" w:type="dxa"/>
              <w:left w:w="45" w:type="dxa"/>
              <w:bottom w:w="0" w:type="dxa"/>
              <w:right w:w="45" w:type="dxa"/>
            </w:tcMar>
            <w:vAlign w:val="bottom"/>
          </w:tcPr>
          <w:p w14:paraId="25498228"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79646"/>
            <w:tcMar>
              <w:top w:w="0" w:type="dxa"/>
              <w:left w:w="45" w:type="dxa"/>
              <w:bottom w:w="0" w:type="dxa"/>
              <w:right w:w="45" w:type="dxa"/>
            </w:tcMar>
            <w:vAlign w:val="bottom"/>
          </w:tcPr>
          <w:p w14:paraId="101305EF"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44D76DA7" w14:textId="77777777" w:rsidR="003E400D" w:rsidRDefault="003E400D" w:rsidP="00F53D71">
            <w:pPr>
              <w:spacing w:after="0" w:line="240" w:lineRule="auto"/>
              <w:rPr>
                <w:rFonts w:ascii="Times New Roman" w:eastAsia="Times New Roman" w:hAnsi="Times New Roman" w:cs="Times New Roman"/>
                <w:sz w:val="24"/>
                <w:szCs w:val="24"/>
              </w:rPr>
            </w:pPr>
          </w:p>
        </w:tc>
      </w:tr>
      <w:tr w:rsidR="003E400D" w:rsidRPr="008A448F" w14:paraId="6CF2F131" w14:textId="77777777" w:rsidTr="00F53D71">
        <w:trPr>
          <w:trHeight w:val="54"/>
        </w:trPr>
        <w:tc>
          <w:tcPr>
            <w:tcW w:w="4451" w:type="dxa"/>
            <w:tcMar>
              <w:top w:w="0" w:type="dxa"/>
              <w:left w:w="45" w:type="dxa"/>
              <w:bottom w:w="0" w:type="dxa"/>
              <w:right w:w="45" w:type="dxa"/>
            </w:tcMar>
            <w:vAlign w:val="bottom"/>
            <w:hideMark/>
          </w:tcPr>
          <w:p w14:paraId="01B7CDCD"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Yang et al. (2010)</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{"citationItems":[{"id":"ITEM-1","itemData":{"DOI":"10.4162/nrp.2010.4.2.142","author":[{"dropping-particle":"","family":"Yang","given":"Yoon Jung","non-dropping-particle":"","parse-names":false,"suffix":""},{"dropping-particle":"","family":"Kim","given":"Mi Kyung","non-dropping-particle":"","parse-names":false,"suffix":""},{"dropping-particle":"","family":"Hwang","given":"Se Hee","non-dropping-particle":"","parse-names":false,"suffix":""},{"dropping-particle":"","family":"Ahn","given":"Younjhin","non-dropping-particle":"","parse-names":false,"suffix":""},{"dropping-particle":"","family":"Shim","given":"Jae Eun","non-dropping-particle":"","parse-names":false,"suffix":""},{"dropping-particle":"","family":"Kim","given":"Dong Hyun","non-dropping-particle":"","parse-names":false,"suffix":""}],"container-title":"Nutr Resp Pract","id":"ITEM-1","issue":"2","issued":{"date-parts":[["2010"]]},"page":"142-148","title":"Relative validities of 3-day food records and the food frequency questionnaire","type":"article-journal","volume":"4"},"uris":["http://www.mendeley.com/documents/?uuid=7684bd81-38e0-42cd-975c-3b8c0d8a883a"]}],"mendeley":{"formattedCitation":"&lt;sup&gt;(61)&lt;/sup&gt;","plainTextFormattedCitation":"(61)","previouslyFormattedCitation":"&lt;sup&gt;(61)&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(61)</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35EE00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9C4587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C8380E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BF3FB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9FA92F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CE55AA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5D3D71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AEE809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AC708E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0AD51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422FF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DAF32C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53AC44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A8860B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2A5AF0D" w14:textId="77777777" w:rsidTr="00F53D71">
        <w:trPr>
          <w:trHeight w:val="54"/>
        </w:trPr>
        <w:tc>
          <w:tcPr>
            <w:tcW w:w="4451" w:type="dxa"/>
            <w:tcMar>
              <w:top w:w="0" w:type="dxa"/>
              <w:left w:w="45" w:type="dxa"/>
              <w:bottom w:w="0" w:type="dxa"/>
              <w:right w:w="45" w:type="dxa"/>
            </w:tcMar>
            <w:vAlign w:val="bottom"/>
            <w:hideMark/>
          </w:tcPr>
          <w:p w14:paraId="3F1BE527"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van Dongen et al. (2011)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{"citationItems":[{"id":"ITEM-1","itemData":{"abstract":"Objective: To validate an integrated food-frequency questionnaire (FFQ) developed to assess habitual food intake of Flemish and Italian-native subjects in Belgium as part of the European Collaborative Dietary Habit Profile in European Communities With Different Risk of Myocardial Infarction: the Impact of Migration as a Model of Gene/Environment Interaction (IMMIDIET Project). Methods: The semiquantitative FFQ contained 322 items on food and food preparation. FFQs filled by a sample (n = 70) of the Flemish-Flemish and Flemish-Italian IMMIDIET subpopulations were randomly selected. Five 24-h recalls, administered over a period of 1 y by the same sample, served for validation. Energy and macronutrients were calculated using the Dutch NEVO and the Belgian NUBEL food composition tables. Intakes of energy and macronutrients estimated by the FFQ and repeated 24-h recall, respectively, were compared by means of correlation coefficients, classification into quartiles, and Bland-Altman plotting. Results: The FFQ overestimated intake of energy and most macronutrients by 40-70%. This overestimation largely disappeared when values were expressed as energy percentage. Correlations ranked from 0.40 to 0.60 for energy and most macronutrients (median 0.53); correlations were lower (null to 0.41) for fat and higher (up to 0.90) for alcohol. Classification in quartiles of intake showed good agreement: 83% were classified in the same or adjacent quartile of energy, and 66-90% for macronutrients. Correlations and classification of macronutrient intake into quartiles remained similar when macronutrients were expressed as energy percentage. Stratification according to ethnic subgroup, age, body mass index, or social status showed no differences. Conclusion: The IMMIDIET FFQ is a valuable tool for studies of the role of energy and macronutrients in disease etiology or outcome, but less suitable for estimating absolute intake levels. © 2011 Elsevier Inc.","author":[{"dropping-particle":"","family":"Dongen","given":"M","non-dropping-particle":"Van","parse-names":false,"suffix":""},{"dropping-particle":"","family":"Lentjes","given":"M","non-dropping-particle":"","parse-names":false,"suffix":""},{"dropping-particle":"","family":"Wijckmans","given":"N","non-dropping-particle":"","parse-names":false,"suffix":""},{"dropping-particle":"","family":"Dirckx","given":"C","non-dropping-particle":"","parse-names":false,"suffix":""},{"dropping-particle":"","family":"Lemaître","given":"Dirk","non-dropping-particle":"","parse-names":false,"suffix":""},{"dropping-particle":"","family":"Achten","given":"Ward","non-dropping-particle":"","parse-names":false,"suffix":""},{"dropping-particle":"","family":"Celis","given":"Marleen","non-dropping-particle":"","parse-names":false,"suffix":""},{"dropping-particle":"","family":"Sieri","given":"Sabina","non-dropping-particle":"","parse-names":false,"suffix":""},{"dropping-particle":"","family":"Arnout","given":"Jef","non-dropping-particle":"","parse-names":false,"suffix":""},{"dropping-particle":"","family":"Buntinx","given":"Frank","non-dropping-particle":"","parse-names":false,"suffix":""},{"dropping-particle":"","family":"Siani","given":"Alfonso","non-dropping-particle":"","parse-names":false,"suffix":""},{"dropping-particle":"","family":"Cappuccio","given":"Francesco P.","non-dropping-particle":"","parse-names":false,"suffix":""},{"dropping-particle":"","family":"Lorgeril","given":"Michel","non-dropping-particle":"de","parse-names":false,"suffix":""},{"dropping-particle":"","family":"Iacoviello","given":"Licia","non-dropping-particle":"","parse-names":false,"suffix":""},{"dropping-particle":"","family":"Dagnelie","given":"Pieter C.","non-dropping-particle":"","parse-names":false,"suffix":""}],"container-title":"Nutrition","id":"ITEM-1","issue":"3","issued":{"date-parts":[["2011"]]},"page":"302-309","title":"Validation of a food-frequency questionnaire for Flemish and Italian-native subjects in Belgium: The IMMIDIET study","type":"article-journal","volume":"27"},"uris":["http://www.mendeley.com/documents/?uuid=d7d4af75-6082-4c16-b7ef-07337125fbaa"]}],"mendeley":{"formattedCitation":"&lt;sup&gt;(28)&lt;/sup&gt;","plainTextFormattedCitation":"(28)","previouslyFormattedCitation":"&lt;sup&gt;(28)&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(28)</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C32E8D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81BCB5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D5386E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86BAA7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577101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3B1F89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D995F7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FF11A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F953CE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B4EA9B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D26B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A64EF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D4082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EDB6B0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69B770A" w14:textId="77777777" w:rsidTr="00F53D71">
        <w:trPr>
          <w:trHeight w:val="54"/>
        </w:trPr>
        <w:tc>
          <w:tcPr>
            <w:tcW w:w="4451" w:type="dxa"/>
            <w:tcMar>
              <w:top w:w="0" w:type="dxa"/>
              <w:left w:w="45" w:type="dxa"/>
              <w:bottom w:w="0" w:type="dxa"/>
              <w:right w:w="45" w:type="dxa"/>
            </w:tcMar>
            <w:vAlign w:val="bottom"/>
            <w:hideMark/>
          </w:tcPr>
          <w:p w14:paraId="593978E3"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Yuan et al. (2017)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{"citationItems":[{"id":"ITEM-1","itemData":{"DOI":"10.1093/aje/kww104","ISSN":"14766256","PMID":"28338828","abstract":"The authors evaluated the validity of a 152-item semiquantitative food frequency questionnaire (SFFQ) by comparing it with two 7-day dietary records (7DDRs) or up to 4 automated self-administered 24-hour recalls (ASA24s) over a 1-year period in the women's Lifestyle Validation Study (2010-2012), conducted among subgroups of the Nurses' Health Studies. Intakes of energy and 44 nutrients were assessed using the 3 methods among 632 US women. Compared with the 7DDRs, SFFQ responses tended to underestimate sodium intake but overestimate intakes of energy, macronutrients, and several nutrients in fruits and vegetables, such as carotenoids. Spearman correlation coefficients between energy-adjusted intakes from 7DDRs and the SFFQ completed at the end of the data-collection period ranged from 0.36 for lauric acid to 0.77 for alcohol (mean r = 0.53). Correlations of the end-period SFFQ were weaker when ASA24s were used as the comparison method (mean r = 0.43). After adjustment for within-person variation in the comparison method, the correlations of the final SFFQ were similar with 7DDRs (mean r = 0.63) and ASA24s (mean r = 0.62). These data indicate that this SFFQ provided reasonably valid estimates for intakes of a wide variety of dietary variables and that use of multiple 24-hour recalls or 7DDRs as a comparison method provided similar conclusions if day-to-day variation was taken into account.","author":[{"dropping-particle":"","family":"Yuan","given":"Changzheng","non-dropping-particle":"","parse-names":false,"suffix":""},{"dropping-particle":"","family":"Spiegelman","given":"Donna","non-dropping-particle":"","parse-names":false,"suffix":""},{"dropping-particle":"","family":"Rimm","given":"Eric B.","non-dropping-particle":"","parse-names":false,"suffix":""},{"dropping-particle":"","family":"Rosner","given":"Bernard A.","non-dropping-particle":"","parse-names":false,"suffix":""},{"dropping-particle":"","family":"Stampfer","given":"Meir J.","non-dropping-particle":"","parse-names":false,"suffix":""},{"dropping-particle":"","family":"Barnett","given":"Junaidah B.","non-dropping-particle":"","parse-names":false,"suffix":""},{"dropping-particle":"","family":"Chavarro","given":"Jorge E.","non-dropping-particle":"","parse-names":false,"suffix":""},{"dropping-particle":"","family":"Subar","given":"Amy F.","non-dropping-particle":"","parse-names":false,"suffix":""},{"dropping-particle":"","family":"Sampson","given":"Laura K.","non-dropping-particle":"","parse-names":false,"suffix":""},{"dropping-particle":"","family":"Willett","given":"Walter C.","non-dropping-particle":"","parse-names":false,"suffix":""}],"container-title":"American Journal of Epidemiology","id":"ITEM-1","issue":"7","issued":{"date-parts":[["2017"]]},"page":"570-584","title":"Validity of a Dietary Questionnaire Assessed by Comparison With Multiple Weighed Dietary Records or 24-Hour Recalls","type":"article-journal","volume":"185"},"uris":["http://www.mendeley.com/documents/?uuid=4dfad0b9-9786-4156-bcff-b86934f58f5e"]}],"mendeley":{"formattedCitation":"&lt;sup&gt;(43)&lt;/sup&gt;","plainTextFormattedCitation":"(43)","previouslyFormattedCitation":"&lt;sup&gt;(43)&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(43)</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CDF7D5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4D893D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3ACE7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46EE4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B2F3AE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DF4BE5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135D49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92949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0069F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91D3D9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D1365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21E18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794F9B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93D7AC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3E875B3" w14:textId="77777777" w:rsidTr="00F53D71">
        <w:trPr>
          <w:trHeight w:val="54"/>
        </w:trPr>
        <w:tc>
          <w:tcPr>
            <w:tcW w:w="4451" w:type="dxa"/>
            <w:tcMar>
              <w:top w:w="0" w:type="dxa"/>
              <w:left w:w="45" w:type="dxa"/>
              <w:bottom w:w="0" w:type="dxa"/>
              <w:right w:w="45" w:type="dxa"/>
            </w:tcMar>
            <w:vAlign w:val="bottom"/>
            <w:hideMark/>
          </w:tcPr>
          <w:p w14:paraId="65327932" w14:textId="77777777" w:rsidR="003E400D" w:rsidRPr="003E400D" w:rsidRDefault="003E400D" w:rsidP="00F53D71">
            <w:pPr>
              <w:spacing w:after="0" w:line="240" w:lineRule="auto"/>
              <w:rPr>
                <w:rFonts w:ascii="Times New Roman" w:eastAsia="Times New Roman" w:hAnsi="Times New Roman" w:cs="Times New Roman"/>
                <w:sz w:val="24"/>
                <w:szCs w:val="24"/>
                <w:lang w:val="es-MX" w:eastAsia="es-ES"/>
              </w:rPr>
            </w:pPr>
            <w:r w:rsidRPr="003E400D">
              <w:rPr>
                <w:rFonts w:ascii="Times New Roman" w:eastAsia="Times New Roman" w:hAnsi="Times New Roman" w:cs="Times New Roman"/>
                <w:sz w:val="24"/>
                <w:szCs w:val="24"/>
                <w:lang w:val="es-MX" w:eastAsia="es-ES"/>
              </w:rPr>
              <w:t>Zack et al. (2018)</w:t>
            </w:r>
            <w:r w:rsidRPr="003E400D">
              <w:rPr>
                <w:rFonts w:ascii="Times New Roman" w:eastAsia="Times New Roman" w:hAnsi="Times New Roman" w:cs="Times New Roman"/>
                <w:sz w:val="24"/>
                <w:szCs w:val="24"/>
                <w:lang w:val="es-MX" w:eastAsia="es-ES"/>
              </w:rPr>
              <w:fldChar w:fldCharType="begin" w:fldLock="1"/>
            </w:r>
            <w:r w:rsidRPr="003E400D">
              <w:rPr>
                <w:rFonts w:ascii="Times New Roman" w:eastAsia="Times New Roman" w:hAnsi="Times New Roman" w:cs="Times New Roman"/>
                <w:sz w:val="24"/>
                <w:szCs w:val="24"/>
                <w:lang w:val="es-MX" w:eastAsia="es-ES"/>
              </w:rPr>
              <w:instrText>ADDIN CSL_CITATION {"citationItems":[{"id":"ITEM-1","itemData":{"DOI":"10.1017/S1368980018000848","ISSN":"00286885","abstract":"Objective FFQ are often used to estimate food and nutrient intakes to rank individuals by their level of intake. We evaluated the relative validity of a semi-quantitative FFQ created for use in Tanzania by comparing it with two 24 h diet recalls.Design We measured relative validity of the FFQ with deattenuated energy-adjusted rank correlations for nutrients, deattenuated rank correlations for food groups, and performed a cross-classification analysis of energy-adjusted nutrient quartiles using percentage of agreement and Bland-Altman analysis.Setting Interviews were conducted in 2014 in participants' homes in Ukonga, Dar es Salaam, Tanzania.Subjects We surveyed 317 adults aged 40 years or older from the general public.Results Deattenuated energy-adjusted rank correlation coefficients of nutrients ranged from -0·03 for riboflavin to 0·41 for percentage of energy from carbohydrates, with a median correlation of 0·21. Coefficients for food groups ranged from 0·00 for root vegetables to 0·51 for alcohol, with a median of 0·35. Relative to the average of the two 24 h diet recalls, the FFQ overestimated energy intake and intakes of all nutrients and food groups, other than tea, with ratios among nutrients ranging from 1·34 for SFA to 7·08 for Vitamin A; and among food groups from 0·92 for tea to 9·00 for fruit. The percentage of participants classified into the same nutrient intake quartile ranged from 23 % for SFA to 32 % for both niacin and pantothenic acid, with a median of 28 %.Conclusions The FFQ performed moderately well in urban Tanzanian adults.","author":[{"dropping-particle":"","family":"Zack","given":"Rachel M.","non-dropping-particle":"","parse-names":false,"suffix":""},{"dropping-particle":"","family":"Irema","given":"Kahema","non-dropping-particle":"","parse-names":false,"suffix":""},{"dropping-particle":"","family":"Kazonda","given":"Patrick","non-dropping-particle":"","parse-names":false,"suffix":""},{"dropping-particle":"","family":"Leyna","given":"Germana H.","non-dropping-particle":"","parse-names":false,"suffix":""},{"dropping-particle":"","family":"Liu","given":"Enju","non-dropping-particle":"","parse-names":false,"suffix":""},{"dropping-particle":"","family":"Gilbert","given":"Susan","non-dropping-particle":"","parse-names":false,"suffix":""},{"dropping-particle":"","family":"Lukmanji","given":"Zohra","non-dropping-particle":"","parse-names":false,"suffix":""},{"dropping-particle":"","family":"Spiegelman","given":"Donna","non-dropping-particle":"","parse-names":false,"suffix":""},{"dropping-particle":"","family":"Fawzi","given":"Wafaie","non-dropping-particle":"","parse-names":false,"suffix":""},{"dropping-particle":"","family":"Njelekela","given":"Marina","non-dropping-particle":"","parse-names":false,"suffix":""},{"dropping-particle":"","family":"Killewo","given":"Japhet","non-dropping-particle":"","parse-names":false,"suffix":""},{"dropping-particle":"","family":"Danaei","given":"Goodarz","non-dropping-particle":"","parse-names":false,"suffix":""}],"container-title":"New Testament Studies","id":"ITEM-1","issue":"12","issued":{"date-parts":[["2018","8","1"]]},"page":"2211-2220","publisher":"Cambridge University Press","title":"Validity of an FFQ to measure nutrient and food intakes in Tanzania","type":"article-journal","volume":"21"},"uris":["http://www.mendeley.com/documents/?uuid=3424e38b-1bb1-318a-90d4-759de922abe8"]}],"mendeley":{"formattedCitation":"&lt;sup&gt;(69)&lt;/sup&gt;","plainTextFormattedCitation":"(69)","previouslyFormattedCitation":"&lt;sup&gt;(69)&lt;/sup&gt;"},"properties":{"noteIndex":0},"schema":"https://github.com/citation-style-language/schema/raw/master/csl-citation.json"}</w:instrText>
            </w:r>
            <w:r w:rsidRPr="003E400D">
              <w:rPr>
                <w:rFonts w:ascii="Times New Roman" w:eastAsia="Times New Roman" w:hAnsi="Times New Roman" w:cs="Times New Roman"/>
                <w:sz w:val="24"/>
                <w:szCs w:val="24"/>
                <w:lang w:val="es-MX" w:eastAsia="es-ES"/>
              </w:rPr>
              <w:fldChar w:fldCharType="separate"/>
            </w:r>
            <w:r w:rsidRPr="003E400D">
              <w:rPr>
                <w:rFonts w:ascii="Times New Roman" w:eastAsia="Times New Roman" w:hAnsi="Times New Roman" w:cs="Times New Roman"/>
                <w:noProof/>
                <w:sz w:val="24"/>
                <w:szCs w:val="24"/>
                <w:vertAlign w:val="superscript"/>
                <w:lang w:val="es-MX" w:eastAsia="es-ES"/>
              </w:rPr>
              <w:t>(69)</w:t>
            </w:r>
            <w:r w:rsidRPr="003E400D">
              <w:rPr>
                <w:rFonts w:ascii="Times New Roman" w:eastAsia="Times New Roman" w:hAnsi="Times New Roman" w:cs="Times New Roman"/>
                <w:sz w:val="24"/>
                <w:szCs w:val="24"/>
                <w:lang w:val="es-MX" w:eastAsia="es-ES"/>
              </w:rPr>
              <w:fldChar w:fldCharType="end"/>
            </w:r>
            <w:r w:rsidRPr="003E400D">
              <w:rPr>
                <w:rFonts w:ascii="Times New Roman" w:eastAsia="Times New Roman" w:hAnsi="Times New Roman" w:cs="Times New Roman"/>
                <w:sz w:val="24"/>
                <w:szCs w:val="24"/>
                <w:lang w:val="es-MX" w:eastAsia="es-ES"/>
              </w:rPr>
              <w:t xml:space="preserve"> </w:t>
            </w:r>
          </w:p>
        </w:tc>
        <w:tc>
          <w:tcPr>
            <w:tcW w:w="392" w:type="dxa"/>
            <w:shd w:val="clear" w:color="auto" w:fill="008000"/>
            <w:tcMar>
              <w:top w:w="0" w:type="dxa"/>
              <w:left w:w="45" w:type="dxa"/>
              <w:bottom w:w="0" w:type="dxa"/>
              <w:right w:w="45" w:type="dxa"/>
            </w:tcMar>
            <w:vAlign w:val="bottom"/>
            <w:hideMark/>
          </w:tcPr>
          <w:p w14:paraId="5C6066B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950E4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F61A02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F49FA2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40F231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3C19F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61DD2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11A7E1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064EEB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B267D3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E9F145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7DCAB5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7A52E7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6F4AE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F5905B4" w14:textId="77777777" w:rsidTr="00F53D71">
        <w:trPr>
          <w:trHeight w:val="54"/>
        </w:trPr>
        <w:tc>
          <w:tcPr>
            <w:tcW w:w="4451" w:type="dxa"/>
            <w:tcMar>
              <w:top w:w="0" w:type="dxa"/>
              <w:left w:w="45" w:type="dxa"/>
              <w:bottom w:w="0" w:type="dxa"/>
              <w:right w:w="45" w:type="dxa"/>
            </w:tcMar>
            <w:vAlign w:val="bottom"/>
            <w:hideMark/>
          </w:tcPr>
          <w:p w14:paraId="57F80A33"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Martin et al. (1993)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{"citationItems":[{"id":"ITEM-1","itemData":{"author":[{"dropping-particle":"","family":"Martin-Moreno JM, Boyle P, Gorgojo L, et al","given":".","non-dropping-particle":"","parse-names":false,"suffix":""}],"container-title":"Int J Epidemiol","id":"ITEM-1","issue":"3","issued":{"date-parts":[["1993"]]},"page":"512-519","title":"Development and validation of a food frequency questionnaire in Spain","type":"article-journal","volume":"22"},"uris":["http://www.mendeley.com/documents/?uuid=117d5cae-8cd8-4960-835e-935b048bc33d"]}],"mendeley":{"formattedCitation":"&lt;sup&gt;(5)&lt;/sup&gt;","plainTextFormattedCitation":"(5)","previouslyFormattedCitation":"&lt;sup&gt;(5)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C85233">
              <w:rPr>
                <w:rFonts w:ascii="Times New Roman" w:eastAsia="Times New Roman" w:hAnsi="Times New Roman" w:cs="Times New Roman"/>
                <w:noProof/>
                <w:color w:val="000000"/>
                <w:sz w:val="24"/>
                <w:szCs w:val="24"/>
                <w:vertAlign w:val="superscript"/>
                <w:lang w:val="es-MX" w:eastAsia="es-ES"/>
              </w:rPr>
              <w:t>(5)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61AC2CE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542923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5F0706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4159F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C8D0C0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A14998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353AB0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D558E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2C1621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FDC54E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2B238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A322A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187516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F4B1B0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3F699B5" w14:textId="77777777" w:rsidTr="00F53D71">
        <w:trPr>
          <w:trHeight w:val="54"/>
        </w:trPr>
        <w:tc>
          <w:tcPr>
            <w:tcW w:w="4451" w:type="dxa"/>
            <w:tcMar>
              <w:top w:w="0" w:type="dxa"/>
              <w:left w:w="45" w:type="dxa"/>
              <w:bottom w:w="0" w:type="dxa"/>
              <w:right w:w="45" w:type="dxa"/>
            </w:tcMar>
            <w:vAlign w:val="bottom"/>
            <w:hideMark/>
          </w:tcPr>
          <w:p w14:paraId="753CB7A2"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Nöthlings et al. (2007)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Nöthlings","given":"U","non-dropping-particle":"","parse-names":false,"suffix":""},{"dropping-particle":"","family":"Hoffmann","given":"K","non-dropping-particle":"","parse-names":false,"suffix":""},{"dropping-particle":"","family":"Bergmann","given":"MM","non-dropping-particle":"","parse-names":false,"suffix":""},{"dropping-particle":"","family":"Boeing","given":"H","non-dropping-particle":"","parse-names":false,"suffix":""}],"container-title":"J Nutr","id":"ITEM-1","issue":"12","issued":{"date-parts":[["2007"]]},"page":"2781-2786","title":"Fitting Portion Sizes in a Self-Administered Food Frequency Questionnaire","type":"article-journal","volume":"137"},"uris":["http://www.mendeley.com/documents/?uuid=47dd2688-5945-4f59-ac59-4fe901cf4ff1"]}],"mendeley":{"formattedCitation":"&lt;sup&gt;(19)&lt;/sup&gt;","plainTextFormattedCitation":"(19)","previouslyFormattedCitation":"&lt;sup&gt;(19)&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(19)</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55DBB9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7F32FF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7838D2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CCA6E5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CF754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77821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6A07B2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5A0638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516F0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C24DD5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D4BD2A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10DE3E0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8FE13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639D6E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E4BA607" w14:textId="77777777" w:rsidTr="00F53D71">
        <w:trPr>
          <w:trHeight w:val="54"/>
        </w:trPr>
        <w:tc>
          <w:tcPr>
            <w:tcW w:w="4451" w:type="dxa"/>
            <w:tcMar>
              <w:top w:w="0" w:type="dxa"/>
              <w:left w:w="45" w:type="dxa"/>
              <w:bottom w:w="0" w:type="dxa"/>
              <w:right w:w="45" w:type="dxa"/>
            </w:tcMar>
            <w:vAlign w:val="bottom"/>
            <w:hideMark/>
          </w:tcPr>
          <w:p w14:paraId="5673B8A0"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Smith et al. (1998)</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{"citationItems":[{"id":"ITEM-1","itemData":{"ISBN":"1326-0200 (Print)\\r1326-0200 (Linking)","ISSN":"1326-0200 (Print)","PMID":"9659773","abstract":"This study assesses the validity and reproducibility of a 145-item self-administered food frequency questionnaire (FFQ) in a representative older population aged 63 to 80. Semi-quantitative FFQs were completed by 89% of 3,654 residents attending a community-based eye study in Sydney, Australia. The FFQ's validity was assessed against three, four-day weighed food records (WFRs) completed four months apart by 79 people. A further 152 subjects completed a repeat FFQ about a year after the baseline FFQ, of whom 131 completed a second repeat FFQ about six weeks later. Both short and long-term reproducibility of the FFQ were assessed using data from these subjects. Comparison of the FFQ with the average of the three, four-day weighed food records resulted in energy-adjusted Spearman correlations above 0.5 for most of the nutrients. The proportion of subjects correctly classified to within one quintile category for each nutrient intake ranged from 57% for zinc to 82% for vitamin C. with most nutrients correctly classified within one quintile for about 70% of subjects. Quadratic weighted kappas were reasonable, between 0.3 and 0.5 for most nutrients. The FFQ was highly reproducible in the short term, with correlations for most nutrients about 0.70 to 0.80 and acceptably reproducible in the longer term, with correlations mostly 0.60 to 0.70. The results verify that it is possible to use relatively simple, but comprehensive, self-administered FFQs to study nutrient exposures in large-scale epidemiological studies of the elderly and to expect reasonably high FFQ response rates.","author":[{"dropping-particle":"","family":"Smith","given":"W","non-dropping-particle":"","parse-names":false,"suffix":""},{"dropping-particle":"","family":"Mitchell","given":"P","non-dropping-particle":"","parse-names":false,"suffix":""},{"dropping-particle":"","family":"Reay","given":"E M","non-dropping-particle":"","parse-names":false,"suffix":""},{"dropping-particle":"","family":"Webb","given":"K","non-dropping-particle":"","parse-names":false,"suffix":""},{"dropping-particle":"","family":"Harvey","given":"P W","non-dropping-particle":"","parse-names":false,"suffix":""}],"container-title":"Australian and New Zealand journal of public health","id":"ITEM-1","issue":"4","issued":{"date-parts":[["1998"]]},"page":"456-463","title":"Validity and reproducibility of a self-administered food frequency questionnaire  in older people.","type":"article-journal","volume":"22"},"uris":["http://www.mendeley.com/documents/?uuid=e6bae9a7-e076-4c1a-abca-52c583afd505"]}],"mendeley":{"formattedCitation":"&lt;sup&gt;(67)&lt;/sup&gt;","plainTextFormattedCitation":"(67)","previouslyFormattedCitation":"&lt;sup&gt;(67)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(67)</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07EC65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A8BC6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F59865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882D6C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E77363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E688B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BC5B9E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B7906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CF7FF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10825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0A3A9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41A0BFE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EEF284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7EA30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373B529" w14:textId="77777777" w:rsidTr="00F53D71">
        <w:trPr>
          <w:trHeight w:val="54"/>
        </w:trPr>
        <w:tc>
          <w:tcPr>
            <w:tcW w:w="4451" w:type="dxa"/>
            <w:tcMar>
              <w:top w:w="0" w:type="dxa"/>
              <w:left w:w="45" w:type="dxa"/>
              <w:bottom w:w="0" w:type="dxa"/>
              <w:right w:w="45" w:type="dxa"/>
            </w:tcMar>
            <w:vAlign w:val="bottom"/>
            <w:hideMark/>
          </w:tcPr>
          <w:p w14:paraId="372D534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Willet et al. (1985)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(range=0.41 for total vitamin A without supplements to 0.79 for vitamin B, with supplements) were similar to those computed from the questionnaire (range=0.49 for total vitamin A without supplements to 0.71 for sucrose), indicating that these methods were generally comparable with respect to reproducibilrty.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serf-administered dietary questionnaire can provide useful information about individual nutrient intakes over a one-year period.\\n","author":[{"dropping-particle":"","family":"Willet","given":"WALTER C.","non-dropping-particle":"","parse-names":false,"suffix":""},{"dropping-particle":"","family":"Sampson","given":"LAURA","non-dropping-particle":"","parse-names":false,"suffix":""},{"dropping-particle":"","family":"Stampfer","given":"MEIR J.","non-dropping-particle":"","parse-names":false,"suffix":""},{"dropping-particle":"","family":"Rosner","given":"BERNARD","non-dropping-particle":"","parse-names":false,"suffix":""},{"dropping-particle":"","family":"Bain","given":"CHRISTOPHER","non-dropping-particle":"","parse-names":false,"suffix":""},{"dropping-particle":"","family":"Witschi","given":"JELIA","non-dropping-particle":"","parse-names":false,"suffix":""},{"dropping-particle":"","family":"HENNEKENS","given":"CHARLES H.","non-dropping-particle":"","parse-names":false,"suffix":""},{"dropping-particle":"","family":"SPEIZER","given":"FRANK E.","non-dropping-particle":"","parse-names":false,"suffix":""}],"container-title":"Am. J. Epidemiol.","id":"ITEM-1","issue":"1","issued":{"date-parts":[["1985"]]},"page":"51-65","title":"Reproducibility and Validity of a Semiquantitative Food Frequency Questionnaire","type":"article-journal","volume":"122"},"uris":["http://www.mendeley.com/documents/?uuid=348240c1-34bf-410e-a2a4-ea88f22a32a9"]}],"mendeley":{"formattedCitation":"&lt;sup&gt;(42)&lt;/sup&gt;","plainTextFormattedCitation":"(42)","previouslyFormattedCitation":"&lt;sup&gt;(42)&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(42)</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60DFB01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07252A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CD94EF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7B66CE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C7DFC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83A14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7340D3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2EAD6D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641896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B40A8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A8D3B4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727C12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B2A9F8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D37097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E0ED807" w14:textId="77777777" w:rsidTr="00F53D71">
        <w:trPr>
          <w:trHeight w:val="54"/>
        </w:trPr>
        <w:tc>
          <w:tcPr>
            <w:tcW w:w="4451" w:type="dxa"/>
            <w:tcMar>
              <w:top w:w="0" w:type="dxa"/>
              <w:left w:w="45" w:type="dxa"/>
              <w:bottom w:w="0" w:type="dxa"/>
              <w:right w:w="45" w:type="dxa"/>
            </w:tcMar>
            <w:vAlign w:val="bottom"/>
            <w:hideMark/>
          </w:tcPr>
          <w:p w14:paraId="18F9BAF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Gnardellis et al. (1995)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{"citationItems":[{"id":"ITEM-1","itemData":{"abstract":"We evaluated the reproducibility and validity of a 190-item semiquantitative food frequency questionnaire (FFQ) to be used in a large prospective study in the Athens area of Greece. Eighty persons, 42 men and 38 women, ages 25-67 years, completed a self-administered FFQ, followed by monthly 24-hour diet recalls and then a second FFQ 1 year after the first. Correlation coefficients measuring the reproducibility and validity of the FFQ indicate that the questionnaire is reproducible and provides a reasonably reliable measure of intake for many nutrients over a period of 1 year.","author":[{"dropping-particle":"","family":"Gnardellis","given":"C","non-dropping-particle":"","parse-names":false,"suffix":""},{"dropping-particle":"","family":"Trichopoulou","given":"A","non-dropping-particle":"","parse-names":false,"suffix":""},{"dropping-particle":"","family":"Katsouyanni","given":"K","non-dropping-particle":"","parse-names":false,"suffix":""},{"dropping-particle":"","family":"Polychronopoulos","given":"E","non-dropping-particle":"","parse-names":false,"suffix":""},{"dropping-particle":"","family":"Rimm","given":"E B","non-dropping-particle":"","parse-names":false,"suffix":""},{"dropping-particle":"","family":"Trichopoulos","given":"D","non-dropping-particle":"","parse-names":false,"suffix":""}],"container-title":"Epidemiology","id":"ITEM-1","issue":"1","issued":{"date-parts":[["1995"]]},"page":"74-77","title":"Reproducibility and validity of an extensive semiquantitative food frequency questionnaire among Greek school teachers.","type":"article-journal","volume":"6"},"uris":["http://www.mendeley.com/documents/?uuid=8c4b1b03-43ca-3a6b-9fc8-b2cf9d9a39e1"]}],"mendeley":{"formattedCitation":"&lt;sup&gt;(12)&lt;/sup&gt;","plainTextFormattedCitation":"(12)","previouslyFormattedCitation":"&lt;sup&gt;(12)&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(12)</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F85693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C236A7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5B8CD4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DA8A39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997CC1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F7E579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F31A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551D6C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FAA4C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342657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053B296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9AF029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A0450D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29D77E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D1427DF" w14:textId="77777777" w:rsidTr="00F53D71">
        <w:trPr>
          <w:trHeight w:val="54"/>
        </w:trPr>
        <w:tc>
          <w:tcPr>
            <w:tcW w:w="4451" w:type="dxa"/>
            <w:tcMar>
              <w:top w:w="0" w:type="dxa"/>
              <w:left w:w="45" w:type="dxa"/>
              <w:bottom w:w="0" w:type="dxa"/>
              <w:right w:w="45" w:type="dxa"/>
            </w:tcMar>
            <w:vAlign w:val="bottom"/>
            <w:hideMark/>
          </w:tcPr>
          <w:p w14:paraId="3A82540B"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Roddam et al. (2005)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{"citationItems":[{"id":"ITEM-1","itemData":{"ISSN":"1368-9800","PMID":"15877913","abstract":"OBJECTIVES To assess the short- and long-term reproducibility of a short food group questionnaire, and to compare its performance for estimating nutrient intakes in comparison with a 7-day diet diary. DESIGN Participants for the reproducibility study completed the food group questionnaire at two time points, up to 2 years apart. Participants for the performance study completed both the food group questionnaire and a 7-day diet diary a few months apart. Reproducibility was assessed by kappa statistics and percentage change between the two questionnaires; performance was assessed by kappa statistics, rank correlations and percentages of participants classified into the same and opposite thirds of intake. SETTING A random sample of participants in the Million Women Study, a population-based prospective study in the UK. SUBJECTS In total, 12 221 women aged 50-64 years. RESULTS In the reproducibility study, 75% of the food group items showed at least moderate agreement for all four time-point comparisons. Items showing fair agreement or worse tended to be those where few respondents reported eating them more than once a week, those consumed in small amounts and those relating to types of fat consumed. Compared with the diet diary, the food group questionnaire showed consistently reasonable performance for the nutrients carbohydrate, saturated fat, cholesterol, total sugars, alcohol, fibre, calcium, riboflavin, folate and vitamin C. CONCLUSIONS The short food group questionnaire used in this study has been shown to be reproducible over time and to perform reasonably well for the assessment of a number of dietary nutrients.","author":[{"dropping-particle":"","family":"Roddam","given":"Andrew W","non-dropping-particle":"","parse-names":false,"suffix":""},{"dropping-particle":"","family":"Spencer","given":"Elizabeth","non-dropping-particle":"","parse-names":false,"suffix":""},{"dropping-particle":"","family":"Banks","given":"Emily","non-dropping-particle":"","parse-names":false,"suffix":""},{"dropping-particle":"","family":"Beral","given":"Valerie","non-dropping-particle":"","parse-names":false,"suffix":""},{"dropping-particle":"","family":"Reeves","given":"Gillian","non-dropping-particle":"","parse-names":false,"suffix":""},{"dropping-particle":"","family":"Appleby","given":"Paul","non-dropping-particle":"","parse-names":false,"suffix":""},{"dropping-particle":"","family":"Barnes","given":"Isobel","non-dropping-particle":"","parse-names":false,"suffix":""},{"dropping-particle":"","family":"Whiteman","given":"David C","non-dropping-particle":"","parse-names":false,"suffix":""},{"dropping-particle":"","family":"Key","given":"Timothy J","non-dropping-particle":"","parse-names":false,"suffix":""}],"container-title":"Public health nutrition","id":"ITEM-1","issue":"2","issued":{"date-parts":[["2005","4"]]},"page":"201-213","title":"Reproducibility of a short semi-quantitative food group questionnaire and its performance in estimating nutrient intake compared with a 7-day diet diary in the Million Women Study.","type":"article-journal","volume":"8"},"uris":["http://www.mendeley.com/documents/?uuid=87af3fad-cafd-3f1b-8ff1-16aa4bd3128c"]}],"mendeley":{"formattedCitation":"&lt;sup&gt;(23)&lt;/sup&gt;","plainTextFormattedCitation":"(23)","previouslyFormattedCitation":"&lt;sup&gt;(23)&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(23)</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4DEF91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907EC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018678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48B1C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6D93C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6FB2A7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C983BD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73BAA0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6F7887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13C267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5B9C4AC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5EE23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BE77D5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AC184E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64D287D" w14:textId="77777777" w:rsidTr="00F53D71">
        <w:trPr>
          <w:trHeight w:val="54"/>
        </w:trPr>
        <w:tc>
          <w:tcPr>
            <w:tcW w:w="4451" w:type="dxa"/>
            <w:tcMar>
              <w:top w:w="0" w:type="dxa"/>
              <w:left w:w="45" w:type="dxa"/>
              <w:bottom w:w="0" w:type="dxa"/>
              <w:right w:w="45" w:type="dxa"/>
            </w:tcMar>
            <w:vAlign w:val="bottom"/>
            <w:hideMark/>
          </w:tcPr>
          <w:p w14:paraId="694A785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Fernández et al. (2010)</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{"citationItems":[{"id":"ITEM-1","itemData":{"abstract":"The aim of the present study was to assess reproducibility and relative validity of a self-administered FFQ used in the PREDIMED Study, a clinical trial for primary prevention of CVD by Mediterranean diet in a population at high cardiovascular risk. The FFQ was administered twice (FFQ1 and FFQ2) to explore reproducibility at 1 year. Four 3 d dietary records (DR) were used as reference to explore validity; participants therefore recorded their food intake over 12 d in the course of 1 year. The degree of misclassification in the FFQ was also evaluated by a contingency table of quintiles comparing the information from the FFQ2 and the DR. A total of 158 men and women (aged 55-80 years) were asked not to modify their dietary habits during the study period. Reproducibility for food groups, energy and nutrient intake, explored by the Pearson correlation coefficient (r) ranged 0.50-0.82, and the intraclass correlation coefficient (ICC) ranged from 0.63 to 0.90. The FFQ2 tended to report higher energy and nutrient intake than the DR. The validity indices of the FFQ in relation to the DR for food groups and energy and nutrient intake ranged (r) from 0.24 to 0.72, while the range of the ICC was between 0.40 and 0.84. With regard to food groups, 68-83 % of individuals were in the same or adjacent quintile in both methods, a figure which decreased to 55-75 % for energy and nutrient intake. We concluded that FFQ measurements had good reproducibility and a relative validity similar to those of FFQ used in other prospective studies.","author":[{"dropping-particle":"","family":"Fernández-Ballart","given":"Joan D","non-dropping-particle":"","parse-names":false,"suffix":""},{"dropping-particle":"","family":"Piñol","given":"Josep Lluís","non-dropping-particle":"","parse-names":false,"suffix":""},{"dropping-particle":"","family":"Zazpe","given":"Itziar","non-dropping-particle":"","parse-names":false,"suffix":""},{"dropping-particle":"","family":"Corella","given":"Dolores","non-dropping-particle":"","parse-names":false,"suffix":""},{"dropping-particle":"","family":"Carrasco","given":"Paula","non-dropping-particle":"","parse-names":false,"suffix":""},{"dropping-particle":"","family":"Toledo","given":"Estefanía","non-dropping-particle":"","parse-names":false,"suffix":""},{"dropping-particle":"","family":"Perez-Bauer","given":"Manuel","non-dropping-particle":"","parse-names":false,"suffix":""},{"dropping-particle":"","family":"Martínez-González","given":"Miguel Angel","non-dropping-particle":"","parse-names":false,"suffix":""},{"dropping-particle":"","family":"Salas-Salvadó","given":"Jorge","non-dropping-particle":"","parse-names":false,"suffix":""},{"dropping-particle":"","family":"Martín-Moreno","given":"José M","non-dropping-particle":"","parse-names":false,"suffix":""}],"container-title":"The British journal of nutrition","id":"ITEM-1","issue":"12","issued":{"date-parts":[["2010"]]},"page":"1808-1816","title":"Relative validity of a semi-quantitative food-frequency questionnaire in an elderly Mediterranean population of Spain.","type":"article-journal","volume":"103"},"uris":["http://www.mendeley.com/documents/?uuid=e5961794-03ba-4361-968c-f9f08b1bdc27"]}],"mendeley":{"formattedCitation":"&lt;sup&gt;(32)&lt;/sup&gt;","plainTextFormattedCitation":"(32)","previouslyFormattedCitation":"&lt;sup&gt;(32)&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(32)</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68F6A1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8950EA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96121C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E59665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6B922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763E5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E7AF4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E067BA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9C3A3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17163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5F0909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8E76ED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193BEE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C0EFEA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00EDCB5" w14:textId="77777777" w:rsidTr="00F53D71">
        <w:trPr>
          <w:trHeight w:val="54"/>
        </w:trPr>
        <w:tc>
          <w:tcPr>
            <w:tcW w:w="4451" w:type="dxa"/>
            <w:tcMar>
              <w:top w:w="0" w:type="dxa"/>
              <w:left w:w="45" w:type="dxa"/>
              <w:bottom w:w="0" w:type="dxa"/>
              <w:right w:w="45" w:type="dxa"/>
            </w:tcMar>
            <w:vAlign w:val="bottom"/>
            <w:hideMark/>
          </w:tcPr>
          <w:p w14:paraId="2916FDC8"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Park et al (2012)</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{"citationItems":[{"id":"ITEM-1","itemData":{"author":[{"dropping-particle":"","family":"Park","given":"Min Kyung","non-dropping-particle":"","parse-names":false,"suffix":""},{"dropping-particle":"","family":"Noh","given":"Hwa Young","non-dropping-particle":"","parse-names":false,"suffix":""},{"dropping-particle":"","family":"Song","given":"Na Yeun","non-dropping-particle":"","parse-names":false,"suffix":""},{"dropping-particle":"","family":"Paik","given":"Hee Young","non-dropping-particle":"","parse-names":false,"suffix":""},{"dropping-particle":"","family":"Joung","given":"Hyojee","non-dropping-particle":"","parse-names":false,"suffix":""},{"dropping-particle":"","family":"Song","given":"Won O","non-dropping-particle":"","parse-names":false,"suffix":""},{"dropping-particle":"","family":"Kim","given":"Jeongseon","non-dropping-particle":"","parse-names":false,"suffix":""}],"id":"ITEM-1","issued":{"date-parts":[["2012"]]},"page":"545-552","title":"Validity and Reliability of a Dish-based , Semi-quantitative Food Frequency Questionnaire for Korean Diet and Cancer","type":"article-journal","volume":"13"},"uris":["http://www.mendeley.com/documents/?uuid=0ca45f31-cd66-4ed4-88cc-a14fe20332b2"]}],"mendeley":{"formattedCitation":"&lt;sup&gt;(58)&lt;/sup&gt;","plainTextFormattedCitation":"(58)","previouslyFormattedCitation":"&lt;sup&gt;(58)&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(58)</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7212A83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0CD0A0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50738C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11978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93DAE7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E59F2D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BC577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17F697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FFEE56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0B3B06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88455A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7D68FD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D589FA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BF138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748FB83" w14:textId="77777777" w:rsidTr="00F53D71">
        <w:trPr>
          <w:trHeight w:val="54"/>
        </w:trPr>
        <w:tc>
          <w:tcPr>
            <w:tcW w:w="4451" w:type="dxa"/>
            <w:tcMar>
              <w:top w:w="0" w:type="dxa"/>
              <w:left w:w="45" w:type="dxa"/>
              <w:bottom w:w="0" w:type="dxa"/>
              <w:right w:w="45" w:type="dxa"/>
            </w:tcMar>
            <w:vAlign w:val="bottom"/>
            <w:hideMark/>
          </w:tcPr>
          <w:p w14:paraId="7535D242"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Bonifacj et al. (1997)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{"citationItems":[{"id":"ITEM-1","itemData":{"ISSN":"0954-3007","PMID":"9104572","abstract":"OBJECTIVE The main objective of the study was to develop appropriate dietary assessment instruments for the French Mediterranean region and to validate the measurements they provide. SUBJECTS AND METHODS Three different assessment methods were submitted to a sample of 150 male and female volunteers. 98 completed the protocol, which consisted of a 4 d weighed dietary record (PETRA) and a 7 d estimated-diet record (S7) based on a check list and a set of photographs, both these records being completed once in each season of the year, and a semi-quantitative (standard portion) food-frequency questionnaire (FFQ) including questions eliciting socio-demographic and anthropometric data, which was completed once only. The days when PETRA was used to evaluate food consumption coincided with the first 4 d of S7 (S4). RESULTS Validation was based on nutrients and foods. Energy-adjusted Pearson correlation coefficients between S4 and PETRA ranged from 0.32 for vitamin E to 0.81 for vitamin C (mean: 0.65 for 21 nutrients). There was practically no misclassification in opposite extreme quartiles. Spearman correlation coefficients ranged from 0.63 for fish and sea-food to 0.90 for wine (mean: 0.76 for 16 food groups). There was practically no misclassification in opposite extreme quartiles. De-attenuated energy-adjusted Pearson correlation coefficients between FFQ and S7 ranged from 0.22 for proteins and monounsaturated fatty acids to 0.80 for iron (mean: 0.45). 10% or less of subjects were misclassified in opposite extreme quartiles (except for vitamin C, 12%). Spearman correlation coefficients ranged from 0.25 for green-yellow-red raw vegetables to 0.76 for wine (mean: 0.42). 8% or less of subjects were misclassified in opposite extreme quartiles (except for citrus fruit, 11%). CONCLUSIONS Portion estimation using the set of photographs was validated by the correlation between S4 and PETRA for both nutrients and foods. The FFQ provides a reasonably reliable measure of macronutrient intake and a good measure of micronutrient intake when compared with the data in the literature. It performs less well for food intake. Better results can be achieved for FFQ: (i) by using the set of photographs instead of standard portions and (ii) by adding further questions on foods which are insufficiently covered.","author":[{"dropping-particle":"","family":"Bonifacj","given":"C","non-dropping-particle":"","parse-names":false,"suffix":""},{"dropping-particle":"","family":"Gerber","given":"M","non-dropping-particle":"","parse-names":false,"suffix":""},{"dropping-particle":"","family":"Scali","given":"J","non-dropping-particle":"","parse-names":false,"suffix":""},{"dropping-particle":"","family":"Daures","given":"J P","non-dropping-particle":"","parse-names":false,"suffix":""}],"container-title":"European journal of clinical nutrition","id":"ITEM-1","issue":"4","issued":{"date-parts":[["1997","4"]]},"page":"217-231","title":"Comparison of dietary assessment methods in a southern French population: use of weighed records, estimated-diet records and a food-frequency questionnaire.","type":"article-journal","volume":"51"},"uris":["http://www.mendeley.com/documents/?uuid=37972963-0fff-338f-a9e4-c29c94c3dcde"]}],"mendeley":{"formattedCitation":"&lt;sup&gt;(30)&lt;/sup&gt;","plainTextFormattedCitation":"(30)","previouslyFormattedCitation":"&lt;sup&gt;(30)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CD02B4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91851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4F8A34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19BDA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31DB4D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5B04C3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769A4B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AE0D12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DC59D3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12E0A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E5956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456E6A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4DA685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9E1676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4A51A5F3" w14:textId="77777777" w:rsidTr="00F53D71">
        <w:trPr>
          <w:trHeight w:val="80"/>
        </w:trPr>
        <w:tc>
          <w:tcPr>
            <w:tcW w:w="4451" w:type="dxa"/>
            <w:tcMar>
              <w:top w:w="0" w:type="dxa"/>
              <w:left w:w="45" w:type="dxa"/>
              <w:bottom w:w="0" w:type="dxa"/>
              <w:right w:w="45" w:type="dxa"/>
            </w:tcMar>
            <w:vAlign w:val="bottom"/>
            <w:hideMark/>
          </w:tcPr>
          <w:p w14:paraId="75E5BEA8"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Friis et al. (1997)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{"citationItems":[{"id":"ITEM-1","itemData":{"abstract":"We have evaluated the reproducibility and relative validity of a semiquantitative food frequency questionnaire (FFQ) used in a prospective study of risk factors for cervical neoplasia. The questionnaire is a modified version of one developed and evaluated in a middle-aged Danish population. In the present study, 122 women from the general population of Copenhagen, aged 20-29 years, completed the FFQ twice at a 1-year interval, and provided three 4-day dietary records during the intervening year. The mean nutrient intakes calculated from the first and second questionnaire were similar and, for most nutrients, close to those obtained from the dietary records. The Pearson correlation coefficients between the mean nutrient intakes from the two questionnaires ranged from 0.53 (95% CI, 0.39-0.65) for vitamin E to 0.76 (95% CI, 0.67-0.83) for vitamin B12 (median, 0.67 [95% CI, 0.56-0.76]). In comparisons between the second FFQ and the dietary records, the correlations ranged from 0.24 (95% CI, 0.07-0.40) for vitamin D to 0.63 (95% CI, 0.51-0.73) for sucrose (median, 0.42 [95% CI, 0.26-0.56]). The correlations between FFQ and dietary records were generally higher after adjustment for energy intake (median, 0.53 [95% CI, 0.39-0.65]) and within-person variability (median, 0.64 [95% CI, 0.52-0.73]). On average, 71% of the women were classified in the same (?? 1) quintile in the second FFQ and the dietary records. An average of 3.8% of the women were grossly misclassified into the highest and lowest quintiles by the dietary records. The relative validity of the FFQ in this population was similar to that reported earlier. It is concluded that the FFQ is reproducible and provides a useful scale for categorizing individuals according to their intake of energy and nutrients.","author":[{"dropping-particle":"","family":"Friis","given":"S","non-dropping-particle":"","parse-names":false,"suffix":""},{"dropping-particle":"","family":"Kjaer","given":"S","non-dropping-particle":"","parse-names":false,"suffix":""},{"dropping-particle":"","family":"Stripp","given":"C","non-dropping-particle":"","parse-names":false,"suffix":""},{"dropping-particle":"","family":"Overvad","given":"K","non-dropping-particle":"","parse-names":false,"suffix":""}],"container-title":"Journal of Clinical Epidemiology","id":"ITEM-1","issue":"3","issued":{"date-parts":[["1997"]]},"page":"303-311","title":"Reproducibility and relative validity of a self-administered semiquantitative food frequency questionnaire applied to younger women","type":"article-journal","volume":"50"},"uris":["http://www.mendeley.com/documents/?uuid=593dab81-5f19-447b-846d-f767bd209f85"]}],"mendeley":{"formattedCitation":"&lt;sup&gt;(35)&lt;/sup&gt;","plainTextFormattedCitation":"(35)","previouslyFormattedCitation":"&lt;sup&gt;(35)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9D02C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25041B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BF6167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AC9DA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CC2159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CC2B6B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4E77BA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F8021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17F84C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4147B9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0D702E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3978C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7F2D4A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9D5635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FB01894" w14:textId="77777777" w:rsidTr="00F53D71">
        <w:trPr>
          <w:trHeight w:val="54"/>
        </w:trPr>
        <w:tc>
          <w:tcPr>
            <w:tcW w:w="4451" w:type="dxa"/>
            <w:tcMar>
              <w:top w:w="0" w:type="dxa"/>
              <w:left w:w="45" w:type="dxa"/>
              <w:bottom w:w="0" w:type="dxa"/>
              <w:right w:w="45" w:type="dxa"/>
            </w:tcMar>
            <w:vAlign w:val="bottom"/>
            <w:hideMark/>
          </w:tcPr>
          <w:p w14:paraId="395839D6"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Shatenstein et al. (2005)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{"citationItems":[{"id":"ITEM-1","itemData":{"abstract":"Regular diet monitoring requires a tool validated in the target population. A 73-item, semiquantitative, self-administered food frequency questionnaire (FFQ), was adapted in French and English from the Block National Cancer Institute Health Habits and History Questionnaire. The FFQ was used to capture usual long-term food consumption among adults living in Quebec. A representative sample of adults aged 18 to 82 (57% female) was recruited by random digit dialling in the Montreal region. Approximately 64% of recruits completed and returned the instrument by mail (n=248). The FFQ was validated in a subsample (n=94, 61% female) using four nonconsecutive food records (FRs). Median energy intakes (in kcal) for men and women, respectively, were FFQ (total sample) 2,112 and 1,823, FFQ (subsample) 2,137 and 1,752, and FR (subsample) 2,510 and 1,830. Spearman correlation analyses between FFQ and FR nutrients were positive (with r ranging from 0.32 for folate to 0.58 for saturated fatty acids) and statistically significant (p&lt;0.001), with better results among women. On average, cross-classification of energy and 24 nutrients from the FFQ and means of four FRs placed 39% into identical quartiles and 78% into identical and contiguous quartiles, with only 4% frankly misclassified. These results suggest that the FFQ is a relatively valid instrument for determining usual diet in Quebec adults.","author":[{"dropping-particle":"","family":"Shatenstein","given":"Bryna","non-dropping-particle":"","parse-names":false,"suffix":""},{"dropping-particle":"","family":"Nadon","given":"Sylvie","non-dropping-particle":"","parse-names":false,"suffix":""},{"dropping-particle":"","family":"Godin","given":"Catherine","non-dropping-particle":"","parse-names":false,"suffix":""},{"dropping-particle":"","family":"Ferland","given":"Guylaine","non-dropping-particle":"","parse-names":false,"suffix":""}],"container-title":"Can J Diet Pract Res.","id":"ITEM-1","issue":"2","issued":{"date-parts":[["2005"]]},"page":"67-75","title":"Development and validation of a food frequency questionnaire.","type":"article-journal","volume":"66"},"uris":["http://www.mendeley.com/documents/?uuid=09e14827-27af-4f2f-9bd3-5ba55b008848"]}],"mendeley":{"formattedCitation":"&lt;sup&gt;(41)&lt;/sup&gt;","plainTextFormattedCitation":"(41)","previouslyFormattedCitation":"&lt;sup&gt;(41)&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(41)</w:t>
            </w:r>
            <w:r>
              <w:rPr>
                <w:rFonts w:ascii="Times New Roman" w:eastAsia="Times New Roman" w:hAnsi="Times New Roman" w:cs="Times New Roman"/>
                <w:color w:val="000000"/>
                <w:sz w:val="24"/>
                <w:szCs w:val="24"/>
                <w:lang w:val="es-MX" w:eastAsia="es-ES"/>
              </w:rPr>
              <w:fldChar w:fldCharType="end"/>
            </w:r>
            <w:r w:rsidRPr="008A448F">
              <w:rPr>
                <w:rFonts w:ascii="Times New Roman" w:eastAsia="Times New Roman" w:hAnsi="Times New Roman" w:cs="Times New Roman"/>
                <w:color w:val="000000"/>
                <w:sz w:val="24"/>
                <w:szCs w:val="24"/>
                <w:lang w:val="es-MX" w:eastAsia="es-ES"/>
              </w:rPr>
              <w:t xml:space="preserve"> </w:t>
            </w:r>
          </w:p>
        </w:tc>
        <w:tc>
          <w:tcPr>
            <w:tcW w:w="392" w:type="dxa"/>
            <w:shd w:val="clear" w:color="auto" w:fill="008000"/>
            <w:tcMar>
              <w:top w:w="0" w:type="dxa"/>
              <w:left w:w="45" w:type="dxa"/>
              <w:bottom w:w="0" w:type="dxa"/>
              <w:right w:w="45" w:type="dxa"/>
            </w:tcMar>
            <w:vAlign w:val="bottom"/>
            <w:hideMark/>
          </w:tcPr>
          <w:p w14:paraId="08AFA9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603768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DE771F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30BBE7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495A0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B49E1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6C590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3A0098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D9B664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DAF758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F3C9DA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379C3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14719F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FBB4E1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0203405E" w14:textId="77777777" w:rsidTr="00F53D71">
        <w:trPr>
          <w:trHeight w:val="54"/>
        </w:trPr>
        <w:tc>
          <w:tcPr>
            <w:tcW w:w="4451" w:type="dxa"/>
            <w:tcMar>
              <w:top w:w="0" w:type="dxa"/>
              <w:left w:w="45" w:type="dxa"/>
              <w:bottom w:w="0" w:type="dxa"/>
              <w:right w:w="45" w:type="dxa"/>
            </w:tcMar>
            <w:vAlign w:val="bottom"/>
            <w:hideMark/>
          </w:tcPr>
          <w:p w14:paraId="21ABDD94"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Mullie et al. (2009)</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Mullie","given":"P","non-dropping-particle":"","parse-names":false,"suffix":""},{"dropping-particle":"","family":"Clarys","given":"P","non-dropping-particle":"","parse-names":false,"suffix":""},{"dropping-particle":"","family":"Hulens","given":"M","non-dropping-particle":"","parse-names":false,"suffix":""},{"dropping-particle":"","family":"Vansant","given":"G","non-dropping-particle":"","parse-names":false,"suffix":""}],"container-title":"MILITARY MEDICINE","id":"ITEM-1","issued":{"date-parts":[["2009"]]},"page":"852-856","title":"Reproducibility and Validity of a Semiquantitative Food Frequency Questionnaire Among Military Men","type":"article-journal","volume":"8"},"uris":["http://www.mendeley.com/documents/?uuid=937c869d-550d-3f30-80e7-efd0177f11de"]}],"mendeley":{"formattedCitation":"&lt;sup&gt;(18)&lt;/sup&gt;","plainTextFormattedCitation":"(18)","previouslyFormattedCitation":"&lt;sup&gt;(18)&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(18)</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59603B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BD0C0B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27DCC9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F1FED0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6D58D7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9A02F1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13AAB8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2D2C8F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B744F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813ECC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F7089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B665D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12DF0C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A7A545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514CC58" w14:textId="77777777" w:rsidTr="00F53D71">
        <w:trPr>
          <w:trHeight w:val="54"/>
        </w:trPr>
        <w:tc>
          <w:tcPr>
            <w:tcW w:w="4451" w:type="dxa"/>
            <w:tcMar>
              <w:top w:w="0" w:type="dxa"/>
              <w:left w:w="45" w:type="dxa"/>
              <w:bottom w:w="0" w:type="dxa"/>
              <w:right w:w="45" w:type="dxa"/>
            </w:tcMar>
            <w:vAlign w:val="bottom"/>
            <w:hideMark/>
          </w:tcPr>
          <w:p w14:paraId="51C8FBB0"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Kumanyika et al. (1997)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{"citationItems":[{"id":"ITEM-1","itemData":{"DOI":"10.1093/ajcn/65.4.1123S","ISSN":"0002-9165","author":[{"dropping-particle":"","family":"Kumanyika","given":"S K","non-dropping-particle":"","parse-names":false,"suffix":""},{"dropping-particle":"","family":"Tell","given":"G S","non-dropping-particle":"","parse-names":false,"suffix":""},{"dropping-particle":"","family":"Shemanski","given":"L","non-dropping-particle":"","parse-names":false,"suffix":""},{"dropping-particle":"","family":"Martel","given":"J","non-dropping-particle":"","parse-names":false,"suffix":""},{"dropping-particle":"","family":"Chinchilli","given":"V M","non-dropping-particle":"","parse-names":false,"suffix":""}],"container-title":"The American Journal of Clinical Nutrition","id":"ITEM-1","issue":"4","issued":{"date-parts":[["1997","4","1"]]},"page":"S1123-S1129","title":"Dietary assessment using a picture-sort approach","type":"article-journal","volume":"65"},"uris":["http://www.mendeley.com/documents/?uuid=0820cb20-73fc-3e87-ba1f-bcf6deec9092"]}],"mendeley":{"formattedCitation":"&lt;sup&gt;(49)&lt;/sup&gt;","plainTextFormattedCitation":"(49)","previouslyFormattedCitation":"&lt;sup&gt;(49)&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(49)</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66C68D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7FF62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B7F9E5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9E90C2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C82EFC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635A2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2A4F01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9C4B1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2F8D6C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0F54064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580B8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62F9B5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B663FF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CB1339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78B20E62" w14:textId="77777777" w:rsidTr="00F53D71">
        <w:trPr>
          <w:trHeight w:val="54"/>
        </w:trPr>
        <w:tc>
          <w:tcPr>
            <w:tcW w:w="4451" w:type="dxa"/>
            <w:tcMar>
              <w:top w:w="0" w:type="dxa"/>
              <w:left w:w="45" w:type="dxa"/>
              <w:bottom w:w="0" w:type="dxa"/>
              <w:right w:w="45" w:type="dxa"/>
            </w:tcMar>
            <w:vAlign w:val="bottom"/>
            <w:hideMark/>
          </w:tcPr>
          <w:p w14:paraId="19F0376B"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Hérnandez et al. (1998)</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{"citationItems":[{"id":"ITEM-1","itemData":{"abstract":"OBJECTIVE: To assess the reproducibility and validity of a 116 item semi-quantitative food frequency questionnaire (FFQ), designed to assess the relation between dietary intake and chronic diseases.\\n\\nMATERIAL AND METHODS: To test the reproducibility of the FFQ questionnaire, the FFQ was administered twice to 134 women residing in Mexico City at an interval of approximately one year; to assess the validity we compared results obtained by the FFQs with those obtained by four 4-day 24-hour recalls at three month intervals. Validity and reproducibility were evaluated using regression analysis and Pearson and intraclass correlation coefficients of log-e and calorie-adjusted nutrient scores.\\n\\nRESULTS: Mean values for intake of most nutrients assessed by the two food frequency questionnaires were similar. However, means for the 24-hr recall were significantly lower. Intraclass correlation coefficients for nutrient intakes, assessed by questionnaires, administered one year apart, ranged from 0.38 for cholesterol to 0.54 for crude fiber. Correlation coefficients between energy-adjusted nutrient intakes, measured by diet recalls, and the first FFQ ranged from 0.12 for polyunsaturated fatty acids to 0.67 for saturated fatty acids. Regression coefficients between 24-hr recall and FFQ,s were all significant were significant for all nutrients, except for polyunsaturated fat, folic acid, vitamin E and Zinc.\\n\\nCONCLUSIONS: These data indicate that this semi-quantitative FFQ is reproducible and provides a useful estimate by which to categorize individuals by level of past nutrient intake. However, its application outside Mexico City or in different age and gender populations will require additional modifications and validation efforts.","author":[{"dropping-particle":"","family":"Hernández-Avila","given":"M","non-dropping-particle":"","parse-names":false,"suffix":""},{"dropping-particle":"","family":"Romieu","given":"I","non-dropping-particle":"","parse-names":false,"suffix":""},{"dropping-particle":"","family":"Parra","given":"S","non-dropping-particle":"","parse-names":false,"suffix":""},{"dropping-particle":"","family":"Hernández-Avila","given":"J","non-dropping-particle":"","parse-names":false,"suffix":""},{"dropping-particle":"","family":"Madrigal","given":"H","non-dropping-particle":"","parse-names":false,"suffix":""},{"dropping-particle":"","family":"Willett","given":"W","non-dropping-particle":"","parse-names":false,"suffix":""}],"container-title":"Salud pública de México","id":"ITEM-1","issue":"2","issued":{"date-parts":[["1998"]]},"page":"133-140","title":"Validity and reproducibility of a food frequency questionnaire to assess dietary intake of women living in Mexico City.","type":"article-journal","volume":"40"},"uris":["http://www.mendeley.com/documents/?uuid=069697c8-1066-45a6-89d0-87d09b13f750"]}],"mendeley":{"formattedCitation":"&lt;sup&gt;(47)&lt;/sup&gt;","plainTextFormattedCitation":"(47)","previouslyFormattedCitation":"&lt;sup&gt;(47)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(47)</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F8AC97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A6043B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A12504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9F297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407448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5DCB7A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F7E35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7DADD5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26A134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5A720E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4A780F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90C4F9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85619F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A2FD95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76155A7" w14:textId="77777777" w:rsidTr="00F53D71">
        <w:trPr>
          <w:trHeight w:val="54"/>
        </w:trPr>
        <w:tc>
          <w:tcPr>
            <w:tcW w:w="4451" w:type="dxa"/>
            <w:tcMar>
              <w:top w:w="0" w:type="dxa"/>
              <w:left w:w="45" w:type="dxa"/>
              <w:bottom w:w="0" w:type="dxa"/>
              <w:right w:w="45" w:type="dxa"/>
            </w:tcMar>
            <w:vAlign w:val="bottom"/>
            <w:hideMark/>
          </w:tcPr>
          <w:p w14:paraId="61DECABF"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Macedo et al. (2013)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Macedo-Ojeda","given":"Gabriela","non-dropping-particle":"","parse-names":false,"suffix":""},{"dropping-particle":"","family":"Vizmanos-Lamotte","given":"Barbara","non-dropping-particle":"","parse-names":false,"suffix":""},{"dropping-particle":"","family":"Márquez-Sandoval","given":"Yolanda Fabiola","non-dropping-particle":"","parse-names":false,"suffix":""},{"dropping-particle":"","family":"Rodríguez-Rocha","given":"Norma Patricia","non-dropping-particle":"","parse-names":false,"suffix":""},{"dropping-particle":"","family":"López-Uriarte","given":"Patricia Josefina","non-dropping-particle":"","parse-names":false,"suffix":""},{"dropping-particle":"","family":"Fernández-Ballart","given":"Joan D","non-dropping-particle":"","parse-names":false,"suffix":""}],"container-title":"Nutr Hosp","id":"ITEM-1","issue":"6","issued":{"date-parts":[["2013"]]},"page":"2212-2220","title":"Validation of a semi-quantitative food frequency questionnaire to assess food groups and nutrient intake","type":"article-journal","volume":"28"},"uris":["http://www.mendeley.com/documents/?uuid=4f461e82-20a5-4001-a413-65b79899aa3e"]}],"mendeley":{"formattedCitation":"&lt;sup&gt;(52)&lt;/sup&gt;","plainTextFormattedCitation":"(52)","previouslyFormattedCitation":"&lt;sup&gt;(52)&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(52)</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B14F90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EA31E4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2CD1FE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24D84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2DE73E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B1186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A604E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BABFD9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02B4FB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89EB1A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B11D25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5BE634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3F3DD1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D75483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3706B134" w14:textId="77777777" w:rsidTr="00F53D71">
        <w:trPr>
          <w:trHeight w:val="54"/>
        </w:trPr>
        <w:tc>
          <w:tcPr>
            <w:tcW w:w="4451" w:type="dxa"/>
            <w:tcMar>
              <w:top w:w="0" w:type="dxa"/>
              <w:left w:w="45" w:type="dxa"/>
              <w:bottom w:w="0" w:type="dxa"/>
              <w:right w:w="45" w:type="dxa"/>
            </w:tcMar>
            <w:vAlign w:val="bottom"/>
            <w:hideMark/>
          </w:tcPr>
          <w:p w14:paraId="1C1FCD6C" w14:textId="77777777" w:rsidR="003E400D" w:rsidRPr="003E400D" w:rsidRDefault="003E400D" w:rsidP="00F53D71">
            <w:pPr>
              <w:spacing w:after="0" w:line="240" w:lineRule="auto"/>
              <w:rPr>
                <w:rFonts w:ascii="Times New Roman" w:eastAsia="Times New Roman" w:hAnsi="Times New Roman" w:cs="Times New Roman"/>
                <w:sz w:val="24"/>
                <w:szCs w:val="24"/>
                <w:lang w:val="es-MX" w:eastAsia="es-ES"/>
              </w:rPr>
            </w:pPr>
            <w:r w:rsidRPr="003E400D">
              <w:rPr>
                <w:rFonts w:ascii="Times New Roman" w:eastAsia="Times New Roman" w:hAnsi="Times New Roman" w:cs="Times New Roman"/>
                <w:sz w:val="24"/>
                <w:szCs w:val="24"/>
                <w:lang w:val="es-MX" w:eastAsia="es-ES"/>
              </w:rPr>
              <w:t>Sanjeevi et al. (2017)</w:t>
            </w:r>
            <w:r w:rsidRPr="003E400D">
              <w:rPr>
                <w:rFonts w:ascii="Times New Roman" w:eastAsia="Times New Roman" w:hAnsi="Times New Roman" w:cs="Times New Roman"/>
                <w:sz w:val="24"/>
                <w:szCs w:val="24"/>
                <w:lang w:val="es-MX" w:eastAsia="es-ES"/>
              </w:rPr>
              <w:fldChar w:fldCharType="begin" w:fldLock="1"/>
            </w:r>
            <w:r w:rsidRPr="003E400D">
              <w:rPr>
                <w:rFonts w:ascii="Times New Roman" w:eastAsia="Times New Roman" w:hAnsi="Times New Roman" w:cs="Times New Roman"/>
                <w:sz w:val="24"/>
                <w:szCs w:val="24"/>
                <w:lang w:val="es-MX" w:eastAsia="es-ES"/>
              </w:rPr>
              <w:instrText>ADDIN CSL_CITATION {"citationItems":[{"id":"ITEM-1","itemData":{"DOI":"10.1016/j.jand.2017.05.013","ISSN":"22122672","abstract":"Background The Supplemental Nutrition Assistance Program (SNAP) plays a critical role in reducing food insecurity by distribution of benefits at a monthly interval to participants. Households that receive assistance from SNAP spend at least three-quarters of benefits within the first 2 weeks of receipt. Because this expenditure pattern may be associated with lower food intake toward the end of the month, it is important to develop a tool that can assess the weekly diets of SNAP participants. Objective The goal of this study was to develop and assess the relative validity and reliability of a semiquantitative 1-week food frequency questionnaire (FFQ) tailored to a population of women participating in SNAP. Design The FFQ was derived from an existing 195-item FFQ that was based on a reference period of 1 month. This 195-item FFQ has been validated in a population of low-income postpartum women who were recruited from central Texas during 2004. Mean daily servings of each food item in the 195-item FFQ completed by women who took part in the 2004 validation study were calculated to determine the most frequently consumed food items. Emphasis on these items led to the creation of a shorter, 1-week FFQ of only 95 items. This new 1-week instrument was compared with 3-day diet records to evaluate relative validity in a sample of women participating in SNAP. For reliability, the FFQ was administered a second time, separated by a 1-month time interval. Participants/setting The validity study included 70 female SNAP participants who were recruited from the partner agencies of the Central Texas Food Bank from March to June 2015. A subsample of 40 women participated in the reliability study. Main outcome measures Outcome measures were mean nutrient intake values obtained from the two tests of the 95-item FFQ and 3-day diet records. Statistical analysis performed Deattenuated Pearson correlation coefficients examined relationships in nutrient intake between the 95-item FFQ and 3-day diet records, and a paired samples t test determined differences in mean nutrient intake. Weighted Cohen's κ indicated agreement in quartile classification of study participants by the 95-item FFQ and 3-day diet records, according to nutrient intake. Test–retest reliability was assessed by intraclass correlations and weighted Cohen's κ. Results Mean deattenuated Pearson correlation between the FFQ and 3-day diet records was 0.61, and the weighted Cohen's κ=0.39. Finally, the average test–r…","author":[{"dropping-particle":"","family":"Sanjeevi","given":"Namrata","non-dropping-particle":"","parse-names":false,"suffix":""},{"dropping-particle":"","family":"Freeland-Graves","given":"Jeanne","non-dropping-particle":"","parse-names":false,"suffix":""},{"dropping-particle":"","family":"George","given":"Goldy Chacko","non-dropping-particle":"","parse-names":false,"suffix":""}],"container-title":"Journal of the Academy of Nutrition and Dietetics","id":"ITEM-1","issue":"12","issued":{"date-parts":[["2017","12","1"]]},"page":"1972-1982.e2","publisher":"Elsevier B.V.","title":"Relative Validity and Reliability of a 1-Week, Semiquantitative Food Frequency Questionnaire for Women Participating in the Supplemental Nutrition Assistance Program","type":"article-journal","volume":"117"},"uris":["http://www.mendeley.com/documents/?uuid=5e4df9ba-13b2-3e36-a086-1d10f663c6f3"]}],"mendeley":{"formattedCitation":"&lt;sup&gt;(44)&lt;/sup&gt;","plainTextFormattedCitation":"(44)","previouslyFormattedCitation":"&lt;sup&gt;(44)&lt;/sup&gt;"},"properties":{"noteIndex":0},"schema":"https://github.com/citation-style-language/schema/raw/master/csl-citation.json"}</w:instrText>
            </w:r>
            <w:r w:rsidRPr="003E400D">
              <w:rPr>
                <w:rFonts w:ascii="Times New Roman" w:eastAsia="Times New Roman" w:hAnsi="Times New Roman" w:cs="Times New Roman"/>
                <w:sz w:val="24"/>
                <w:szCs w:val="24"/>
                <w:lang w:val="es-MX" w:eastAsia="es-ES"/>
              </w:rPr>
              <w:fldChar w:fldCharType="separate"/>
            </w:r>
            <w:r w:rsidRPr="003E400D">
              <w:rPr>
                <w:rFonts w:ascii="Times New Roman" w:eastAsia="Times New Roman" w:hAnsi="Times New Roman" w:cs="Times New Roman"/>
                <w:noProof/>
                <w:sz w:val="24"/>
                <w:szCs w:val="24"/>
                <w:vertAlign w:val="superscript"/>
                <w:lang w:val="es-MX" w:eastAsia="es-ES"/>
              </w:rPr>
              <w:t>(44)</w:t>
            </w:r>
            <w:r w:rsidRPr="003E400D">
              <w:rPr>
                <w:rFonts w:ascii="Times New Roman" w:eastAsia="Times New Roman" w:hAnsi="Times New Roman" w:cs="Times New Roman"/>
                <w:sz w:val="24"/>
                <w:szCs w:val="24"/>
                <w:lang w:val="es-MX" w:eastAsia="es-ES"/>
              </w:rPr>
              <w:fldChar w:fldCharType="end"/>
            </w:r>
            <w:r w:rsidRPr="003E400D">
              <w:rPr>
                <w:rFonts w:ascii="Times New Roman" w:eastAsia="Times New Roman" w:hAnsi="Times New Roman" w:cs="Times New Roman"/>
                <w:sz w:val="24"/>
                <w:szCs w:val="24"/>
                <w:lang w:val="es-MX" w:eastAsia="es-ES"/>
              </w:rPr>
              <w:t xml:space="preserve"> </w:t>
            </w:r>
          </w:p>
        </w:tc>
        <w:tc>
          <w:tcPr>
            <w:tcW w:w="392" w:type="dxa"/>
            <w:shd w:val="clear" w:color="auto" w:fill="008000"/>
            <w:tcMar>
              <w:top w:w="0" w:type="dxa"/>
              <w:left w:w="45" w:type="dxa"/>
              <w:bottom w:w="0" w:type="dxa"/>
              <w:right w:w="45" w:type="dxa"/>
            </w:tcMar>
            <w:vAlign w:val="bottom"/>
            <w:hideMark/>
          </w:tcPr>
          <w:p w14:paraId="0B18755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45A3A8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48563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C425B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8BD207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A93E68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6FE91D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F2DE10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E1F00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66C57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7557929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B9F592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B2C5D9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01093E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39CEBE88" w14:textId="77777777" w:rsidTr="00F53D71">
        <w:trPr>
          <w:trHeight w:val="54"/>
        </w:trPr>
        <w:tc>
          <w:tcPr>
            <w:tcW w:w="4451" w:type="dxa"/>
            <w:tcMar>
              <w:top w:w="0" w:type="dxa"/>
              <w:left w:w="45" w:type="dxa"/>
              <w:bottom w:w="0" w:type="dxa"/>
              <w:right w:w="45" w:type="dxa"/>
            </w:tcMar>
            <w:vAlign w:val="bottom"/>
            <w:hideMark/>
          </w:tcPr>
          <w:p w14:paraId="16C8D8C8"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Tjønneland et al. (1991)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Tjønneland","given":"A","non-dropping-particle":"","parse-names":false,"suffix":""},{"dropping-particle":"","family":"Overvad","given":"K","non-dropping-particle":"","parse-names":false,"suffix":""},{"dropping-particle":"","family":"Haraldsdóttir","given":"J","non-dropping-particle":"","parse-names":false,"suffix":""},{"dropping-particle":"","family":"Bang","given":"S","non-dropping-particle":"","parse-names":false,"suffix":""},{"dropping-particle":"","family":"Ewertz","given":"M","non-dropping-particle":"","parse-names":false,"suffix":""},{"dropping-particle":"","family":"Jensen","given":"OM","non-dropping-particle":"","parse-names":false,"suffix":""}],"container-title":"Int J Epidemiol","id":"ITEM-1","issue":"4","issued":{"date-parts":[["1991"]]},"page":"906-912","title":"Validation of a semiquantitative food frequency questionnaire developed in Denmark.","type":"article-journal","volume":"20"},"uris":["http://www.mendeley.com/documents/?uuid=810fad9b-0491-4d46-a083-d5344cc0635d"]}],"mendeley":{"formattedCitation":"&lt;sup&gt;(27)&lt;/sup&gt;","plainTextFormattedCitation":"(27)","previouslyFormattedCitation":"&lt;sup&gt;(27)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(27)</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2312F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3FEAA1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BD0B8B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14BBF7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1FE0B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A095FD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4AD9B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32548C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865196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98CB04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5546E0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30E36F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35FB0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91305B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0D721128" w14:textId="77777777" w:rsidTr="00F53D71">
        <w:trPr>
          <w:trHeight w:val="54"/>
        </w:trPr>
        <w:tc>
          <w:tcPr>
            <w:tcW w:w="4451" w:type="dxa"/>
            <w:tcMar>
              <w:top w:w="0" w:type="dxa"/>
              <w:left w:w="45" w:type="dxa"/>
              <w:bottom w:w="0" w:type="dxa"/>
              <w:right w:w="45" w:type="dxa"/>
            </w:tcMar>
            <w:vAlign w:val="bottom"/>
            <w:hideMark/>
          </w:tcPr>
          <w:p w14:paraId="4B702FB6"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Lee et al. (1994)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{"citationItems":[{"id":"ITEM-1","itemData":{"author":[{"dropping-particle":"","family":"Lee MM, Lee F, Wang S","given":"Miike R","non-dropping-particle":"","parse-names":false,"suffix":""}],"container-title":"Ann Epidemiol","id":"ITEM-1","issue":"3","issued":{"date-parts":[["1994"]]},"page":"188-197","title":"A Semiquantitative Dietary History Questionnaire for Chinese Americans","type":"article-journal","volume":"4"},"uris":["http://www.mendeley.com/documents/?uuid=d99dcc00-3dd7-49e7-84de-38747bef5f00"]}],"mendeley":{"formattedCitation":"&lt;sup&gt;(50)&lt;/sup&gt;","plainTextFormattedCitation":"(50)","previouslyFormattedCitation":"&lt;sup&gt;(50)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9E33DD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DC77FE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9836A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1950FC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E8B783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78FF34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873F40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365B4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FCCFA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5B16E4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2DFE1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1E15B7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D7E2E0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CB9C2C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C231392" w14:textId="77777777" w:rsidTr="00F53D71">
        <w:trPr>
          <w:trHeight w:val="54"/>
        </w:trPr>
        <w:tc>
          <w:tcPr>
            <w:tcW w:w="4451" w:type="dxa"/>
            <w:tcMar>
              <w:top w:w="0" w:type="dxa"/>
              <w:left w:w="45" w:type="dxa"/>
              <w:bottom w:w="0" w:type="dxa"/>
              <w:right w:w="45" w:type="dxa"/>
            </w:tcMar>
            <w:vAlign w:val="bottom"/>
            <w:hideMark/>
          </w:tcPr>
          <w:p w14:paraId="6C08DC3B"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Tokudome et al. (2001)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Tokudome","given":"S","non-dropping-particle":"","parse-names":false,"suffix":""},{"dropping-particle":"","family":"Imaeda","given":"N","non-dropping-particle":"","parse-names":false,"suffix":""},{"dropping-particle":"","family":"Tokudome","given":"Y","non-dropping-particle":"","parse-names":false,"suffix":""},{"dropping-particle":"","family":"Fujiwara","given":"N","non-dropping-particle":"","parse-names":false,"suffix":""},{"dropping-particle":"","family":"Nagaya","given":"T","non-dropping-particle":"","parse-names":false,"suffix":""},{"dropping-particle":"","family":"Sato","given":"J","non-dropping-particle":"","parse-names":false,"suffix":""},{"dropping-particle":"","family":"Kuriki","given":"K","non-dropping-particle":"","parse-names":false,"suffix":""},{"dropping-particle":"","family":"Ikeda","given":"M","non-dropping-particle":"","parse-names":false,"suffix":""},{"dropping-particle":"","family":"Maki","given":"S","non-dropping-particle":"","parse-names":false,"suffix":""}],"container-title":"Eur J Clin Nutr","id":"ITEM-1","issue":"9","issued":{"date-parts":[["2001"]]},"page":"735-742","title":"Original Communication Relative validity of a semi-quantitative food frequency questionnaire versus 28 day weighed diet records in Japanese female dietitians","type":"article-journal","volume":"55"},"uris":["http://www.mendeley.com/documents/?uuid=00120392-29fa-411b-8860-1b8aa9486eee"]}],"mendeley":{"formattedCitation":"&lt;sup&gt;(60)&lt;/sup&gt;","plainTextFormattedCitation":"(60)","previouslyFormattedCitation":"&lt;sup&gt;(60)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(60)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AF5C62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1C0D19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D346F0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F93769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738868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E8D813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5A41B1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AF121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E56286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A585FF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B66663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26B290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4112F4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250ADA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14:paraId="3CA53968" w14:textId="77777777" w:rsidTr="00F53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54"/>
        </w:trPr>
        <w:tc>
          <w:tcPr>
            <w:tcW w:w="4451" w:type="dxa"/>
            <w:tcMar>
              <w:top w:w="0" w:type="dxa"/>
              <w:left w:w="45" w:type="dxa"/>
              <w:bottom w:w="0" w:type="dxa"/>
              <w:right w:w="45" w:type="dxa"/>
            </w:tcMar>
            <w:vAlign w:val="bottom"/>
          </w:tcPr>
          <w:p w14:paraId="18B2A674" w14:textId="77777777" w:rsidR="003E400D" w:rsidRPr="003E400D" w:rsidRDefault="003E400D" w:rsidP="00F53D71">
            <w:pPr>
              <w:spacing w:after="0" w:line="240" w:lineRule="auto"/>
              <w:rPr>
                <w:rFonts w:ascii="Times New Roman" w:eastAsia="Times New Roman" w:hAnsi="Times New Roman" w:cs="Times New Roman"/>
                <w:sz w:val="24"/>
                <w:szCs w:val="24"/>
              </w:rPr>
            </w:pPr>
            <w:proofErr w:type="spellStart"/>
            <w:r w:rsidRPr="003E400D">
              <w:rPr>
                <w:rFonts w:ascii="Times New Roman" w:eastAsia="Times New Roman" w:hAnsi="Times New Roman" w:cs="Times New Roman"/>
                <w:sz w:val="24"/>
                <w:szCs w:val="24"/>
              </w:rPr>
              <w:t>Bijani</w:t>
            </w:r>
            <w:proofErr w:type="spellEnd"/>
            <w:r w:rsidRPr="003E400D">
              <w:rPr>
                <w:rFonts w:ascii="Times New Roman" w:eastAsia="Times New Roman" w:hAnsi="Times New Roman" w:cs="Times New Roman"/>
                <w:sz w:val="24"/>
                <w:szCs w:val="24"/>
              </w:rPr>
              <w:t xml:space="preserve"> et al. (2018)</w:t>
            </w:r>
            <w:r w:rsidRPr="003E400D">
              <w:rPr>
                <w:rFonts w:ascii="Times New Roman" w:eastAsia="Times New Roman" w:hAnsi="Times New Roman" w:cs="Times New Roman"/>
                <w:sz w:val="24"/>
                <w:szCs w:val="24"/>
              </w:rPr>
              <w:fldChar w:fldCharType="begin" w:fldLock="1"/>
            </w:r>
            <w:r w:rsidRPr="003E400D">
              <w:rPr>
                <w:rFonts w:ascii="Times New Roman" w:eastAsia="Times New Roman" w:hAnsi="Times New Roman" w:cs="Times New Roman"/>
                <w:sz w:val="24"/>
                <w:szCs w:val="24"/>
              </w:rPr>
              <w:instrText>ADDIN CSL_CITATION {"citationItems":[{"id":"ITEM-1","itemData":{"DOI":"10.22088/cjim.9.1.78","ISSN":"20086172","abstract":"Background: The study was conducted to assess reliability of modified semi-quantitative food frequency questionnaire (SQFFQ) as a part of the Amirkola Health and Aging Project (AHAP). Methods: The study was carried out in a sample of 200 men and women aged 60 years and older. A 138-item SQFFQ and two 24-hour dietary recalls were completed. The reliability of SQFFQ was evaluated by comparing eighteen food groups, energy and nutrient intakes derived from both methods using Spearman and Pearson's correlation coefficients for food groups and nutrients, respectively. Bland-Altman plots and Pitman's tests were applied to compare the two dietary assessment methods. Results: The mean (SD) age of subjects was 68.16 (6.56) years. The average energy intake from 24-hour dietary recalls and the SQFFQ were 1470.2 and 1535.4 kcal/day, respectively. Spearman correlation coefficients, comparing food groups intake based on two dietary assessment methods ranged from 0.25 (meat) to 0.62 (tea and coffee) in men and from 0.39 (whole grains) to 0.60 (sugars) in women. Pearson coefficients for energy and macronutrients were 0.53 for energy to 0.21 for zinc in male and 0.71 for energy to 0.26 for vitamin C in females. The Pitman's test reflected the reasonable agreement between the mean energy and macronutrients of the SQFFQ and 24-hour recalls. Conclusions: The modified SQFFQ that was designed for the AHAP was found to be reliable for assessing the intake of several food groups, energy, micro-and macronutrients.","author":[{"dropping-particle":"","family":"Bijani","given":"Ali","non-dropping-particle":"","parse-names":false,"suffix":""},{"dropping-particle":"","family":"Esmaili","given":"Haleh","non-dropping-particle":"","parse-names":false,"suffix":""},{"dropping-particle":"","family":"Ghadimi","given":"Reza","non-dropping-particle":"","parse-names":false,"suffix":""},{"dropping-particle":"","family":"Babazadeh","given":"Atekeh","non-dropping-particle":"","parse-names":false,"suffix":""},{"dropping-particle":"","family":"Rezaei","given":"Reyhaneh","non-dropping-particle":"","parse-names":false,"suffix":""},{"dropping-particle":"","family":"Cumming","given":"Robert G.","non-dropping-particle":"","parse-names":false,"suffix":""},{"dropping-particle":"","family":"Hosseini","given":"Seyed Reza","non-dropping-particle":"","parse-names":false,"suffix":""}],"container-title":"Caspian Journal of Internal Medicine","id":"ITEM-1","issue":"1","issued":{"date-parts":[["2018"]]},"page":"78-86","publisher":"Babol University of Medical Sciences","title":"Development and validation of a Semi-quantitative food frequency questionnaire among older people in north of Iran","type":"article-journal","volume":"9"},"uris":["http://www.mendeley.com/documents/?uuid=174dfa05-9e0f-301b-a21d-613731384e83"]}],"mendeley":{"formattedCitation":"&lt;sup&gt;(55)&lt;/sup&gt;","plainTextFormattedCitation":"(55)","previouslyFormattedCitation":"&lt;sup&gt;(55)&lt;/sup&gt;"},"properties":{"noteIndex":0},"schema":"https://github.com/citation-style-language/schema/raw/master/csl-citation.json"}</w:instrText>
            </w:r>
            <w:r w:rsidRPr="003E400D">
              <w:rPr>
                <w:rFonts w:ascii="Times New Roman" w:eastAsia="Times New Roman" w:hAnsi="Times New Roman" w:cs="Times New Roman"/>
                <w:sz w:val="24"/>
                <w:szCs w:val="24"/>
              </w:rPr>
              <w:fldChar w:fldCharType="separate"/>
            </w:r>
            <w:r w:rsidRPr="003E400D">
              <w:rPr>
                <w:rFonts w:ascii="Times New Roman" w:eastAsia="Times New Roman" w:hAnsi="Times New Roman" w:cs="Times New Roman"/>
                <w:noProof/>
                <w:sz w:val="24"/>
                <w:szCs w:val="24"/>
                <w:vertAlign w:val="superscript"/>
              </w:rPr>
              <w:t>(55)</w:t>
            </w:r>
            <w:r w:rsidRPr="003E400D">
              <w:rPr>
                <w:rFonts w:ascii="Times New Roman" w:eastAsia="Times New Roman" w:hAnsi="Times New Roman" w:cs="Times New Roman"/>
                <w:sz w:val="24"/>
                <w:szCs w:val="24"/>
              </w:rPr>
              <w:fldChar w:fldCharType="end"/>
            </w:r>
          </w:p>
        </w:tc>
        <w:tc>
          <w:tcPr>
            <w:tcW w:w="392" w:type="dxa"/>
            <w:shd w:val="clear" w:color="auto" w:fill="008000"/>
            <w:tcMar>
              <w:top w:w="0" w:type="dxa"/>
              <w:left w:w="45" w:type="dxa"/>
              <w:bottom w:w="0" w:type="dxa"/>
              <w:right w:w="45" w:type="dxa"/>
            </w:tcMar>
            <w:vAlign w:val="bottom"/>
          </w:tcPr>
          <w:p w14:paraId="18A8759A"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11B45709"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4E7BAFB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7A0FCE59"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4B6C1D40"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0DAAEFE7"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71C2279D"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4076A2CD"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22507A8D"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79646"/>
            <w:tcMar>
              <w:top w:w="0" w:type="dxa"/>
              <w:left w:w="45" w:type="dxa"/>
              <w:bottom w:w="0" w:type="dxa"/>
              <w:right w:w="45" w:type="dxa"/>
            </w:tcMar>
            <w:vAlign w:val="bottom"/>
          </w:tcPr>
          <w:p w14:paraId="047A322B"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5EE33EE9"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4EF15FB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1CF0C41F"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5BA0A34A" w14:textId="77777777" w:rsidR="003E400D" w:rsidRDefault="003E400D" w:rsidP="00F53D71">
            <w:pPr>
              <w:spacing w:after="0" w:line="240" w:lineRule="auto"/>
              <w:rPr>
                <w:rFonts w:ascii="Times New Roman" w:eastAsia="Times New Roman" w:hAnsi="Times New Roman" w:cs="Times New Roman"/>
                <w:sz w:val="24"/>
                <w:szCs w:val="24"/>
              </w:rPr>
            </w:pPr>
          </w:p>
        </w:tc>
      </w:tr>
      <w:tr w:rsidR="003E400D" w14:paraId="233DD749" w14:textId="77777777" w:rsidTr="00F53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54"/>
        </w:trPr>
        <w:tc>
          <w:tcPr>
            <w:tcW w:w="4451" w:type="dxa"/>
            <w:tcMar>
              <w:top w:w="0" w:type="dxa"/>
              <w:left w:w="45" w:type="dxa"/>
              <w:bottom w:w="0" w:type="dxa"/>
              <w:right w:w="45" w:type="dxa"/>
            </w:tcMar>
            <w:vAlign w:val="bottom"/>
          </w:tcPr>
          <w:p w14:paraId="2998175C" w14:textId="77777777" w:rsidR="003E400D" w:rsidRPr="003E400D" w:rsidRDefault="003E400D" w:rsidP="00F53D71">
            <w:pPr>
              <w:spacing w:after="0" w:line="240" w:lineRule="auto"/>
              <w:rPr>
                <w:rFonts w:ascii="Times New Roman" w:eastAsia="Times New Roman" w:hAnsi="Times New Roman" w:cs="Times New Roman"/>
                <w:sz w:val="24"/>
                <w:szCs w:val="24"/>
              </w:rPr>
            </w:pPr>
            <w:r w:rsidRPr="003E400D">
              <w:rPr>
                <w:rFonts w:ascii="Times New Roman" w:eastAsia="Times New Roman" w:hAnsi="Times New Roman" w:cs="Times New Roman"/>
                <w:sz w:val="24"/>
                <w:szCs w:val="24"/>
              </w:rPr>
              <w:t>Beck et al. (2019)</w:t>
            </w:r>
            <w:r w:rsidRPr="003E400D">
              <w:rPr>
                <w:rFonts w:ascii="Times New Roman" w:eastAsia="Times New Roman" w:hAnsi="Times New Roman" w:cs="Times New Roman"/>
                <w:sz w:val="24"/>
                <w:szCs w:val="24"/>
              </w:rPr>
              <w:fldChar w:fldCharType="begin" w:fldLock="1"/>
            </w:r>
            <w:r w:rsidRPr="003E400D">
              <w:rPr>
                <w:rFonts w:ascii="Times New Roman" w:eastAsia="Times New Roman" w:hAnsi="Times New Roman" w:cs="Times New Roman"/>
                <w:sz w:val="24"/>
                <w:szCs w:val="24"/>
              </w:rPr>
              <w:instrText>ADDIN CSL_CITATION {"citationItems":[{"id":"ITEM-1","itemData":{"DOI":"10.1111/1747-0080.12472","ISSN":"17470080","abstract":"Aim: In New Zealand, there are few adequate food frequency questionnaires for assessing dietary intake. This study aimed to develop and assess the relative validity of a multi-nutrient, culturally appropriate, semi-quantitative food frequency questionnaire for use in young adult New Zealand women (the New Zealand Women's Food Frequency Questionnaire (NZWFFQ)). Methods: Women (n = 110) aged 16–45 years of Māori, Pacific or European ethnicity completed a NZWFFQ assessing dietary intake over the previous month, and a 4-day weighed food record. Relative validity was evaluated by comparing nutrient intakes from the NZWFFQ with the food record using Spearman's rank correlation coefficients, cross-classification, the weighted kappa statistic and Bland–Altman analysis. Results: Nutrient intake was higher from the NZWFFQ compared with the food record for all nutrients (range: 1%–64% difference) except alcohol (−16% difference). Energy-adjusted correlations ranged from 0.23 to 0.67 (average 0.48). Correct classification into same and adjacent quartiles was over 70% for all nutrients except folate and vitamin D. Gross misclassification into opposite quartiles ranged from 1% (monounsaturated fat, magnesium, calcium) to 10% (iron). The weighted kappa showed poor agreement for vitamin D and folate, fair agreement for most nutrients, and moderate agreement for fibre, vitamin E, magnesium, calcium and phosphorus. Conclusions: The NZWFFQ overestimated intake of nearly all nutrients. While not suitable for assessing absolute intake, the NZWFFQ is suitable for ranking individuals based on nutrient intake demonstrating reasonable relative validity for this purpose.","author":[{"dropping-particle":"","family":"Beck","given":"Kathryn L.","non-dropping-particle":"","parse-names":false,"suffix":""},{"dropping-particle":"","family":"Houston","given":"Zara L.","non-dropping-particle":"","parse-names":false,"suffix":""},{"dropping-particle":"","family":"McNaughton","given":"Sarah A.","non-dropping-particle":"","parse-names":false,"suffix":""},{"dropping-particle":"","family":"Kruger","given":"Rozanne","non-dropping-particle":"","parse-names":false,"suffix":""}],"container-title":"Nutrition and Dietetics","id":"ITEM-1","issued":{"date-parts":[["2018","9","14"]]},"publisher":"Blackwell Publishing Ltd","title":"Development and evaluation of a food frequency questionnaire to assess nutrient intakes of adult women in New Zealand","type":"article-journal"},"uris":["http://www.mendeley.com/documents/?uuid=2f7bd62d-e6d5-361b-bf13-27a0eff881d6"]}],"mendeley":{"formattedCitation":"&lt;sup&gt;(68)&lt;/sup&gt;","plainTextFormattedCitation":"(68)","previouslyFormattedCitation":"&lt;sup&gt;(68)&lt;/sup&gt;"},"properties":{"noteIndex":0},"schema":"https://github.com/citation-style-language/schema/raw/master/csl-citation.json"}</w:instrText>
            </w:r>
            <w:r w:rsidRPr="003E400D">
              <w:rPr>
                <w:rFonts w:ascii="Times New Roman" w:eastAsia="Times New Roman" w:hAnsi="Times New Roman" w:cs="Times New Roman"/>
                <w:sz w:val="24"/>
                <w:szCs w:val="24"/>
              </w:rPr>
              <w:fldChar w:fldCharType="separate"/>
            </w:r>
            <w:r w:rsidRPr="003E400D">
              <w:rPr>
                <w:rFonts w:ascii="Times New Roman" w:eastAsia="Times New Roman" w:hAnsi="Times New Roman" w:cs="Times New Roman"/>
                <w:noProof/>
                <w:sz w:val="24"/>
                <w:szCs w:val="24"/>
                <w:vertAlign w:val="superscript"/>
              </w:rPr>
              <w:t>(68)</w:t>
            </w:r>
            <w:r w:rsidRPr="003E400D">
              <w:rPr>
                <w:rFonts w:ascii="Times New Roman" w:eastAsia="Times New Roman" w:hAnsi="Times New Roman" w:cs="Times New Roman"/>
                <w:sz w:val="24"/>
                <w:szCs w:val="24"/>
              </w:rPr>
              <w:fldChar w:fldCharType="end"/>
            </w:r>
          </w:p>
        </w:tc>
        <w:tc>
          <w:tcPr>
            <w:tcW w:w="392" w:type="dxa"/>
            <w:shd w:val="clear" w:color="auto" w:fill="008000"/>
            <w:tcMar>
              <w:top w:w="0" w:type="dxa"/>
              <w:left w:w="45" w:type="dxa"/>
              <w:bottom w:w="0" w:type="dxa"/>
              <w:right w:w="45" w:type="dxa"/>
            </w:tcMar>
            <w:vAlign w:val="bottom"/>
          </w:tcPr>
          <w:p w14:paraId="4AC4F053"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00447A12"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5E0BB6D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02714533"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4E786C26"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7CD9D79A"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4C313212"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165AB196"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305B813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79646"/>
            <w:tcMar>
              <w:top w:w="0" w:type="dxa"/>
              <w:left w:w="45" w:type="dxa"/>
              <w:bottom w:w="0" w:type="dxa"/>
              <w:right w:w="45" w:type="dxa"/>
            </w:tcMar>
            <w:vAlign w:val="bottom"/>
          </w:tcPr>
          <w:p w14:paraId="4177E308"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2F4D8685"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4C2E6346"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2AA34ECB"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56129DD5" w14:textId="77777777" w:rsidR="003E400D" w:rsidRDefault="003E400D" w:rsidP="00F53D71">
            <w:pPr>
              <w:spacing w:after="0" w:line="240" w:lineRule="auto"/>
              <w:rPr>
                <w:rFonts w:ascii="Times New Roman" w:eastAsia="Times New Roman" w:hAnsi="Times New Roman" w:cs="Times New Roman"/>
                <w:sz w:val="24"/>
                <w:szCs w:val="24"/>
              </w:rPr>
            </w:pPr>
          </w:p>
        </w:tc>
      </w:tr>
      <w:tr w:rsidR="003E400D" w:rsidRPr="008A448F" w14:paraId="3C6FA64D" w14:textId="77777777" w:rsidTr="00F53D71">
        <w:trPr>
          <w:trHeight w:val="54"/>
        </w:trPr>
        <w:tc>
          <w:tcPr>
            <w:tcW w:w="4451" w:type="dxa"/>
            <w:tcMar>
              <w:top w:w="0" w:type="dxa"/>
              <w:left w:w="45" w:type="dxa"/>
              <w:bottom w:w="0" w:type="dxa"/>
              <w:right w:w="45" w:type="dxa"/>
            </w:tcMar>
            <w:vAlign w:val="bottom"/>
            <w:hideMark/>
          </w:tcPr>
          <w:p w14:paraId="1678DC5F"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Willet et al. (1987)</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{"citationItems":[{"id":"ITEM-1","itemData":{"ISSN":"0002-8223","PMID":"3794132","abstract":"The validity of a self-administered semi-quantitative food frequency questionnaire was evaluated for a group of 27 men and women aged 20 to 54. Intakes of 18 nutrients computed from the questionnaire were compared with those derived from 1-year diet records completed approximately 18 months earlier. The questionnaire estimates of mean nutrient intake were within 10% of the mean diet record measurements for 11 of the 18 nutrients evaluated, and the difference was less than 25% for all but one nutrient (total vitamin A). Correlation coefficients comparing unadjusted nutrient intakes measured by the two methods ranged from 0.38 (vitamin C) to more than 0.65 (total calories, total fat, saturated fat, polyunsaturated fat, oleic acid, and cholesterol). The overall mean of correlation coefficients comparing intakes of the 18 nutrients measured by questionnaire and by diet record was 0.60. Coefficients for macronutrients decreased somewhat after adjustment for age and gender or caloric intake. The data provide further evidence that a simple and relatively inexpensive questionnaire can provide useful information on dietary intake over an extended period.","author":[{"dropping-particle":"","family":"Willett","given":"W C","non-dropping-particle":"","parse-names":false,"suffix":""},{"dropping-particle":"","family":"Reynolds","given":"R D","non-dropping-particle":"","parse-names":false,"suffix":""},{"dropping-particle":"","family":"Cottrell-Hoehner","given":"S","non-dropping-particle":"","parse-names":false,"suffix":""},{"dropping-particle":"","family":"Sampson","given":"L","non-dropping-particle":"","parse-names":false,"suffix":""},{"dropping-particle":"","family":"Browne","given":"M L","non-dropping-particle":"","parse-names":false,"suffix":""}],"container-title":"Journal of the American Dietetic Association","id":"ITEM-1","issue":"1","issued":{"date-parts":[["1987","1"]]},"page":"43-47","title":"Validation of a semi-quantitative food frequency questionnaire: comparison with a 1-year diet record.","type":"article-journal","volume":"87"},"uris":["http://www.mendeley.com/documents/?uuid=4d094e5d-c099-3389-8523-a25930786f23"]}],"mendeley":{"formattedCitation":"&lt;sup&gt;(13)&lt;/sup&gt;","plainTextFormattedCitation":"(13)","previouslyFormattedCitation":"&lt;sup&gt;(13)&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(13)</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5AADB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6B7EB3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8C7FE1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B6A9E8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4507E6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F0E1BD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B4F12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395BF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2D9B9F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75BFA79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48C756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B8056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58B9F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86241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07D409E" w14:textId="77777777" w:rsidTr="00F53D71">
        <w:trPr>
          <w:trHeight w:val="54"/>
        </w:trPr>
        <w:tc>
          <w:tcPr>
            <w:tcW w:w="4451" w:type="dxa"/>
            <w:tcMar>
              <w:top w:w="0" w:type="dxa"/>
              <w:left w:w="45" w:type="dxa"/>
              <w:bottom w:w="0" w:type="dxa"/>
              <w:right w:w="45" w:type="dxa"/>
            </w:tcMar>
            <w:vAlign w:val="bottom"/>
            <w:hideMark/>
          </w:tcPr>
          <w:p w14:paraId="224B9976"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Rimm et al. (1992)</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{"citationItems":[{"id":"ITEM-1","itemData":{"author":[{"dropping-particle":"","family":"Katsouyanni","given":"Klea","non-dropping-particle":"","parse-names":false,"suffix":""},{"dropping-particle":"","family":"Rimm","given":"Eric B","non-dropping-particle":"","parse-names":false,"suffix":""},{"dropping-particle":"","family":"Gnardellis","given":"Charalambos","non-dropping-particle":"","parse-names":false,"suffix":""},{"dropping-particle":"","family":"Trichopoulos","given":"Dimitrios","non-dropping-particle":"","parse-names":false,"suffix":""},{"dropping-particle":"","family":"Polychronopoulos","given":"Evangelos","non-dropping-particle":"","parse-names":false,"suffix":""},{"dropping-particle":"","family":"Trichopoulou","given":"Antonia","non-dropping-particle":"","parse-names":false,"suffix":""}],"container-title":"International Journal of Epidemiology","id":"ITEM-1","issue":"1","issued":{"date-parts":[["1997"]]},"page":"118-127","title":"Reproducibility and Relative Validity of an Extensive Semi-Quantitative Food Frequency Questionnaire using Dietary Records and Biochemical Markers among Greek Schoolteachers","type":"article-journal","volume":"26"},"uris":["http://www.mendeley.com/documents/?uuid=8affde26-6000-48c7-aeb3-d5768d1f9665"]}],"mendeley":{"formattedCitation":"&lt;sup&gt;(10)&lt;/sup&gt;","plainTextFormattedCitation":"(10)","previouslyFormattedCitation":"&lt;sup&gt;(10)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506475">
              <w:rPr>
                <w:rFonts w:ascii="Times New Roman" w:eastAsia="Times New Roman" w:hAnsi="Times New Roman" w:cs="Times New Roman"/>
                <w:noProof/>
                <w:color w:val="000000"/>
                <w:sz w:val="24"/>
                <w:szCs w:val="24"/>
                <w:vertAlign w:val="superscript"/>
                <w:lang w:val="es-MX" w:eastAsia="es-ES"/>
              </w:rPr>
              <w:t>(10)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494B144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0554A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32062C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C79BE9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59161F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568735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1E6B7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0D5BF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288D10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6CD69F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1672DF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E5AC1D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ACADA3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321BDD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0C8E9ACB" w14:textId="77777777" w:rsidTr="00F53D71">
        <w:trPr>
          <w:trHeight w:val="54"/>
        </w:trPr>
        <w:tc>
          <w:tcPr>
            <w:tcW w:w="4451" w:type="dxa"/>
            <w:tcMar>
              <w:top w:w="0" w:type="dxa"/>
              <w:left w:w="45" w:type="dxa"/>
              <w:bottom w:w="0" w:type="dxa"/>
              <w:right w:w="45" w:type="dxa"/>
            </w:tcMar>
            <w:vAlign w:val="bottom"/>
            <w:hideMark/>
          </w:tcPr>
          <w:p w14:paraId="7024C0DE"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Feskanich et al. (1994)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{"citationItems":[{"id":"ITEM-1","itemData":{"abstract":"Nutrient assessment by the brief 45-item food frequency questionnaire used in the New York State Cohort was simulated by reducing the food list and frequency-of-use categories of the extensive 131-food item semiquantitative questionnaire used in the Health Professionals Follow-up Study. As a validation of the brief questionnaire, daily nutrient intakes were calculated following simulation procedures for 127 men who completed the extensive questionnaire, and the values were compared with those from two 1-week diet records in the same population. Deattenuated correlation coefficients for 25 energy-adjusted nutrient values ranged from 0.12 for iron to 0.76 for vitamin C (mean, 0.26). The brief questionnaire appears reasonably effective in assessing relative dietary intakes of total fat, saturated fat, monounsaturated fat, carbohydrate, dietary fiber, carotene, vitamin C, calcium, potassium, and magnesium. Modest improvements in the correlations for most nutrients were seen when the number of frequency-of-use categories was increased. Correlations decreased when nutrient intakes were calculated using regression coefficients instead of a conventional nutrient database.","author":[{"dropping-particle":"","family":"Feskanich","given":"D","non-dropping-particle":"","parse-names":false,"suffix":""},{"dropping-particle":"","family":"Marshall","given":"J","non-dropping-particle":"","parse-names":false,"suffix":""},{"dropping-particle":"","family":"Rimm","given":"E B","non-dropping-particle":"","parse-names":false,"suffix":""},{"dropping-particle":"","family":"Litin","given":"L B","non-dropping-particle":"","parse-names":false,"suffix":""},{"dropping-particle":"","family":"Willett","given":"W C","non-dropping-particle":"","parse-names":false,"suffix":""}],"container-title":"Ann Epidemiol","id":"ITEM-1","issue":"3","issued":{"date-parts":[["1994"]]},"page":"181-187","title":"Simulated validation of a brief food frequency questionnaire","type":"article-journal","volume":"4"},"uris":["http://www.mendeley.com/documents/?uuid=7eb969cd-049d-4953-8f4a-ae960a9022f0"]}],"mendeley":{"formattedCitation":"&lt;sup&gt;(46)&lt;/sup&gt;","plainTextFormattedCitation":"(46)","previouslyFormattedCitation":"&lt;sup&gt;(46)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4D07EBD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3EEDC2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D8006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836A0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3874DA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8BA17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627F0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545D0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426C3E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DA1F0D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8A2687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98F563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AEAFE1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422226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459B7FD2" w14:textId="77777777" w:rsidTr="00F53D71">
        <w:trPr>
          <w:trHeight w:val="54"/>
        </w:trPr>
        <w:tc>
          <w:tcPr>
            <w:tcW w:w="4451" w:type="dxa"/>
            <w:tcMar>
              <w:top w:w="0" w:type="dxa"/>
              <w:left w:w="45" w:type="dxa"/>
              <w:bottom w:w="0" w:type="dxa"/>
              <w:right w:w="45" w:type="dxa"/>
            </w:tcMar>
            <w:vAlign w:val="bottom"/>
            <w:hideMark/>
          </w:tcPr>
          <w:p w14:paraId="55D51B43"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Rodríguez et al. (2002)</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{"citationItems":[{"id":"ITEM-1","itemData":{"abstract":"OBJECTIVE: The purpose of the study was to assess the validity of a 52-item semi-quantitative food-frequency questionnaire (FFQ) by comparing it with multiple 24-hour dietary recalls. DESIGN: Three non-consecutive 24-hour dietary recalls and one FFQ were administered over a one-month period. SETTING: Four communities of El Progreso, Guatemala. SUBJECTS: Seventy-three individuals aged 22-55 years. RESULTS:: Intakes of energy and other nutrients as measured by the FFQ were higher than intakes measured by 24-hour recalls. Energy was overestimated by 361 kcal, and nutrient overestimates were particularly great for vitamin C and iron. Pearson correlation coefficients for crude energy and nutrients intakes ranged from 0.64 for energy to 0.12 for vitamin C. Exact agreement for both methods (measured by the concordance correlation coefficient) ranged from 0.59 (fat) to 0.06 (vitamin C). Pearson correlation coefficients for energy-adjusted nutrients ranged from 0.59 (carbohydrates) to 0.11 (thiamin). Pearson correlation coefficients for the proportion of total energy derived from specific foods ranged from 0.59 (tortillas) to 0.01 (sugared beverages). Cross-classification of quartiles of crude nutrient intakes for both methods indicated that &lt;11% were grossly misclassified; after adjusting for energy intake, &lt;13% were grossly misclassified. CONCLUSIONS: This FFQ provides good measures of energy and macronutrient intakes and a reasonably reliable measure of micronutrient intake, indicating its suitability for comparing exposures within a study population in reference to heath-related endpoints. Our results highlight the need to adapt any FFQ to specific cultural needs - in this case, the Guatemalan 'core foods' (tortilla, bread and beans), for which inter-individual variability in intake is high.","author":[{"dropping-particle":"","family":"Rodríguez","given":"Monica M","non-dropping-particle":"","parse-names":false,"suffix":""},{"dropping-particle":"","family":"Méndez","given":"Humberto","non-dropping-particle":"","parse-names":false,"suffix":""},{"dropping-particle":"","family":"Torún","given":"Benjamín","non-dropping-particle":"","parse-names":false,"suffix":""},{"dropping-particle":"","family":"Schroeder","given":"Dirk","non-dropping-particle":"","parse-names":false,"suffix":""},{"dropping-particle":"","family":"Stein","given":"Aryeh D","non-dropping-particle":"","parse-names":false,"suffix":""}],"container-title":"Public health nutrition","id":"ITEM-1","issue":"5","issued":{"date-parts":[["2002"]]},"page":"691-699","title":"Validation of a semi-quantitative food-frequency questionnaire for use among adults in Guatemala.","type":"article-journal","volume":"5"},"uris":["http://www.mendeley.com/documents/?uuid=9bec4d27-b65c-49f3-b3c7-536ad6f5e053"]}],"mendeley":{"formattedCitation":"&lt;sup&gt;(40)&lt;/sup&gt;","plainTextFormattedCitation":"(40)","previouslyFormattedCitation":"&lt;sup&gt;(40)&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(40)</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6B83B80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73894F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0B814F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108E88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DCE322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A65EBB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31094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E22094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1ACBA6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11C4A8F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093A95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BD4F1C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34C6AD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5AA69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374B5656" w14:textId="77777777" w:rsidTr="00F53D71">
        <w:trPr>
          <w:trHeight w:val="67"/>
        </w:trPr>
        <w:tc>
          <w:tcPr>
            <w:tcW w:w="4451" w:type="dxa"/>
            <w:tcMar>
              <w:top w:w="0" w:type="dxa"/>
              <w:left w:w="45" w:type="dxa"/>
              <w:bottom w:w="0" w:type="dxa"/>
              <w:right w:w="45" w:type="dxa"/>
            </w:tcMar>
            <w:vAlign w:val="bottom"/>
            <w:hideMark/>
          </w:tcPr>
          <w:p w14:paraId="7983737A"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lastRenderedPageBreak/>
              <w:t>Masson et al. (2003)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{"citationItems":[{"id":"ITEM-1","itemData":{"author":[{"dropping-particle":"","family":"Masson","given":"L F","non-dropping-particle":"","parse-names":false,"suffix":""},{"dropping-particle":"","family":"MCNeill","given":"G","non-dropping-particle":"","parse-names":false,"suffix":""},{"dropping-particle":"","family":"Tomany","given":"J O","non-dropping-particle":"","parse-names":false,"suffix":""},{"dropping-particle":"","family":"Simpson","given":"J A","non-dropping-particle":"","parse-names":false,"suffix":""},{"dropping-particle":"","family":"Peace","given":"H S","non-dropping-particle":"","parse-names":false,"suffix":""},{"dropping-particle":"","family":"Wei","given":"L","non-dropping-particle":"","parse-names":false,"suffix":""},{"dropping-particle":"","family":"Grubb","given":"D A","non-dropping-particle":"","parse-names":false,"suffix":""}],"container-title":"Public Health Nutr.","id":"ITEM-1","issue":"3","issued":{"date-parts":[["2003"]]},"page":"313-321","title":"Statistical approaches for assessing the relative validity of a food-frequency questionnaire : use of correlation coefficients and the kappa statistic","type":"article-journal","volume":"6"},"uris":["http://www.mendeley.com/documents/?uuid=2d1891fc-3c4c-43ce-91cd-47a71b8c8526"]}],"mendeley":{"formattedCitation":"&lt;sup&gt;(16)&lt;/sup&gt;","plainTextFormattedCitation":"(16)","previouslyFormattedCitation":"&lt;sup&gt;(16)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42F207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A16C73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6E468C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94B38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AB7E09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B30C5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9051BC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40886C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36274B1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1C77D6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C5A478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E7795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CAF794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2CCD6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437CC5B1" w14:textId="77777777" w:rsidTr="00F53D71">
        <w:trPr>
          <w:trHeight w:val="54"/>
        </w:trPr>
        <w:tc>
          <w:tcPr>
            <w:tcW w:w="4451" w:type="dxa"/>
            <w:tcMar>
              <w:top w:w="0" w:type="dxa"/>
              <w:left w:w="45" w:type="dxa"/>
              <w:bottom w:w="0" w:type="dxa"/>
              <w:right w:w="45" w:type="dxa"/>
            </w:tcMar>
            <w:vAlign w:val="bottom"/>
            <w:hideMark/>
          </w:tcPr>
          <w:p w14:paraId="603BFE60"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Barret et al. (2010)</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{"citationItems":[{"id":"ITEM-1","itemData":{"ISSN":"1878-3570","PMID":"20869485","abstract":"BACKGROUND Fermentable, short chain carbohydrates (FODMAPs) have been identified as triggers for functional gastrointestinal symptoms. In addition, excess FODMAP consumption has been implicated in the onset of Crohn's disease, and animal studies suggest that a low glycemic index diet can impair absorption of fructose, a major dietary FODMAP. Such hypotheses cannot be tested without the ability to quantify FODMAP ingestion with a validated dietary assessment tool. OBJECTIVE To assess the validity and reproducibility of a 297-item comprehensive, semi-quantitative food frequency questionnaire (FFQ) in estimating intake of macro- and micronutrients, FODMAPs, and glycemic index/load. SUBJECTS/SETTING One hundred healthy participants were recruited to complete the FFQ on two occasions, plus four 1-week food diaries kept during a 12-month period. Participants exhibiting major dietary change during the study period or low energy reporting on the FFQ were excluded. MAIN OUTCOME MEASURES Validation and reproducibility of the semi-quantitative FFQ by comparison with the mean of four 1-week food diaries. STATISTICAL ANALYSES PERFORMED Validation was assessed using Wilcoxon signed rank test, Spearman's correlation, Bland-Altman, and weighted κ statistics. Reproducibility was examined using Shrout-Fleiss intraclass correlation coefficient. RESULTS Seventy-two participants fulfilled inclusion and exclusion criteria. Demographics of the participants were comparable with 2006 Australian Census data. Consistent with other reported FFQs, the FFQ overestimated nutrient intake by a mean 140% (range=95% to 249%). However, based on the other analyses performed, it demonstrated validity for intake of sugars, fiber, alcohol, glycemic index, glucose, FODMAPs, calcium, folate, phosphate, potassium, iron, and magnesium; moderate validation for energy, total fat, saturated fat, carbohydrates, sodium, thiamin, sucrose, and retinol; poor validation for protein, mono/polyunsaturated fat, starch, glycemic load, niacin, and zinc. Riboflavin intake was not validated. Intraclass correlation coefficients for reproducibility ranged from 0.352 to 0.928. CONCLUSIONS The FFQ was validated for assessment of a wide range of nutrients, including the new class of carbohydrates, FODMAPs, and glycemic index. This provides a useful tool for dietary research, particularly in the area of gastroenterological disorders.","author":[{"dropping-particle":"","family":"Barrett","given":"Jacqueline S","non-dropping-particle":"","parse-names":false,"suffix":""},{"dropping-particle":"","family":"Gibson","given":"Peter R","non-dropping-particle":"","parse-names":false,"suffix":""}],"container-title":"Journal of the American Dietetic Association","id":"ITEM-1","issue":"10","issued":{"date-parts":[["2010","10"]]},"page":"1469-1476","title":"Development and validation of a comprehensive semi-quantitative food frequency questionnaire that includes FODMAP intake and glycemic index.","type":"article-journal","volume":"110"},"uris":["http://www.mendeley.com/documents/?uuid=f6623037-f6d0-31d7-aa1c-32e509b03443"]}],"mendeley":{"formattedCitation":"&lt;sup&gt;(64)&lt;/sup&gt;","plainTextFormattedCitation":"(64)","previouslyFormattedCitation":"&lt;sup&gt;(64)&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(64)</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789AA09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F1064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2EE540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C19A1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E66BD3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675F4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629D11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D4826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33FF4B0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3ED2E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D233C2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BC726D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22ADAC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118E7A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FA4A3DD" w14:textId="77777777" w:rsidTr="00F53D71">
        <w:trPr>
          <w:trHeight w:val="54"/>
        </w:trPr>
        <w:tc>
          <w:tcPr>
            <w:tcW w:w="4451" w:type="dxa"/>
            <w:tcMar>
              <w:top w:w="0" w:type="dxa"/>
              <w:left w:w="45" w:type="dxa"/>
              <w:bottom w:w="0" w:type="dxa"/>
              <w:right w:w="45" w:type="dxa"/>
            </w:tcMar>
            <w:vAlign w:val="bottom"/>
            <w:hideMark/>
          </w:tcPr>
          <w:p w14:paraId="24B8FC15"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Jayawarena et al. (2016)</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{"citationItems":[{"id":"ITEM-1","itemData":{"ISSN":"2193-1801","author":[{"dropping-particle":"","family":"Jayawardena","given":"Ranil","non-dropping-particle":"","parse-names":false,"suffix":""},{"dropping-particle":"","family":"Byrne","given":"Nuala M","non-dropping-particle":"","parse-names":false,"suffix":""},{"dropping-particle":"","family":"Soares","given":"Mario J","non-dropping-particle":"","parse-names":false,"suffix":""},{"dropping-particle":"","family":"Katulanda","given":"Prasad","non-dropping-particle":"","parse-names":false,"suffix":""},{"dropping-particle":"","family":"Hills","given":"Andrew P","non-dropping-particle":"","parse-names":false,"suffix":""}],"container-title":"SpringerPlus","id":"ITEM-1","issued":{"date-parts":[["2016"]]},"page":"162","title":"Validity of a food frequency questionnaire to assess nutritional intake among Sri Lankan adults","type":"article-journal","volume":"5"},"uris":["http://www.mendeley.com/documents/?uuid=3f79ce7e-5393-4fea-846b-71b174c0845b"]}],"mendeley":{"formattedCitation":"&lt;sup&gt;(56)&lt;/sup&gt;","plainTextFormattedCitation":"(56)","previouslyFormattedCitation":"&lt;sup&gt;(56)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67AB70D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715DA2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C5FCEE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2917CF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273CBA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F596B5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476B02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84FF1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1DF288F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7C7D1DE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6F2281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2FA26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1A0CC1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0C1389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07B2B16" w14:textId="77777777" w:rsidTr="00F53D71">
        <w:trPr>
          <w:trHeight w:val="54"/>
        </w:trPr>
        <w:tc>
          <w:tcPr>
            <w:tcW w:w="4451" w:type="dxa"/>
            <w:tcMar>
              <w:top w:w="0" w:type="dxa"/>
              <w:left w:w="45" w:type="dxa"/>
              <w:bottom w:w="0" w:type="dxa"/>
              <w:right w:w="45" w:type="dxa"/>
            </w:tcMar>
            <w:vAlign w:val="bottom"/>
            <w:hideMark/>
          </w:tcPr>
          <w:p w14:paraId="4A2F44AA"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Longnecker et al. (1993)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{"citationItems":[{"id":"ITEM-1","itemData":{"author":[{"dropping-particle":"","family":"Longnecker MP, Lissner L, Holden JM, et al","given":".","non-dropping-particle":"","parse-names":false,"suffix":""}],"container-title":"Epidemiology","id":"ITEM-1","issue":"4","issued":{"date-parts":[["1993"]]},"page":"356-365","title":"The reproducibility and validity of a self-administered semiquantitative food frequency questionnaire in subjects from South Dakota and Wyoming","type":"article-journal","volume":"4"},"uris":["http://www.mendeley.com/documents/?uuid=4e9f3d5a-fb9c-43bc-b5d0-8f06abffc418"]}],"mendeley":{"formattedCitation":"&lt;sup&gt;(51)&lt;/sup&gt;","plainTextFormattedCitation":"(51)","previouslyFormattedCitation":"&lt;sup&gt;(51)&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(51)</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26A1B2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BA088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28A16E7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417AE8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B8EA4E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A59903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8FEFE7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97650E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7B09ECF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6D43A5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6CECC1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6782F7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BC219B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06226E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DB080C2" w14:textId="77777777" w:rsidTr="00F53D71">
        <w:trPr>
          <w:trHeight w:val="54"/>
        </w:trPr>
        <w:tc>
          <w:tcPr>
            <w:tcW w:w="4451" w:type="dxa"/>
            <w:tcMar>
              <w:top w:w="0" w:type="dxa"/>
              <w:left w:w="45" w:type="dxa"/>
              <w:bottom w:w="0" w:type="dxa"/>
              <w:right w:w="45" w:type="dxa"/>
            </w:tcMar>
            <w:vAlign w:val="bottom"/>
            <w:hideMark/>
          </w:tcPr>
          <w:p w14:paraId="6030A330"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Fregapane &amp; Asensio (2000)</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Fregapane","given":"G","non-dropping-particle":"","parse-names":false,"suffix":""},{"dropping-particle":"","family":"Asensio-García","given":"C","non-dropping-particle":"","parse-names":false,"suffix":""}],"container-title":"Eur J Epidemiol","id":"ITEM-1","issue":"2","issued":{"date-parts":[["2000"]]},"page":"183-191","title":"Dietary assessment of an educated young Spanish population using a self-administered meal-based food frequency questionnaire","type":"article-journal","volume":"16"},"uris":["http://www.mendeley.com/documents/?uuid=ca99eef4-f874-49b5-90d7-d01c9f3aad0c"]}],"mendeley":{"formattedCitation":"&lt;sup&gt;(34)&lt;/sup&gt;","plainTextFormattedCitation":"(34)","previouslyFormattedCitation":"&lt;sup&gt;(34)&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(34)</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44F14B1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7DBA03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F9DD0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45CF6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D7C211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E0DB59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EFC139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789128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0988A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6F7D9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D63929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FFC296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7CC961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EA6524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A5001EB" w14:textId="77777777" w:rsidTr="00F53D71">
        <w:trPr>
          <w:trHeight w:val="54"/>
        </w:trPr>
        <w:tc>
          <w:tcPr>
            <w:tcW w:w="4451" w:type="dxa"/>
            <w:tcMar>
              <w:top w:w="0" w:type="dxa"/>
              <w:left w:w="45" w:type="dxa"/>
              <w:bottom w:w="0" w:type="dxa"/>
              <w:right w:w="45" w:type="dxa"/>
            </w:tcMar>
            <w:vAlign w:val="bottom"/>
            <w:hideMark/>
          </w:tcPr>
          <w:p w14:paraId="67486712"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Fayet et al. (2011)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{"citationItems":[{"id":"ITEM-1","itemData":{"abstract":"Folate, vitamin B 12, iron, and zinc are particularly important nutrients for women of childbearing age. We tested the hypothesis that an electronic, 235-item, semiquantitative food frequency questionnaire (FFQ) is a valid measure of dietary intake when compared with repeat dietary 24-hour recalls. Biomarkers of folate, vitamin B 12, iron, and zinc were determined because their measurement errors are unrelated to errors in dietary questionnaires. Female adults (N = 256) aged 18 to 35 years completed the FFQ, and a representative subset (n = 53) completed repeat dietary 24-hour recalls. The FFQ estimates (mean ?? SD) were 315 ?? 132 ??g for folate, 3.1 ?? 2.1 ??g for vitamin B 12, 15.4 ?? 5.6 mg for iron, and 15.1 ?? 6.4 mg for zinc. The percentage of women classified within the same ??1 quartile for energy intake by the 2 methods was 77.3%. There was moderate agreement between the 2 dietary methods, and no systematic bias was noted for energy, folate, vitamin B 12, and zinc. The deattenuated energy-adjusted correlation coefficients ranged from 0.41 (dietary folate equivalents) to 0.60 (folate). Significant correlations between biomarker and nutrient intakes were found for folate (r = 0.37, P &lt; .01) and vitamin B 12 (r = 0.27, P &lt; .01). The electronic FFQ developed in the present study is a relatively valid tool that was able to adequately assess and rank individuals according to their nutrient intakes. ?? 2011 Elsevier Inc.","author":[{"dropping-particle":"","family":"Fayet","given":"Flavia","non-dropping-particle":"","parse-names":false,"suffix":""},{"dropping-particle":"","family":"Flood","given":"Victoria","non-dropping-particle":"","parse-names":false,"suffix":""},{"dropping-particle":"","family":"Petocz","given":"Peter","non-dropping-particle":"","parse-names":false,"suffix":""},{"dropping-particle":"","family":"Samman","given":"Samir","non-dropping-particle":"","parse-names":false,"suffix":""}],"container-title":"Nutrition Research","id":"ITEM-1","issue":"1","issued":{"date-parts":[["2011"]]},"page":"14-20","title":"Relative and biomarker-based validity of a food frequency questionnaire that measures the intakes of vitamin B 12, folate, iron, and zinc in young women","type":"article-journal","volume":"31"},"uris":["http://www.mendeley.com/documents/?uuid=bdb61b2f-1252-4464-aaaa-21bf5cc9d9d7"]}],"mendeley":{"formattedCitation":"&lt;sup&gt;(65)&lt;/sup&gt;","plainTextFormattedCitation":"(65)","previouslyFormattedCitation":"&lt;sup&gt;(65)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(65)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5FA6FA2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3D7712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B1BB2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AE700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F0B6C8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44FE15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784C66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BBD658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3BEC66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73644A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7F3B1D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AFAB84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F7BA18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4EFB06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399A8F4C" w14:textId="77777777" w:rsidTr="00F53D71">
        <w:trPr>
          <w:trHeight w:val="54"/>
        </w:trPr>
        <w:tc>
          <w:tcPr>
            <w:tcW w:w="4451" w:type="dxa"/>
            <w:tcMar>
              <w:top w:w="0" w:type="dxa"/>
              <w:left w:w="45" w:type="dxa"/>
              <w:bottom w:w="0" w:type="dxa"/>
              <w:right w:w="45" w:type="dxa"/>
            </w:tcMar>
            <w:vAlign w:val="bottom"/>
            <w:hideMark/>
          </w:tcPr>
          <w:p w14:paraId="0A66505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Grootenhuis et al. (1995)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{"citationItems":[{"id":"ITEM-1","itemData":{"DOI":"10.1016/0895-4356(95)00013-T","ISSN":"08954356","PMID":"7782793","abstract":"A self-administered semiquantitative food frequency questionnaire including 75 food items and providing information on the habitual intake of 31 nutritional parameters, based on the intake of protein, fat, carbohydrate, fiber and 11 vitamins and minerals, was developed for use in epidemiologic research on chronic disease among the elderly, such as diabetes and cardiovascular disease. By means of detailed frequency and quantity questions, specifications of types of food, preparation methods and seasonal variation, the questionnaire was expected to be an improvement on existing instruments. The relative validity of the questionnaire was examined in 74 men and women, aged 50-75, by comparison with a modified dietary history. Systematic differences were absent or negligible for all nutrients, except vitamin C. Bias depending on the level of intake could be ruled out for all but seven nutrients. Pearson correlation coefficients for estimates from the questionnaire and dietary history were on average 0.71(range: 0.65-0.78) and 0.66 (range: 0.36-0.81) for macronutrients, and vitamins and minerals, respectively. Classifying individual intake estimates into tertiles of the distribution for both methods, on average 62.4 and 54.7% of the intakes were categorized into the same tertile and 3.9 and 5.9% into the opposite tertile for macronutrients, vitamins and minerals, respectively. These results demonstrate an acceptable relative validity for this newly developed questionnaire, as compared to the dietary history method. ?? 1995.","author":[{"dropping-particle":"","family":"Grootenhuis","given":"PA","non-dropping-particle":"","parse-names":false,"suffix":""},{"dropping-particle":"","family":"Westenbrink","given":"S","non-dropping-particle":"","parse-names":false,"suffix":""},{"dropping-particle":"","family":"Sie","given":"Claudia M T L","non-dropping-particle":"","parse-names":false,"suffix":""},{"dropping-particle":"","family":"Neeling","given":"J. Nico D","non-dropping-particle":"De","parse-names":false,"suffix":""},{"dropping-particle":"","family":"Kok","given":"Frans J.","non-dropping-particle":"","parse-names":false,"suffix":""},{"dropping-particle":"","family":"Bouter","given":"Lex M.","non-dropping-particle":"","parse-names":false,"suffix":""}],"container-title":"Journal of Clinical Epidemiology","id":"ITEM-1","issue":"7","issued":{"date-parts":[["1995"]]},"page":"859-868","title":"A semiquantitative food frequency questionnaire for use in epidemiologic research among the elderly: Validation by comparison with dietary history","type":"article-journal","volume":"48"},"uris":["http://www.mendeley.com/documents/?uuid=47a1c769-795e-4600-8574-341d3c9df431"]}],"mendeley":{"formattedCitation":"&lt;sup&gt;(36)&lt;/sup&gt;","plainTextFormattedCitation":"(36)","previouslyFormattedCitation":"&lt;sup&gt;(36)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223F2E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829E8E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AD891C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5C56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E715D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E162DF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3EE3D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35B8C4D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C633D7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6392F1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AD0FFD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EF3BD8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7BC0AD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3F99A2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B4C5450" w14:textId="77777777" w:rsidTr="00F53D71">
        <w:trPr>
          <w:trHeight w:val="54"/>
        </w:trPr>
        <w:tc>
          <w:tcPr>
            <w:tcW w:w="4451" w:type="dxa"/>
            <w:tcMar>
              <w:top w:w="0" w:type="dxa"/>
              <w:left w:w="45" w:type="dxa"/>
              <w:bottom w:w="0" w:type="dxa"/>
              <w:right w:w="45" w:type="dxa"/>
            </w:tcMar>
            <w:vAlign w:val="bottom"/>
            <w:hideMark/>
          </w:tcPr>
          <w:p w14:paraId="79782FFF"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Bowen et al. (2012)</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{"citationItems":[{"id":"ITEM-1","itemData":{"author":[{"dropping-particle":"","family":"Bowen","given":"Liza","non-dropping-particle":"","parse-names":false,"suffix":""},{"dropping-particle":"","family":"Bharathi","given":"Ankalmadagu Venkatsubbareddy","non-dropping-particle":"","parse-names":false,"suffix":""},{"dropping-particle":"","family":"Kinra","given":"Sanjay","non-dropping-particle":"","parse-names":false,"suffix":""},{"dropping-particle":"","family":"Destavola","given":"Bianca","non-dropping-particle":"","parse-names":false,"suffix":""},{"dropping-particle":"","family":"Ness","given":"Andy","non-dropping-particle":"","parse-names":false,"suffix":""},{"dropping-particle":"","family":"Dm","given":"Shah Ebrahim","non-dropping-particle":"","parse-names":false,"suffix":""}],"container-title":"Asia Pacific Journal of Clinical Nutrition","id":"ITEM-1","issue":"June 2011","issued":{"date-parts":[["2012"]]},"page":"355-360","title":"Short Communication Development and evaluation of a semi-quantitative food frequency questionnaire for use in urban and rural India","type":"article-journal","volume":"21"},"uris":["http://www.mendeley.com/documents/?uuid=53ac0457-2490-4148-8b66-09d2b18712b2"]}],"mendeley":{"formattedCitation":"&lt;sup&gt;(53)&lt;/sup&gt;","plainTextFormattedCitation":"(53)","previouslyFormattedCitation":"&lt;sup&gt;(53)&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(53)</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12D63E3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01E02D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A5F24A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F0D156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3F9B20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D2FB28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9E1964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E4FE1F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099C79F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3003CF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B2FC5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2A8084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351486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05295D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7DE94A2" w14:textId="77777777" w:rsidTr="00F53D71">
        <w:trPr>
          <w:trHeight w:val="54"/>
        </w:trPr>
        <w:tc>
          <w:tcPr>
            <w:tcW w:w="4451" w:type="dxa"/>
            <w:tcMar>
              <w:top w:w="0" w:type="dxa"/>
              <w:left w:w="45" w:type="dxa"/>
              <w:bottom w:w="0" w:type="dxa"/>
              <w:right w:w="45" w:type="dxa"/>
            </w:tcMar>
            <w:vAlign w:val="bottom"/>
            <w:hideMark/>
          </w:tcPr>
          <w:p w14:paraId="1A4B5E20"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Knudsen et al. (2016)</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{"citationItems":[{"id":"ITEM-1","itemData":{"abstract":"OBJECTIVE To assess the relative validity of a semi-quantitative, web-based FFQ completed by female pregnancy planners in the Danish 'Snart Forældre' study. DESIGN We validated a web-based FFQ based on the FFQ used in the Danish National Birth Cohort against a 4 d food diary (FD) and assessed the relative validity of intakes of foods and nutrients. We compared means and medians of intakes, and calculated Pearson correlation coefficients and de-attenuated coefficients to assess agreement between the two methods. We also calculated the proportion correctly classified based on the same or adjacent quintile of intake and the proportion of grossly misclassified (extreme quintiles). SETTING Participants (n 128) in the 'Snart Forældre' study who had completed the web-based FFQ were invited to participate in the validation study. SUBJECTS Participants in the 'Snart Forældre' study, in total ninety-seven women aged 20-42 years. RESULTS Reported intakes of dairy products, vegetables and potatoes were higher in the FFQ compared with the FD, whereas reported intakes of fruit, meat, sugar and beverages were lower in the FFQ than in the FD. Overall the de-attenuated correlation coefficients were acceptable, ranging from 0·33 for energy to 0·93 for vitamin D. The majority of the women were classified in the same or adjacent quintile and few women were misclassified (extreme quintiles). CONCLUSION The web-based FFQ performs well for ranking women of reproductive age according to high or low intake of foods and nutrients and, thus, provides a solid basis for investigating associations between diet and fertility.","author":[{"dropping-particle":"","family":"Knudsen","given":"Vibeke K","non-dropping-particle":"","parse-names":false,"suffix":""},{"dropping-particle":"","family":"Hatch","given":"Elizabeth E","non-dropping-particle":"","parse-names":false,"suffix":""},{"dropping-particle":"","family":"Cueto","given":"Heidi","non-dropping-particle":"","parse-names":false,"suffix":""},{"dropping-particle":"","family":"Tucker","given":"Katherine L","non-dropping-particle":"","parse-names":false,"suffix":""},{"dropping-particle":"","family":"Wise","given":"Lauren","non-dropping-particle":"","parse-names":false,"suffix":""},{"dropping-particle":"","family":"Christensen","given":"Tue","non-dropping-particle":"","parse-names":false,"suffix":""},{"dropping-particle":"","family":"Mikkelsen","given":"Ellen M","non-dropping-particle":"","parse-names":false,"suffix":""}],"container-title":"Public Health Nutr.","id":"ITEM-1","issue":"6","issued":{"date-parts":[["2016","4"]]},"page":"1027-1034","title":"Relative validity of a semi-quantitative, web-based FFQ used in the 'Snart Forældre' cohort - a Danish study of diet and fertility.","type":"article-journal","volume":"19"},"uris":["http://www.mendeley.com/documents/?uuid=fa12a4a2-e741-31cb-a5b5-d45eb9d67369"]}],"mendeley":{"formattedCitation":"&lt;sup&gt;(15)&lt;/sup&gt;","plainTextFormattedCitation":"(15)","previouslyFormattedCitation":"&lt;sup&gt;(15)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5866BC0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848408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6E0F2D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ED0A33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512DDB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FD0497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4A006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1A391C2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1BFA1B3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4F33A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221471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1B2174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834B0C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86F7B6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58B53EBA" w14:textId="77777777" w:rsidTr="00F53D71">
        <w:trPr>
          <w:trHeight w:val="54"/>
        </w:trPr>
        <w:tc>
          <w:tcPr>
            <w:tcW w:w="4451" w:type="dxa"/>
            <w:tcMar>
              <w:top w:w="0" w:type="dxa"/>
              <w:left w:w="45" w:type="dxa"/>
              <w:bottom w:w="0" w:type="dxa"/>
              <w:right w:w="45" w:type="dxa"/>
            </w:tcMar>
            <w:vAlign w:val="bottom"/>
            <w:hideMark/>
          </w:tcPr>
          <w:p w14:paraId="20F8DFBF"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Fidanza et al. (1995)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{"citationItems":[{"id":"ITEM-1","itemData":{"author":[{"dropping-particle":"","family":"Fidanza","given":"Flaminio","non-dropping-particle":"","parse-names":false,"suffix":""},{"dropping-particle":"","family":"Gentile","given":"Maria Gabriella","non-dropping-particle":"","parse-names":false,"suffix":""},{"dropping-particle":"","family":"Porrini","given":"Marisa","non-dropping-particle":"","parse-names":false,"suffix":""}],"container-title":"Eur J Epidemiol","id":"ITEM-1","issue":"2","issued":{"date-parts":[["1995"]]},"page":"163-170","title":"A self-administered semiquantitative food-frequency questionnaire with optical reading and its concurrent validation","type":"article-journal","volume":"11"},"uris":["http://www.mendeley.com/documents/?uuid=f662c5fb-ab96-41cb-a37c-ff3e9d2527bf"]}],"mendeley":{"formattedCitation":"&lt;sup&gt;(33)&lt;/sup&gt;","plainTextFormattedCitation":"(33)","previouslyFormattedCitation":"&lt;sup&gt;(33)&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(33)</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6AC748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0FE7C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DEA4DA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0B2B3D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62AA690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E8CA35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463057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55D57D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A34A8F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144170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3C35347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029FA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585122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D15644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7008E3F" w14:textId="77777777" w:rsidTr="00F53D71">
        <w:trPr>
          <w:trHeight w:val="54"/>
        </w:trPr>
        <w:tc>
          <w:tcPr>
            <w:tcW w:w="4451" w:type="dxa"/>
            <w:tcMar>
              <w:top w:w="0" w:type="dxa"/>
              <w:left w:w="45" w:type="dxa"/>
              <w:bottom w:w="0" w:type="dxa"/>
              <w:right w:w="45" w:type="dxa"/>
            </w:tcMar>
            <w:vAlign w:val="bottom"/>
            <w:hideMark/>
          </w:tcPr>
          <w:p w14:paraId="3C34493A"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Ho</w:t>
            </w:r>
            <w:r>
              <w:rPr>
                <w:rFonts w:ascii="Times New Roman" w:eastAsia="Times New Roman" w:hAnsi="Times New Roman" w:cs="Times New Roman"/>
                <w:color w:val="000000"/>
                <w:sz w:val="24"/>
                <w:szCs w:val="24"/>
                <w:lang w:val="es-MX" w:eastAsia="es-ES"/>
              </w:rPr>
              <w:t>r</w:t>
            </w:r>
            <w:r w:rsidRPr="008A448F">
              <w:rPr>
                <w:rFonts w:ascii="Times New Roman" w:eastAsia="Times New Roman" w:hAnsi="Times New Roman" w:cs="Times New Roman"/>
                <w:color w:val="000000"/>
                <w:sz w:val="24"/>
                <w:szCs w:val="24"/>
                <w:lang w:val="es-MX" w:eastAsia="es-ES"/>
              </w:rPr>
              <w:t>wath et al. (1993)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{"citationItems":[{"id":"ITEM-1","itemData":{"author":[{"dropping-particle":"","family":"Horwath","given":"CC","non-dropping-particle":"","parse-names":false,"suffix":""}],"container-title":"British Journal of Nutrition","id":"ITEM-1","issue":"1","issued":{"date-parts":[["1993"]]},"page":"3-14","title":"Validity of a short food frequency questionnaire for estimating nutrient intake in elderly people","type":"article-journal","volume":"70"},"uris":["http://www.mendeley.com/documents/?uuid=4140c1dc-14ed-41a2-b334-f97f287be379"]}],"mendeley":{"formattedCitation":"&lt;sup&gt;(66)&lt;/sup&gt;","plainTextFormattedCitation":"(66)","previouslyFormattedCitation":"&lt;sup&gt;(66)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6A4393">
              <w:rPr>
                <w:rFonts w:ascii="Times New Roman" w:eastAsia="Times New Roman" w:hAnsi="Times New Roman" w:cs="Times New Roman"/>
                <w:noProof/>
                <w:color w:val="000000"/>
                <w:sz w:val="24"/>
                <w:szCs w:val="24"/>
                <w:vertAlign w:val="superscript"/>
                <w:lang w:val="es-MX" w:eastAsia="es-ES"/>
              </w:rPr>
              <w:t>(66)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CE9FFE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80A0AF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4548B3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A6D87D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700E1D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07E447A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5B9C952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112AC5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46A882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5F543D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D39420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8A646E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DFBEA2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451F3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B3B8A55" w14:textId="77777777" w:rsidTr="00F53D71">
        <w:trPr>
          <w:trHeight w:val="54"/>
        </w:trPr>
        <w:tc>
          <w:tcPr>
            <w:tcW w:w="4451" w:type="dxa"/>
            <w:tcMar>
              <w:top w:w="0" w:type="dxa"/>
              <w:left w:w="45" w:type="dxa"/>
              <w:bottom w:w="0" w:type="dxa"/>
              <w:right w:w="45" w:type="dxa"/>
            </w:tcMar>
            <w:vAlign w:val="bottom"/>
            <w:hideMark/>
          </w:tcPr>
          <w:p w14:paraId="1B5DF901"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Moreira et al. (2003)</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{"citationItems":[{"id":"ITEM-1","itemData":{"DOI":"10.20344/AMP.1218","ISBN":"1646-0758 (Electronic)\\r0870-399X (Linking)","ISSN":"1646-0758","PMID":"15631853","abstract":"When dietary methods are used to evaluate nutritional intake, it is important to know which methods are most appropriate to ensure validity in nutrient intake studies. Our main objective was to assess the validity of a semi-quantitative food-frequency questionnaire (FFQ) developed for Portuguese adults by comparing nutrient intake (energy and 44 nutrients) assessed by FFQ with the nutritional data from a four-day diet record (DR). The FFQ was developed by the Epidemiology Department, Faculty of Medicine, University of Porto, and allowed the subjects to indicate their daily, weekly or monthly intake of 89 foods. Subjects were 246 university students (159 females and 87 males, aged 18 to 29 years). Mean intakes from the FFQ were generally higher than those from the DR. Pearson correlation coefficients between FFQ and DR ranged from 0.21 for vitamin D, to 0.73, for iodine. When energy-adjusted, this coefficients ranged from 0.20, for selenium, to 0.75 for iodine. Misclassification in opposite extreme quintiles varied from 0% to 16%, and the proportion of subjects correctly classified within the lowest two quintiles ranged between 52% and 84%. The distribution of those correctly classified within the highest two quintiles ranged between 51% and 88%. Exact classification in the same quintile of ingestion varied from 26% and 41%. These data suggest that this FFQ provides valid estimates of intakes for major nutrients, comparable to those reported from other studies in the literature.","author":[{"dropping-particle":"","family":"Moreira","given":"Pedro","non-dropping-particle":"","parse-names":false,"suffix":""},{"dropping-particle":"","family":"Sampaio","given":"Daniel","non-dropping-particle":"","parse-names":false,"suffix":""},{"dropping-particle":"","family":"Almeida","given":"Maria","non-dropping-particle":"","parse-names":false,"suffix":""}],"container-title":"Acta Médica Portuguesa","id":"ITEM-1","issue":"6","issued":{"date-parts":[["2003"]]},"page":"412-420","title":"Validity assessment of a food frequency questionnaire by comparison with a 4-day diet record.","type":"article-journal","volume":"16"},"uris":["http://www.mendeley.com/documents/?uuid=00043cb9-fe02-4e4a-9e8d-ccfcae7732b3"]}],"mendeley":{"formattedCitation":"&lt;sup&gt;(17)&lt;/sup&gt;","plainTextFormattedCitation":"(17)","previouslyFormattedCitation":"&lt;sup&gt;(17)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(17)</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7F26675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F57557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477710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537100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C6F90A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4F0D068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1C1055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4F5FA2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B8B4C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A06183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6DAF9C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9AC0E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8B8C0E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2CC1B2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89704E1" w14:textId="77777777" w:rsidTr="00F53D71">
        <w:trPr>
          <w:trHeight w:val="54"/>
        </w:trPr>
        <w:tc>
          <w:tcPr>
            <w:tcW w:w="4451" w:type="dxa"/>
            <w:tcMar>
              <w:top w:w="0" w:type="dxa"/>
              <w:left w:w="45" w:type="dxa"/>
              <w:bottom w:w="0" w:type="dxa"/>
              <w:right w:w="45" w:type="dxa"/>
            </w:tcMar>
            <w:vAlign w:val="bottom"/>
            <w:hideMark/>
          </w:tcPr>
          <w:p w14:paraId="56369174"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Bábic et al. (2014)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Babíc","given":"Dora","non-dropping-particle":"","parse-names":false,"suffix":""},{"dropping-particle":"","family":"Sindik","given":"Jo","non-dropping-particle":"","parse-names":false,"suffix":""},{"dropping-particle":"","family":"Missoni","given":"Sa","non-dropping-particle":"","parse-names":false,"suffix":""}],"container-title":"Coll Antopol","id":"ITEM-1","issue":"3","issued":{"date-parts":[["2014"]]},"page":"1017-1026","title":"Development and Validation of a Self-Administered Food Frequency Questionnaire to Assess Habitual Dietary Intake and Quality of Diet in Healthy Adults in the Republic of Croatia","type":"article-journal","volume":"38"},"uris":["http://www.mendeley.com/documents/?uuid=76065940-25d6-414b-a83c-5da952e21429"]}],"mendeley":{"formattedCitation":"&lt;sup&gt;(24)&lt;/sup&gt;","plainTextFormattedCitation":"(24)","previouslyFormattedCitation":"&lt;sup&gt;(24)&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(24)</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677004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E52AEA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5026CF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91A4F9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6B245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365F414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7F5828D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424B1F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ECBA74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5DDD75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A9BF2E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BC3A71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BEE2F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BA5897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3150B903" w14:textId="77777777" w:rsidTr="00F53D71">
        <w:trPr>
          <w:trHeight w:val="54"/>
        </w:trPr>
        <w:tc>
          <w:tcPr>
            <w:tcW w:w="4451" w:type="dxa"/>
            <w:tcMar>
              <w:top w:w="0" w:type="dxa"/>
              <w:left w:w="45" w:type="dxa"/>
              <w:bottom w:w="0" w:type="dxa"/>
              <w:right w:w="45" w:type="dxa"/>
            </w:tcMar>
            <w:vAlign w:val="bottom"/>
            <w:hideMark/>
          </w:tcPr>
          <w:p w14:paraId="74A2E834"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Nath &amp; Huffman (2005)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{"citationItems":[{"id":"ITEM-1","itemData":{"abstract":"To assess the validity of a 131-item semiquantative food frequency questionnaire (FFQ) by comparison with multiple food records in Cuban Americans.","author":[{"dropping-particle":"","family":"Nath","given":"Subrata D","non-dropping-particle":"","parse-names":false,"suffix":""},{"dropping-particle":"","family":"Huffman","given":"Fatma G","non-dropping-particle":"","parse-names":false,"suffix":""}],"container-title":"International Journal of Food Sciences and Nutrition","id":"ITEM-1","issue":"5","issued":{"date-parts":[["2005"]]},"page":"309-314","title":"Validation of a semiquantitative food frequency questionnaire to assess energy and macronutrient intakes of Cuban Americans.","type":"article-journal","volume":"56"},"uris":["http://www.mendeley.com/documents/?uuid=376bb196-9cda-420f-bfb3-1924b2b632bd"]}],"mendeley":{"formattedCitation":"&lt;sup&gt;(38)&lt;/sup&gt;","plainTextFormattedCitation":"(38)","previouslyFormattedCitation":"&lt;sup&gt;(38)&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(38)</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8B3032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68C0D1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5DEE7B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36D73D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900BBE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4C35F98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4DB314C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A31C50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25F8A9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65554F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2A88C53"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71C1FD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CFE9D8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EEEFC4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1C288482" w14:textId="77777777" w:rsidTr="00F53D71">
        <w:trPr>
          <w:trHeight w:val="54"/>
        </w:trPr>
        <w:tc>
          <w:tcPr>
            <w:tcW w:w="4451" w:type="dxa"/>
            <w:tcMar>
              <w:top w:w="0" w:type="dxa"/>
              <w:left w:w="45" w:type="dxa"/>
              <w:bottom w:w="0" w:type="dxa"/>
              <w:right w:w="45" w:type="dxa"/>
            </w:tcMar>
            <w:vAlign w:val="bottom"/>
            <w:hideMark/>
          </w:tcPr>
          <w:p w14:paraId="00D668C2"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Rothenberg (1994)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{"citationItems":[{"id":"ITEM-1","itemData":{"author":[{"dropping-particle":"","family":"Rothenberg","given":"E","non-dropping-particle":"","parse-names":false,"suffix":""}],"container-title":"European journal of clinical nutrition","id":"ITEM-1","issue":"10","issued":{"date-parts":[["1994"]]},"page":"725-735","title":"Validation of the food frequency questionnaire with the 4-day record method and analysis of 24-h urinary nitrogen","type":"article-journal","volume":"48"},"uris":["http://www.mendeley.com/documents/?uuid=7596b164-e2b0-475c-a1c9-5d060a7214bd"]}],"mendeley":{"formattedCitation":"&lt;sup&gt;(25)&lt;/sup&gt;","plainTextFormattedCitation":"(25)","previouslyFormattedCitation":"&lt;sup&gt;(25)&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(25)</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C7D849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6544B7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5AE07C9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118443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4AFE7F0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205CD3B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431E91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9C8159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7BF1DDF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8DDDDF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29A443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33713B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2FC66B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7FD516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29A36F1E" w14:textId="77777777" w:rsidTr="00F53D71">
        <w:trPr>
          <w:trHeight w:val="54"/>
        </w:trPr>
        <w:tc>
          <w:tcPr>
            <w:tcW w:w="4451" w:type="dxa"/>
            <w:tcMar>
              <w:top w:w="0" w:type="dxa"/>
              <w:left w:w="45" w:type="dxa"/>
              <w:bottom w:w="0" w:type="dxa"/>
              <w:right w:w="45" w:type="dxa"/>
            </w:tcMar>
            <w:vAlign w:val="bottom"/>
            <w:hideMark/>
          </w:tcPr>
          <w:p w14:paraId="59702985"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Ke et al. (2005)</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author":[{"dropping-particle":"","family":"Ke","given":"Li","non-dropping-particle":"","parse-names":false,"suffix":""},{"dropping-particle":"","family":"Toshiro","given":"Takezaki","non-dropping-particle":"","parse-names":false,"suffix":""},{"dropping-particle":"","family":"Fengyan","given":"Song","non-dropping-particle":"","parse-names":false,"suffix":""},{"dropping-particle":"","family":"Ping","given":"Yu","non-dropping-particle":"","parse-names":false,"suffix":""},{"dropping-particle":"","family":"Xiaoling","given":"Deng","non-dropping-particle":"","parse-names":false,"suffix":""},{"dropping-particle":"","family":"Kazuo","given":"Tajima","non-dropping-particle":"","parse-names":false,"suffix":""}],"container-title":"Asian Pac J Cancer Prev","id":"ITEM-1","issue":"3","issued":{"date-parts":[["2005"]]},"page":"376-381","title":"Relative validity of a Semi-quantitative Food Frequency Questionnaire versus 3 day weighed diet records in middle- aged in habitants in Chaoshan Area, China","type":"article-journal","volume":"6"},"uris":["http://www.mendeley.com/documents/?uuid=72f634f0-01f3-416c-be19-75092dc79fbc"]}],"mendeley":{"formattedCitation":"&lt;sup&gt;(57)&lt;/sup&gt;","plainTextFormattedCitation":"(57)","previouslyFormattedCitation":"&lt;sup&gt;(57)&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(57)</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3EF5B94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73D2544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66F70B9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2E839E4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A5CEE0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2A2363C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2AB75A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5712FE9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EBE18BD"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DC7C6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6412482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2C672D5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D42C097"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4E328D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rsidRPr="008A448F" w14:paraId="6F781572" w14:textId="77777777" w:rsidTr="00F53D71">
        <w:trPr>
          <w:trHeight w:val="54"/>
        </w:trPr>
        <w:tc>
          <w:tcPr>
            <w:tcW w:w="4451" w:type="dxa"/>
            <w:tcMar>
              <w:top w:w="0" w:type="dxa"/>
              <w:left w:w="45" w:type="dxa"/>
              <w:bottom w:w="0" w:type="dxa"/>
              <w:right w:w="45" w:type="dxa"/>
            </w:tcMar>
            <w:vAlign w:val="bottom"/>
            <w:hideMark/>
          </w:tcPr>
          <w:p w14:paraId="7DEA9AA6"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E209A6">
              <w:rPr>
                <w:rFonts w:ascii="Times New Roman" w:eastAsia="Times New Roman" w:hAnsi="Times New Roman" w:cs="Times New Roman"/>
                <w:color w:val="000000"/>
                <w:sz w:val="24"/>
                <w:szCs w:val="24"/>
                <w:lang w:val="es-MX" w:eastAsia="es-ES"/>
              </w:rPr>
              <w:t>Schröder</w:t>
            </w:r>
            <w:r w:rsidRPr="008A448F">
              <w:rPr>
                <w:rFonts w:ascii="Times New Roman" w:eastAsia="Times New Roman" w:hAnsi="Times New Roman" w:cs="Times New Roman"/>
                <w:color w:val="000000"/>
                <w:sz w:val="24"/>
                <w:szCs w:val="24"/>
                <w:lang w:val="es-MX" w:eastAsia="es-ES"/>
              </w:rPr>
              <w:t xml:space="preserve"> et al. (2001)</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{"citationItems":[{"id":"ITEM-1","itemData":{"ISSN":"0261-5614","PMID":"11534938","abstract":"AIM To assess the validity and the short-term reproducibility of a semi-quantitative, self-administrated food frequency questionnaire and a structured 72-hour recall in a Mediterranean Spanish population. METHODS 44 free-living volunteers participated in the study. Macronutrient, vitamin and mineral intake, recorded on the food frequency questionnaire and the structured 72-h recall were compared with intakes derived from a three-day food record (reference method). Validity of the dietary assessment methods was further assessed by comparing urinary nitrogen, plasma vitamin C, plasma beta-carotene and whole blood glutathione peroxidase activity levels with the corresponding nutrient intakes from the questionnaires. The food frequency questionnaire and the 72-h recall were administered twice to assess the short term reproducibility. RESULTS Pearson's correlation coefficients between urinary nitrogen, plasma vitamin C, plasma beta-carotene and whole blood glutathione peroxidase activity levels and the reported nitrogen, vitamin C, beta-carotene and selenium intakes were 0.26, 0.53, 0.17, 0.26 for the food frequency questionnaire; 0.41, 0.09, 0.34, 0.42 for the structured 72-h recall and 0.50, 0.54, 0.44, 0.38 for the three-day food record, respectively. The short term reproducibility of analysed nutrient intake showed average intra-class correlation coefficients of 0.91 and 0.69 for the food frequency questionnaire and the structured 72-h recall irrespectively. CONCLUSION The food frequency questionnaire and the structured 72-h recall provide valid estimates of nutrient intake and could be used for dietary assessments.","author":[{"dropping-particle":"","family":"Schröder","given":"H","non-dropping-particle":"","parse-names":false,"suffix":""},{"dropping-particle":"","family":"Covas","given":"M I","non-dropping-particle":"","parse-names":false,"suffix":""},{"dropping-particle":"","family":"Marrugat","given":"J","non-dropping-particle":"","parse-names":false,"suffix":""},{"dropping-particle":"","family":"Vila","given":"J","non-dropping-particle":"","parse-names":false,"suffix":""},{"dropping-particle":"","family":"Pena","given":"A","non-dropping-particle":"","parse-names":false,"suffix":""},{"dropping-particle":"","family":"Alcántara","given":"M","non-dropping-particle":"","parse-names":false,"suffix":""},{"dropping-particle":"","family":"Masiá","given":"R","non-dropping-particle":"","parse-names":false,"suffix":""}],"container-title":"Clinical nutrition (Edinburgh, Scotland)","id":"ITEM-1","issue":"5","issued":{"date-parts":[["2001","10"]]},"page":"429-37","title":"Use of a three-day estimated food record, a 72-hour recall and a food-frequency questionnaire for dietary assessment in a Mediterranean Spanish population.","type":"article-journal","volume":"20"},"uris":["http://www.mendeley.com/documents/?uuid=bdf5ec94-3fca-3d23-ac41-bc8d0cc67d4f"]}],"mendeley":{"formattedCitation":"&lt;sup&gt;(26)&lt;/sup&gt;","plainTextFormattedCitation":"(26)","previouslyFormattedCitation":"&lt;sup&gt;(26)&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(26)</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2C3BE0D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102C9E5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1AC38FC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5B7092A6"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08B6C8B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73EE93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3861A4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AAA14B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69E8A57C"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1D21888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A7E530B"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4B449DD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26840EF"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148FE605"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r w:rsidR="003E400D" w14:paraId="32E87593" w14:textId="77777777" w:rsidTr="00F53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54"/>
        </w:trPr>
        <w:tc>
          <w:tcPr>
            <w:tcW w:w="4451" w:type="dxa"/>
            <w:tcMar>
              <w:top w:w="0" w:type="dxa"/>
              <w:left w:w="45" w:type="dxa"/>
              <w:bottom w:w="0" w:type="dxa"/>
              <w:right w:w="45" w:type="dxa"/>
            </w:tcMar>
            <w:vAlign w:val="bottom"/>
          </w:tcPr>
          <w:p w14:paraId="6CDBA920" w14:textId="77777777" w:rsidR="003E400D" w:rsidRPr="003E400D" w:rsidRDefault="003E400D" w:rsidP="00F53D71">
            <w:pPr>
              <w:spacing w:after="0" w:line="240" w:lineRule="auto"/>
              <w:rPr>
                <w:rFonts w:ascii="Times New Roman" w:eastAsia="Times New Roman" w:hAnsi="Times New Roman" w:cs="Times New Roman"/>
                <w:sz w:val="24"/>
                <w:szCs w:val="24"/>
                <w:highlight w:val="yellow"/>
              </w:rPr>
            </w:pPr>
            <w:r w:rsidRPr="003E400D">
              <w:rPr>
                <w:rFonts w:ascii="Times New Roman" w:eastAsia="Times New Roman" w:hAnsi="Times New Roman" w:cs="Times New Roman"/>
                <w:sz w:val="24"/>
                <w:szCs w:val="24"/>
              </w:rPr>
              <w:t>Gazan et al. (2017)</w:t>
            </w:r>
            <w:r w:rsidRPr="003E400D">
              <w:rPr>
                <w:rFonts w:ascii="Times New Roman" w:eastAsia="Times New Roman" w:hAnsi="Times New Roman" w:cs="Times New Roman"/>
                <w:sz w:val="24"/>
                <w:szCs w:val="24"/>
              </w:rPr>
              <w:fldChar w:fldCharType="begin" w:fldLock="1"/>
            </w:r>
            <w:r w:rsidRPr="003E400D">
              <w:rPr>
                <w:rFonts w:ascii="Times New Roman" w:eastAsia="Times New Roman" w:hAnsi="Times New Roman" w:cs="Times New Roman"/>
                <w:sz w:val="24"/>
                <w:szCs w:val="24"/>
              </w:rPr>
              <w:instrText>ADDIN CSL_CITATION {"citationItems":[{"id":"ITEM-1","itemData":{"DOI":"10.3389/fnut.2017.00062","ISSN":"2296861X","abstract":"Background: Food frequency questionnaires (FFQs) are used to estimate the usual food and nutrient intakes over a period of time. Such estimates can suffer from measurement errors, either due to bias induced by respondent’s answers or to errors induced by the structure of the questionnaire (e.g., using a limited number of food items and an aggregated food database with average portion sizes). The “structural validation” presented in this study aims to isolate and quantify the impact of the inherent structure of a FFQ on the estimation of food and nutrient intakes, independently of respondent’s perception of the questionnaire. Methods: A semi-quantitative FFQ (n = 94 items, including 50 items with questions on portion sizes) and an associated aggregated food composition database (named the item-composition database) were developed, based on the self-reported weekly dietary records of 1918 adults (18–79 years-old) in the French Individual and National Dietary Survey 2 (INCA2), and the French CIQUAL 2013 food-composition database of all the foods (n = 1342 foods) declared as consumed in the population. Reference intakes of foods (“REF_FOOD”) and nutrients (“REF_NUT”) were calculated for each adult using the food-composition database and the amounts of foods self-reported in his/her dietary record. Then, answers to the FFQ were simulated for each adult based on his/her self-reported dietary record. “FFQ_FOOD” and “FFQ_NUT” intakes were estimated using the simulated answers and the item-composition database. Measurement errors (in %), spearman correlations and cross-classification were used to compare “REF_FOOD” with “FFQ_FOOD” and “REF_NUT” with “FFQ_NUT”. Results: Compared to “REF_NUT,” “FFQ_NUT” total quantity and total energy intake were underestimated on average by 198 g/day and 666 kJ/day, respectively. “FFQ_FOOD” intakes were well estimated for starches, underestimated for most of the subgroups, and overestimated for some subgroups, in particular vegetables. Underestimation were mainly due to the use of portion sizes, leading to an underestimation of most of nutrients, except free sugars which were overestimated. Conclusion: The “structural validation” by simulating answers to a FFQ based on a reference dietary survey is innovative and pragmatic and allows quantifying the error induced by the simplification of the method of collection.","author":[{"dropping-particle":"","family":"Gazan","given":"Rozenn","non-dropping-particle":"","parse-names":false,"suffix":""},{"dropping-particle":"","family":"Vieux","given":"Florent","non-dropping-particle":"","parse-names":false,"suffix":""},{"dropping-particle":"","family":"Darmon","given":"Nicole","non-dropping-particle":"","parse-names":false,"suffix":""},{"dropping-particle":"","family":"Maillot","given":"Matthieu","non-dropping-particle":"","parse-names":false,"suffix":""}],"container-title":"Frontiers in Nutrition","id":"ITEM-1","issued":{"date-parts":[["2017","12","20"]]},"publisher":"Frontiers Media S.A.","title":"Structural Validation of a French Food Frequency Questionnaire of 94 Items","type":"article-journal","volume":"4"},"uris":["http://www.mendeley.com/documents/?uuid=d73b372b-5d24-35a1-887b-58ae2e0f722a"]}],"mendeley":{"formattedCitation":"&lt;sup&gt;(29)&lt;/sup&gt;","plainTextFormattedCitation":"(29)","previouslyFormattedCitation":"&lt;sup&gt;(29)&lt;/sup&gt;"},"properties":{"noteIndex":0},"schema":"https://github.com/citation-style-language/schema/raw/master/csl-citation.json"}</w:instrText>
            </w:r>
            <w:r w:rsidRPr="003E400D">
              <w:rPr>
                <w:rFonts w:ascii="Times New Roman" w:eastAsia="Times New Roman" w:hAnsi="Times New Roman" w:cs="Times New Roman"/>
                <w:sz w:val="24"/>
                <w:szCs w:val="24"/>
              </w:rPr>
              <w:fldChar w:fldCharType="separate"/>
            </w:r>
            <w:r w:rsidRPr="003E400D">
              <w:rPr>
                <w:rFonts w:ascii="Times New Roman" w:eastAsia="Times New Roman" w:hAnsi="Times New Roman" w:cs="Times New Roman"/>
                <w:noProof/>
                <w:sz w:val="24"/>
                <w:szCs w:val="24"/>
                <w:vertAlign w:val="superscript"/>
              </w:rPr>
              <w:t>(29)</w:t>
            </w:r>
            <w:r w:rsidRPr="003E400D">
              <w:rPr>
                <w:rFonts w:ascii="Times New Roman" w:eastAsia="Times New Roman" w:hAnsi="Times New Roman" w:cs="Times New Roman"/>
                <w:sz w:val="24"/>
                <w:szCs w:val="24"/>
              </w:rPr>
              <w:fldChar w:fldCharType="end"/>
            </w:r>
          </w:p>
        </w:tc>
        <w:tc>
          <w:tcPr>
            <w:tcW w:w="392" w:type="dxa"/>
            <w:shd w:val="clear" w:color="auto" w:fill="008000"/>
            <w:tcMar>
              <w:top w:w="0" w:type="dxa"/>
              <w:left w:w="45" w:type="dxa"/>
              <w:bottom w:w="0" w:type="dxa"/>
              <w:right w:w="45" w:type="dxa"/>
            </w:tcMar>
            <w:vAlign w:val="bottom"/>
          </w:tcPr>
          <w:p w14:paraId="41F4346D"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508C008E"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008000"/>
            <w:tcMar>
              <w:top w:w="0" w:type="dxa"/>
              <w:left w:w="45" w:type="dxa"/>
              <w:bottom w:w="0" w:type="dxa"/>
              <w:right w:w="45" w:type="dxa"/>
            </w:tcMar>
            <w:vAlign w:val="bottom"/>
          </w:tcPr>
          <w:p w14:paraId="25FE21F4"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2169435E"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008000"/>
            <w:tcMar>
              <w:top w:w="0" w:type="dxa"/>
              <w:left w:w="45" w:type="dxa"/>
              <w:bottom w:w="0" w:type="dxa"/>
              <w:right w:w="45" w:type="dxa"/>
            </w:tcMar>
            <w:vAlign w:val="bottom"/>
          </w:tcPr>
          <w:p w14:paraId="5E4A29B0"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5E2E3C26"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2EC65745"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0A0EC743"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73FF1CF8"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1D0748D0"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3B810AA3"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6081D618" w14:textId="77777777" w:rsidR="003E400D" w:rsidRDefault="003E400D" w:rsidP="00F53D71">
            <w:pPr>
              <w:spacing w:after="0" w:line="240" w:lineRule="auto"/>
              <w:rPr>
                <w:rFonts w:ascii="Times New Roman" w:eastAsia="Times New Roman" w:hAnsi="Times New Roman" w:cs="Times New Roman"/>
                <w:sz w:val="24"/>
                <w:szCs w:val="24"/>
              </w:rPr>
            </w:pPr>
          </w:p>
        </w:tc>
        <w:tc>
          <w:tcPr>
            <w:tcW w:w="392" w:type="dxa"/>
            <w:shd w:val="clear" w:color="auto" w:fill="FF0000"/>
            <w:tcMar>
              <w:top w:w="0" w:type="dxa"/>
              <w:left w:w="45" w:type="dxa"/>
              <w:bottom w:w="0" w:type="dxa"/>
              <w:right w:w="45" w:type="dxa"/>
            </w:tcMar>
            <w:vAlign w:val="bottom"/>
          </w:tcPr>
          <w:p w14:paraId="6FFF507A" w14:textId="77777777" w:rsidR="003E400D" w:rsidRDefault="003E400D" w:rsidP="00F53D71">
            <w:pPr>
              <w:spacing w:after="0" w:line="240" w:lineRule="auto"/>
              <w:rPr>
                <w:rFonts w:ascii="Times New Roman" w:eastAsia="Times New Roman" w:hAnsi="Times New Roman" w:cs="Times New Roman"/>
                <w:sz w:val="24"/>
                <w:szCs w:val="24"/>
              </w:rPr>
            </w:pPr>
          </w:p>
        </w:tc>
        <w:tc>
          <w:tcPr>
            <w:tcW w:w="393" w:type="dxa"/>
            <w:shd w:val="clear" w:color="auto" w:fill="FF0000"/>
            <w:tcMar>
              <w:top w:w="0" w:type="dxa"/>
              <w:left w:w="45" w:type="dxa"/>
              <w:bottom w:w="0" w:type="dxa"/>
              <w:right w:w="45" w:type="dxa"/>
            </w:tcMar>
            <w:vAlign w:val="bottom"/>
          </w:tcPr>
          <w:p w14:paraId="30BF3888" w14:textId="77777777" w:rsidR="003E400D" w:rsidRDefault="003E400D" w:rsidP="00F53D71">
            <w:pPr>
              <w:spacing w:after="0" w:line="240" w:lineRule="auto"/>
              <w:rPr>
                <w:rFonts w:ascii="Times New Roman" w:eastAsia="Times New Roman" w:hAnsi="Times New Roman" w:cs="Times New Roman"/>
                <w:sz w:val="24"/>
                <w:szCs w:val="24"/>
              </w:rPr>
            </w:pPr>
          </w:p>
        </w:tc>
      </w:tr>
      <w:tr w:rsidR="003E400D" w:rsidRPr="008A448F" w14:paraId="41396C59" w14:textId="77777777" w:rsidTr="00F53D71">
        <w:trPr>
          <w:trHeight w:val="54"/>
        </w:trPr>
        <w:tc>
          <w:tcPr>
            <w:tcW w:w="4451" w:type="dxa"/>
            <w:tcMar>
              <w:top w:w="0" w:type="dxa"/>
              <w:left w:w="45" w:type="dxa"/>
              <w:bottom w:w="0" w:type="dxa"/>
              <w:right w:w="45" w:type="dxa"/>
            </w:tcMar>
            <w:vAlign w:val="bottom"/>
            <w:hideMark/>
          </w:tcPr>
          <w:p w14:paraId="1AF35CC6" w14:textId="77777777" w:rsidR="003E400D" w:rsidRPr="008A448F" w:rsidRDefault="003E400D" w:rsidP="00F53D71">
            <w:pPr>
              <w:spacing w:after="0" w:line="240" w:lineRule="auto"/>
              <w:rPr>
                <w:rFonts w:ascii="Times New Roman" w:eastAsia="Times New Roman" w:hAnsi="Times New Roman" w:cs="Times New Roman"/>
                <w:color w:val="000000"/>
                <w:sz w:val="24"/>
                <w:szCs w:val="24"/>
                <w:lang w:val="es-MX" w:eastAsia="es-ES"/>
              </w:rPr>
            </w:pPr>
            <w:r w:rsidRPr="008A448F">
              <w:rPr>
                <w:rFonts w:ascii="Times New Roman" w:eastAsia="Times New Roman" w:hAnsi="Times New Roman" w:cs="Times New Roman"/>
                <w:color w:val="000000"/>
                <w:sz w:val="24"/>
                <w:szCs w:val="24"/>
                <w:lang w:val="es-MX" w:eastAsia="es-ES"/>
              </w:rPr>
              <w:t>Porrini et al. (1994)</w:t>
            </w:r>
            <w:r>
              <w:rPr>
                <w:rFonts w:ascii="Times New Roman" w:eastAsia="Times New Roman" w:hAnsi="Times New Roman" w:cs="Times New Roman"/>
                <w:color w:val="000000"/>
                <w:sz w:val="24"/>
                <w:szCs w:val="24"/>
                <w:lang w:val="es-MX" w:eastAsia="es-ES"/>
              </w:rPr>
              <w:fldChar w:fldCharType="begin" w:fldLock="1"/>
            </w:r>
            <w:r>
              <w:rPr>
                <w:rFonts w:ascii="Times New Roman" w:eastAsia="Times New Roman" w:hAnsi="Times New Roman" w:cs="Times New Roman"/>
                <w:color w:val="000000"/>
                <w:sz w:val="24"/>
                <w:szCs w:val="24"/>
                <w:lang w:val="es-MX" w:eastAsia="es-ES"/>
              </w:rPr>
              <w:instrText>ADDIN CSL_CITATION {"citationItems":[{"id":"ITEM-1","itemData":{"DOI":"10.1039/b715389a","ISSN":"0067-8198 (Print)","PMID":"7695584","author":[{"dropping-particle":"","family":"Porrini M, Gentile MG, Fidanza F","given":".","non-dropping-particle":"","parse-names":false,"suffix":""}],"container-title":"Bibl Nutr Dieta","id":"ITEM-1","issue":"51","issued":{"date-parts":[["1994"]]},"page":"41-44","title":"Validity of a self-administered, semiquantitative food frequency questionnaire","type":"article-journal"},"uris":["http://www.mendeley.com/documents/?uuid=dc24622e-b4d7-4cf6-97a1-bf44a36083c8"]}],"mendeley":{"formattedCitation":"&lt;sup&gt;(21)&lt;/sup&gt;","plainTextFormattedCitation":"(21)","previouslyFormattedCitation":"&lt;sup&gt;(21)&lt;/sup&gt;"},"properties":{"noteIndex":0},"schema":"https://github.com/citation-style-language/schema/raw/master/csl-citation.json"}</w:instrText>
            </w:r>
            <w:r>
              <w:rPr>
                <w:rFonts w:ascii="Times New Roman" w:eastAsia="Times New Roman" w:hAnsi="Times New Roman" w:cs="Times New Roman"/>
                <w:color w:val="000000"/>
                <w:sz w:val="24"/>
                <w:szCs w:val="24"/>
                <w:lang w:val="es-MX" w:eastAsia="es-ES"/>
              </w:rPr>
              <w:fldChar w:fldCharType="separate"/>
            </w:r>
            <w:r w:rsidRPr="00322DA0">
              <w:rPr>
                <w:rFonts w:ascii="Times New Roman" w:eastAsia="Times New Roman" w:hAnsi="Times New Roman" w:cs="Times New Roman"/>
                <w:noProof/>
                <w:color w:val="000000"/>
                <w:sz w:val="24"/>
                <w:szCs w:val="24"/>
                <w:vertAlign w:val="superscript"/>
                <w:lang w:val="es-MX" w:eastAsia="es-ES"/>
              </w:rPr>
              <w:t>(21)</w:t>
            </w:r>
            <w:r>
              <w:rPr>
                <w:rFonts w:ascii="Times New Roman" w:eastAsia="Times New Roman" w:hAnsi="Times New Roman" w:cs="Times New Roman"/>
                <w:color w:val="000000"/>
                <w:sz w:val="24"/>
                <w:szCs w:val="24"/>
                <w:lang w:val="es-MX" w:eastAsia="es-ES"/>
              </w:rPr>
              <w:fldChar w:fldCharType="end"/>
            </w:r>
          </w:p>
        </w:tc>
        <w:tc>
          <w:tcPr>
            <w:tcW w:w="392" w:type="dxa"/>
            <w:shd w:val="clear" w:color="auto" w:fill="008000"/>
            <w:tcMar>
              <w:top w:w="0" w:type="dxa"/>
              <w:left w:w="45" w:type="dxa"/>
              <w:bottom w:w="0" w:type="dxa"/>
              <w:right w:w="45" w:type="dxa"/>
            </w:tcMar>
            <w:vAlign w:val="bottom"/>
            <w:hideMark/>
          </w:tcPr>
          <w:p w14:paraId="053ADFA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008000"/>
            <w:tcMar>
              <w:top w:w="0" w:type="dxa"/>
              <w:left w:w="45" w:type="dxa"/>
              <w:bottom w:w="0" w:type="dxa"/>
              <w:right w:w="45" w:type="dxa"/>
            </w:tcMar>
            <w:vAlign w:val="bottom"/>
            <w:hideMark/>
          </w:tcPr>
          <w:p w14:paraId="3EA24389"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008000"/>
            <w:tcMar>
              <w:top w:w="0" w:type="dxa"/>
              <w:left w:w="45" w:type="dxa"/>
              <w:bottom w:w="0" w:type="dxa"/>
              <w:right w:w="45" w:type="dxa"/>
            </w:tcMar>
            <w:vAlign w:val="bottom"/>
            <w:hideMark/>
          </w:tcPr>
          <w:p w14:paraId="7205B80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0710B60"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79646"/>
            <w:tcMar>
              <w:top w:w="0" w:type="dxa"/>
              <w:left w:w="45" w:type="dxa"/>
              <w:bottom w:w="0" w:type="dxa"/>
              <w:right w:w="45" w:type="dxa"/>
            </w:tcMar>
            <w:vAlign w:val="bottom"/>
            <w:hideMark/>
          </w:tcPr>
          <w:p w14:paraId="6BCE5C6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79646"/>
            <w:tcMar>
              <w:top w:w="0" w:type="dxa"/>
              <w:left w:w="45" w:type="dxa"/>
              <w:bottom w:w="0" w:type="dxa"/>
              <w:right w:w="45" w:type="dxa"/>
            </w:tcMar>
            <w:vAlign w:val="bottom"/>
            <w:hideMark/>
          </w:tcPr>
          <w:p w14:paraId="66BAF4C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D4CE30A"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79AEB652"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3E9550C4"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0148351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4A2A5F11"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568DFE9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2" w:type="dxa"/>
            <w:shd w:val="clear" w:color="auto" w:fill="FF0000"/>
            <w:tcMar>
              <w:top w:w="0" w:type="dxa"/>
              <w:left w:w="45" w:type="dxa"/>
              <w:bottom w:w="0" w:type="dxa"/>
              <w:right w:w="45" w:type="dxa"/>
            </w:tcMar>
            <w:vAlign w:val="bottom"/>
            <w:hideMark/>
          </w:tcPr>
          <w:p w14:paraId="206CF658"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c>
          <w:tcPr>
            <w:tcW w:w="393" w:type="dxa"/>
            <w:shd w:val="clear" w:color="auto" w:fill="FF0000"/>
            <w:tcMar>
              <w:top w:w="0" w:type="dxa"/>
              <w:left w:w="45" w:type="dxa"/>
              <w:bottom w:w="0" w:type="dxa"/>
              <w:right w:w="45" w:type="dxa"/>
            </w:tcMar>
            <w:vAlign w:val="bottom"/>
            <w:hideMark/>
          </w:tcPr>
          <w:p w14:paraId="0F3361BE" w14:textId="77777777" w:rsidR="003E400D" w:rsidRPr="008A448F" w:rsidRDefault="003E400D" w:rsidP="00F53D71">
            <w:pPr>
              <w:spacing w:after="0" w:line="240" w:lineRule="auto"/>
              <w:rPr>
                <w:rFonts w:ascii="Times New Roman" w:eastAsia="Times New Roman" w:hAnsi="Times New Roman" w:cs="Times New Roman"/>
                <w:sz w:val="24"/>
                <w:szCs w:val="24"/>
                <w:lang w:val="es-MX" w:eastAsia="es-ES"/>
              </w:rPr>
            </w:pPr>
          </w:p>
        </w:tc>
      </w:tr>
    </w:tbl>
    <w:p w14:paraId="092D33D2" w14:textId="2E1AD0C6" w:rsidR="00FD2129" w:rsidRPr="0071294A" w:rsidRDefault="00FD2129" w:rsidP="00EC49DE">
      <w:pPr>
        <w:suppressLineNumbers/>
        <w:spacing w:after="0" w:line="240" w:lineRule="auto"/>
        <w:rPr>
          <w:rFonts w:ascii="Times New Roman" w:hAnsi="Times New Roman" w:cs="Times New Roman"/>
          <w:sz w:val="20"/>
          <w:lang w:bidi="en-US"/>
        </w:rPr>
      </w:pPr>
      <w:bookmarkStart w:id="0" w:name="_GoBack"/>
    </w:p>
    <w:bookmarkEnd w:id="0"/>
    <w:sectPr w:rsidR="00FD2129" w:rsidRPr="0071294A" w:rsidSect="00DF0DC4">
      <w:pgSz w:w="12240" w:h="15840"/>
      <w:pgMar w:top="1134" w:right="1134" w:bottom="1134" w:left="1134"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50BDC" w14:textId="77777777" w:rsidR="00FC6BCD" w:rsidRDefault="00FC6BCD">
      <w:pPr>
        <w:spacing w:after="0" w:line="240" w:lineRule="auto"/>
      </w:pPr>
      <w:r>
        <w:separator/>
      </w:r>
    </w:p>
  </w:endnote>
  <w:endnote w:type="continuationSeparator" w:id="0">
    <w:p w14:paraId="3636807A" w14:textId="77777777" w:rsidR="00FC6BCD" w:rsidRDefault="00FC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Athelas Bold Italic"/>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algun Gothic">
    <w:charset w:val="81"/>
    <w:family w:val="swiss"/>
    <w:pitch w:val="variable"/>
    <w:sig w:usb0="9000002F" w:usb1="29D77CFB" w:usb2="00000012" w:usb3="00000000" w:csb0="00080001"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B35B" w14:textId="77777777" w:rsidR="00FC6BCD" w:rsidRDefault="00FC6BCD">
    <w:pPr>
      <w:pStyle w:val="Normal1"/>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4DF65" w14:textId="77777777" w:rsidR="00FC6BCD" w:rsidRDefault="00FC6BCD">
      <w:pPr>
        <w:spacing w:after="0" w:line="240" w:lineRule="auto"/>
      </w:pPr>
      <w:r>
        <w:separator/>
      </w:r>
    </w:p>
  </w:footnote>
  <w:footnote w:type="continuationSeparator" w:id="0">
    <w:p w14:paraId="7DD908D4" w14:textId="77777777" w:rsidR="00FC6BCD" w:rsidRDefault="00FC6B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8A27" w14:textId="77777777" w:rsidR="00FC6BCD" w:rsidRDefault="00FC6BCD">
    <w:pPr>
      <w:pStyle w:val="Normal1"/>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C49DE">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D4"/>
    <w:multiLevelType w:val="multilevel"/>
    <w:tmpl w:val="25B29D0E"/>
    <w:styleLink w:val="Estilo1"/>
    <w:lvl w:ilvl="0">
      <w:start w:val="1"/>
      <w:numFmt w:val="upperRoman"/>
      <w:lvlText w:val="%1."/>
      <w:lvlJc w:val="right"/>
      <w:pPr>
        <w:ind w:left="862" w:hanging="360"/>
      </w:pPr>
      <w:rPr>
        <w:rFonts w:hint="default"/>
      </w:rPr>
    </w:lvl>
    <w:lvl w:ilvl="1">
      <w:start w:val="1"/>
      <w:numFmt w:val="none"/>
      <w:lvlText w:val="I.1."/>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nsid w:val="2064419E"/>
    <w:multiLevelType w:val="hybridMultilevel"/>
    <w:tmpl w:val="732489B2"/>
    <w:lvl w:ilvl="0" w:tplc="26B69556">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C12E7D"/>
    <w:multiLevelType w:val="hybridMultilevel"/>
    <w:tmpl w:val="37A2C5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526086"/>
    <w:multiLevelType w:val="hybridMultilevel"/>
    <w:tmpl w:val="99D61DA6"/>
    <w:lvl w:ilvl="0" w:tplc="B6D4956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6D069A"/>
    <w:multiLevelType w:val="hybridMultilevel"/>
    <w:tmpl w:val="B7DA990A"/>
    <w:lvl w:ilvl="0" w:tplc="AA7A991E">
      <w:start w:val="1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6C61FE"/>
    <w:multiLevelType w:val="hybridMultilevel"/>
    <w:tmpl w:val="BE0A0F96"/>
    <w:lvl w:ilvl="0" w:tplc="99E671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C5747B"/>
    <w:multiLevelType w:val="hybridMultilevel"/>
    <w:tmpl w:val="C276E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0E1904"/>
    <w:multiLevelType w:val="multilevel"/>
    <w:tmpl w:val="67EE7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492EE3"/>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631A32"/>
    <w:multiLevelType w:val="hybridMultilevel"/>
    <w:tmpl w:val="6FAA39AE"/>
    <w:lvl w:ilvl="0" w:tplc="B6D4956C">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4254EBD"/>
    <w:multiLevelType w:val="hybridMultilevel"/>
    <w:tmpl w:val="F7B2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3D3063"/>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987D14"/>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9"/>
  </w:num>
  <w:num w:numId="6">
    <w:abstractNumId w:val="3"/>
  </w:num>
  <w:num w:numId="7">
    <w:abstractNumId w:val="12"/>
  </w:num>
  <w:num w:numId="8">
    <w:abstractNumId w:val="1"/>
  </w:num>
  <w:num w:numId="9">
    <w:abstractNumId w:val="10"/>
  </w:num>
  <w:num w:numId="10">
    <w:abstractNumId w:val="2"/>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7D"/>
    <w:rsid w:val="000050E9"/>
    <w:rsid w:val="00005613"/>
    <w:rsid w:val="00015343"/>
    <w:rsid w:val="00020A97"/>
    <w:rsid w:val="00021E15"/>
    <w:rsid w:val="00026ED7"/>
    <w:rsid w:val="00037E5F"/>
    <w:rsid w:val="00044662"/>
    <w:rsid w:val="00050211"/>
    <w:rsid w:val="000529B0"/>
    <w:rsid w:val="00055645"/>
    <w:rsid w:val="0005577E"/>
    <w:rsid w:val="00056550"/>
    <w:rsid w:val="00060636"/>
    <w:rsid w:val="00065D90"/>
    <w:rsid w:val="0006743E"/>
    <w:rsid w:val="000715A1"/>
    <w:rsid w:val="00081BA1"/>
    <w:rsid w:val="00082460"/>
    <w:rsid w:val="00082E20"/>
    <w:rsid w:val="0008349A"/>
    <w:rsid w:val="00084C8E"/>
    <w:rsid w:val="00086848"/>
    <w:rsid w:val="00092178"/>
    <w:rsid w:val="00096817"/>
    <w:rsid w:val="000A170C"/>
    <w:rsid w:val="000A7061"/>
    <w:rsid w:val="000A7423"/>
    <w:rsid w:val="000B0507"/>
    <w:rsid w:val="000B6D17"/>
    <w:rsid w:val="000C5050"/>
    <w:rsid w:val="000C5CD5"/>
    <w:rsid w:val="000C64DB"/>
    <w:rsid w:val="000D5066"/>
    <w:rsid w:val="000E08AF"/>
    <w:rsid w:val="000E44A8"/>
    <w:rsid w:val="000E562F"/>
    <w:rsid w:val="000E7945"/>
    <w:rsid w:val="000F2209"/>
    <w:rsid w:val="000F4E54"/>
    <w:rsid w:val="000F5068"/>
    <w:rsid w:val="000F7374"/>
    <w:rsid w:val="00104B02"/>
    <w:rsid w:val="00110AD5"/>
    <w:rsid w:val="00111719"/>
    <w:rsid w:val="00120B99"/>
    <w:rsid w:val="001260AE"/>
    <w:rsid w:val="0013205F"/>
    <w:rsid w:val="001337B7"/>
    <w:rsid w:val="00134E92"/>
    <w:rsid w:val="00134F73"/>
    <w:rsid w:val="00136DE9"/>
    <w:rsid w:val="001428F1"/>
    <w:rsid w:val="0014355F"/>
    <w:rsid w:val="00144136"/>
    <w:rsid w:val="00151215"/>
    <w:rsid w:val="00153457"/>
    <w:rsid w:val="001638C1"/>
    <w:rsid w:val="00165268"/>
    <w:rsid w:val="0016664B"/>
    <w:rsid w:val="00167CB8"/>
    <w:rsid w:val="0017325C"/>
    <w:rsid w:val="00177032"/>
    <w:rsid w:val="00180C4B"/>
    <w:rsid w:val="001878CD"/>
    <w:rsid w:val="0019089A"/>
    <w:rsid w:val="00193E34"/>
    <w:rsid w:val="00197BA1"/>
    <w:rsid w:val="001A28EB"/>
    <w:rsid w:val="001B1461"/>
    <w:rsid w:val="001B23A5"/>
    <w:rsid w:val="001D1E84"/>
    <w:rsid w:val="001D4E79"/>
    <w:rsid w:val="001D6782"/>
    <w:rsid w:val="001D772F"/>
    <w:rsid w:val="001E609C"/>
    <w:rsid w:val="001E7C9B"/>
    <w:rsid w:val="001F12A1"/>
    <w:rsid w:val="001F216D"/>
    <w:rsid w:val="002010D0"/>
    <w:rsid w:val="00206EE5"/>
    <w:rsid w:val="002113AE"/>
    <w:rsid w:val="00214710"/>
    <w:rsid w:val="00222C55"/>
    <w:rsid w:val="00225ED8"/>
    <w:rsid w:val="0024071E"/>
    <w:rsid w:val="00241C16"/>
    <w:rsid w:val="00246ABF"/>
    <w:rsid w:val="00263A7E"/>
    <w:rsid w:val="002643DF"/>
    <w:rsid w:val="002655BA"/>
    <w:rsid w:val="0026758E"/>
    <w:rsid w:val="00272B54"/>
    <w:rsid w:val="00285DF4"/>
    <w:rsid w:val="00290F98"/>
    <w:rsid w:val="002940DD"/>
    <w:rsid w:val="002A1435"/>
    <w:rsid w:val="002A1A8B"/>
    <w:rsid w:val="002A3206"/>
    <w:rsid w:val="002A3BA7"/>
    <w:rsid w:val="002A7D80"/>
    <w:rsid w:val="002B0BBE"/>
    <w:rsid w:val="002B1F7A"/>
    <w:rsid w:val="002B2A1C"/>
    <w:rsid w:val="002B5817"/>
    <w:rsid w:val="002B6335"/>
    <w:rsid w:val="002B788B"/>
    <w:rsid w:val="002B7B29"/>
    <w:rsid w:val="002C2BEE"/>
    <w:rsid w:val="002C3DFB"/>
    <w:rsid w:val="002C4008"/>
    <w:rsid w:val="002C547B"/>
    <w:rsid w:val="002D3ABB"/>
    <w:rsid w:val="002E18C6"/>
    <w:rsid w:val="002E26CB"/>
    <w:rsid w:val="002E551D"/>
    <w:rsid w:val="002E615B"/>
    <w:rsid w:val="002F4D06"/>
    <w:rsid w:val="002F55B1"/>
    <w:rsid w:val="002F5A2F"/>
    <w:rsid w:val="002F6DFE"/>
    <w:rsid w:val="003000E8"/>
    <w:rsid w:val="00301542"/>
    <w:rsid w:val="00301A5B"/>
    <w:rsid w:val="00302EC0"/>
    <w:rsid w:val="0030499A"/>
    <w:rsid w:val="00306FC2"/>
    <w:rsid w:val="00314787"/>
    <w:rsid w:val="00316ADA"/>
    <w:rsid w:val="003212A8"/>
    <w:rsid w:val="00327546"/>
    <w:rsid w:val="003361C3"/>
    <w:rsid w:val="00340418"/>
    <w:rsid w:val="003417BB"/>
    <w:rsid w:val="00342A07"/>
    <w:rsid w:val="003457A0"/>
    <w:rsid w:val="0034764C"/>
    <w:rsid w:val="00347BE6"/>
    <w:rsid w:val="003564E6"/>
    <w:rsid w:val="0036490D"/>
    <w:rsid w:val="003671E2"/>
    <w:rsid w:val="00374EB9"/>
    <w:rsid w:val="003912F5"/>
    <w:rsid w:val="00391FCD"/>
    <w:rsid w:val="00392E1A"/>
    <w:rsid w:val="00395035"/>
    <w:rsid w:val="003968B9"/>
    <w:rsid w:val="00396E7D"/>
    <w:rsid w:val="003A6F2D"/>
    <w:rsid w:val="003B27CA"/>
    <w:rsid w:val="003B7CF1"/>
    <w:rsid w:val="003C5302"/>
    <w:rsid w:val="003C7D13"/>
    <w:rsid w:val="003D6217"/>
    <w:rsid w:val="003E400D"/>
    <w:rsid w:val="003E6A7F"/>
    <w:rsid w:val="003F2D04"/>
    <w:rsid w:val="00410F21"/>
    <w:rsid w:val="0041403A"/>
    <w:rsid w:val="00422BA3"/>
    <w:rsid w:val="004254E2"/>
    <w:rsid w:val="004273E7"/>
    <w:rsid w:val="00427EC9"/>
    <w:rsid w:val="00432083"/>
    <w:rsid w:val="0043419F"/>
    <w:rsid w:val="004426BA"/>
    <w:rsid w:val="00444FB2"/>
    <w:rsid w:val="00454B36"/>
    <w:rsid w:val="00462A47"/>
    <w:rsid w:val="0046557D"/>
    <w:rsid w:val="0047052D"/>
    <w:rsid w:val="00472FAC"/>
    <w:rsid w:val="00481C76"/>
    <w:rsid w:val="004868F1"/>
    <w:rsid w:val="00493A29"/>
    <w:rsid w:val="00496EC8"/>
    <w:rsid w:val="004B090D"/>
    <w:rsid w:val="004B1D57"/>
    <w:rsid w:val="004C0AD8"/>
    <w:rsid w:val="004C6E75"/>
    <w:rsid w:val="004D5B11"/>
    <w:rsid w:val="004F181E"/>
    <w:rsid w:val="004F6B7E"/>
    <w:rsid w:val="00500F43"/>
    <w:rsid w:val="0050243E"/>
    <w:rsid w:val="00504506"/>
    <w:rsid w:val="00506475"/>
    <w:rsid w:val="00507CA6"/>
    <w:rsid w:val="00510076"/>
    <w:rsid w:val="00523026"/>
    <w:rsid w:val="0053055C"/>
    <w:rsid w:val="00537FEE"/>
    <w:rsid w:val="0054113C"/>
    <w:rsid w:val="0054655D"/>
    <w:rsid w:val="00551BEF"/>
    <w:rsid w:val="0055303B"/>
    <w:rsid w:val="00555036"/>
    <w:rsid w:val="00557AB2"/>
    <w:rsid w:val="00562A69"/>
    <w:rsid w:val="00571035"/>
    <w:rsid w:val="005726D5"/>
    <w:rsid w:val="00572B21"/>
    <w:rsid w:val="00573408"/>
    <w:rsid w:val="00576952"/>
    <w:rsid w:val="00584ED4"/>
    <w:rsid w:val="00595B8A"/>
    <w:rsid w:val="0059650C"/>
    <w:rsid w:val="005A0230"/>
    <w:rsid w:val="005A0BBA"/>
    <w:rsid w:val="005A29E4"/>
    <w:rsid w:val="005A62C3"/>
    <w:rsid w:val="005A6C70"/>
    <w:rsid w:val="005B6661"/>
    <w:rsid w:val="005B707C"/>
    <w:rsid w:val="005C0102"/>
    <w:rsid w:val="005C3812"/>
    <w:rsid w:val="005C4BA9"/>
    <w:rsid w:val="005C7C52"/>
    <w:rsid w:val="005D405C"/>
    <w:rsid w:val="005F0317"/>
    <w:rsid w:val="005F298B"/>
    <w:rsid w:val="006024CB"/>
    <w:rsid w:val="006127CD"/>
    <w:rsid w:val="00614AE5"/>
    <w:rsid w:val="00627D69"/>
    <w:rsid w:val="0063277B"/>
    <w:rsid w:val="006338A8"/>
    <w:rsid w:val="00646F4A"/>
    <w:rsid w:val="00657957"/>
    <w:rsid w:val="0066290A"/>
    <w:rsid w:val="00663923"/>
    <w:rsid w:val="0067230C"/>
    <w:rsid w:val="00673274"/>
    <w:rsid w:val="00673A1F"/>
    <w:rsid w:val="0067524C"/>
    <w:rsid w:val="006811E2"/>
    <w:rsid w:val="00682789"/>
    <w:rsid w:val="006862E7"/>
    <w:rsid w:val="0068695A"/>
    <w:rsid w:val="00686A4A"/>
    <w:rsid w:val="006A0067"/>
    <w:rsid w:val="006A0FC0"/>
    <w:rsid w:val="006B38BC"/>
    <w:rsid w:val="006D1AFF"/>
    <w:rsid w:val="006D3A7C"/>
    <w:rsid w:val="006D42F7"/>
    <w:rsid w:val="006D5BB7"/>
    <w:rsid w:val="006D71C7"/>
    <w:rsid w:val="006E2971"/>
    <w:rsid w:val="006E364F"/>
    <w:rsid w:val="006E38F6"/>
    <w:rsid w:val="006E42E1"/>
    <w:rsid w:val="006E5FBF"/>
    <w:rsid w:val="006E6A5C"/>
    <w:rsid w:val="006F02E5"/>
    <w:rsid w:val="006F339A"/>
    <w:rsid w:val="006F3B16"/>
    <w:rsid w:val="006F3D40"/>
    <w:rsid w:val="006F45F2"/>
    <w:rsid w:val="0070229A"/>
    <w:rsid w:val="0070233A"/>
    <w:rsid w:val="00704524"/>
    <w:rsid w:val="00704F08"/>
    <w:rsid w:val="00707EC6"/>
    <w:rsid w:val="0071011F"/>
    <w:rsid w:val="0071294A"/>
    <w:rsid w:val="007169A0"/>
    <w:rsid w:val="00720D52"/>
    <w:rsid w:val="00722D63"/>
    <w:rsid w:val="007315DC"/>
    <w:rsid w:val="00735EFA"/>
    <w:rsid w:val="00742558"/>
    <w:rsid w:val="007455D7"/>
    <w:rsid w:val="00745A49"/>
    <w:rsid w:val="00746620"/>
    <w:rsid w:val="00746BEC"/>
    <w:rsid w:val="00746F9A"/>
    <w:rsid w:val="00750A48"/>
    <w:rsid w:val="00752BD2"/>
    <w:rsid w:val="007641D5"/>
    <w:rsid w:val="007676A2"/>
    <w:rsid w:val="0077150C"/>
    <w:rsid w:val="007723F1"/>
    <w:rsid w:val="007723FD"/>
    <w:rsid w:val="00772ACF"/>
    <w:rsid w:val="007760B5"/>
    <w:rsid w:val="00784933"/>
    <w:rsid w:val="007915CB"/>
    <w:rsid w:val="00793B25"/>
    <w:rsid w:val="00794BC1"/>
    <w:rsid w:val="00795069"/>
    <w:rsid w:val="007A55DC"/>
    <w:rsid w:val="007B4522"/>
    <w:rsid w:val="007B6C3D"/>
    <w:rsid w:val="007C501E"/>
    <w:rsid w:val="007D0835"/>
    <w:rsid w:val="007D1187"/>
    <w:rsid w:val="007D2B78"/>
    <w:rsid w:val="007D3564"/>
    <w:rsid w:val="007D72BB"/>
    <w:rsid w:val="007E3795"/>
    <w:rsid w:val="007E4BDA"/>
    <w:rsid w:val="007E50A3"/>
    <w:rsid w:val="00801107"/>
    <w:rsid w:val="00802234"/>
    <w:rsid w:val="00802797"/>
    <w:rsid w:val="0080350B"/>
    <w:rsid w:val="00805F3E"/>
    <w:rsid w:val="00806333"/>
    <w:rsid w:val="00812FE4"/>
    <w:rsid w:val="00837124"/>
    <w:rsid w:val="008409A3"/>
    <w:rsid w:val="00842E71"/>
    <w:rsid w:val="008441FA"/>
    <w:rsid w:val="00846C54"/>
    <w:rsid w:val="00851660"/>
    <w:rsid w:val="00852DF6"/>
    <w:rsid w:val="0085434F"/>
    <w:rsid w:val="00857B4C"/>
    <w:rsid w:val="00862D0D"/>
    <w:rsid w:val="00866279"/>
    <w:rsid w:val="00866BD7"/>
    <w:rsid w:val="00867641"/>
    <w:rsid w:val="00870FAB"/>
    <w:rsid w:val="008723B5"/>
    <w:rsid w:val="00874172"/>
    <w:rsid w:val="0088144F"/>
    <w:rsid w:val="00884E75"/>
    <w:rsid w:val="00892A09"/>
    <w:rsid w:val="00893976"/>
    <w:rsid w:val="008A448F"/>
    <w:rsid w:val="008B3CD2"/>
    <w:rsid w:val="008B49FC"/>
    <w:rsid w:val="008B597F"/>
    <w:rsid w:val="008C18EB"/>
    <w:rsid w:val="008C2C92"/>
    <w:rsid w:val="008C3EFF"/>
    <w:rsid w:val="008D0AD8"/>
    <w:rsid w:val="008D0D0A"/>
    <w:rsid w:val="008D239C"/>
    <w:rsid w:val="008D3B43"/>
    <w:rsid w:val="008D6032"/>
    <w:rsid w:val="008D64E3"/>
    <w:rsid w:val="008E7260"/>
    <w:rsid w:val="008F4727"/>
    <w:rsid w:val="008F4D77"/>
    <w:rsid w:val="00905CA8"/>
    <w:rsid w:val="009101FB"/>
    <w:rsid w:val="009213AD"/>
    <w:rsid w:val="00922D47"/>
    <w:rsid w:val="00924C11"/>
    <w:rsid w:val="00926C8F"/>
    <w:rsid w:val="00932168"/>
    <w:rsid w:val="00937167"/>
    <w:rsid w:val="00943ABE"/>
    <w:rsid w:val="00945F8C"/>
    <w:rsid w:val="0094731F"/>
    <w:rsid w:val="00951E3C"/>
    <w:rsid w:val="00965661"/>
    <w:rsid w:val="0097169B"/>
    <w:rsid w:val="00977055"/>
    <w:rsid w:val="00983749"/>
    <w:rsid w:val="00983FB9"/>
    <w:rsid w:val="009937A8"/>
    <w:rsid w:val="00996C7A"/>
    <w:rsid w:val="00997912"/>
    <w:rsid w:val="009A1F9E"/>
    <w:rsid w:val="009A34A9"/>
    <w:rsid w:val="009A4DD0"/>
    <w:rsid w:val="009A600C"/>
    <w:rsid w:val="009B3A68"/>
    <w:rsid w:val="009B4E5E"/>
    <w:rsid w:val="009B6C5F"/>
    <w:rsid w:val="009C1863"/>
    <w:rsid w:val="009C2AA9"/>
    <w:rsid w:val="009C641D"/>
    <w:rsid w:val="009D1E9C"/>
    <w:rsid w:val="009E35A7"/>
    <w:rsid w:val="009E4653"/>
    <w:rsid w:val="009F70B8"/>
    <w:rsid w:val="00A02FB3"/>
    <w:rsid w:val="00A05C27"/>
    <w:rsid w:val="00A10931"/>
    <w:rsid w:val="00A10AD9"/>
    <w:rsid w:val="00A13EA7"/>
    <w:rsid w:val="00A22431"/>
    <w:rsid w:val="00A23640"/>
    <w:rsid w:val="00A35E74"/>
    <w:rsid w:val="00A362AE"/>
    <w:rsid w:val="00A37F81"/>
    <w:rsid w:val="00A40A9F"/>
    <w:rsid w:val="00A420AB"/>
    <w:rsid w:val="00A431D3"/>
    <w:rsid w:val="00A52C41"/>
    <w:rsid w:val="00A53945"/>
    <w:rsid w:val="00A61AFA"/>
    <w:rsid w:val="00A67953"/>
    <w:rsid w:val="00A7087D"/>
    <w:rsid w:val="00A72E32"/>
    <w:rsid w:val="00A734B1"/>
    <w:rsid w:val="00A73E4A"/>
    <w:rsid w:val="00A74133"/>
    <w:rsid w:val="00A75A54"/>
    <w:rsid w:val="00A85FDA"/>
    <w:rsid w:val="00A873D0"/>
    <w:rsid w:val="00A92F70"/>
    <w:rsid w:val="00A93FCF"/>
    <w:rsid w:val="00A973AB"/>
    <w:rsid w:val="00AB3B5F"/>
    <w:rsid w:val="00AB429E"/>
    <w:rsid w:val="00AC4F35"/>
    <w:rsid w:val="00AD097C"/>
    <w:rsid w:val="00AD21B9"/>
    <w:rsid w:val="00AD601A"/>
    <w:rsid w:val="00AE34A1"/>
    <w:rsid w:val="00AF087E"/>
    <w:rsid w:val="00B00FC1"/>
    <w:rsid w:val="00B01B18"/>
    <w:rsid w:val="00B0316B"/>
    <w:rsid w:val="00B03912"/>
    <w:rsid w:val="00B11893"/>
    <w:rsid w:val="00B12834"/>
    <w:rsid w:val="00B16B67"/>
    <w:rsid w:val="00B206E3"/>
    <w:rsid w:val="00B217AA"/>
    <w:rsid w:val="00B227A9"/>
    <w:rsid w:val="00B231E9"/>
    <w:rsid w:val="00B25820"/>
    <w:rsid w:val="00B30877"/>
    <w:rsid w:val="00B33D66"/>
    <w:rsid w:val="00B3465C"/>
    <w:rsid w:val="00B348AE"/>
    <w:rsid w:val="00B423FD"/>
    <w:rsid w:val="00B47CB6"/>
    <w:rsid w:val="00B50814"/>
    <w:rsid w:val="00B56C85"/>
    <w:rsid w:val="00B63BEA"/>
    <w:rsid w:val="00B731DC"/>
    <w:rsid w:val="00B73D8F"/>
    <w:rsid w:val="00B84DDB"/>
    <w:rsid w:val="00B869B6"/>
    <w:rsid w:val="00BA658D"/>
    <w:rsid w:val="00BB2786"/>
    <w:rsid w:val="00BB4E15"/>
    <w:rsid w:val="00BC1AE9"/>
    <w:rsid w:val="00BC30AA"/>
    <w:rsid w:val="00BC67C2"/>
    <w:rsid w:val="00BD3B5C"/>
    <w:rsid w:val="00BD5DFA"/>
    <w:rsid w:val="00BE6B83"/>
    <w:rsid w:val="00BE6F6D"/>
    <w:rsid w:val="00BF14EC"/>
    <w:rsid w:val="00BF1D19"/>
    <w:rsid w:val="00BF2C3C"/>
    <w:rsid w:val="00C00785"/>
    <w:rsid w:val="00C01990"/>
    <w:rsid w:val="00C06DB1"/>
    <w:rsid w:val="00C10BAA"/>
    <w:rsid w:val="00C10F58"/>
    <w:rsid w:val="00C212C8"/>
    <w:rsid w:val="00C22714"/>
    <w:rsid w:val="00C23AEB"/>
    <w:rsid w:val="00C245CA"/>
    <w:rsid w:val="00C334E1"/>
    <w:rsid w:val="00C341B2"/>
    <w:rsid w:val="00C37254"/>
    <w:rsid w:val="00C417DB"/>
    <w:rsid w:val="00C55F61"/>
    <w:rsid w:val="00C64CFA"/>
    <w:rsid w:val="00C7300C"/>
    <w:rsid w:val="00C74616"/>
    <w:rsid w:val="00C759B5"/>
    <w:rsid w:val="00C80B30"/>
    <w:rsid w:val="00C821A3"/>
    <w:rsid w:val="00C84255"/>
    <w:rsid w:val="00C85233"/>
    <w:rsid w:val="00C87055"/>
    <w:rsid w:val="00C87C77"/>
    <w:rsid w:val="00C9129B"/>
    <w:rsid w:val="00C937BF"/>
    <w:rsid w:val="00C971BE"/>
    <w:rsid w:val="00CA7384"/>
    <w:rsid w:val="00CC7B2F"/>
    <w:rsid w:val="00CD7A2A"/>
    <w:rsid w:val="00CE2F52"/>
    <w:rsid w:val="00CE5500"/>
    <w:rsid w:val="00CE69BE"/>
    <w:rsid w:val="00CE7D51"/>
    <w:rsid w:val="00CF3747"/>
    <w:rsid w:val="00D03E06"/>
    <w:rsid w:val="00D04656"/>
    <w:rsid w:val="00D073F9"/>
    <w:rsid w:val="00D1054F"/>
    <w:rsid w:val="00D105DB"/>
    <w:rsid w:val="00D133AF"/>
    <w:rsid w:val="00D13EE9"/>
    <w:rsid w:val="00D174DC"/>
    <w:rsid w:val="00D2075E"/>
    <w:rsid w:val="00D20893"/>
    <w:rsid w:val="00D211CF"/>
    <w:rsid w:val="00D23CA0"/>
    <w:rsid w:val="00D2650B"/>
    <w:rsid w:val="00D3421E"/>
    <w:rsid w:val="00D46794"/>
    <w:rsid w:val="00D50A32"/>
    <w:rsid w:val="00D50B47"/>
    <w:rsid w:val="00D5158C"/>
    <w:rsid w:val="00D53D18"/>
    <w:rsid w:val="00D56428"/>
    <w:rsid w:val="00D614B6"/>
    <w:rsid w:val="00D63EE8"/>
    <w:rsid w:val="00D654D6"/>
    <w:rsid w:val="00D67039"/>
    <w:rsid w:val="00D67827"/>
    <w:rsid w:val="00D67DA3"/>
    <w:rsid w:val="00D7118F"/>
    <w:rsid w:val="00D72491"/>
    <w:rsid w:val="00D732E0"/>
    <w:rsid w:val="00D758A8"/>
    <w:rsid w:val="00D81143"/>
    <w:rsid w:val="00D818AD"/>
    <w:rsid w:val="00D85BED"/>
    <w:rsid w:val="00D863C3"/>
    <w:rsid w:val="00DA5760"/>
    <w:rsid w:val="00DB36DC"/>
    <w:rsid w:val="00DB45DF"/>
    <w:rsid w:val="00DB4928"/>
    <w:rsid w:val="00DB5867"/>
    <w:rsid w:val="00DB6856"/>
    <w:rsid w:val="00DB69BA"/>
    <w:rsid w:val="00DB76CE"/>
    <w:rsid w:val="00DC26FD"/>
    <w:rsid w:val="00DC3229"/>
    <w:rsid w:val="00DC7CCD"/>
    <w:rsid w:val="00DD5D09"/>
    <w:rsid w:val="00DD678D"/>
    <w:rsid w:val="00DE7972"/>
    <w:rsid w:val="00DF0DC4"/>
    <w:rsid w:val="00DF4976"/>
    <w:rsid w:val="00DF60CE"/>
    <w:rsid w:val="00E00971"/>
    <w:rsid w:val="00E0481E"/>
    <w:rsid w:val="00E05D75"/>
    <w:rsid w:val="00E10288"/>
    <w:rsid w:val="00E163E7"/>
    <w:rsid w:val="00E17413"/>
    <w:rsid w:val="00E209A6"/>
    <w:rsid w:val="00E233D5"/>
    <w:rsid w:val="00E25237"/>
    <w:rsid w:val="00E317BE"/>
    <w:rsid w:val="00E3633D"/>
    <w:rsid w:val="00E367C3"/>
    <w:rsid w:val="00E42517"/>
    <w:rsid w:val="00E51D65"/>
    <w:rsid w:val="00E52265"/>
    <w:rsid w:val="00E652BD"/>
    <w:rsid w:val="00E70B13"/>
    <w:rsid w:val="00E735CD"/>
    <w:rsid w:val="00E7467F"/>
    <w:rsid w:val="00E80D7F"/>
    <w:rsid w:val="00E93BC6"/>
    <w:rsid w:val="00E978E2"/>
    <w:rsid w:val="00EA413A"/>
    <w:rsid w:val="00EA69B0"/>
    <w:rsid w:val="00EB45F5"/>
    <w:rsid w:val="00EC0AFE"/>
    <w:rsid w:val="00EC3F30"/>
    <w:rsid w:val="00EC49DE"/>
    <w:rsid w:val="00EF1079"/>
    <w:rsid w:val="00EF11BD"/>
    <w:rsid w:val="00EF2005"/>
    <w:rsid w:val="00EF207C"/>
    <w:rsid w:val="00EF373C"/>
    <w:rsid w:val="00EF6971"/>
    <w:rsid w:val="00EF725E"/>
    <w:rsid w:val="00F1121C"/>
    <w:rsid w:val="00F2128A"/>
    <w:rsid w:val="00F2206F"/>
    <w:rsid w:val="00F27186"/>
    <w:rsid w:val="00F3233D"/>
    <w:rsid w:val="00F37E01"/>
    <w:rsid w:val="00F44E12"/>
    <w:rsid w:val="00F469D9"/>
    <w:rsid w:val="00F57AD4"/>
    <w:rsid w:val="00F6263B"/>
    <w:rsid w:val="00F726A1"/>
    <w:rsid w:val="00F731B8"/>
    <w:rsid w:val="00F75E3A"/>
    <w:rsid w:val="00F87B66"/>
    <w:rsid w:val="00F92BC2"/>
    <w:rsid w:val="00F95965"/>
    <w:rsid w:val="00FB08AC"/>
    <w:rsid w:val="00FC0907"/>
    <w:rsid w:val="00FC1A3D"/>
    <w:rsid w:val="00FC4E78"/>
    <w:rsid w:val="00FC6BCD"/>
    <w:rsid w:val="00FD1159"/>
    <w:rsid w:val="00FD2129"/>
    <w:rsid w:val="00FD23FB"/>
    <w:rsid w:val="00FD73D6"/>
    <w:rsid w:val="00FE0FD0"/>
    <w:rsid w:val="00FE1EE4"/>
    <w:rsid w:val="00FE4983"/>
    <w:rsid w:val="00FE565E"/>
    <w:rsid w:val="00FE5AD3"/>
    <w:rsid w:val="00FF59A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A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87D"/>
    <w:pPr>
      <w:spacing w:after="200" w:line="276" w:lineRule="auto"/>
    </w:pPr>
    <w:rPr>
      <w:rFonts w:ascii="Calibri" w:eastAsia="Calibri" w:hAnsi="Calibri" w:cs="Calibri"/>
      <w:lang w:val="en-US" w:eastAsia="es-MX"/>
    </w:rPr>
  </w:style>
  <w:style w:type="paragraph" w:styleId="Ttulo1">
    <w:name w:val="heading 1"/>
    <w:basedOn w:val="Normal"/>
    <w:next w:val="Normal"/>
    <w:link w:val="Ttulo1Car"/>
    <w:rsid w:val="00A7087D"/>
    <w:pPr>
      <w:keepNext/>
      <w:keepLines/>
      <w:spacing w:before="480" w:after="120"/>
      <w:outlineLvl w:val="0"/>
    </w:pPr>
    <w:rPr>
      <w:b/>
      <w:sz w:val="48"/>
      <w:szCs w:val="48"/>
    </w:rPr>
  </w:style>
  <w:style w:type="paragraph" w:styleId="Ttulo2">
    <w:name w:val="heading 2"/>
    <w:basedOn w:val="Normal"/>
    <w:next w:val="Normal"/>
    <w:link w:val="Ttulo2Car"/>
    <w:rsid w:val="00A7087D"/>
    <w:pPr>
      <w:keepNext/>
      <w:keepLines/>
      <w:spacing w:before="360" w:after="80"/>
      <w:outlineLvl w:val="1"/>
    </w:pPr>
    <w:rPr>
      <w:b/>
      <w:sz w:val="36"/>
      <w:szCs w:val="36"/>
    </w:rPr>
  </w:style>
  <w:style w:type="paragraph" w:styleId="Ttulo3">
    <w:name w:val="heading 3"/>
    <w:basedOn w:val="Normal"/>
    <w:next w:val="Normal"/>
    <w:link w:val="Ttulo3Car"/>
    <w:rsid w:val="00A7087D"/>
    <w:pPr>
      <w:keepNext/>
      <w:keepLines/>
      <w:spacing w:before="280" w:after="80"/>
      <w:outlineLvl w:val="2"/>
    </w:pPr>
    <w:rPr>
      <w:b/>
      <w:sz w:val="28"/>
      <w:szCs w:val="28"/>
    </w:rPr>
  </w:style>
  <w:style w:type="paragraph" w:styleId="Ttulo4">
    <w:name w:val="heading 4"/>
    <w:basedOn w:val="Normal"/>
    <w:next w:val="Normal"/>
    <w:link w:val="Ttulo4Car"/>
    <w:rsid w:val="00A7087D"/>
    <w:pPr>
      <w:keepNext/>
      <w:keepLines/>
      <w:spacing w:before="240" w:after="40"/>
      <w:outlineLvl w:val="3"/>
    </w:pPr>
    <w:rPr>
      <w:b/>
      <w:sz w:val="24"/>
      <w:szCs w:val="24"/>
    </w:rPr>
  </w:style>
  <w:style w:type="paragraph" w:styleId="Ttulo5">
    <w:name w:val="heading 5"/>
    <w:basedOn w:val="Normal"/>
    <w:next w:val="Normal"/>
    <w:link w:val="Ttulo5Car"/>
    <w:rsid w:val="00A7087D"/>
    <w:pPr>
      <w:keepNext/>
      <w:keepLines/>
      <w:spacing w:before="220" w:after="40"/>
      <w:outlineLvl w:val="4"/>
    </w:pPr>
    <w:rPr>
      <w:b/>
    </w:rPr>
  </w:style>
  <w:style w:type="paragraph" w:styleId="Ttulo6">
    <w:name w:val="heading 6"/>
    <w:basedOn w:val="Normal"/>
    <w:next w:val="Normal"/>
    <w:link w:val="Ttulo6Car"/>
    <w:rsid w:val="00A708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087D"/>
    <w:rPr>
      <w:rFonts w:ascii="Calibri" w:eastAsia="Calibri" w:hAnsi="Calibri" w:cs="Calibri"/>
      <w:b/>
      <w:sz w:val="48"/>
      <w:szCs w:val="48"/>
      <w:lang w:val="en-US" w:eastAsia="es-MX"/>
    </w:rPr>
  </w:style>
  <w:style w:type="character" w:customStyle="1" w:styleId="Ttulo2Car">
    <w:name w:val="Título 2 Car"/>
    <w:basedOn w:val="Fuentedeprrafopredeter"/>
    <w:link w:val="Ttulo2"/>
    <w:rsid w:val="00A7087D"/>
    <w:rPr>
      <w:rFonts w:ascii="Calibri" w:eastAsia="Calibri" w:hAnsi="Calibri" w:cs="Calibri"/>
      <w:b/>
      <w:sz w:val="36"/>
      <w:szCs w:val="36"/>
      <w:lang w:val="en-US" w:eastAsia="es-MX"/>
    </w:rPr>
  </w:style>
  <w:style w:type="character" w:customStyle="1" w:styleId="Ttulo3Car">
    <w:name w:val="Título 3 Car"/>
    <w:basedOn w:val="Fuentedeprrafopredeter"/>
    <w:link w:val="Ttulo3"/>
    <w:rsid w:val="00A7087D"/>
    <w:rPr>
      <w:rFonts w:ascii="Calibri" w:eastAsia="Calibri" w:hAnsi="Calibri" w:cs="Calibri"/>
      <w:b/>
      <w:sz w:val="28"/>
      <w:szCs w:val="28"/>
      <w:lang w:val="en-US" w:eastAsia="es-MX"/>
    </w:rPr>
  </w:style>
  <w:style w:type="character" w:customStyle="1" w:styleId="Ttulo4Car">
    <w:name w:val="Título 4 Car"/>
    <w:basedOn w:val="Fuentedeprrafopredeter"/>
    <w:link w:val="Ttulo4"/>
    <w:rsid w:val="00A7087D"/>
    <w:rPr>
      <w:rFonts w:ascii="Calibri" w:eastAsia="Calibri" w:hAnsi="Calibri" w:cs="Calibri"/>
      <w:b/>
      <w:sz w:val="24"/>
      <w:szCs w:val="24"/>
      <w:lang w:val="en-US" w:eastAsia="es-MX"/>
    </w:rPr>
  </w:style>
  <w:style w:type="character" w:customStyle="1" w:styleId="Ttulo5Car">
    <w:name w:val="Título 5 Car"/>
    <w:basedOn w:val="Fuentedeprrafopredeter"/>
    <w:link w:val="Ttulo5"/>
    <w:rsid w:val="00A7087D"/>
    <w:rPr>
      <w:rFonts w:ascii="Calibri" w:eastAsia="Calibri" w:hAnsi="Calibri" w:cs="Calibri"/>
      <w:b/>
      <w:lang w:val="en-US" w:eastAsia="es-MX"/>
    </w:rPr>
  </w:style>
  <w:style w:type="character" w:customStyle="1" w:styleId="Ttulo6Car">
    <w:name w:val="Título 6 Car"/>
    <w:basedOn w:val="Fuentedeprrafopredeter"/>
    <w:link w:val="Ttulo6"/>
    <w:rsid w:val="00A7087D"/>
    <w:rPr>
      <w:rFonts w:ascii="Calibri" w:eastAsia="Calibri" w:hAnsi="Calibri" w:cs="Calibri"/>
      <w:b/>
      <w:sz w:val="20"/>
      <w:szCs w:val="20"/>
      <w:lang w:val="en-US" w:eastAsia="es-MX"/>
    </w:rPr>
  </w:style>
  <w:style w:type="table" w:customStyle="1" w:styleId="TableNormal">
    <w:name w:val="Table Normal"/>
    <w:rsid w:val="00A7087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Ttulo">
    <w:name w:val="Title"/>
    <w:basedOn w:val="Normal"/>
    <w:next w:val="Normal"/>
    <w:link w:val="TtuloCar"/>
    <w:rsid w:val="00A7087D"/>
    <w:pPr>
      <w:keepNext/>
      <w:keepLines/>
      <w:spacing w:before="480" w:after="120"/>
    </w:pPr>
    <w:rPr>
      <w:b/>
      <w:sz w:val="72"/>
      <w:szCs w:val="72"/>
    </w:rPr>
  </w:style>
  <w:style w:type="character" w:customStyle="1" w:styleId="TtuloCar">
    <w:name w:val="Título Car"/>
    <w:basedOn w:val="Fuentedeprrafopredeter"/>
    <w:link w:val="Ttulo"/>
    <w:rsid w:val="00A7087D"/>
    <w:rPr>
      <w:rFonts w:ascii="Calibri" w:eastAsia="Calibri" w:hAnsi="Calibri" w:cs="Calibri"/>
      <w:b/>
      <w:sz w:val="72"/>
      <w:szCs w:val="72"/>
      <w:lang w:val="en-US" w:eastAsia="es-MX"/>
    </w:rPr>
  </w:style>
  <w:style w:type="paragraph" w:styleId="Subttulo">
    <w:name w:val="Subtitle"/>
    <w:basedOn w:val="Normal"/>
    <w:next w:val="Normal"/>
    <w:link w:val="SubttuloCar"/>
    <w:rsid w:val="00A7087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7087D"/>
    <w:rPr>
      <w:rFonts w:ascii="Georgia" w:eastAsia="Georgia" w:hAnsi="Georgia" w:cs="Georgia"/>
      <w:i/>
      <w:color w:val="666666"/>
      <w:sz w:val="48"/>
      <w:szCs w:val="48"/>
      <w:lang w:val="en-US" w:eastAsia="es-MX"/>
    </w:rPr>
  </w:style>
  <w:style w:type="paragraph" w:styleId="Textocomentario">
    <w:name w:val="annotation text"/>
    <w:basedOn w:val="Normal"/>
    <w:link w:val="TextocomentarioCar"/>
    <w:uiPriority w:val="99"/>
    <w:unhideWhenUsed/>
    <w:rsid w:val="00A7087D"/>
    <w:pPr>
      <w:spacing w:line="240" w:lineRule="auto"/>
    </w:pPr>
    <w:rPr>
      <w:sz w:val="20"/>
      <w:szCs w:val="20"/>
    </w:rPr>
  </w:style>
  <w:style w:type="character" w:customStyle="1" w:styleId="TextocomentarioCar">
    <w:name w:val="Texto comentario Car"/>
    <w:basedOn w:val="Fuentedeprrafopredeter"/>
    <w:link w:val="Textocomentario"/>
    <w:uiPriority w:val="99"/>
    <w:rsid w:val="00A7087D"/>
    <w:rPr>
      <w:rFonts w:ascii="Calibri" w:eastAsia="Calibri" w:hAnsi="Calibri" w:cs="Calibri"/>
      <w:sz w:val="20"/>
      <w:szCs w:val="20"/>
      <w:lang w:val="en-US" w:eastAsia="es-MX"/>
    </w:rPr>
  </w:style>
  <w:style w:type="character" w:styleId="Refdecomentario">
    <w:name w:val="annotation reference"/>
    <w:basedOn w:val="Fuentedeprrafopredeter"/>
    <w:uiPriority w:val="99"/>
    <w:semiHidden/>
    <w:unhideWhenUsed/>
    <w:rsid w:val="00A7087D"/>
    <w:rPr>
      <w:sz w:val="16"/>
      <w:szCs w:val="16"/>
    </w:rPr>
  </w:style>
  <w:style w:type="paragraph" w:styleId="Textodeglobo">
    <w:name w:val="Balloon Text"/>
    <w:basedOn w:val="Normal"/>
    <w:link w:val="TextodegloboCar"/>
    <w:uiPriority w:val="99"/>
    <w:semiHidden/>
    <w:unhideWhenUsed/>
    <w:rsid w:val="00A70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87D"/>
    <w:rPr>
      <w:rFonts w:ascii="Segoe UI" w:eastAsia="Calibri" w:hAnsi="Segoe UI" w:cs="Segoe UI"/>
      <w:sz w:val="18"/>
      <w:szCs w:val="18"/>
      <w:lang w:val="en-US" w:eastAsia="es-MX"/>
    </w:rPr>
  </w:style>
  <w:style w:type="paragraph" w:customStyle="1" w:styleId="Normal1">
    <w:name w:val="Normal1"/>
    <w:rsid w:val="00A7087D"/>
    <w:pPr>
      <w:spacing w:after="200" w:line="276" w:lineRule="auto"/>
    </w:pPr>
    <w:rPr>
      <w:rFonts w:ascii="Calibri" w:eastAsia="Calibri" w:hAnsi="Calibri" w:cs="Calibri"/>
      <w:lang w:val="en-US" w:eastAsia="es-ES"/>
    </w:rPr>
  </w:style>
  <w:style w:type="paragraph" w:styleId="Prrafodelista">
    <w:name w:val="List Paragraph"/>
    <w:basedOn w:val="Normal"/>
    <w:uiPriority w:val="34"/>
    <w:qFormat/>
    <w:rsid w:val="00A7087D"/>
    <w:pPr>
      <w:ind w:left="720"/>
      <w:contextualSpacing/>
    </w:pPr>
    <w:rPr>
      <w:lang w:eastAsia="es-ES"/>
    </w:rPr>
  </w:style>
  <w:style w:type="paragraph" w:styleId="Asuntodelcomentario">
    <w:name w:val="annotation subject"/>
    <w:basedOn w:val="Textocomentario"/>
    <w:next w:val="Textocomentario"/>
    <w:link w:val="AsuntodelcomentarioCar"/>
    <w:uiPriority w:val="99"/>
    <w:semiHidden/>
    <w:unhideWhenUsed/>
    <w:rsid w:val="00A7087D"/>
    <w:pPr>
      <w:spacing w:after="0"/>
    </w:pPr>
    <w:rPr>
      <w:rFonts w:ascii="Times" w:hAnsi="Times"/>
      <w:b/>
      <w:bCs/>
      <w:lang w:val="es-MX" w:eastAsia="es-ES"/>
    </w:rPr>
  </w:style>
  <w:style w:type="character" w:customStyle="1" w:styleId="AsuntodelcomentarioCar">
    <w:name w:val="Asunto del comentario Car"/>
    <w:basedOn w:val="TextocomentarioCar"/>
    <w:link w:val="Asuntodelcomentario"/>
    <w:uiPriority w:val="99"/>
    <w:semiHidden/>
    <w:rsid w:val="00A7087D"/>
    <w:rPr>
      <w:rFonts w:ascii="Times" w:eastAsia="Calibri" w:hAnsi="Times" w:cs="Calibri"/>
      <w:b/>
      <w:bCs/>
      <w:sz w:val="20"/>
      <w:szCs w:val="20"/>
      <w:lang w:val="en-US" w:eastAsia="es-ES"/>
    </w:rPr>
  </w:style>
  <w:style w:type="paragraph" w:styleId="Encabezado">
    <w:name w:val="header"/>
    <w:basedOn w:val="Normal"/>
    <w:link w:val="EncabezadoCar"/>
    <w:uiPriority w:val="99"/>
    <w:unhideWhenUsed/>
    <w:rsid w:val="00A70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87D"/>
    <w:rPr>
      <w:rFonts w:ascii="Calibri" w:eastAsia="Calibri" w:hAnsi="Calibri" w:cs="Calibri"/>
      <w:lang w:val="en-US" w:eastAsia="es-MX"/>
    </w:rPr>
  </w:style>
  <w:style w:type="paragraph" w:styleId="Piedepgina">
    <w:name w:val="footer"/>
    <w:basedOn w:val="Normal"/>
    <w:link w:val="PiedepginaCar"/>
    <w:uiPriority w:val="99"/>
    <w:unhideWhenUsed/>
    <w:rsid w:val="00A70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7D"/>
    <w:rPr>
      <w:rFonts w:ascii="Calibri" w:eastAsia="Calibri" w:hAnsi="Calibri" w:cs="Calibri"/>
      <w:lang w:val="en-US" w:eastAsia="es-MX"/>
    </w:rPr>
  </w:style>
  <w:style w:type="numbering" w:customStyle="1" w:styleId="Estilo1">
    <w:name w:val="Estilo1"/>
    <w:uiPriority w:val="99"/>
    <w:rsid w:val="008C18EB"/>
    <w:pPr>
      <w:numPr>
        <w:numId w:val="1"/>
      </w:numPr>
    </w:pPr>
  </w:style>
  <w:style w:type="paragraph" w:customStyle="1" w:styleId="Cuadrculamediana1-nfasis21">
    <w:name w:val="Cuadrícula mediana 1 - Énfasis 21"/>
    <w:basedOn w:val="Normal"/>
    <w:uiPriority w:val="34"/>
    <w:qFormat/>
    <w:rsid w:val="008C18EB"/>
    <w:pPr>
      <w:ind w:left="720"/>
      <w:contextualSpacing/>
    </w:pPr>
    <w:rPr>
      <w:rFonts w:cs="Times New Roman"/>
      <w:lang w:val="es-MX" w:eastAsia="en-US"/>
    </w:rPr>
  </w:style>
  <w:style w:type="character" w:styleId="Hipervnculo">
    <w:name w:val="Hyperlink"/>
    <w:basedOn w:val="Fuentedeprrafopredeter"/>
    <w:uiPriority w:val="99"/>
    <w:unhideWhenUsed/>
    <w:rsid w:val="008C18EB"/>
    <w:rPr>
      <w:color w:val="0000FF"/>
      <w:u w:val="single"/>
    </w:rPr>
  </w:style>
  <w:style w:type="character" w:styleId="Hipervnculovisitado">
    <w:name w:val="FollowedHyperlink"/>
    <w:basedOn w:val="Fuentedeprrafopredeter"/>
    <w:uiPriority w:val="99"/>
    <w:semiHidden/>
    <w:unhideWhenUsed/>
    <w:rsid w:val="008C18EB"/>
    <w:rPr>
      <w:color w:val="800080"/>
      <w:u w:val="single"/>
    </w:rPr>
  </w:style>
  <w:style w:type="paragraph" w:customStyle="1" w:styleId="xl63">
    <w:name w:val="xl63"/>
    <w:basedOn w:val="Normal"/>
    <w:rsid w:val="008C18EB"/>
    <w:pP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4">
    <w:name w:val="xl6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5">
    <w:name w:val="xl65"/>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6">
    <w:name w:val="xl6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0"/>
      <w:szCs w:val="20"/>
      <w:lang w:val="es-MX" w:eastAsia="es-ES"/>
    </w:rPr>
  </w:style>
  <w:style w:type="paragraph" w:customStyle="1" w:styleId="xl67">
    <w:name w:val="xl67"/>
    <w:basedOn w:val="Normal"/>
    <w:rsid w:val="008C18EB"/>
    <w:pPr>
      <w:pBdr>
        <w:top w:val="single" w:sz="4" w:space="0" w:color="auto"/>
        <w:left w:val="single" w:sz="4" w:space="0" w:color="auto"/>
        <w:bottom w:val="single" w:sz="4" w:space="0" w:color="000000"/>
        <w:right w:val="single" w:sz="4" w:space="0" w:color="auto"/>
      </w:pBdr>
      <w:shd w:val="clear" w:color="FFFF00" w:fill="FFFF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8">
    <w:name w:val="xl68"/>
    <w:basedOn w:val="Normal"/>
    <w:rsid w:val="008C18EB"/>
    <w:pPr>
      <w:pBdr>
        <w:top w:val="single" w:sz="4" w:space="0" w:color="auto"/>
        <w:left w:val="single" w:sz="4" w:space="0" w:color="auto"/>
        <w:bottom w:val="single" w:sz="4" w:space="0" w:color="000000"/>
        <w:right w:val="single" w:sz="4" w:space="0" w:color="auto"/>
      </w:pBdr>
      <w:shd w:val="clear" w:color="00FFFF" w:fill="00FFFF"/>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9">
    <w:name w:val="xl69"/>
    <w:basedOn w:val="Normal"/>
    <w:rsid w:val="008C18EB"/>
    <w:pPr>
      <w:pBdr>
        <w:top w:val="single" w:sz="4" w:space="0" w:color="auto"/>
        <w:left w:val="single" w:sz="4" w:space="0" w:color="auto"/>
        <w:bottom w:val="single" w:sz="4" w:space="0" w:color="000000"/>
        <w:right w:val="single" w:sz="4" w:space="0" w:color="auto"/>
      </w:pBdr>
      <w:shd w:val="clear" w:color="EEECE1" w:fill="EEECE1"/>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70">
    <w:name w:val="xl70"/>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1">
    <w:name w:val="xl71"/>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2">
    <w:name w:val="xl72"/>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3">
    <w:name w:val="xl73"/>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4">
    <w:name w:val="xl7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color w:val="FF00FF"/>
      <w:sz w:val="20"/>
      <w:szCs w:val="20"/>
      <w:lang w:val="es-MX" w:eastAsia="es-ES"/>
    </w:rPr>
  </w:style>
  <w:style w:type="paragraph" w:customStyle="1" w:styleId="xl75">
    <w:name w:val="xl75"/>
    <w:basedOn w:val="Normal"/>
    <w:rsid w:val="008C18EB"/>
    <w:pPr>
      <w:pBdr>
        <w:top w:val="single" w:sz="4" w:space="0" w:color="000000"/>
        <w:left w:val="single" w:sz="4" w:space="0" w:color="000000"/>
        <w:bottom w:val="single" w:sz="4" w:space="0" w:color="000000"/>
        <w:right w:val="single" w:sz="4" w:space="0" w:color="000000"/>
      </w:pBdr>
      <w:shd w:val="clear" w:color="00FF00" w:fill="F79646"/>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6">
    <w:name w:val="xl76"/>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7">
    <w:name w:val="xl77"/>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8">
    <w:name w:val="xl78"/>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9">
    <w:name w:val="xl79"/>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0">
    <w:name w:val="xl80"/>
    <w:basedOn w:val="Normal"/>
    <w:rsid w:val="008C18EB"/>
    <w:pPr>
      <w:pBdr>
        <w:top w:val="single" w:sz="4" w:space="0" w:color="auto"/>
        <w:left w:val="single" w:sz="4" w:space="0" w:color="auto"/>
        <w:bottom w:val="single" w:sz="4" w:space="0" w:color="000000"/>
        <w:right w:val="single" w:sz="4" w:space="0" w:color="auto"/>
      </w:pBdr>
      <w:shd w:val="clear" w:color="008000" w:fill="0080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1">
    <w:name w:val="xl81"/>
    <w:basedOn w:val="Normal"/>
    <w:rsid w:val="008C18EB"/>
    <w:pPr>
      <w:pBdr>
        <w:top w:val="single" w:sz="4" w:space="0" w:color="auto"/>
        <w:left w:val="single" w:sz="4" w:space="0" w:color="auto"/>
        <w:bottom w:val="single" w:sz="4" w:space="0" w:color="000000"/>
        <w:right w:val="single" w:sz="4" w:space="0" w:color="auto"/>
      </w:pBdr>
      <w:shd w:val="clear" w:color="8064A2" w:fill="8064A2"/>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2">
    <w:name w:val="xl82"/>
    <w:basedOn w:val="Normal"/>
    <w:rsid w:val="008C18EB"/>
    <w:pPr>
      <w:pBdr>
        <w:top w:val="single" w:sz="4" w:space="0" w:color="auto"/>
        <w:left w:val="single" w:sz="4" w:space="0" w:color="auto"/>
        <w:bottom w:val="single" w:sz="4" w:space="0" w:color="000000"/>
        <w:right w:val="single" w:sz="4" w:space="0" w:color="auto"/>
      </w:pBdr>
      <w:shd w:val="clear" w:color="9BBB59" w:fill="9BBB59"/>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3">
    <w:name w:val="xl83"/>
    <w:basedOn w:val="Normal"/>
    <w:rsid w:val="008C18EB"/>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4">
    <w:name w:val="xl84"/>
    <w:basedOn w:val="Normal"/>
    <w:rsid w:val="008C18E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5">
    <w:name w:val="xl85"/>
    <w:basedOn w:val="Normal"/>
    <w:rsid w:val="008C18EB"/>
    <w:pPr>
      <w:pBdr>
        <w:top w:val="single" w:sz="4" w:space="0" w:color="000000"/>
        <w:left w:val="single" w:sz="4" w:space="0" w:color="000000"/>
        <w:bottom w:val="single" w:sz="4" w:space="0" w:color="000000"/>
        <w:right w:val="single" w:sz="4" w:space="0" w:color="000000"/>
      </w:pBdr>
      <w:shd w:val="clear" w:color="00FF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6">
    <w:name w:val="xl8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7">
    <w:name w:val="xl87"/>
    <w:basedOn w:val="Normal"/>
    <w:rsid w:val="008C18E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8">
    <w:name w:val="xl88"/>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styleId="Revisin">
    <w:name w:val="Revision"/>
    <w:hidden/>
    <w:uiPriority w:val="99"/>
    <w:semiHidden/>
    <w:rsid w:val="000B0507"/>
    <w:pPr>
      <w:spacing w:after="0" w:line="240" w:lineRule="auto"/>
    </w:pPr>
    <w:rPr>
      <w:lang w:val="en-US"/>
    </w:rPr>
  </w:style>
  <w:style w:type="character" w:customStyle="1" w:styleId="apple-converted-space">
    <w:name w:val="apple-converted-space"/>
    <w:basedOn w:val="Fuentedeprrafopredeter"/>
    <w:rsid w:val="000B0507"/>
  </w:style>
  <w:style w:type="paragraph" w:customStyle="1" w:styleId="Ttulo10">
    <w:name w:val="Título1"/>
    <w:basedOn w:val="Normal"/>
    <w:rsid w:val="000B0507"/>
    <w:pPr>
      <w:spacing w:before="100" w:beforeAutospacing="1" w:after="100" w:afterAutospacing="1" w:line="240" w:lineRule="auto"/>
    </w:pPr>
    <w:rPr>
      <w:rFonts w:ascii="Times New Roman" w:eastAsia="Times New Roman" w:hAnsi="Times New Roman" w:cs="Times New Roman"/>
      <w:sz w:val="24"/>
      <w:szCs w:val="24"/>
      <w:lang w:val="es-ES" w:eastAsia="ko-KR"/>
    </w:rPr>
  </w:style>
  <w:style w:type="character" w:customStyle="1" w:styleId="jrnl">
    <w:name w:val="jrnl"/>
    <w:basedOn w:val="Fuentedeprrafopredeter"/>
    <w:rsid w:val="000B0507"/>
  </w:style>
  <w:style w:type="character" w:customStyle="1" w:styleId="TextodegloboCar1">
    <w:name w:val="Texto de globo Car1"/>
    <w:basedOn w:val="Fuentedeprrafopredeter"/>
    <w:uiPriority w:val="99"/>
    <w:semiHidden/>
    <w:rsid w:val="000B0507"/>
    <w:rPr>
      <w:rFonts w:ascii="Segoe UI" w:hAnsi="Segoe UI" w:cs="Segoe UI"/>
      <w:sz w:val="18"/>
      <w:szCs w:val="18"/>
    </w:rPr>
  </w:style>
  <w:style w:type="paragraph" w:styleId="NormalWeb">
    <w:name w:val="Normal (Web)"/>
    <w:basedOn w:val="Normal"/>
    <w:uiPriority w:val="99"/>
    <w:unhideWhenUsed/>
    <w:rsid w:val="000B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uentedeprrafopredeter"/>
    <w:rsid w:val="000B0507"/>
  </w:style>
  <w:style w:type="character" w:styleId="Nmerodelnea">
    <w:name w:val="line number"/>
    <w:basedOn w:val="Fuentedeprrafopredeter"/>
    <w:uiPriority w:val="99"/>
    <w:semiHidden/>
    <w:unhideWhenUsed/>
    <w:rsid w:val="000B0507"/>
  </w:style>
  <w:style w:type="character" w:customStyle="1" w:styleId="tw4winMark">
    <w:name w:val="tw4winMark"/>
    <w:basedOn w:val="Fuentedeprrafopredeter"/>
    <w:rsid w:val="000B0507"/>
    <w:rPr>
      <w:rFonts w:ascii="Courier New" w:hAnsi="Courier New" w:cs="Courier New"/>
      <w:b w:val="0"/>
      <w:i w:val="0"/>
      <w:dstrike w:val="0"/>
      <w:noProof/>
      <w:vanish/>
      <w:color w:val="800080"/>
      <w:spacing w:val="0"/>
      <w:kern w:val="30"/>
      <w:sz w:val="18"/>
      <w:effect w:val="none"/>
      <w:vertAlign w:val="subscript"/>
      <w:lang w:bidi="en-US"/>
    </w:rPr>
  </w:style>
  <w:style w:type="table" w:styleId="Tablaconcuadrcula">
    <w:name w:val="Table Grid"/>
    <w:basedOn w:val="Tablanormal"/>
    <w:uiPriority w:val="99"/>
    <w:rsid w:val="00A53945"/>
    <w:pPr>
      <w:spacing w:after="0" w:line="240" w:lineRule="auto"/>
    </w:pPr>
    <w:rPr>
      <w:rFonts w:ascii="Calibri" w:eastAsia="Malgun Gothic"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decuerpo">
    <w:name w:val="Body Text Indent 2"/>
    <w:basedOn w:val="Normal"/>
    <w:link w:val="Sangra2detdecuerpoCar"/>
    <w:unhideWhenUsed/>
    <w:rsid w:val="00A53945"/>
    <w:pPr>
      <w:spacing w:after="120" w:line="480" w:lineRule="auto"/>
      <w:ind w:left="283"/>
    </w:pPr>
    <w:rPr>
      <w:rFonts w:cs="Times New Roman"/>
      <w:lang w:val="es-MX" w:eastAsia="en-US"/>
    </w:rPr>
  </w:style>
  <w:style w:type="character" w:customStyle="1" w:styleId="Sangra2detdecuerpoCar">
    <w:name w:val="Sangría 2 de t. de cuerpo Car"/>
    <w:basedOn w:val="Fuentedeprrafopredeter"/>
    <w:link w:val="Sangra2detdecuerpo"/>
    <w:rsid w:val="00A53945"/>
    <w:rPr>
      <w:rFonts w:ascii="Calibri" w:eastAsia="Calibri" w:hAnsi="Calibri" w:cs="Times New Roman"/>
    </w:rPr>
  </w:style>
  <w:style w:type="table" w:customStyle="1" w:styleId="TableNormal1">
    <w:name w:val="Table Normal1"/>
    <w:rsid w:val="003E400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3E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s-MX" w:eastAsia="es-ES"/>
    </w:rPr>
  </w:style>
  <w:style w:type="character" w:customStyle="1" w:styleId="HTMLconformatoprevioCar">
    <w:name w:val="HTML con formato previo Car"/>
    <w:basedOn w:val="Fuentedeprrafopredeter"/>
    <w:link w:val="HTMLconformatoprevio"/>
    <w:uiPriority w:val="99"/>
    <w:semiHidden/>
    <w:rsid w:val="003E400D"/>
    <w:rPr>
      <w:rFonts w:ascii="Courier" w:hAnsi="Courier" w:cs="Courier"/>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87D"/>
    <w:pPr>
      <w:spacing w:after="200" w:line="276" w:lineRule="auto"/>
    </w:pPr>
    <w:rPr>
      <w:rFonts w:ascii="Calibri" w:eastAsia="Calibri" w:hAnsi="Calibri" w:cs="Calibri"/>
      <w:lang w:val="en-US" w:eastAsia="es-MX"/>
    </w:rPr>
  </w:style>
  <w:style w:type="paragraph" w:styleId="Ttulo1">
    <w:name w:val="heading 1"/>
    <w:basedOn w:val="Normal"/>
    <w:next w:val="Normal"/>
    <w:link w:val="Ttulo1Car"/>
    <w:rsid w:val="00A7087D"/>
    <w:pPr>
      <w:keepNext/>
      <w:keepLines/>
      <w:spacing w:before="480" w:after="120"/>
      <w:outlineLvl w:val="0"/>
    </w:pPr>
    <w:rPr>
      <w:b/>
      <w:sz w:val="48"/>
      <w:szCs w:val="48"/>
    </w:rPr>
  </w:style>
  <w:style w:type="paragraph" w:styleId="Ttulo2">
    <w:name w:val="heading 2"/>
    <w:basedOn w:val="Normal"/>
    <w:next w:val="Normal"/>
    <w:link w:val="Ttulo2Car"/>
    <w:rsid w:val="00A7087D"/>
    <w:pPr>
      <w:keepNext/>
      <w:keepLines/>
      <w:spacing w:before="360" w:after="80"/>
      <w:outlineLvl w:val="1"/>
    </w:pPr>
    <w:rPr>
      <w:b/>
      <w:sz w:val="36"/>
      <w:szCs w:val="36"/>
    </w:rPr>
  </w:style>
  <w:style w:type="paragraph" w:styleId="Ttulo3">
    <w:name w:val="heading 3"/>
    <w:basedOn w:val="Normal"/>
    <w:next w:val="Normal"/>
    <w:link w:val="Ttulo3Car"/>
    <w:rsid w:val="00A7087D"/>
    <w:pPr>
      <w:keepNext/>
      <w:keepLines/>
      <w:spacing w:before="280" w:after="80"/>
      <w:outlineLvl w:val="2"/>
    </w:pPr>
    <w:rPr>
      <w:b/>
      <w:sz w:val="28"/>
      <w:szCs w:val="28"/>
    </w:rPr>
  </w:style>
  <w:style w:type="paragraph" w:styleId="Ttulo4">
    <w:name w:val="heading 4"/>
    <w:basedOn w:val="Normal"/>
    <w:next w:val="Normal"/>
    <w:link w:val="Ttulo4Car"/>
    <w:rsid w:val="00A7087D"/>
    <w:pPr>
      <w:keepNext/>
      <w:keepLines/>
      <w:spacing w:before="240" w:after="40"/>
      <w:outlineLvl w:val="3"/>
    </w:pPr>
    <w:rPr>
      <w:b/>
      <w:sz w:val="24"/>
      <w:szCs w:val="24"/>
    </w:rPr>
  </w:style>
  <w:style w:type="paragraph" w:styleId="Ttulo5">
    <w:name w:val="heading 5"/>
    <w:basedOn w:val="Normal"/>
    <w:next w:val="Normal"/>
    <w:link w:val="Ttulo5Car"/>
    <w:rsid w:val="00A7087D"/>
    <w:pPr>
      <w:keepNext/>
      <w:keepLines/>
      <w:spacing w:before="220" w:after="40"/>
      <w:outlineLvl w:val="4"/>
    </w:pPr>
    <w:rPr>
      <w:b/>
    </w:rPr>
  </w:style>
  <w:style w:type="paragraph" w:styleId="Ttulo6">
    <w:name w:val="heading 6"/>
    <w:basedOn w:val="Normal"/>
    <w:next w:val="Normal"/>
    <w:link w:val="Ttulo6Car"/>
    <w:rsid w:val="00A708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087D"/>
    <w:rPr>
      <w:rFonts w:ascii="Calibri" w:eastAsia="Calibri" w:hAnsi="Calibri" w:cs="Calibri"/>
      <w:b/>
      <w:sz w:val="48"/>
      <w:szCs w:val="48"/>
      <w:lang w:val="en-US" w:eastAsia="es-MX"/>
    </w:rPr>
  </w:style>
  <w:style w:type="character" w:customStyle="1" w:styleId="Ttulo2Car">
    <w:name w:val="Título 2 Car"/>
    <w:basedOn w:val="Fuentedeprrafopredeter"/>
    <w:link w:val="Ttulo2"/>
    <w:rsid w:val="00A7087D"/>
    <w:rPr>
      <w:rFonts w:ascii="Calibri" w:eastAsia="Calibri" w:hAnsi="Calibri" w:cs="Calibri"/>
      <w:b/>
      <w:sz w:val="36"/>
      <w:szCs w:val="36"/>
      <w:lang w:val="en-US" w:eastAsia="es-MX"/>
    </w:rPr>
  </w:style>
  <w:style w:type="character" w:customStyle="1" w:styleId="Ttulo3Car">
    <w:name w:val="Título 3 Car"/>
    <w:basedOn w:val="Fuentedeprrafopredeter"/>
    <w:link w:val="Ttulo3"/>
    <w:rsid w:val="00A7087D"/>
    <w:rPr>
      <w:rFonts w:ascii="Calibri" w:eastAsia="Calibri" w:hAnsi="Calibri" w:cs="Calibri"/>
      <w:b/>
      <w:sz w:val="28"/>
      <w:szCs w:val="28"/>
      <w:lang w:val="en-US" w:eastAsia="es-MX"/>
    </w:rPr>
  </w:style>
  <w:style w:type="character" w:customStyle="1" w:styleId="Ttulo4Car">
    <w:name w:val="Título 4 Car"/>
    <w:basedOn w:val="Fuentedeprrafopredeter"/>
    <w:link w:val="Ttulo4"/>
    <w:rsid w:val="00A7087D"/>
    <w:rPr>
      <w:rFonts w:ascii="Calibri" w:eastAsia="Calibri" w:hAnsi="Calibri" w:cs="Calibri"/>
      <w:b/>
      <w:sz w:val="24"/>
      <w:szCs w:val="24"/>
      <w:lang w:val="en-US" w:eastAsia="es-MX"/>
    </w:rPr>
  </w:style>
  <w:style w:type="character" w:customStyle="1" w:styleId="Ttulo5Car">
    <w:name w:val="Título 5 Car"/>
    <w:basedOn w:val="Fuentedeprrafopredeter"/>
    <w:link w:val="Ttulo5"/>
    <w:rsid w:val="00A7087D"/>
    <w:rPr>
      <w:rFonts w:ascii="Calibri" w:eastAsia="Calibri" w:hAnsi="Calibri" w:cs="Calibri"/>
      <w:b/>
      <w:lang w:val="en-US" w:eastAsia="es-MX"/>
    </w:rPr>
  </w:style>
  <w:style w:type="character" w:customStyle="1" w:styleId="Ttulo6Car">
    <w:name w:val="Título 6 Car"/>
    <w:basedOn w:val="Fuentedeprrafopredeter"/>
    <w:link w:val="Ttulo6"/>
    <w:rsid w:val="00A7087D"/>
    <w:rPr>
      <w:rFonts w:ascii="Calibri" w:eastAsia="Calibri" w:hAnsi="Calibri" w:cs="Calibri"/>
      <w:b/>
      <w:sz w:val="20"/>
      <w:szCs w:val="20"/>
      <w:lang w:val="en-US" w:eastAsia="es-MX"/>
    </w:rPr>
  </w:style>
  <w:style w:type="table" w:customStyle="1" w:styleId="TableNormal">
    <w:name w:val="Table Normal"/>
    <w:rsid w:val="00A7087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Ttulo">
    <w:name w:val="Title"/>
    <w:basedOn w:val="Normal"/>
    <w:next w:val="Normal"/>
    <w:link w:val="TtuloCar"/>
    <w:rsid w:val="00A7087D"/>
    <w:pPr>
      <w:keepNext/>
      <w:keepLines/>
      <w:spacing w:before="480" w:after="120"/>
    </w:pPr>
    <w:rPr>
      <w:b/>
      <w:sz w:val="72"/>
      <w:szCs w:val="72"/>
    </w:rPr>
  </w:style>
  <w:style w:type="character" w:customStyle="1" w:styleId="TtuloCar">
    <w:name w:val="Título Car"/>
    <w:basedOn w:val="Fuentedeprrafopredeter"/>
    <w:link w:val="Ttulo"/>
    <w:rsid w:val="00A7087D"/>
    <w:rPr>
      <w:rFonts w:ascii="Calibri" w:eastAsia="Calibri" w:hAnsi="Calibri" w:cs="Calibri"/>
      <w:b/>
      <w:sz w:val="72"/>
      <w:szCs w:val="72"/>
      <w:lang w:val="en-US" w:eastAsia="es-MX"/>
    </w:rPr>
  </w:style>
  <w:style w:type="paragraph" w:styleId="Subttulo">
    <w:name w:val="Subtitle"/>
    <w:basedOn w:val="Normal"/>
    <w:next w:val="Normal"/>
    <w:link w:val="SubttuloCar"/>
    <w:rsid w:val="00A7087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7087D"/>
    <w:rPr>
      <w:rFonts w:ascii="Georgia" w:eastAsia="Georgia" w:hAnsi="Georgia" w:cs="Georgia"/>
      <w:i/>
      <w:color w:val="666666"/>
      <w:sz w:val="48"/>
      <w:szCs w:val="48"/>
      <w:lang w:val="en-US" w:eastAsia="es-MX"/>
    </w:rPr>
  </w:style>
  <w:style w:type="paragraph" w:styleId="Textocomentario">
    <w:name w:val="annotation text"/>
    <w:basedOn w:val="Normal"/>
    <w:link w:val="TextocomentarioCar"/>
    <w:uiPriority w:val="99"/>
    <w:unhideWhenUsed/>
    <w:rsid w:val="00A7087D"/>
    <w:pPr>
      <w:spacing w:line="240" w:lineRule="auto"/>
    </w:pPr>
    <w:rPr>
      <w:sz w:val="20"/>
      <w:szCs w:val="20"/>
    </w:rPr>
  </w:style>
  <w:style w:type="character" w:customStyle="1" w:styleId="TextocomentarioCar">
    <w:name w:val="Texto comentario Car"/>
    <w:basedOn w:val="Fuentedeprrafopredeter"/>
    <w:link w:val="Textocomentario"/>
    <w:uiPriority w:val="99"/>
    <w:rsid w:val="00A7087D"/>
    <w:rPr>
      <w:rFonts w:ascii="Calibri" w:eastAsia="Calibri" w:hAnsi="Calibri" w:cs="Calibri"/>
      <w:sz w:val="20"/>
      <w:szCs w:val="20"/>
      <w:lang w:val="en-US" w:eastAsia="es-MX"/>
    </w:rPr>
  </w:style>
  <w:style w:type="character" w:styleId="Refdecomentario">
    <w:name w:val="annotation reference"/>
    <w:basedOn w:val="Fuentedeprrafopredeter"/>
    <w:uiPriority w:val="99"/>
    <w:semiHidden/>
    <w:unhideWhenUsed/>
    <w:rsid w:val="00A7087D"/>
    <w:rPr>
      <w:sz w:val="16"/>
      <w:szCs w:val="16"/>
    </w:rPr>
  </w:style>
  <w:style w:type="paragraph" w:styleId="Textodeglobo">
    <w:name w:val="Balloon Text"/>
    <w:basedOn w:val="Normal"/>
    <w:link w:val="TextodegloboCar"/>
    <w:uiPriority w:val="99"/>
    <w:semiHidden/>
    <w:unhideWhenUsed/>
    <w:rsid w:val="00A70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87D"/>
    <w:rPr>
      <w:rFonts w:ascii="Segoe UI" w:eastAsia="Calibri" w:hAnsi="Segoe UI" w:cs="Segoe UI"/>
      <w:sz w:val="18"/>
      <w:szCs w:val="18"/>
      <w:lang w:val="en-US" w:eastAsia="es-MX"/>
    </w:rPr>
  </w:style>
  <w:style w:type="paragraph" w:customStyle="1" w:styleId="Normal1">
    <w:name w:val="Normal1"/>
    <w:rsid w:val="00A7087D"/>
    <w:pPr>
      <w:spacing w:after="200" w:line="276" w:lineRule="auto"/>
    </w:pPr>
    <w:rPr>
      <w:rFonts w:ascii="Calibri" w:eastAsia="Calibri" w:hAnsi="Calibri" w:cs="Calibri"/>
      <w:lang w:val="en-US" w:eastAsia="es-ES"/>
    </w:rPr>
  </w:style>
  <w:style w:type="paragraph" w:styleId="Prrafodelista">
    <w:name w:val="List Paragraph"/>
    <w:basedOn w:val="Normal"/>
    <w:uiPriority w:val="34"/>
    <w:qFormat/>
    <w:rsid w:val="00A7087D"/>
    <w:pPr>
      <w:ind w:left="720"/>
      <w:contextualSpacing/>
    </w:pPr>
    <w:rPr>
      <w:lang w:eastAsia="es-ES"/>
    </w:rPr>
  </w:style>
  <w:style w:type="paragraph" w:styleId="Asuntodelcomentario">
    <w:name w:val="annotation subject"/>
    <w:basedOn w:val="Textocomentario"/>
    <w:next w:val="Textocomentario"/>
    <w:link w:val="AsuntodelcomentarioCar"/>
    <w:uiPriority w:val="99"/>
    <w:semiHidden/>
    <w:unhideWhenUsed/>
    <w:rsid w:val="00A7087D"/>
    <w:pPr>
      <w:spacing w:after="0"/>
    </w:pPr>
    <w:rPr>
      <w:rFonts w:ascii="Times" w:hAnsi="Times"/>
      <w:b/>
      <w:bCs/>
      <w:lang w:val="es-MX" w:eastAsia="es-ES"/>
    </w:rPr>
  </w:style>
  <w:style w:type="character" w:customStyle="1" w:styleId="AsuntodelcomentarioCar">
    <w:name w:val="Asunto del comentario Car"/>
    <w:basedOn w:val="TextocomentarioCar"/>
    <w:link w:val="Asuntodelcomentario"/>
    <w:uiPriority w:val="99"/>
    <w:semiHidden/>
    <w:rsid w:val="00A7087D"/>
    <w:rPr>
      <w:rFonts w:ascii="Times" w:eastAsia="Calibri" w:hAnsi="Times" w:cs="Calibri"/>
      <w:b/>
      <w:bCs/>
      <w:sz w:val="20"/>
      <w:szCs w:val="20"/>
      <w:lang w:val="en-US" w:eastAsia="es-ES"/>
    </w:rPr>
  </w:style>
  <w:style w:type="paragraph" w:styleId="Encabezado">
    <w:name w:val="header"/>
    <w:basedOn w:val="Normal"/>
    <w:link w:val="EncabezadoCar"/>
    <w:uiPriority w:val="99"/>
    <w:unhideWhenUsed/>
    <w:rsid w:val="00A70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87D"/>
    <w:rPr>
      <w:rFonts w:ascii="Calibri" w:eastAsia="Calibri" w:hAnsi="Calibri" w:cs="Calibri"/>
      <w:lang w:val="en-US" w:eastAsia="es-MX"/>
    </w:rPr>
  </w:style>
  <w:style w:type="paragraph" w:styleId="Piedepgina">
    <w:name w:val="footer"/>
    <w:basedOn w:val="Normal"/>
    <w:link w:val="PiedepginaCar"/>
    <w:uiPriority w:val="99"/>
    <w:unhideWhenUsed/>
    <w:rsid w:val="00A70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7D"/>
    <w:rPr>
      <w:rFonts w:ascii="Calibri" w:eastAsia="Calibri" w:hAnsi="Calibri" w:cs="Calibri"/>
      <w:lang w:val="en-US" w:eastAsia="es-MX"/>
    </w:rPr>
  </w:style>
  <w:style w:type="numbering" w:customStyle="1" w:styleId="Estilo1">
    <w:name w:val="Estilo1"/>
    <w:uiPriority w:val="99"/>
    <w:rsid w:val="008C18EB"/>
    <w:pPr>
      <w:numPr>
        <w:numId w:val="1"/>
      </w:numPr>
    </w:pPr>
  </w:style>
  <w:style w:type="paragraph" w:customStyle="1" w:styleId="Cuadrculamediana1-nfasis21">
    <w:name w:val="Cuadrícula mediana 1 - Énfasis 21"/>
    <w:basedOn w:val="Normal"/>
    <w:uiPriority w:val="34"/>
    <w:qFormat/>
    <w:rsid w:val="008C18EB"/>
    <w:pPr>
      <w:ind w:left="720"/>
      <w:contextualSpacing/>
    </w:pPr>
    <w:rPr>
      <w:rFonts w:cs="Times New Roman"/>
      <w:lang w:val="es-MX" w:eastAsia="en-US"/>
    </w:rPr>
  </w:style>
  <w:style w:type="character" w:styleId="Hipervnculo">
    <w:name w:val="Hyperlink"/>
    <w:basedOn w:val="Fuentedeprrafopredeter"/>
    <w:uiPriority w:val="99"/>
    <w:unhideWhenUsed/>
    <w:rsid w:val="008C18EB"/>
    <w:rPr>
      <w:color w:val="0000FF"/>
      <w:u w:val="single"/>
    </w:rPr>
  </w:style>
  <w:style w:type="character" w:styleId="Hipervnculovisitado">
    <w:name w:val="FollowedHyperlink"/>
    <w:basedOn w:val="Fuentedeprrafopredeter"/>
    <w:uiPriority w:val="99"/>
    <w:semiHidden/>
    <w:unhideWhenUsed/>
    <w:rsid w:val="008C18EB"/>
    <w:rPr>
      <w:color w:val="800080"/>
      <w:u w:val="single"/>
    </w:rPr>
  </w:style>
  <w:style w:type="paragraph" w:customStyle="1" w:styleId="xl63">
    <w:name w:val="xl63"/>
    <w:basedOn w:val="Normal"/>
    <w:rsid w:val="008C18EB"/>
    <w:pP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4">
    <w:name w:val="xl6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5">
    <w:name w:val="xl65"/>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6">
    <w:name w:val="xl6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0"/>
      <w:szCs w:val="20"/>
      <w:lang w:val="es-MX" w:eastAsia="es-ES"/>
    </w:rPr>
  </w:style>
  <w:style w:type="paragraph" w:customStyle="1" w:styleId="xl67">
    <w:name w:val="xl67"/>
    <w:basedOn w:val="Normal"/>
    <w:rsid w:val="008C18EB"/>
    <w:pPr>
      <w:pBdr>
        <w:top w:val="single" w:sz="4" w:space="0" w:color="auto"/>
        <w:left w:val="single" w:sz="4" w:space="0" w:color="auto"/>
        <w:bottom w:val="single" w:sz="4" w:space="0" w:color="000000"/>
        <w:right w:val="single" w:sz="4" w:space="0" w:color="auto"/>
      </w:pBdr>
      <w:shd w:val="clear" w:color="FFFF00" w:fill="FFFF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8">
    <w:name w:val="xl68"/>
    <w:basedOn w:val="Normal"/>
    <w:rsid w:val="008C18EB"/>
    <w:pPr>
      <w:pBdr>
        <w:top w:val="single" w:sz="4" w:space="0" w:color="auto"/>
        <w:left w:val="single" w:sz="4" w:space="0" w:color="auto"/>
        <w:bottom w:val="single" w:sz="4" w:space="0" w:color="000000"/>
        <w:right w:val="single" w:sz="4" w:space="0" w:color="auto"/>
      </w:pBdr>
      <w:shd w:val="clear" w:color="00FFFF" w:fill="00FFFF"/>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9">
    <w:name w:val="xl69"/>
    <w:basedOn w:val="Normal"/>
    <w:rsid w:val="008C18EB"/>
    <w:pPr>
      <w:pBdr>
        <w:top w:val="single" w:sz="4" w:space="0" w:color="auto"/>
        <w:left w:val="single" w:sz="4" w:space="0" w:color="auto"/>
        <w:bottom w:val="single" w:sz="4" w:space="0" w:color="000000"/>
        <w:right w:val="single" w:sz="4" w:space="0" w:color="auto"/>
      </w:pBdr>
      <w:shd w:val="clear" w:color="EEECE1" w:fill="EEECE1"/>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70">
    <w:name w:val="xl70"/>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1">
    <w:name w:val="xl71"/>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2">
    <w:name w:val="xl72"/>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3">
    <w:name w:val="xl73"/>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4">
    <w:name w:val="xl7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color w:val="FF00FF"/>
      <w:sz w:val="20"/>
      <w:szCs w:val="20"/>
      <w:lang w:val="es-MX" w:eastAsia="es-ES"/>
    </w:rPr>
  </w:style>
  <w:style w:type="paragraph" w:customStyle="1" w:styleId="xl75">
    <w:name w:val="xl75"/>
    <w:basedOn w:val="Normal"/>
    <w:rsid w:val="008C18EB"/>
    <w:pPr>
      <w:pBdr>
        <w:top w:val="single" w:sz="4" w:space="0" w:color="000000"/>
        <w:left w:val="single" w:sz="4" w:space="0" w:color="000000"/>
        <w:bottom w:val="single" w:sz="4" w:space="0" w:color="000000"/>
        <w:right w:val="single" w:sz="4" w:space="0" w:color="000000"/>
      </w:pBdr>
      <w:shd w:val="clear" w:color="00FF00" w:fill="F79646"/>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6">
    <w:name w:val="xl76"/>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7">
    <w:name w:val="xl77"/>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8">
    <w:name w:val="xl78"/>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9">
    <w:name w:val="xl79"/>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0">
    <w:name w:val="xl80"/>
    <w:basedOn w:val="Normal"/>
    <w:rsid w:val="008C18EB"/>
    <w:pPr>
      <w:pBdr>
        <w:top w:val="single" w:sz="4" w:space="0" w:color="auto"/>
        <w:left w:val="single" w:sz="4" w:space="0" w:color="auto"/>
        <w:bottom w:val="single" w:sz="4" w:space="0" w:color="000000"/>
        <w:right w:val="single" w:sz="4" w:space="0" w:color="auto"/>
      </w:pBdr>
      <w:shd w:val="clear" w:color="008000" w:fill="0080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1">
    <w:name w:val="xl81"/>
    <w:basedOn w:val="Normal"/>
    <w:rsid w:val="008C18EB"/>
    <w:pPr>
      <w:pBdr>
        <w:top w:val="single" w:sz="4" w:space="0" w:color="auto"/>
        <w:left w:val="single" w:sz="4" w:space="0" w:color="auto"/>
        <w:bottom w:val="single" w:sz="4" w:space="0" w:color="000000"/>
        <w:right w:val="single" w:sz="4" w:space="0" w:color="auto"/>
      </w:pBdr>
      <w:shd w:val="clear" w:color="8064A2" w:fill="8064A2"/>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2">
    <w:name w:val="xl82"/>
    <w:basedOn w:val="Normal"/>
    <w:rsid w:val="008C18EB"/>
    <w:pPr>
      <w:pBdr>
        <w:top w:val="single" w:sz="4" w:space="0" w:color="auto"/>
        <w:left w:val="single" w:sz="4" w:space="0" w:color="auto"/>
        <w:bottom w:val="single" w:sz="4" w:space="0" w:color="000000"/>
        <w:right w:val="single" w:sz="4" w:space="0" w:color="auto"/>
      </w:pBdr>
      <w:shd w:val="clear" w:color="9BBB59" w:fill="9BBB59"/>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3">
    <w:name w:val="xl83"/>
    <w:basedOn w:val="Normal"/>
    <w:rsid w:val="008C18EB"/>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4">
    <w:name w:val="xl84"/>
    <w:basedOn w:val="Normal"/>
    <w:rsid w:val="008C18E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5">
    <w:name w:val="xl85"/>
    <w:basedOn w:val="Normal"/>
    <w:rsid w:val="008C18EB"/>
    <w:pPr>
      <w:pBdr>
        <w:top w:val="single" w:sz="4" w:space="0" w:color="000000"/>
        <w:left w:val="single" w:sz="4" w:space="0" w:color="000000"/>
        <w:bottom w:val="single" w:sz="4" w:space="0" w:color="000000"/>
        <w:right w:val="single" w:sz="4" w:space="0" w:color="000000"/>
      </w:pBdr>
      <w:shd w:val="clear" w:color="00FF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6">
    <w:name w:val="xl8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7">
    <w:name w:val="xl87"/>
    <w:basedOn w:val="Normal"/>
    <w:rsid w:val="008C18E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8">
    <w:name w:val="xl88"/>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styleId="Revisin">
    <w:name w:val="Revision"/>
    <w:hidden/>
    <w:uiPriority w:val="99"/>
    <w:semiHidden/>
    <w:rsid w:val="000B0507"/>
    <w:pPr>
      <w:spacing w:after="0" w:line="240" w:lineRule="auto"/>
    </w:pPr>
    <w:rPr>
      <w:lang w:val="en-US"/>
    </w:rPr>
  </w:style>
  <w:style w:type="character" w:customStyle="1" w:styleId="apple-converted-space">
    <w:name w:val="apple-converted-space"/>
    <w:basedOn w:val="Fuentedeprrafopredeter"/>
    <w:rsid w:val="000B0507"/>
  </w:style>
  <w:style w:type="paragraph" w:customStyle="1" w:styleId="Ttulo10">
    <w:name w:val="Título1"/>
    <w:basedOn w:val="Normal"/>
    <w:rsid w:val="000B0507"/>
    <w:pPr>
      <w:spacing w:before="100" w:beforeAutospacing="1" w:after="100" w:afterAutospacing="1" w:line="240" w:lineRule="auto"/>
    </w:pPr>
    <w:rPr>
      <w:rFonts w:ascii="Times New Roman" w:eastAsia="Times New Roman" w:hAnsi="Times New Roman" w:cs="Times New Roman"/>
      <w:sz w:val="24"/>
      <w:szCs w:val="24"/>
      <w:lang w:val="es-ES" w:eastAsia="ko-KR"/>
    </w:rPr>
  </w:style>
  <w:style w:type="character" w:customStyle="1" w:styleId="jrnl">
    <w:name w:val="jrnl"/>
    <w:basedOn w:val="Fuentedeprrafopredeter"/>
    <w:rsid w:val="000B0507"/>
  </w:style>
  <w:style w:type="character" w:customStyle="1" w:styleId="TextodegloboCar1">
    <w:name w:val="Texto de globo Car1"/>
    <w:basedOn w:val="Fuentedeprrafopredeter"/>
    <w:uiPriority w:val="99"/>
    <w:semiHidden/>
    <w:rsid w:val="000B0507"/>
    <w:rPr>
      <w:rFonts w:ascii="Segoe UI" w:hAnsi="Segoe UI" w:cs="Segoe UI"/>
      <w:sz w:val="18"/>
      <w:szCs w:val="18"/>
    </w:rPr>
  </w:style>
  <w:style w:type="paragraph" w:styleId="NormalWeb">
    <w:name w:val="Normal (Web)"/>
    <w:basedOn w:val="Normal"/>
    <w:uiPriority w:val="99"/>
    <w:unhideWhenUsed/>
    <w:rsid w:val="000B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uentedeprrafopredeter"/>
    <w:rsid w:val="000B0507"/>
  </w:style>
  <w:style w:type="character" w:styleId="Nmerodelnea">
    <w:name w:val="line number"/>
    <w:basedOn w:val="Fuentedeprrafopredeter"/>
    <w:uiPriority w:val="99"/>
    <w:semiHidden/>
    <w:unhideWhenUsed/>
    <w:rsid w:val="000B0507"/>
  </w:style>
  <w:style w:type="character" w:customStyle="1" w:styleId="tw4winMark">
    <w:name w:val="tw4winMark"/>
    <w:basedOn w:val="Fuentedeprrafopredeter"/>
    <w:rsid w:val="000B0507"/>
    <w:rPr>
      <w:rFonts w:ascii="Courier New" w:hAnsi="Courier New" w:cs="Courier New"/>
      <w:b w:val="0"/>
      <w:i w:val="0"/>
      <w:dstrike w:val="0"/>
      <w:noProof/>
      <w:vanish/>
      <w:color w:val="800080"/>
      <w:spacing w:val="0"/>
      <w:kern w:val="30"/>
      <w:sz w:val="18"/>
      <w:effect w:val="none"/>
      <w:vertAlign w:val="subscript"/>
      <w:lang w:bidi="en-US"/>
    </w:rPr>
  </w:style>
  <w:style w:type="table" w:styleId="Tablaconcuadrcula">
    <w:name w:val="Table Grid"/>
    <w:basedOn w:val="Tablanormal"/>
    <w:uiPriority w:val="99"/>
    <w:rsid w:val="00A53945"/>
    <w:pPr>
      <w:spacing w:after="0" w:line="240" w:lineRule="auto"/>
    </w:pPr>
    <w:rPr>
      <w:rFonts w:ascii="Calibri" w:eastAsia="Malgun Gothic"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decuerpo">
    <w:name w:val="Body Text Indent 2"/>
    <w:basedOn w:val="Normal"/>
    <w:link w:val="Sangra2detdecuerpoCar"/>
    <w:unhideWhenUsed/>
    <w:rsid w:val="00A53945"/>
    <w:pPr>
      <w:spacing w:after="120" w:line="480" w:lineRule="auto"/>
      <w:ind w:left="283"/>
    </w:pPr>
    <w:rPr>
      <w:rFonts w:cs="Times New Roman"/>
      <w:lang w:val="es-MX" w:eastAsia="en-US"/>
    </w:rPr>
  </w:style>
  <w:style w:type="character" w:customStyle="1" w:styleId="Sangra2detdecuerpoCar">
    <w:name w:val="Sangría 2 de t. de cuerpo Car"/>
    <w:basedOn w:val="Fuentedeprrafopredeter"/>
    <w:link w:val="Sangra2detdecuerpo"/>
    <w:rsid w:val="00A53945"/>
    <w:rPr>
      <w:rFonts w:ascii="Calibri" w:eastAsia="Calibri" w:hAnsi="Calibri" w:cs="Times New Roman"/>
    </w:rPr>
  </w:style>
  <w:style w:type="table" w:customStyle="1" w:styleId="TableNormal1">
    <w:name w:val="Table Normal1"/>
    <w:rsid w:val="003E400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3E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s-MX" w:eastAsia="es-ES"/>
    </w:rPr>
  </w:style>
  <w:style w:type="character" w:customStyle="1" w:styleId="HTMLconformatoprevioCar">
    <w:name w:val="HTML con formato previo Car"/>
    <w:basedOn w:val="Fuentedeprrafopredeter"/>
    <w:link w:val="HTMLconformatoprevio"/>
    <w:uiPriority w:val="99"/>
    <w:semiHidden/>
    <w:rsid w:val="003E400D"/>
    <w:rPr>
      <w:rFonts w:ascii="Courier" w:hAnsi="Courier" w:cs="Courie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692">
      <w:bodyDiv w:val="1"/>
      <w:marLeft w:val="0"/>
      <w:marRight w:val="0"/>
      <w:marTop w:val="0"/>
      <w:marBottom w:val="0"/>
      <w:divBdr>
        <w:top w:val="none" w:sz="0" w:space="0" w:color="auto"/>
        <w:left w:val="none" w:sz="0" w:space="0" w:color="auto"/>
        <w:bottom w:val="none" w:sz="0" w:space="0" w:color="auto"/>
        <w:right w:val="none" w:sz="0" w:space="0" w:color="auto"/>
      </w:divBdr>
    </w:div>
    <w:div w:id="13269092">
      <w:bodyDiv w:val="1"/>
      <w:marLeft w:val="0"/>
      <w:marRight w:val="0"/>
      <w:marTop w:val="0"/>
      <w:marBottom w:val="0"/>
      <w:divBdr>
        <w:top w:val="none" w:sz="0" w:space="0" w:color="auto"/>
        <w:left w:val="none" w:sz="0" w:space="0" w:color="auto"/>
        <w:bottom w:val="none" w:sz="0" w:space="0" w:color="auto"/>
        <w:right w:val="none" w:sz="0" w:space="0" w:color="auto"/>
      </w:divBdr>
    </w:div>
    <w:div w:id="55865023">
      <w:bodyDiv w:val="1"/>
      <w:marLeft w:val="0"/>
      <w:marRight w:val="0"/>
      <w:marTop w:val="0"/>
      <w:marBottom w:val="0"/>
      <w:divBdr>
        <w:top w:val="none" w:sz="0" w:space="0" w:color="auto"/>
        <w:left w:val="none" w:sz="0" w:space="0" w:color="auto"/>
        <w:bottom w:val="none" w:sz="0" w:space="0" w:color="auto"/>
        <w:right w:val="none" w:sz="0" w:space="0" w:color="auto"/>
      </w:divBdr>
    </w:div>
    <w:div w:id="69930587">
      <w:bodyDiv w:val="1"/>
      <w:marLeft w:val="0"/>
      <w:marRight w:val="0"/>
      <w:marTop w:val="0"/>
      <w:marBottom w:val="0"/>
      <w:divBdr>
        <w:top w:val="none" w:sz="0" w:space="0" w:color="auto"/>
        <w:left w:val="none" w:sz="0" w:space="0" w:color="auto"/>
        <w:bottom w:val="none" w:sz="0" w:space="0" w:color="auto"/>
        <w:right w:val="none" w:sz="0" w:space="0" w:color="auto"/>
      </w:divBdr>
    </w:div>
    <w:div w:id="339090573">
      <w:bodyDiv w:val="1"/>
      <w:marLeft w:val="0"/>
      <w:marRight w:val="0"/>
      <w:marTop w:val="0"/>
      <w:marBottom w:val="0"/>
      <w:divBdr>
        <w:top w:val="none" w:sz="0" w:space="0" w:color="auto"/>
        <w:left w:val="none" w:sz="0" w:space="0" w:color="auto"/>
        <w:bottom w:val="none" w:sz="0" w:space="0" w:color="auto"/>
        <w:right w:val="none" w:sz="0" w:space="0" w:color="auto"/>
      </w:divBdr>
    </w:div>
    <w:div w:id="376973738">
      <w:bodyDiv w:val="1"/>
      <w:marLeft w:val="0"/>
      <w:marRight w:val="0"/>
      <w:marTop w:val="0"/>
      <w:marBottom w:val="0"/>
      <w:divBdr>
        <w:top w:val="none" w:sz="0" w:space="0" w:color="auto"/>
        <w:left w:val="none" w:sz="0" w:space="0" w:color="auto"/>
        <w:bottom w:val="none" w:sz="0" w:space="0" w:color="auto"/>
        <w:right w:val="none" w:sz="0" w:space="0" w:color="auto"/>
      </w:divBdr>
    </w:div>
    <w:div w:id="388653393">
      <w:bodyDiv w:val="1"/>
      <w:marLeft w:val="0"/>
      <w:marRight w:val="0"/>
      <w:marTop w:val="0"/>
      <w:marBottom w:val="0"/>
      <w:divBdr>
        <w:top w:val="none" w:sz="0" w:space="0" w:color="auto"/>
        <w:left w:val="none" w:sz="0" w:space="0" w:color="auto"/>
        <w:bottom w:val="none" w:sz="0" w:space="0" w:color="auto"/>
        <w:right w:val="none" w:sz="0" w:space="0" w:color="auto"/>
      </w:divBdr>
    </w:div>
    <w:div w:id="457451572">
      <w:bodyDiv w:val="1"/>
      <w:marLeft w:val="0"/>
      <w:marRight w:val="0"/>
      <w:marTop w:val="0"/>
      <w:marBottom w:val="0"/>
      <w:divBdr>
        <w:top w:val="none" w:sz="0" w:space="0" w:color="auto"/>
        <w:left w:val="none" w:sz="0" w:space="0" w:color="auto"/>
        <w:bottom w:val="none" w:sz="0" w:space="0" w:color="auto"/>
        <w:right w:val="none" w:sz="0" w:space="0" w:color="auto"/>
      </w:divBdr>
      <w:divsChild>
        <w:div w:id="1567767063">
          <w:marLeft w:val="0"/>
          <w:marRight w:val="0"/>
          <w:marTop w:val="0"/>
          <w:marBottom w:val="0"/>
          <w:divBdr>
            <w:top w:val="none" w:sz="0" w:space="0" w:color="auto"/>
            <w:left w:val="none" w:sz="0" w:space="0" w:color="auto"/>
            <w:bottom w:val="none" w:sz="0" w:space="0" w:color="auto"/>
            <w:right w:val="none" w:sz="0" w:space="0" w:color="auto"/>
          </w:divBdr>
          <w:divsChild>
            <w:div w:id="479807018">
              <w:marLeft w:val="0"/>
              <w:marRight w:val="0"/>
              <w:marTop w:val="0"/>
              <w:marBottom w:val="0"/>
              <w:divBdr>
                <w:top w:val="none" w:sz="0" w:space="0" w:color="auto"/>
                <w:left w:val="none" w:sz="0" w:space="0" w:color="auto"/>
                <w:bottom w:val="none" w:sz="0" w:space="0" w:color="auto"/>
                <w:right w:val="none" w:sz="0" w:space="0" w:color="auto"/>
              </w:divBdr>
            </w:div>
          </w:divsChild>
        </w:div>
        <w:div w:id="862788405">
          <w:marLeft w:val="0"/>
          <w:marRight w:val="0"/>
          <w:marTop w:val="0"/>
          <w:marBottom w:val="0"/>
          <w:divBdr>
            <w:top w:val="none" w:sz="0" w:space="0" w:color="auto"/>
            <w:left w:val="none" w:sz="0" w:space="0" w:color="auto"/>
            <w:bottom w:val="none" w:sz="0" w:space="0" w:color="auto"/>
            <w:right w:val="none" w:sz="0" w:space="0" w:color="auto"/>
          </w:divBdr>
          <w:divsChild>
            <w:div w:id="512299974">
              <w:marLeft w:val="0"/>
              <w:marRight w:val="0"/>
              <w:marTop w:val="0"/>
              <w:marBottom w:val="0"/>
              <w:divBdr>
                <w:top w:val="none" w:sz="0" w:space="0" w:color="auto"/>
                <w:left w:val="none" w:sz="0" w:space="0" w:color="auto"/>
                <w:bottom w:val="none" w:sz="0" w:space="0" w:color="auto"/>
                <w:right w:val="none" w:sz="0" w:space="0" w:color="auto"/>
              </w:divBdr>
            </w:div>
          </w:divsChild>
        </w:div>
        <w:div w:id="1048577809">
          <w:marLeft w:val="0"/>
          <w:marRight w:val="0"/>
          <w:marTop w:val="0"/>
          <w:marBottom w:val="0"/>
          <w:divBdr>
            <w:top w:val="none" w:sz="0" w:space="0" w:color="auto"/>
            <w:left w:val="none" w:sz="0" w:space="0" w:color="auto"/>
            <w:bottom w:val="none" w:sz="0" w:space="0" w:color="auto"/>
            <w:right w:val="none" w:sz="0" w:space="0" w:color="auto"/>
          </w:divBdr>
          <w:divsChild>
            <w:div w:id="1435633829">
              <w:marLeft w:val="0"/>
              <w:marRight w:val="0"/>
              <w:marTop w:val="0"/>
              <w:marBottom w:val="0"/>
              <w:divBdr>
                <w:top w:val="none" w:sz="0" w:space="0" w:color="auto"/>
                <w:left w:val="none" w:sz="0" w:space="0" w:color="auto"/>
                <w:bottom w:val="none" w:sz="0" w:space="0" w:color="auto"/>
                <w:right w:val="none" w:sz="0" w:space="0" w:color="auto"/>
              </w:divBdr>
            </w:div>
          </w:divsChild>
        </w:div>
        <w:div w:id="123477470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sChild>
        </w:div>
        <w:div w:id="1543011983">
          <w:marLeft w:val="0"/>
          <w:marRight w:val="0"/>
          <w:marTop w:val="0"/>
          <w:marBottom w:val="0"/>
          <w:divBdr>
            <w:top w:val="none" w:sz="0" w:space="0" w:color="auto"/>
            <w:left w:val="none" w:sz="0" w:space="0" w:color="auto"/>
            <w:bottom w:val="none" w:sz="0" w:space="0" w:color="auto"/>
            <w:right w:val="none" w:sz="0" w:space="0" w:color="auto"/>
          </w:divBdr>
          <w:divsChild>
            <w:div w:id="905798168">
              <w:marLeft w:val="0"/>
              <w:marRight w:val="0"/>
              <w:marTop w:val="0"/>
              <w:marBottom w:val="0"/>
              <w:divBdr>
                <w:top w:val="none" w:sz="0" w:space="0" w:color="auto"/>
                <w:left w:val="none" w:sz="0" w:space="0" w:color="auto"/>
                <w:bottom w:val="none" w:sz="0" w:space="0" w:color="auto"/>
                <w:right w:val="none" w:sz="0" w:space="0" w:color="auto"/>
              </w:divBdr>
            </w:div>
          </w:divsChild>
        </w:div>
        <w:div w:id="161168221">
          <w:marLeft w:val="0"/>
          <w:marRight w:val="0"/>
          <w:marTop w:val="0"/>
          <w:marBottom w:val="0"/>
          <w:divBdr>
            <w:top w:val="none" w:sz="0" w:space="0" w:color="auto"/>
            <w:left w:val="none" w:sz="0" w:space="0" w:color="auto"/>
            <w:bottom w:val="none" w:sz="0" w:space="0" w:color="auto"/>
            <w:right w:val="none" w:sz="0" w:space="0" w:color="auto"/>
          </w:divBdr>
          <w:divsChild>
            <w:div w:id="1381128519">
              <w:marLeft w:val="0"/>
              <w:marRight w:val="0"/>
              <w:marTop w:val="0"/>
              <w:marBottom w:val="0"/>
              <w:divBdr>
                <w:top w:val="none" w:sz="0" w:space="0" w:color="auto"/>
                <w:left w:val="none" w:sz="0" w:space="0" w:color="auto"/>
                <w:bottom w:val="none" w:sz="0" w:space="0" w:color="auto"/>
                <w:right w:val="none" w:sz="0" w:space="0" w:color="auto"/>
              </w:divBdr>
            </w:div>
          </w:divsChild>
        </w:div>
        <w:div w:id="210192105">
          <w:marLeft w:val="0"/>
          <w:marRight w:val="0"/>
          <w:marTop w:val="0"/>
          <w:marBottom w:val="0"/>
          <w:divBdr>
            <w:top w:val="none" w:sz="0" w:space="0" w:color="auto"/>
            <w:left w:val="none" w:sz="0" w:space="0" w:color="auto"/>
            <w:bottom w:val="none" w:sz="0" w:space="0" w:color="auto"/>
            <w:right w:val="none" w:sz="0" w:space="0" w:color="auto"/>
          </w:divBdr>
          <w:divsChild>
            <w:div w:id="1778059528">
              <w:marLeft w:val="0"/>
              <w:marRight w:val="0"/>
              <w:marTop w:val="0"/>
              <w:marBottom w:val="0"/>
              <w:divBdr>
                <w:top w:val="none" w:sz="0" w:space="0" w:color="auto"/>
                <w:left w:val="none" w:sz="0" w:space="0" w:color="auto"/>
                <w:bottom w:val="none" w:sz="0" w:space="0" w:color="auto"/>
                <w:right w:val="none" w:sz="0" w:space="0" w:color="auto"/>
              </w:divBdr>
            </w:div>
          </w:divsChild>
        </w:div>
        <w:div w:id="374349114">
          <w:marLeft w:val="0"/>
          <w:marRight w:val="0"/>
          <w:marTop w:val="0"/>
          <w:marBottom w:val="0"/>
          <w:divBdr>
            <w:top w:val="none" w:sz="0" w:space="0" w:color="auto"/>
            <w:left w:val="none" w:sz="0" w:space="0" w:color="auto"/>
            <w:bottom w:val="none" w:sz="0" w:space="0" w:color="auto"/>
            <w:right w:val="none" w:sz="0" w:space="0" w:color="auto"/>
          </w:divBdr>
          <w:divsChild>
            <w:div w:id="1805583207">
              <w:marLeft w:val="0"/>
              <w:marRight w:val="0"/>
              <w:marTop w:val="0"/>
              <w:marBottom w:val="0"/>
              <w:divBdr>
                <w:top w:val="none" w:sz="0" w:space="0" w:color="auto"/>
                <w:left w:val="none" w:sz="0" w:space="0" w:color="auto"/>
                <w:bottom w:val="none" w:sz="0" w:space="0" w:color="auto"/>
                <w:right w:val="none" w:sz="0" w:space="0" w:color="auto"/>
              </w:divBdr>
            </w:div>
          </w:divsChild>
        </w:div>
        <w:div w:id="1436974419">
          <w:marLeft w:val="0"/>
          <w:marRight w:val="0"/>
          <w:marTop w:val="0"/>
          <w:marBottom w:val="0"/>
          <w:divBdr>
            <w:top w:val="none" w:sz="0" w:space="0" w:color="auto"/>
            <w:left w:val="none" w:sz="0" w:space="0" w:color="auto"/>
            <w:bottom w:val="none" w:sz="0" w:space="0" w:color="auto"/>
            <w:right w:val="none" w:sz="0" w:space="0" w:color="auto"/>
          </w:divBdr>
          <w:divsChild>
            <w:div w:id="936061163">
              <w:marLeft w:val="0"/>
              <w:marRight w:val="0"/>
              <w:marTop w:val="0"/>
              <w:marBottom w:val="0"/>
              <w:divBdr>
                <w:top w:val="none" w:sz="0" w:space="0" w:color="auto"/>
                <w:left w:val="none" w:sz="0" w:space="0" w:color="auto"/>
                <w:bottom w:val="none" w:sz="0" w:space="0" w:color="auto"/>
                <w:right w:val="none" w:sz="0" w:space="0" w:color="auto"/>
              </w:divBdr>
            </w:div>
          </w:divsChild>
        </w:div>
        <w:div w:id="491143146">
          <w:marLeft w:val="0"/>
          <w:marRight w:val="0"/>
          <w:marTop w:val="0"/>
          <w:marBottom w:val="0"/>
          <w:divBdr>
            <w:top w:val="none" w:sz="0" w:space="0" w:color="auto"/>
            <w:left w:val="none" w:sz="0" w:space="0" w:color="auto"/>
            <w:bottom w:val="none" w:sz="0" w:space="0" w:color="auto"/>
            <w:right w:val="none" w:sz="0" w:space="0" w:color="auto"/>
          </w:divBdr>
          <w:divsChild>
            <w:div w:id="213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6903">
      <w:bodyDiv w:val="1"/>
      <w:marLeft w:val="0"/>
      <w:marRight w:val="0"/>
      <w:marTop w:val="0"/>
      <w:marBottom w:val="0"/>
      <w:divBdr>
        <w:top w:val="none" w:sz="0" w:space="0" w:color="auto"/>
        <w:left w:val="none" w:sz="0" w:space="0" w:color="auto"/>
        <w:bottom w:val="none" w:sz="0" w:space="0" w:color="auto"/>
        <w:right w:val="none" w:sz="0" w:space="0" w:color="auto"/>
      </w:divBdr>
    </w:div>
    <w:div w:id="648092605">
      <w:bodyDiv w:val="1"/>
      <w:marLeft w:val="0"/>
      <w:marRight w:val="0"/>
      <w:marTop w:val="0"/>
      <w:marBottom w:val="0"/>
      <w:divBdr>
        <w:top w:val="none" w:sz="0" w:space="0" w:color="auto"/>
        <w:left w:val="none" w:sz="0" w:space="0" w:color="auto"/>
        <w:bottom w:val="none" w:sz="0" w:space="0" w:color="auto"/>
        <w:right w:val="none" w:sz="0" w:space="0" w:color="auto"/>
      </w:divBdr>
    </w:div>
    <w:div w:id="750197614">
      <w:bodyDiv w:val="1"/>
      <w:marLeft w:val="0"/>
      <w:marRight w:val="0"/>
      <w:marTop w:val="0"/>
      <w:marBottom w:val="0"/>
      <w:divBdr>
        <w:top w:val="none" w:sz="0" w:space="0" w:color="auto"/>
        <w:left w:val="none" w:sz="0" w:space="0" w:color="auto"/>
        <w:bottom w:val="none" w:sz="0" w:space="0" w:color="auto"/>
        <w:right w:val="none" w:sz="0" w:space="0" w:color="auto"/>
      </w:divBdr>
    </w:div>
    <w:div w:id="790244903">
      <w:bodyDiv w:val="1"/>
      <w:marLeft w:val="0"/>
      <w:marRight w:val="0"/>
      <w:marTop w:val="0"/>
      <w:marBottom w:val="0"/>
      <w:divBdr>
        <w:top w:val="none" w:sz="0" w:space="0" w:color="auto"/>
        <w:left w:val="none" w:sz="0" w:space="0" w:color="auto"/>
        <w:bottom w:val="none" w:sz="0" w:space="0" w:color="auto"/>
        <w:right w:val="none" w:sz="0" w:space="0" w:color="auto"/>
      </w:divBdr>
    </w:div>
    <w:div w:id="881215615">
      <w:bodyDiv w:val="1"/>
      <w:marLeft w:val="0"/>
      <w:marRight w:val="0"/>
      <w:marTop w:val="0"/>
      <w:marBottom w:val="0"/>
      <w:divBdr>
        <w:top w:val="none" w:sz="0" w:space="0" w:color="auto"/>
        <w:left w:val="none" w:sz="0" w:space="0" w:color="auto"/>
        <w:bottom w:val="none" w:sz="0" w:space="0" w:color="auto"/>
        <w:right w:val="none" w:sz="0" w:space="0" w:color="auto"/>
      </w:divBdr>
      <w:divsChild>
        <w:div w:id="973876459">
          <w:marLeft w:val="0"/>
          <w:marRight w:val="0"/>
          <w:marTop w:val="0"/>
          <w:marBottom w:val="0"/>
          <w:divBdr>
            <w:top w:val="none" w:sz="0" w:space="0" w:color="auto"/>
            <w:left w:val="none" w:sz="0" w:space="0" w:color="auto"/>
            <w:bottom w:val="none" w:sz="0" w:space="0" w:color="auto"/>
            <w:right w:val="none" w:sz="0" w:space="0" w:color="auto"/>
          </w:divBdr>
          <w:divsChild>
            <w:div w:id="991711896">
              <w:marLeft w:val="0"/>
              <w:marRight w:val="0"/>
              <w:marTop w:val="0"/>
              <w:marBottom w:val="0"/>
              <w:divBdr>
                <w:top w:val="none" w:sz="0" w:space="0" w:color="auto"/>
                <w:left w:val="none" w:sz="0" w:space="0" w:color="auto"/>
                <w:bottom w:val="none" w:sz="0" w:space="0" w:color="auto"/>
                <w:right w:val="none" w:sz="0" w:space="0" w:color="auto"/>
              </w:divBdr>
            </w:div>
          </w:divsChild>
        </w:div>
        <w:div w:id="1237475716">
          <w:marLeft w:val="0"/>
          <w:marRight w:val="0"/>
          <w:marTop w:val="0"/>
          <w:marBottom w:val="0"/>
          <w:divBdr>
            <w:top w:val="none" w:sz="0" w:space="0" w:color="auto"/>
            <w:left w:val="none" w:sz="0" w:space="0" w:color="auto"/>
            <w:bottom w:val="none" w:sz="0" w:space="0" w:color="auto"/>
            <w:right w:val="none" w:sz="0" w:space="0" w:color="auto"/>
          </w:divBdr>
          <w:divsChild>
            <w:div w:id="1289900510">
              <w:marLeft w:val="0"/>
              <w:marRight w:val="0"/>
              <w:marTop w:val="0"/>
              <w:marBottom w:val="0"/>
              <w:divBdr>
                <w:top w:val="none" w:sz="0" w:space="0" w:color="auto"/>
                <w:left w:val="none" w:sz="0" w:space="0" w:color="auto"/>
                <w:bottom w:val="none" w:sz="0" w:space="0" w:color="auto"/>
                <w:right w:val="none" w:sz="0" w:space="0" w:color="auto"/>
              </w:divBdr>
            </w:div>
          </w:divsChild>
        </w:div>
        <w:div w:id="1534270067">
          <w:marLeft w:val="0"/>
          <w:marRight w:val="0"/>
          <w:marTop w:val="0"/>
          <w:marBottom w:val="0"/>
          <w:divBdr>
            <w:top w:val="none" w:sz="0" w:space="0" w:color="auto"/>
            <w:left w:val="none" w:sz="0" w:space="0" w:color="auto"/>
            <w:bottom w:val="none" w:sz="0" w:space="0" w:color="auto"/>
            <w:right w:val="none" w:sz="0" w:space="0" w:color="auto"/>
          </w:divBdr>
          <w:divsChild>
            <w:div w:id="487526033">
              <w:marLeft w:val="0"/>
              <w:marRight w:val="0"/>
              <w:marTop w:val="0"/>
              <w:marBottom w:val="0"/>
              <w:divBdr>
                <w:top w:val="none" w:sz="0" w:space="0" w:color="auto"/>
                <w:left w:val="none" w:sz="0" w:space="0" w:color="auto"/>
                <w:bottom w:val="none" w:sz="0" w:space="0" w:color="auto"/>
                <w:right w:val="none" w:sz="0" w:space="0" w:color="auto"/>
              </w:divBdr>
            </w:div>
          </w:divsChild>
        </w:div>
        <w:div w:id="492642329">
          <w:marLeft w:val="0"/>
          <w:marRight w:val="0"/>
          <w:marTop w:val="0"/>
          <w:marBottom w:val="0"/>
          <w:divBdr>
            <w:top w:val="none" w:sz="0" w:space="0" w:color="auto"/>
            <w:left w:val="none" w:sz="0" w:space="0" w:color="auto"/>
            <w:bottom w:val="none" w:sz="0" w:space="0" w:color="auto"/>
            <w:right w:val="none" w:sz="0" w:space="0" w:color="auto"/>
          </w:divBdr>
          <w:divsChild>
            <w:div w:id="1040281932">
              <w:marLeft w:val="0"/>
              <w:marRight w:val="0"/>
              <w:marTop w:val="0"/>
              <w:marBottom w:val="0"/>
              <w:divBdr>
                <w:top w:val="none" w:sz="0" w:space="0" w:color="auto"/>
                <w:left w:val="none" w:sz="0" w:space="0" w:color="auto"/>
                <w:bottom w:val="none" w:sz="0" w:space="0" w:color="auto"/>
                <w:right w:val="none" w:sz="0" w:space="0" w:color="auto"/>
              </w:divBdr>
            </w:div>
          </w:divsChild>
        </w:div>
        <w:div w:id="1975021870">
          <w:marLeft w:val="0"/>
          <w:marRight w:val="0"/>
          <w:marTop w:val="0"/>
          <w:marBottom w:val="0"/>
          <w:divBdr>
            <w:top w:val="none" w:sz="0" w:space="0" w:color="auto"/>
            <w:left w:val="none" w:sz="0" w:space="0" w:color="auto"/>
            <w:bottom w:val="none" w:sz="0" w:space="0" w:color="auto"/>
            <w:right w:val="none" w:sz="0" w:space="0" w:color="auto"/>
          </w:divBdr>
          <w:divsChild>
            <w:div w:id="1792018435">
              <w:marLeft w:val="0"/>
              <w:marRight w:val="0"/>
              <w:marTop w:val="0"/>
              <w:marBottom w:val="0"/>
              <w:divBdr>
                <w:top w:val="none" w:sz="0" w:space="0" w:color="auto"/>
                <w:left w:val="none" w:sz="0" w:space="0" w:color="auto"/>
                <w:bottom w:val="none" w:sz="0" w:space="0" w:color="auto"/>
                <w:right w:val="none" w:sz="0" w:space="0" w:color="auto"/>
              </w:divBdr>
            </w:div>
          </w:divsChild>
        </w:div>
        <w:div w:id="1461995750">
          <w:marLeft w:val="0"/>
          <w:marRight w:val="0"/>
          <w:marTop w:val="0"/>
          <w:marBottom w:val="0"/>
          <w:divBdr>
            <w:top w:val="none" w:sz="0" w:space="0" w:color="auto"/>
            <w:left w:val="none" w:sz="0" w:space="0" w:color="auto"/>
            <w:bottom w:val="none" w:sz="0" w:space="0" w:color="auto"/>
            <w:right w:val="none" w:sz="0" w:space="0" w:color="auto"/>
          </w:divBdr>
          <w:divsChild>
            <w:div w:id="560404130">
              <w:marLeft w:val="0"/>
              <w:marRight w:val="0"/>
              <w:marTop w:val="0"/>
              <w:marBottom w:val="0"/>
              <w:divBdr>
                <w:top w:val="none" w:sz="0" w:space="0" w:color="auto"/>
                <w:left w:val="none" w:sz="0" w:space="0" w:color="auto"/>
                <w:bottom w:val="none" w:sz="0" w:space="0" w:color="auto"/>
                <w:right w:val="none" w:sz="0" w:space="0" w:color="auto"/>
              </w:divBdr>
            </w:div>
          </w:divsChild>
        </w:div>
        <w:div w:id="673533320">
          <w:marLeft w:val="0"/>
          <w:marRight w:val="0"/>
          <w:marTop w:val="0"/>
          <w:marBottom w:val="0"/>
          <w:divBdr>
            <w:top w:val="none" w:sz="0" w:space="0" w:color="auto"/>
            <w:left w:val="none" w:sz="0" w:space="0" w:color="auto"/>
            <w:bottom w:val="none" w:sz="0" w:space="0" w:color="auto"/>
            <w:right w:val="none" w:sz="0" w:space="0" w:color="auto"/>
          </w:divBdr>
          <w:divsChild>
            <w:div w:id="1038628712">
              <w:marLeft w:val="0"/>
              <w:marRight w:val="0"/>
              <w:marTop w:val="0"/>
              <w:marBottom w:val="0"/>
              <w:divBdr>
                <w:top w:val="none" w:sz="0" w:space="0" w:color="auto"/>
                <w:left w:val="none" w:sz="0" w:space="0" w:color="auto"/>
                <w:bottom w:val="none" w:sz="0" w:space="0" w:color="auto"/>
                <w:right w:val="none" w:sz="0" w:space="0" w:color="auto"/>
              </w:divBdr>
            </w:div>
          </w:divsChild>
        </w:div>
        <w:div w:id="1017393851">
          <w:marLeft w:val="0"/>
          <w:marRight w:val="0"/>
          <w:marTop w:val="0"/>
          <w:marBottom w:val="0"/>
          <w:divBdr>
            <w:top w:val="none" w:sz="0" w:space="0" w:color="auto"/>
            <w:left w:val="none" w:sz="0" w:space="0" w:color="auto"/>
            <w:bottom w:val="none" w:sz="0" w:space="0" w:color="auto"/>
            <w:right w:val="none" w:sz="0" w:space="0" w:color="auto"/>
          </w:divBdr>
          <w:divsChild>
            <w:div w:id="2087025484">
              <w:marLeft w:val="0"/>
              <w:marRight w:val="0"/>
              <w:marTop w:val="0"/>
              <w:marBottom w:val="0"/>
              <w:divBdr>
                <w:top w:val="none" w:sz="0" w:space="0" w:color="auto"/>
                <w:left w:val="none" w:sz="0" w:space="0" w:color="auto"/>
                <w:bottom w:val="none" w:sz="0" w:space="0" w:color="auto"/>
                <w:right w:val="none" w:sz="0" w:space="0" w:color="auto"/>
              </w:divBdr>
            </w:div>
          </w:divsChild>
        </w:div>
        <w:div w:id="2054772833">
          <w:marLeft w:val="0"/>
          <w:marRight w:val="0"/>
          <w:marTop w:val="0"/>
          <w:marBottom w:val="0"/>
          <w:divBdr>
            <w:top w:val="none" w:sz="0" w:space="0" w:color="auto"/>
            <w:left w:val="none" w:sz="0" w:space="0" w:color="auto"/>
            <w:bottom w:val="none" w:sz="0" w:space="0" w:color="auto"/>
            <w:right w:val="none" w:sz="0" w:space="0" w:color="auto"/>
          </w:divBdr>
          <w:divsChild>
            <w:div w:id="1191728194">
              <w:marLeft w:val="0"/>
              <w:marRight w:val="0"/>
              <w:marTop w:val="0"/>
              <w:marBottom w:val="0"/>
              <w:divBdr>
                <w:top w:val="none" w:sz="0" w:space="0" w:color="auto"/>
                <w:left w:val="none" w:sz="0" w:space="0" w:color="auto"/>
                <w:bottom w:val="none" w:sz="0" w:space="0" w:color="auto"/>
                <w:right w:val="none" w:sz="0" w:space="0" w:color="auto"/>
              </w:divBdr>
            </w:div>
          </w:divsChild>
        </w:div>
        <w:div w:id="1106463041">
          <w:marLeft w:val="0"/>
          <w:marRight w:val="0"/>
          <w:marTop w:val="0"/>
          <w:marBottom w:val="0"/>
          <w:divBdr>
            <w:top w:val="none" w:sz="0" w:space="0" w:color="auto"/>
            <w:left w:val="none" w:sz="0" w:space="0" w:color="auto"/>
            <w:bottom w:val="none" w:sz="0" w:space="0" w:color="auto"/>
            <w:right w:val="none" w:sz="0" w:space="0" w:color="auto"/>
          </w:divBdr>
          <w:divsChild>
            <w:div w:id="549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427">
      <w:bodyDiv w:val="1"/>
      <w:marLeft w:val="0"/>
      <w:marRight w:val="0"/>
      <w:marTop w:val="0"/>
      <w:marBottom w:val="0"/>
      <w:divBdr>
        <w:top w:val="none" w:sz="0" w:space="0" w:color="auto"/>
        <w:left w:val="none" w:sz="0" w:space="0" w:color="auto"/>
        <w:bottom w:val="none" w:sz="0" w:space="0" w:color="auto"/>
        <w:right w:val="none" w:sz="0" w:space="0" w:color="auto"/>
      </w:divBdr>
    </w:div>
    <w:div w:id="947470621">
      <w:bodyDiv w:val="1"/>
      <w:marLeft w:val="0"/>
      <w:marRight w:val="0"/>
      <w:marTop w:val="0"/>
      <w:marBottom w:val="0"/>
      <w:divBdr>
        <w:top w:val="none" w:sz="0" w:space="0" w:color="auto"/>
        <w:left w:val="none" w:sz="0" w:space="0" w:color="auto"/>
        <w:bottom w:val="none" w:sz="0" w:space="0" w:color="auto"/>
        <w:right w:val="none" w:sz="0" w:space="0" w:color="auto"/>
      </w:divBdr>
    </w:div>
    <w:div w:id="1185485595">
      <w:bodyDiv w:val="1"/>
      <w:marLeft w:val="0"/>
      <w:marRight w:val="0"/>
      <w:marTop w:val="0"/>
      <w:marBottom w:val="0"/>
      <w:divBdr>
        <w:top w:val="none" w:sz="0" w:space="0" w:color="auto"/>
        <w:left w:val="none" w:sz="0" w:space="0" w:color="auto"/>
        <w:bottom w:val="none" w:sz="0" w:space="0" w:color="auto"/>
        <w:right w:val="none" w:sz="0" w:space="0" w:color="auto"/>
      </w:divBdr>
    </w:div>
    <w:div w:id="1242371051">
      <w:bodyDiv w:val="1"/>
      <w:marLeft w:val="0"/>
      <w:marRight w:val="0"/>
      <w:marTop w:val="0"/>
      <w:marBottom w:val="0"/>
      <w:divBdr>
        <w:top w:val="none" w:sz="0" w:space="0" w:color="auto"/>
        <w:left w:val="none" w:sz="0" w:space="0" w:color="auto"/>
        <w:bottom w:val="none" w:sz="0" w:space="0" w:color="auto"/>
        <w:right w:val="none" w:sz="0" w:space="0" w:color="auto"/>
      </w:divBdr>
    </w:div>
    <w:div w:id="1512063057">
      <w:bodyDiv w:val="1"/>
      <w:marLeft w:val="0"/>
      <w:marRight w:val="0"/>
      <w:marTop w:val="0"/>
      <w:marBottom w:val="0"/>
      <w:divBdr>
        <w:top w:val="none" w:sz="0" w:space="0" w:color="auto"/>
        <w:left w:val="none" w:sz="0" w:space="0" w:color="auto"/>
        <w:bottom w:val="none" w:sz="0" w:space="0" w:color="auto"/>
        <w:right w:val="none" w:sz="0" w:space="0" w:color="auto"/>
      </w:divBdr>
      <w:divsChild>
        <w:div w:id="740718594">
          <w:marLeft w:val="0"/>
          <w:marRight w:val="0"/>
          <w:marTop w:val="0"/>
          <w:marBottom w:val="0"/>
          <w:divBdr>
            <w:top w:val="none" w:sz="0" w:space="0" w:color="auto"/>
            <w:left w:val="none" w:sz="0" w:space="0" w:color="auto"/>
            <w:bottom w:val="none" w:sz="0" w:space="0" w:color="auto"/>
            <w:right w:val="none" w:sz="0" w:space="0" w:color="auto"/>
          </w:divBdr>
          <w:divsChild>
            <w:div w:id="590047551">
              <w:marLeft w:val="0"/>
              <w:marRight w:val="0"/>
              <w:marTop w:val="0"/>
              <w:marBottom w:val="0"/>
              <w:divBdr>
                <w:top w:val="none" w:sz="0" w:space="0" w:color="auto"/>
                <w:left w:val="none" w:sz="0" w:space="0" w:color="auto"/>
                <w:bottom w:val="none" w:sz="0" w:space="0" w:color="auto"/>
                <w:right w:val="none" w:sz="0" w:space="0" w:color="auto"/>
              </w:divBdr>
            </w:div>
          </w:divsChild>
        </w:div>
        <w:div w:id="946471910">
          <w:marLeft w:val="0"/>
          <w:marRight w:val="0"/>
          <w:marTop w:val="0"/>
          <w:marBottom w:val="0"/>
          <w:divBdr>
            <w:top w:val="none" w:sz="0" w:space="0" w:color="auto"/>
            <w:left w:val="none" w:sz="0" w:space="0" w:color="auto"/>
            <w:bottom w:val="none" w:sz="0" w:space="0" w:color="auto"/>
            <w:right w:val="none" w:sz="0" w:space="0" w:color="auto"/>
          </w:divBdr>
          <w:divsChild>
            <w:div w:id="599028242">
              <w:marLeft w:val="0"/>
              <w:marRight w:val="0"/>
              <w:marTop w:val="0"/>
              <w:marBottom w:val="0"/>
              <w:divBdr>
                <w:top w:val="none" w:sz="0" w:space="0" w:color="auto"/>
                <w:left w:val="none" w:sz="0" w:space="0" w:color="auto"/>
                <w:bottom w:val="none" w:sz="0" w:space="0" w:color="auto"/>
                <w:right w:val="none" w:sz="0" w:space="0" w:color="auto"/>
              </w:divBdr>
            </w:div>
          </w:divsChild>
        </w:div>
        <w:div w:id="21710601">
          <w:marLeft w:val="0"/>
          <w:marRight w:val="0"/>
          <w:marTop w:val="0"/>
          <w:marBottom w:val="0"/>
          <w:divBdr>
            <w:top w:val="none" w:sz="0" w:space="0" w:color="auto"/>
            <w:left w:val="none" w:sz="0" w:space="0" w:color="auto"/>
            <w:bottom w:val="none" w:sz="0" w:space="0" w:color="auto"/>
            <w:right w:val="none" w:sz="0" w:space="0" w:color="auto"/>
          </w:divBdr>
          <w:divsChild>
            <w:div w:id="677774943">
              <w:marLeft w:val="0"/>
              <w:marRight w:val="0"/>
              <w:marTop w:val="0"/>
              <w:marBottom w:val="0"/>
              <w:divBdr>
                <w:top w:val="none" w:sz="0" w:space="0" w:color="auto"/>
                <w:left w:val="none" w:sz="0" w:space="0" w:color="auto"/>
                <w:bottom w:val="none" w:sz="0" w:space="0" w:color="auto"/>
                <w:right w:val="none" w:sz="0" w:space="0" w:color="auto"/>
              </w:divBdr>
            </w:div>
          </w:divsChild>
        </w:div>
        <w:div w:id="1156529683">
          <w:marLeft w:val="0"/>
          <w:marRight w:val="0"/>
          <w:marTop w:val="0"/>
          <w:marBottom w:val="0"/>
          <w:divBdr>
            <w:top w:val="none" w:sz="0" w:space="0" w:color="auto"/>
            <w:left w:val="none" w:sz="0" w:space="0" w:color="auto"/>
            <w:bottom w:val="none" w:sz="0" w:space="0" w:color="auto"/>
            <w:right w:val="none" w:sz="0" w:space="0" w:color="auto"/>
          </w:divBdr>
          <w:divsChild>
            <w:div w:id="1192694440">
              <w:marLeft w:val="0"/>
              <w:marRight w:val="0"/>
              <w:marTop w:val="0"/>
              <w:marBottom w:val="0"/>
              <w:divBdr>
                <w:top w:val="none" w:sz="0" w:space="0" w:color="auto"/>
                <w:left w:val="none" w:sz="0" w:space="0" w:color="auto"/>
                <w:bottom w:val="none" w:sz="0" w:space="0" w:color="auto"/>
                <w:right w:val="none" w:sz="0" w:space="0" w:color="auto"/>
              </w:divBdr>
            </w:div>
          </w:divsChild>
        </w:div>
        <w:div w:id="1897743688">
          <w:marLeft w:val="0"/>
          <w:marRight w:val="0"/>
          <w:marTop w:val="0"/>
          <w:marBottom w:val="0"/>
          <w:divBdr>
            <w:top w:val="none" w:sz="0" w:space="0" w:color="auto"/>
            <w:left w:val="none" w:sz="0" w:space="0" w:color="auto"/>
            <w:bottom w:val="none" w:sz="0" w:space="0" w:color="auto"/>
            <w:right w:val="none" w:sz="0" w:space="0" w:color="auto"/>
          </w:divBdr>
          <w:divsChild>
            <w:div w:id="1855731675">
              <w:marLeft w:val="0"/>
              <w:marRight w:val="0"/>
              <w:marTop w:val="0"/>
              <w:marBottom w:val="0"/>
              <w:divBdr>
                <w:top w:val="none" w:sz="0" w:space="0" w:color="auto"/>
                <w:left w:val="none" w:sz="0" w:space="0" w:color="auto"/>
                <w:bottom w:val="none" w:sz="0" w:space="0" w:color="auto"/>
                <w:right w:val="none" w:sz="0" w:space="0" w:color="auto"/>
              </w:divBdr>
            </w:div>
          </w:divsChild>
        </w:div>
        <w:div w:id="391386926">
          <w:marLeft w:val="0"/>
          <w:marRight w:val="0"/>
          <w:marTop w:val="0"/>
          <w:marBottom w:val="0"/>
          <w:divBdr>
            <w:top w:val="none" w:sz="0" w:space="0" w:color="auto"/>
            <w:left w:val="none" w:sz="0" w:space="0" w:color="auto"/>
            <w:bottom w:val="none" w:sz="0" w:space="0" w:color="auto"/>
            <w:right w:val="none" w:sz="0" w:space="0" w:color="auto"/>
          </w:divBdr>
          <w:divsChild>
            <w:div w:id="2096126699">
              <w:marLeft w:val="0"/>
              <w:marRight w:val="0"/>
              <w:marTop w:val="0"/>
              <w:marBottom w:val="0"/>
              <w:divBdr>
                <w:top w:val="none" w:sz="0" w:space="0" w:color="auto"/>
                <w:left w:val="none" w:sz="0" w:space="0" w:color="auto"/>
                <w:bottom w:val="none" w:sz="0" w:space="0" w:color="auto"/>
                <w:right w:val="none" w:sz="0" w:space="0" w:color="auto"/>
              </w:divBdr>
            </w:div>
          </w:divsChild>
        </w:div>
        <w:div w:id="1746101153">
          <w:marLeft w:val="0"/>
          <w:marRight w:val="0"/>
          <w:marTop w:val="0"/>
          <w:marBottom w:val="0"/>
          <w:divBdr>
            <w:top w:val="none" w:sz="0" w:space="0" w:color="auto"/>
            <w:left w:val="none" w:sz="0" w:space="0" w:color="auto"/>
            <w:bottom w:val="none" w:sz="0" w:space="0" w:color="auto"/>
            <w:right w:val="none" w:sz="0" w:space="0" w:color="auto"/>
          </w:divBdr>
          <w:divsChild>
            <w:div w:id="1083838711">
              <w:marLeft w:val="0"/>
              <w:marRight w:val="0"/>
              <w:marTop w:val="0"/>
              <w:marBottom w:val="0"/>
              <w:divBdr>
                <w:top w:val="none" w:sz="0" w:space="0" w:color="auto"/>
                <w:left w:val="none" w:sz="0" w:space="0" w:color="auto"/>
                <w:bottom w:val="none" w:sz="0" w:space="0" w:color="auto"/>
                <w:right w:val="none" w:sz="0" w:space="0" w:color="auto"/>
              </w:divBdr>
            </w:div>
          </w:divsChild>
        </w:div>
        <w:div w:id="654988907">
          <w:marLeft w:val="0"/>
          <w:marRight w:val="0"/>
          <w:marTop w:val="0"/>
          <w:marBottom w:val="0"/>
          <w:divBdr>
            <w:top w:val="none" w:sz="0" w:space="0" w:color="auto"/>
            <w:left w:val="none" w:sz="0" w:space="0" w:color="auto"/>
            <w:bottom w:val="none" w:sz="0" w:space="0" w:color="auto"/>
            <w:right w:val="none" w:sz="0" w:space="0" w:color="auto"/>
          </w:divBdr>
          <w:divsChild>
            <w:div w:id="758913490">
              <w:marLeft w:val="0"/>
              <w:marRight w:val="0"/>
              <w:marTop w:val="0"/>
              <w:marBottom w:val="0"/>
              <w:divBdr>
                <w:top w:val="none" w:sz="0" w:space="0" w:color="auto"/>
                <w:left w:val="none" w:sz="0" w:space="0" w:color="auto"/>
                <w:bottom w:val="none" w:sz="0" w:space="0" w:color="auto"/>
                <w:right w:val="none" w:sz="0" w:space="0" w:color="auto"/>
              </w:divBdr>
            </w:div>
          </w:divsChild>
        </w:div>
        <w:div w:id="1425111237">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 w:id="1922832716">
          <w:marLeft w:val="0"/>
          <w:marRight w:val="0"/>
          <w:marTop w:val="0"/>
          <w:marBottom w:val="0"/>
          <w:divBdr>
            <w:top w:val="none" w:sz="0" w:space="0" w:color="auto"/>
            <w:left w:val="none" w:sz="0" w:space="0" w:color="auto"/>
            <w:bottom w:val="none" w:sz="0" w:space="0" w:color="auto"/>
            <w:right w:val="none" w:sz="0" w:space="0" w:color="auto"/>
          </w:divBdr>
          <w:divsChild>
            <w:div w:id="1128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861">
      <w:bodyDiv w:val="1"/>
      <w:marLeft w:val="0"/>
      <w:marRight w:val="0"/>
      <w:marTop w:val="0"/>
      <w:marBottom w:val="0"/>
      <w:divBdr>
        <w:top w:val="none" w:sz="0" w:space="0" w:color="auto"/>
        <w:left w:val="none" w:sz="0" w:space="0" w:color="auto"/>
        <w:bottom w:val="none" w:sz="0" w:space="0" w:color="auto"/>
        <w:right w:val="none" w:sz="0" w:space="0" w:color="auto"/>
      </w:divBdr>
    </w:div>
    <w:div w:id="1632907255">
      <w:bodyDiv w:val="1"/>
      <w:marLeft w:val="0"/>
      <w:marRight w:val="0"/>
      <w:marTop w:val="0"/>
      <w:marBottom w:val="0"/>
      <w:divBdr>
        <w:top w:val="none" w:sz="0" w:space="0" w:color="auto"/>
        <w:left w:val="none" w:sz="0" w:space="0" w:color="auto"/>
        <w:bottom w:val="none" w:sz="0" w:space="0" w:color="auto"/>
        <w:right w:val="none" w:sz="0" w:space="0" w:color="auto"/>
      </w:divBdr>
      <w:divsChild>
        <w:div w:id="1544753301">
          <w:marLeft w:val="0"/>
          <w:marRight w:val="0"/>
          <w:marTop w:val="0"/>
          <w:marBottom w:val="0"/>
          <w:divBdr>
            <w:top w:val="none" w:sz="0" w:space="0" w:color="auto"/>
            <w:left w:val="none" w:sz="0" w:space="0" w:color="auto"/>
            <w:bottom w:val="none" w:sz="0" w:space="0" w:color="auto"/>
            <w:right w:val="none" w:sz="0" w:space="0" w:color="auto"/>
          </w:divBdr>
        </w:div>
        <w:div w:id="1168639888">
          <w:marLeft w:val="0"/>
          <w:marRight w:val="0"/>
          <w:marTop w:val="0"/>
          <w:marBottom w:val="0"/>
          <w:divBdr>
            <w:top w:val="none" w:sz="0" w:space="0" w:color="auto"/>
            <w:left w:val="none" w:sz="0" w:space="0" w:color="auto"/>
            <w:bottom w:val="none" w:sz="0" w:space="0" w:color="auto"/>
            <w:right w:val="none" w:sz="0" w:space="0" w:color="auto"/>
          </w:divBdr>
          <w:divsChild>
            <w:div w:id="5528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747">
      <w:bodyDiv w:val="1"/>
      <w:marLeft w:val="0"/>
      <w:marRight w:val="0"/>
      <w:marTop w:val="0"/>
      <w:marBottom w:val="0"/>
      <w:divBdr>
        <w:top w:val="none" w:sz="0" w:space="0" w:color="auto"/>
        <w:left w:val="none" w:sz="0" w:space="0" w:color="auto"/>
        <w:bottom w:val="none" w:sz="0" w:space="0" w:color="auto"/>
        <w:right w:val="none" w:sz="0" w:space="0" w:color="auto"/>
      </w:divBdr>
    </w:div>
    <w:div w:id="1914121439">
      <w:bodyDiv w:val="1"/>
      <w:marLeft w:val="0"/>
      <w:marRight w:val="0"/>
      <w:marTop w:val="0"/>
      <w:marBottom w:val="0"/>
      <w:divBdr>
        <w:top w:val="none" w:sz="0" w:space="0" w:color="auto"/>
        <w:left w:val="none" w:sz="0" w:space="0" w:color="auto"/>
        <w:bottom w:val="none" w:sz="0" w:space="0" w:color="auto"/>
        <w:right w:val="none" w:sz="0" w:space="0" w:color="auto"/>
      </w:divBdr>
    </w:div>
    <w:div w:id="1955019445">
      <w:bodyDiv w:val="1"/>
      <w:marLeft w:val="0"/>
      <w:marRight w:val="0"/>
      <w:marTop w:val="0"/>
      <w:marBottom w:val="0"/>
      <w:divBdr>
        <w:top w:val="none" w:sz="0" w:space="0" w:color="auto"/>
        <w:left w:val="none" w:sz="0" w:space="0" w:color="auto"/>
        <w:bottom w:val="none" w:sz="0" w:space="0" w:color="auto"/>
        <w:right w:val="none" w:sz="0" w:space="0" w:color="auto"/>
      </w:divBdr>
    </w:div>
    <w:div w:id="1985771120">
      <w:bodyDiv w:val="1"/>
      <w:marLeft w:val="0"/>
      <w:marRight w:val="0"/>
      <w:marTop w:val="0"/>
      <w:marBottom w:val="0"/>
      <w:divBdr>
        <w:top w:val="none" w:sz="0" w:space="0" w:color="auto"/>
        <w:left w:val="none" w:sz="0" w:space="0" w:color="auto"/>
        <w:bottom w:val="none" w:sz="0" w:space="0" w:color="auto"/>
        <w:right w:val="none" w:sz="0" w:space="0" w:color="auto"/>
      </w:divBdr>
    </w:div>
    <w:div w:id="2039970310">
      <w:bodyDiv w:val="1"/>
      <w:marLeft w:val="0"/>
      <w:marRight w:val="0"/>
      <w:marTop w:val="0"/>
      <w:marBottom w:val="0"/>
      <w:divBdr>
        <w:top w:val="none" w:sz="0" w:space="0" w:color="auto"/>
        <w:left w:val="none" w:sz="0" w:space="0" w:color="auto"/>
        <w:bottom w:val="none" w:sz="0" w:space="0" w:color="auto"/>
        <w:right w:val="none" w:sz="0" w:space="0" w:color="auto"/>
      </w:divBdr>
    </w:div>
    <w:div w:id="2073845807">
      <w:bodyDiv w:val="1"/>
      <w:marLeft w:val="0"/>
      <w:marRight w:val="0"/>
      <w:marTop w:val="0"/>
      <w:marBottom w:val="0"/>
      <w:divBdr>
        <w:top w:val="none" w:sz="0" w:space="0" w:color="auto"/>
        <w:left w:val="none" w:sz="0" w:space="0" w:color="auto"/>
        <w:bottom w:val="none" w:sz="0" w:space="0" w:color="auto"/>
        <w:right w:val="none" w:sz="0" w:space="0" w:color="auto"/>
      </w:divBdr>
      <w:divsChild>
        <w:div w:id="230967501">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C33E-CA6F-5A4F-BF21-AE4DAEA0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46339</Words>
  <Characters>254867</Characters>
  <Application>Microsoft Macintosh Word</Application>
  <DocSecurity>0</DocSecurity>
  <Lines>2123</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Sierra Ruelas</dc:creator>
  <cp:keywords/>
  <dc:description/>
  <cp:lastModifiedBy>Usuario</cp:lastModifiedBy>
  <cp:revision>2</cp:revision>
  <dcterms:created xsi:type="dcterms:W3CDTF">2020-03-03T21:02:00Z</dcterms:created>
  <dcterms:modified xsi:type="dcterms:W3CDTF">2020-03-03T21:02:00Z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http://www.zotero.org/styles/public-health-nutrition</vt:lpwstr>
  </property>
  <property fmtid="{D5CDD505-2E9C-101B-9397-08002B2CF9AE}" pid="13" name="Mendeley Recent Style Name 5_1">
    <vt:lpwstr>Public Health Nutrition</vt:lpwstr>
  </property>
  <property fmtid="{D5CDD505-2E9C-101B-9397-08002B2CF9AE}" pid="14" name="Mendeley Recent Style Id 6_1">
    <vt:lpwstr>http://csl.mendeley.com/styles/472247251/public-health-nutrition</vt:lpwstr>
  </property>
  <property fmtid="{D5CDD505-2E9C-101B-9397-08002B2CF9AE}" pid="15" name="Mendeley Recent Style Name 6_1">
    <vt:lpwstr>Public Health Nutrition - Erika Sierra</vt:lpwstr>
  </property>
  <property fmtid="{D5CDD505-2E9C-101B-9397-08002B2CF9AE}" pid="16" name="Mendeley Recent Style Id 7_1">
    <vt:lpwstr>https://csl.mendeley.com/styles/472247251/public-health-nutrition</vt:lpwstr>
  </property>
  <property fmtid="{D5CDD505-2E9C-101B-9397-08002B2CF9AE}" pid="17" name="Mendeley Recent Style Name 7_1">
    <vt:lpwstr>Public Health Nutrition - Erika Sierra</vt:lpwstr>
  </property>
  <property fmtid="{D5CDD505-2E9C-101B-9397-08002B2CF9AE}" pid="18" name="Mendeley Recent Style Id 8_1">
    <vt:lpwstr>http://csl.mendeley.com/styles/472247251/public-health-nutrition-2</vt:lpwstr>
  </property>
  <property fmtid="{D5CDD505-2E9C-101B-9397-08002B2CF9AE}" pid="19" name="Mendeley Recent Style Name 8_1">
    <vt:lpwstr>Public Health Nutrition - Erika Sierra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699508f2-cd3e-3317-96c6-fef7218f1930</vt:lpwstr>
  </property>
  <property fmtid="{D5CDD505-2E9C-101B-9397-08002B2CF9AE}" pid="24" name="Mendeley Citation Style_1">
    <vt:lpwstr>https://csl.mendeley.com/styles/472247251/public-health-nutrition</vt:lpwstr>
  </property>
</Properties>
</file>