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6" w:rsidRPr="0085084A" w:rsidRDefault="007415C6" w:rsidP="007415C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20"/>
          <w:lang w:val="en-GB"/>
        </w:rPr>
      </w:pPr>
      <w:r w:rsidRPr="0085084A">
        <w:rPr>
          <w:b/>
          <w:color w:val="000000" w:themeColor="text1"/>
          <w:spacing w:val="20"/>
          <w:lang w:val="en-GB"/>
        </w:rPr>
        <w:t>Supplementary Table 1</w:t>
      </w:r>
      <w:r w:rsidRPr="0085084A">
        <w:rPr>
          <w:color w:val="000000" w:themeColor="text1"/>
          <w:spacing w:val="20"/>
          <w:lang w:val="en-GB"/>
        </w:rPr>
        <w:t xml:space="preserve">. </w:t>
      </w:r>
      <w:r w:rsidRPr="0085084A">
        <w:rPr>
          <w:color w:val="000000" w:themeColor="text1"/>
          <w:spacing w:val="20"/>
          <w:lang w:val="en-US"/>
        </w:rPr>
        <w:t>De-attenuated correlations and intraclass correlation coefficients between food intakes estimated by the SFFQs and the 9-day 24HRs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320"/>
        <w:gridCol w:w="1405"/>
        <w:gridCol w:w="1320"/>
        <w:gridCol w:w="1405"/>
        <w:gridCol w:w="1247"/>
        <w:gridCol w:w="1253"/>
        <w:gridCol w:w="1247"/>
        <w:gridCol w:w="1250"/>
      </w:tblGrid>
      <w:tr w:rsidR="007415C6" w:rsidRPr="0085084A" w:rsidTr="00E50E4D">
        <w:trPr>
          <w:trHeight w:val="428"/>
        </w:trPr>
        <w:tc>
          <w:tcPr>
            <w:tcW w:w="1415" w:type="pct"/>
            <w:vMerge w:val="restart"/>
            <w:tcBorders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Food groups </w:t>
            </w:r>
          </w:p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(g per 1,000 kcal)</w:t>
            </w:r>
          </w:p>
        </w:tc>
        <w:tc>
          <w:tcPr>
            <w:tcW w:w="1870" w:type="pct"/>
            <w:gridSpan w:val="4"/>
            <w:tcBorders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US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Age- and sex-adjusted and de-attenuated</w:t>
            </w:r>
            <w:r w:rsidRPr="0085084A">
              <w:rPr>
                <w:color w:val="000000" w:themeColor="text1"/>
                <w:spacing w:val="20"/>
                <w:vertAlign w:val="superscript"/>
                <w:lang w:val="en-GB"/>
              </w:rPr>
              <w:t>a</w:t>
            </w:r>
          </w:p>
        </w:tc>
        <w:tc>
          <w:tcPr>
            <w:tcW w:w="1715" w:type="pct"/>
            <w:gridSpan w:val="4"/>
            <w:tcBorders>
              <w:lef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US"/>
              </w:rPr>
            </w:pPr>
            <w:r w:rsidRPr="0085084A">
              <w:rPr>
                <w:color w:val="000000" w:themeColor="text1"/>
                <w:spacing w:val="20"/>
                <w:lang w:val="en-US"/>
              </w:rPr>
              <w:t>ICC</w:t>
            </w:r>
          </w:p>
        </w:tc>
      </w:tr>
      <w:tr w:rsidR="007415C6" w:rsidRPr="0085084A" w:rsidTr="00E50E4D">
        <w:tc>
          <w:tcPr>
            <w:tcW w:w="141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</w:p>
        </w:tc>
        <w:tc>
          <w:tcPr>
            <w:tcW w:w="453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SFFQ1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US"/>
              </w:rPr>
              <w:t>P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SFFQ2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US"/>
              </w:rPr>
              <w:t>P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US"/>
              </w:rPr>
              <w:t>P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SFFQ2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US"/>
              </w:rPr>
              <w:t>P</w:t>
            </w:r>
          </w:p>
        </w:tc>
      </w:tr>
      <w:tr w:rsidR="007415C6" w:rsidRPr="0085084A" w:rsidTr="00E50E4D">
        <w:tc>
          <w:tcPr>
            <w:tcW w:w="1415" w:type="pct"/>
            <w:tcBorders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meat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-0·060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0·592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0·196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0·078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0·062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0·388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0·418</w:t>
            </w:r>
          </w:p>
        </w:tc>
        <w:tc>
          <w:tcPr>
            <w:tcW w:w="429" w:type="pct"/>
            <w:tcBorders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0·008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White meat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-0·003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0·979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0·042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Red meat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Processed meat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0·174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0·196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Eggs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0·279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0·140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0·148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0·237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fish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0·019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0·865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0·063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Lean fish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Fatty fish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0·950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-0·204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0·258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Seafood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0·592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-0·037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0·463</w:t>
            </w:r>
          </w:p>
        </w:tc>
      </w:tr>
      <w:tr w:rsidR="007415C6" w:rsidRPr="0085084A" w:rsidTr="00E50E4D">
        <w:trPr>
          <w:trHeight w:val="298"/>
        </w:trPr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Milk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0·406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0·277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Dairy products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0·747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Cereals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0·929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0·315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0·045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Fruits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0·589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Vegetables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0·362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Legumes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0·217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0·077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0·148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0·237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Potatoes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0·088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0·441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0·002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Sweets and sugar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0·367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0·017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Other foods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0·255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0·963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0·174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</w:tr>
      <w:tr w:rsidR="007415C6" w:rsidRPr="0085084A" w:rsidTr="00E50E4D">
        <w:trPr>
          <w:trHeight w:val="250"/>
        </w:trPr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Non-alcoholic drinks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0·543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0·397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0·012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76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Sugary drinks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76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Light drinks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0·461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0·306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0·051</w:t>
            </w:r>
          </w:p>
        </w:tc>
      </w:tr>
      <w:tr w:rsidR="007415C6" w:rsidRPr="0085084A" w:rsidTr="00E50E4D">
        <w:trPr>
          <w:trHeight w:val="219"/>
        </w:trPr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Alcoholic drinks  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0·771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76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Wine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0·710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0·838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76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Beer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0·661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0·701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0·809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76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Other alcoholic drinks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0·796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0·043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0·421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Fat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0·673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0·081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0·353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Coffee or tea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0·002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Broth and soups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0·288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0·064</w:t>
            </w:r>
          </w:p>
        </w:tc>
      </w:tr>
      <w:tr w:rsidR="007415C6" w:rsidRPr="0085084A" w:rsidTr="00E50E4D">
        <w:tc>
          <w:tcPr>
            <w:tcW w:w="1415" w:type="pct"/>
            <w:tcBorders>
              <w:top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Added salt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0·188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0·091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0·016</w:t>
            </w:r>
          </w:p>
        </w:tc>
      </w:tr>
      <w:tr w:rsidR="007415C6" w:rsidRPr="0085084A" w:rsidTr="00E50E4D">
        <w:trPr>
          <w:trHeight w:val="218"/>
        </w:trPr>
        <w:tc>
          <w:tcPr>
            <w:tcW w:w="1415" w:type="pct"/>
            <w:tcBorders>
              <w:top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lastRenderedPageBreak/>
              <w:t>Spicy foods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-0·075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0·503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-0·013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0·908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-0·044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0·577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0·086</w:t>
            </w:r>
          </w:p>
        </w:tc>
        <w:tc>
          <w:tcPr>
            <w:tcW w:w="429" w:type="pct"/>
            <w:tcBorders>
              <w:top w:val="nil"/>
              <w:lef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0·343</w:t>
            </w:r>
          </w:p>
        </w:tc>
      </w:tr>
    </w:tbl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US"/>
        </w:rPr>
      </w:pPr>
      <w:r w:rsidRPr="0085084A">
        <w:rPr>
          <w:color w:val="000000" w:themeColor="text1"/>
          <w:spacing w:val="20"/>
          <w:lang w:val="en-GB"/>
        </w:rPr>
        <w:t>24HRs, 24-hour dietary recalls; SFFQ,</w:t>
      </w:r>
      <w:r>
        <w:rPr>
          <w:color w:val="000000" w:themeColor="text1"/>
          <w:spacing w:val="20"/>
          <w:lang w:val="en-GB"/>
        </w:rPr>
        <w:t xml:space="preserve"> </w:t>
      </w:r>
      <w:r w:rsidRPr="0085084A">
        <w:rPr>
          <w:color w:val="000000" w:themeColor="text1"/>
          <w:spacing w:val="20"/>
          <w:lang w:val="en-GB"/>
        </w:rPr>
        <w:t xml:space="preserve">short food-frequency questionnaire; ICC, </w:t>
      </w:r>
      <w:r w:rsidRPr="0085084A">
        <w:rPr>
          <w:color w:val="000000" w:themeColor="text1"/>
          <w:spacing w:val="20"/>
          <w:lang w:val="en-US"/>
        </w:rPr>
        <w:t>intraclass correlation coefficient.</w:t>
      </w: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  <w:r w:rsidRPr="0085084A">
        <w:rPr>
          <w:color w:val="000000" w:themeColor="text1"/>
          <w:spacing w:val="20"/>
          <w:vertAlign w:val="superscript"/>
          <w:lang w:val="en-GB"/>
        </w:rPr>
        <w:t>a</w:t>
      </w:r>
      <w:r w:rsidRPr="0085084A">
        <w:rPr>
          <w:color w:val="000000" w:themeColor="text1"/>
          <w:spacing w:val="20"/>
          <w:lang w:val="en-GB"/>
        </w:rPr>
        <w:t>Corrected for within-persons variation.</w:t>
      </w: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  <w:r w:rsidRPr="0085084A">
        <w:rPr>
          <w:color w:val="000000" w:themeColor="text1"/>
          <w:spacing w:val="20"/>
          <w:lang w:val="en-GB"/>
        </w:rPr>
        <w:t>The higher and lower correlation coefficients in each column are depicted by bold numbers.</w:t>
      </w: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  <w:r w:rsidRPr="0085084A">
        <w:rPr>
          <w:color w:val="000000" w:themeColor="text1"/>
          <w:spacing w:val="20"/>
          <w:lang w:val="en-GB"/>
        </w:rPr>
        <w:t xml:space="preserve">Significant </w:t>
      </w:r>
      <w:r w:rsidRPr="0085084A">
        <w:rPr>
          <w:i/>
          <w:color w:val="000000" w:themeColor="text1"/>
          <w:spacing w:val="20"/>
          <w:lang w:val="en-GB"/>
        </w:rPr>
        <w:t>P</w:t>
      </w:r>
      <w:r w:rsidRPr="0085084A">
        <w:rPr>
          <w:color w:val="000000" w:themeColor="text1"/>
          <w:spacing w:val="20"/>
          <w:lang w:val="en-GB"/>
        </w:rPr>
        <w:t>-values are highlighted in bold.</w:t>
      </w: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lang w:val="en-GB"/>
        </w:rPr>
        <w:sectPr w:rsidR="007415C6" w:rsidRPr="0085084A" w:rsidSect="00EB20B1">
          <w:pgSz w:w="16838" w:h="11906" w:orient="landscape"/>
          <w:pgMar w:top="1134" w:right="1134" w:bottom="1134" w:left="1134" w:header="709" w:footer="709" w:gutter="0"/>
          <w:lnNumType w:countBy="1"/>
          <w:cols w:space="708"/>
          <w:docGrid w:linePitch="360"/>
        </w:sectPr>
      </w:pPr>
    </w:p>
    <w:p w:rsidR="007415C6" w:rsidRPr="0085084A" w:rsidRDefault="007415C6" w:rsidP="007415C6">
      <w:pPr>
        <w:autoSpaceDE w:val="0"/>
        <w:autoSpaceDN w:val="0"/>
        <w:adjustRightInd w:val="0"/>
        <w:spacing w:line="360" w:lineRule="auto"/>
        <w:rPr>
          <w:color w:val="000000" w:themeColor="text1"/>
          <w:lang w:val="en-GB"/>
        </w:rPr>
      </w:pPr>
      <w:r w:rsidRPr="0085084A">
        <w:rPr>
          <w:b/>
          <w:color w:val="000000" w:themeColor="text1"/>
          <w:lang w:val="en-GB"/>
        </w:rPr>
        <w:lastRenderedPageBreak/>
        <w:t>Supplementary Table 2</w:t>
      </w:r>
      <w:r w:rsidRPr="0085084A">
        <w:rPr>
          <w:color w:val="000000" w:themeColor="text1"/>
          <w:lang w:val="en-GB"/>
        </w:rPr>
        <w:t xml:space="preserve">. Mean daily absolute intake of food groups estimated from two SFFQs </w:t>
      </w:r>
    </w:p>
    <w:tbl>
      <w:tblPr>
        <w:tblW w:w="4866" w:type="pct"/>
        <w:tblInd w:w="-1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959"/>
        <w:gridCol w:w="957"/>
        <w:gridCol w:w="1191"/>
        <w:gridCol w:w="991"/>
        <w:gridCol w:w="854"/>
        <w:gridCol w:w="1142"/>
        <w:gridCol w:w="983"/>
      </w:tblGrid>
      <w:tr w:rsidR="007415C6" w:rsidRPr="0085084A" w:rsidTr="00E50E4D">
        <w:trPr>
          <w:trHeight w:val="116"/>
        </w:trPr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Food intake (g)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SFFQ1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GB"/>
              </w:rPr>
              <w:t>P</w:t>
            </w:r>
          </w:p>
        </w:tc>
      </w:tr>
      <w:tr w:rsidR="007415C6" w:rsidRPr="0085084A" w:rsidTr="00E50E4D">
        <w:trPr>
          <w:trHeight w:val="116"/>
        </w:trPr>
        <w:tc>
          <w:tcPr>
            <w:tcW w:w="122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Mean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SD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Median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Mean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SD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Median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7415C6" w:rsidRPr="0085084A" w:rsidTr="00E50E4D">
        <w:trPr>
          <w:trHeight w:val="116"/>
        </w:trPr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meat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135·7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68·6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139·1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125·9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75·3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112·4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0·143</w:t>
            </w:r>
          </w:p>
        </w:tc>
      </w:tr>
      <w:tr w:rsidR="007415C6" w:rsidRPr="0085084A" w:rsidTr="00E50E4D">
        <w:trPr>
          <w:trHeight w:val="1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White meat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51·3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38·7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48·9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31·5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0·802</w:t>
            </w:r>
          </w:p>
        </w:tc>
      </w:tr>
      <w:tr w:rsidR="007415C6" w:rsidRPr="0085084A" w:rsidTr="00E50E4D">
        <w:trPr>
          <w:trHeight w:val="1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Red meat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56·1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47·9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50·8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38·6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44·5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0·266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Processed meat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28·3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24·7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22·5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26·2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22·5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20·5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0·342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Eggs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22·1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12·4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23·6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22·3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13·1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23·6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0·814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fish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77·3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44·1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72·1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76·4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45·8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69·0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0·849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Lean fish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38·3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27·4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36·8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27·5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32·5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0·741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Fatty fish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30·8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25·3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21·4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33·0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26·5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21·4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0·183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Seafood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8·3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10·0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7·0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4·7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0·301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Milk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192·4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163·7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250·0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181·2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148·6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250·0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0·153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Dairy products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149·5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112·1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125·0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118·7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81·8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114·2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en-GB"/>
              </w:rPr>
            </w:pPr>
            <w:r w:rsidRPr="0085084A">
              <w:rPr>
                <w:b/>
                <w:color w:val="000000" w:themeColor="text1"/>
                <w:lang w:val="en-GB"/>
              </w:rPr>
              <w:t>0·017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Cereals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145·3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53·8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142·9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127·7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45·7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131·4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en-GB"/>
              </w:rPr>
            </w:pPr>
            <w:r w:rsidRPr="0085084A">
              <w:rPr>
                <w:b/>
                <w:color w:val="000000" w:themeColor="text1"/>
                <w:lang w:val="en-GB"/>
              </w:rPr>
              <w:t>0·003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Fruits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358·9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242·3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348·3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365·8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248·5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338·5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0·790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Vegetables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211·9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123·0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200·7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189·4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105·7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178·0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en-GB"/>
              </w:rPr>
            </w:pPr>
            <w:r w:rsidRPr="0085084A">
              <w:rPr>
                <w:b/>
                <w:color w:val="000000" w:themeColor="text1"/>
                <w:lang w:val="en-GB"/>
              </w:rPr>
              <w:t>0·012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Legumes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20·1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9·9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20·0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19·0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11·8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20·0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0·224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Potatoes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67·6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48·8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72·9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60·3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40·6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48·6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0·174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Sweets and sugar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37·5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47·9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22·2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30·4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26·7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21·5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0·117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Other foods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14·4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21·0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19·8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0·213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Non-alcoholic drinks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158·7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216·8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94·3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149·5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176·1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94·3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0·538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99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Sugary drinks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119·1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174·1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47·1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96·6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120·1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47·1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0·101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99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Light drinks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39·6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91·0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52·8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129·7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0·160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Alcoholic drinks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70·2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99·4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82·7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132·5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38·6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0·140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 Wine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27·1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53·9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30·1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56·1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0·210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 Beer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30·3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63·3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42·0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119·7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0·142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 Other alcoholic </w:t>
            </w:r>
          </w:p>
          <w:p w:rsidR="007415C6" w:rsidRPr="0085084A" w:rsidRDefault="007415C6" w:rsidP="00E50E4D">
            <w:pPr>
              <w:autoSpaceDE w:val="0"/>
              <w:autoSpaceDN w:val="0"/>
              <w:adjustRightInd w:val="0"/>
              <w:ind w:firstLine="199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drinks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12·8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26·7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1·7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10·7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24·9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0·351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Fat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36·5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34·2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35·8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6·4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32·8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0·196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Coffee or tea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82·0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79·2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75·0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85·6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75·0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0·285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Broth and soups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42·9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40·4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28·6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43·7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40·9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28·6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0·866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Added salt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4·1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2·0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4·0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2·9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1·5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3·7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val="en-GB"/>
              </w:rPr>
            </w:pPr>
            <w:r w:rsidRPr="0085084A">
              <w:rPr>
                <w:b/>
                <w:color w:val="000000" w:themeColor="text1"/>
                <w:lang w:val="en-GB"/>
              </w:rPr>
              <w:t>&lt;0·001</w:t>
            </w:r>
          </w:p>
        </w:tc>
      </w:tr>
      <w:tr w:rsidR="007415C6" w:rsidRPr="0085084A" w:rsidTr="00E50E4D">
        <w:trPr>
          <w:trHeight w:val="316"/>
        </w:trPr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Spicy foods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pt-BR"/>
              </w:rPr>
            </w:pPr>
            <w:r w:rsidRPr="0085084A">
              <w:rPr>
                <w:color w:val="000000" w:themeColor="text1"/>
                <w:lang w:val="pt-BR"/>
              </w:rPr>
              <w:t>0·3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GB"/>
              </w:rPr>
            </w:pPr>
            <w:r w:rsidRPr="0085084A">
              <w:rPr>
                <w:color w:val="000000" w:themeColor="text1"/>
                <w:lang w:val="en-GB"/>
              </w:rPr>
              <w:t>0·902</w:t>
            </w:r>
          </w:p>
        </w:tc>
      </w:tr>
    </w:tbl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  <w:r w:rsidRPr="0085084A">
        <w:rPr>
          <w:color w:val="000000" w:themeColor="text1"/>
          <w:shd w:val="clear" w:color="auto" w:fill="FFFFFF"/>
          <w:lang w:val="en-GB"/>
        </w:rPr>
        <w:t xml:space="preserve">SFFQ, short food-frequency questionnaire; </w:t>
      </w:r>
      <w:r w:rsidRPr="0085084A">
        <w:rPr>
          <w:color w:val="000000" w:themeColor="text1"/>
          <w:spacing w:val="20"/>
          <w:lang w:val="en-GB"/>
        </w:rPr>
        <w:t>SD, standard deviation.</w:t>
      </w:r>
    </w:p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</w:p>
    <w:p w:rsidR="007415C6" w:rsidRPr="0085084A" w:rsidRDefault="007415C6" w:rsidP="007415C6">
      <w:pPr>
        <w:autoSpaceDE w:val="0"/>
        <w:autoSpaceDN w:val="0"/>
        <w:adjustRightInd w:val="0"/>
        <w:rPr>
          <w:color w:val="000000" w:themeColor="text1"/>
          <w:lang w:val="en-GB"/>
        </w:rPr>
        <w:sectPr w:rsidR="007415C6" w:rsidRPr="0085084A" w:rsidSect="00EB20B1">
          <w:pgSz w:w="11906" w:h="16838"/>
          <w:pgMar w:top="1134" w:right="1134" w:bottom="1134" w:left="1134" w:header="709" w:footer="709" w:gutter="0"/>
          <w:lnNumType w:countBy="1"/>
          <w:cols w:space="708"/>
          <w:docGrid w:linePitch="360"/>
        </w:sectPr>
      </w:pPr>
    </w:p>
    <w:p w:rsidR="007415C6" w:rsidRPr="0085084A" w:rsidRDefault="007415C6" w:rsidP="007415C6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color w:val="000000" w:themeColor="text1"/>
          <w:spacing w:val="20"/>
          <w:lang w:val="en-GB"/>
        </w:rPr>
      </w:pPr>
      <w:r w:rsidRPr="0085084A">
        <w:rPr>
          <w:b/>
          <w:color w:val="000000" w:themeColor="text1"/>
          <w:spacing w:val="20"/>
          <w:lang w:val="en-GB"/>
        </w:rPr>
        <w:lastRenderedPageBreak/>
        <w:t>Supplementary Table 3</w:t>
      </w:r>
      <w:r w:rsidRPr="0085084A">
        <w:rPr>
          <w:color w:val="000000" w:themeColor="text1"/>
          <w:spacing w:val="20"/>
          <w:lang w:val="en-GB"/>
        </w:rPr>
        <w:t xml:space="preserve">. Misclassification and weighted kappa between SFFQs.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1"/>
        <w:gridCol w:w="3052"/>
        <w:gridCol w:w="1309"/>
        <w:gridCol w:w="1062"/>
      </w:tblGrid>
      <w:tr w:rsidR="007415C6" w:rsidRPr="0085084A" w:rsidTr="00E50E4D">
        <w:tc>
          <w:tcPr>
            <w:tcW w:w="1860" w:type="pct"/>
            <w:vMerge w:val="restart"/>
            <w:tcBorders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Food groups</w:t>
            </w:r>
          </w:p>
        </w:tc>
        <w:tc>
          <w:tcPr>
            <w:tcW w:w="2468" w:type="pct"/>
            <w:gridSpan w:val="2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</w:rPr>
              <w:t>Percentage of agreement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</w:rPr>
            </w:pPr>
          </w:p>
        </w:tc>
      </w:tr>
      <w:tr w:rsidR="007415C6" w:rsidRPr="0085084A" w:rsidTr="00E50E4D">
        <w:trPr>
          <w:trHeight w:val="410"/>
        </w:trPr>
        <w:tc>
          <w:tcPr>
            <w:tcW w:w="1860" w:type="pct"/>
            <w:vMerge/>
            <w:tcBorders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</w:p>
        </w:tc>
        <w:tc>
          <w:tcPr>
            <w:tcW w:w="2468" w:type="pct"/>
            <w:gridSpan w:val="2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SFFQ1-SFFQ2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</w:p>
        </w:tc>
      </w:tr>
      <w:tr w:rsidR="007415C6" w:rsidRPr="0085084A" w:rsidTr="00E50E4D">
        <w:trPr>
          <w:trHeight w:val="410"/>
        </w:trPr>
        <w:tc>
          <w:tcPr>
            <w:tcW w:w="186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</w:p>
        </w:tc>
        <w:tc>
          <w:tcPr>
            <w:tcW w:w="1842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Same or adjacent(%)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Weighted kappa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pacing w:val="20"/>
                <w:lang w:val="en-GB"/>
              </w:rPr>
            </w:pPr>
            <w:r w:rsidRPr="0085084A">
              <w:rPr>
                <w:i/>
                <w:color w:val="000000" w:themeColor="text1"/>
                <w:spacing w:val="20"/>
                <w:lang w:val="en-GB"/>
              </w:rPr>
              <w:t>P</w:t>
            </w:r>
          </w:p>
        </w:tc>
      </w:tr>
      <w:tr w:rsidR="007415C6" w:rsidRPr="0085084A" w:rsidTr="00E50E4D">
        <w:tc>
          <w:tcPr>
            <w:tcW w:w="1860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meat</w:t>
            </w:r>
          </w:p>
        </w:tc>
        <w:tc>
          <w:tcPr>
            <w:tcW w:w="1842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80·5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0·366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White meat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79·3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0·341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Red meat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78·0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0·645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Processed meat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86·6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0·529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Eggs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75·6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0·007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Total fish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0·438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Lean fish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79·3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0·349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0·002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Fatty fish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76·8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0·008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Seafood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78·0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0·360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Milk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84·1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Dairy products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Cereals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76·8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0·049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Fruits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0·348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Vegetables 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81·7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0·398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Legumes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76·8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0·266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0·015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Potatoes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76·8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0·162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0·127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Sweets and sugar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78·0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0·050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Other foods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85·4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0·146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0·187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Non-alcoholic drinks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91·5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Sugary drinks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89·0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0·643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Light drinks 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86·6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Alcoholic drinks   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93·9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0·415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Wine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91·5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0·281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0·010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Beer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95·1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 xml:space="preserve">  Other alcoholic drinks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91·5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0·372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Fat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72·0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0·149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0·176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Coffee or tea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89·0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&lt;0·001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Broth and soups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80·5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0·383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0·001</w:t>
            </w:r>
          </w:p>
        </w:tc>
      </w:tr>
      <w:tr w:rsidR="007415C6" w:rsidRPr="0085084A" w:rsidTr="00E50E4D"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Added salt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78·0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0·199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0·067</w:t>
            </w:r>
          </w:p>
        </w:tc>
      </w:tr>
      <w:tr w:rsidR="007415C6" w:rsidRPr="0085084A" w:rsidTr="00E50E4D">
        <w:trPr>
          <w:trHeight w:val="231"/>
        </w:trPr>
        <w:tc>
          <w:tcPr>
            <w:tcW w:w="1860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Spicy foods</w:t>
            </w:r>
          </w:p>
        </w:tc>
        <w:tc>
          <w:tcPr>
            <w:tcW w:w="1842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82·9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lang w:val="en-GB"/>
              </w:rPr>
            </w:pPr>
            <w:r w:rsidRPr="0085084A">
              <w:rPr>
                <w:color w:val="000000" w:themeColor="text1"/>
                <w:spacing w:val="20"/>
                <w:lang w:val="en-GB"/>
              </w:rPr>
              <w:t>0·296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</w:tcPr>
          <w:p w:rsidR="007415C6" w:rsidRPr="0085084A" w:rsidRDefault="007415C6" w:rsidP="00E50E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0"/>
                <w:lang w:val="en-GB"/>
              </w:rPr>
            </w:pPr>
            <w:r w:rsidRPr="0085084A">
              <w:rPr>
                <w:b/>
                <w:color w:val="000000" w:themeColor="text1"/>
                <w:spacing w:val="20"/>
                <w:lang w:val="en-GB"/>
              </w:rPr>
              <w:t>0·007</w:t>
            </w:r>
          </w:p>
        </w:tc>
      </w:tr>
    </w:tbl>
    <w:p w:rsidR="007415C6" w:rsidRPr="0085084A" w:rsidRDefault="007415C6" w:rsidP="007415C6">
      <w:pPr>
        <w:autoSpaceDE w:val="0"/>
        <w:autoSpaceDN w:val="0"/>
        <w:adjustRightInd w:val="0"/>
        <w:jc w:val="both"/>
        <w:rPr>
          <w:color w:val="000000" w:themeColor="text1"/>
          <w:spacing w:val="20"/>
          <w:lang w:val="en-GB"/>
        </w:rPr>
      </w:pPr>
      <w:r w:rsidRPr="0085084A">
        <w:rPr>
          <w:color w:val="000000" w:themeColor="text1"/>
          <w:spacing w:val="20"/>
          <w:lang w:val="en-GB"/>
        </w:rPr>
        <w:t>SFFQ, short food-frequency questionnaire.</w:t>
      </w:r>
    </w:p>
    <w:p w:rsidR="00B6288C" w:rsidRPr="007415C6" w:rsidRDefault="007415C6" w:rsidP="00462C8B">
      <w:pPr>
        <w:autoSpaceDE w:val="0"/>
        <w:autoSpaceDN w:val="0"/>
        <w:adjustRightInd w:val="0"/>
        <w:jc w:val="both"/>
        <w:rPr>
          <w:lang w:val="en-GB"/>
        </w:rPr>
      </w:pPr>
      <w:r w:rsidRPr="0085084A">
        <w:rPr>
          <w:color w:val="000000" w:themeColor="text1"/>
          <w:spacing w:val="20"/>
          <w:lang w:val="en-GB"/>
        </w:rPr>
        <w:t xml:space="preserve">Significant </w:t>
      </w:r>
      <w:r w:rsidRPr="0085084A">
        <w:rPr>
          <w:i/>
          <w:color w:val="000000" w:themeColor="text1"/>
          <w:spacing w:val="20"/>
          <w:lang w:val="en-GB"/>
        </w:rPr>
        <w:t>P</w:t>
      </w:r>
      <w:r w:rsidRPr="0085084A">
        <w:rPr>
          <w:color w:val="000000" w:themeColor="text1"/>
          <w:spacing w:val="20"/>
          <w:lang w:val="en-GB"/>
        </w:rPr>
        <w:t>-values are highlighted in bold.</w:t>
      </w:r>
      <w:bookmarkStart w:id="0" w:name="_GoBack"/>
      <w:bookmarkEnd w:id="0"/>
      <w:r w:rsidR="00462C8B" w:rsidRPr="007415C6">
        <w:rPr>
          <w:lang w:val="en-GB"/>
        </w:rPr>
        <w:t xml:space="preserve"> </w:t>
      </w:r>
    </w:p>
    <w:sectPr w:rsidR="00B6288C" w:rsidRPr="00741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4A8E"/>
    <w:multiLevelType w:val="multilevel"/>
    <w:tmpl w:val="E162F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404"/>
    <w:multiLevelType w:val="multilevel"/>
    <w:tmpl w:val="D598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52FB8"/>
    <w:multiLevelType w:val="hybridMultilevel"/>
    <w:tmpl w:val="21983BFC"/>
    <w:lvl w:ilvl="0" w:tplc="3D741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22EF"/>
    <w:multiLevelType w:val="hybridMultilevel"/>
    <w:tmpl w:val="DA9C23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6"/>
    <w:rsid w:val="00462C8B"/>
    <w:rsid w:val="007415C6"/>
    <w:rsid w:val="00A72A3C"/>
    <w:rsid w:val="00B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0301"/>
  <w15:chartTrackingRefBased/>
  <w15:docId w15:val="{58BB4BC2-420F-4A15-94A2-2DBF5F5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415C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415C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415C6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7415C6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415C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415C6"/>
    <w:pPr>
      <w:keepNext/>
      <w:keepLines/>
      <w:spacing w:before="200"/>
      <w:outlineLvl w:val="5"/>
    </w:pPr>
    <w:rPr>
      <w:rFonts w:ascii="Cambria" w:hAnsi="Cambria"/>
      <w:i/>
      <w:color w:val="243F60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415C6"/>
    <w:pPr>
      <w:keepNext/>
      <w:keepLines/>
      <w:spacing w:before="200"/>
      <w:outlineLvl w:val="6"/>
    </w:pPr>
    <w:rPr>
      <w:rFonts w:ascii="Cambria" w:hAnsi="Cambria"/>
      <w:i/>
      <w:color w:val="404040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415C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415C6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415C6"/>
    <w:rPr>
      <w:rFonts w:ascii="Cambria" w:eastAsia="Calibri" w:hAnsi="Cambria" w:cs="Times New Roman"/>
      <w:b/>
      <w:color w:val="365F91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415C6"/>
    <w:rPr>
      <w:rFonts w:ascii="Cambria" w:eastAsia="Calibri" w:hAnsi="Cambria" w:cs="Times New Roman"/>
      <w:b/>
      <w:color w:val="4F81BD"/>
      <w:sz w:val="2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415C6"/>
    <w:rPr>
      <w:rFonts w:ascii="Cambria" w:eastAsia="Calibri" w:hAnsi="Cambria" w:cs="Times New Roman"/>
      <w:b/>
      <w:color w:val="4F81BD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7415C6"/>
    <w:rPr>
      <w:rFonts w:ascii="Cambria" w:eastAsia="Calibri" w:hAnsi="Cambria" w:cs="Times New Roman"/>
      <w:b/>
      <w:i/>
      <w:color w:val="4F81BD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7415C6"/>
    <w:rPr>
      <w:rFonts w:ascii="Cambria" w:eastAsia="Calibri" w:hAnsi="Cambria" w:cs="Times New Roman"/>
      <w:color w:val="243F6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415C6"/>
    <w:rPr>
      <w:rFonts w:ascii="Cambria" w:eastAsia="Calibri" w:hAnsi="Cambria" w:cs="Times New Roman"/>
      <w:i/>
      <w:color w:val="243F60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415C6"/>
    <w:rPr>
      <w:rFonts w:ascii="Cambria" w:eastAsia="Calibri" w:hAnsi="Cambria" w:cs="Times New Roman"/>
      <w:i/>
      <w:color w:val="404040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7415C6"/>
    <w:rPr>
      <w:rFonts w:ascii="Cambria" w:eastAsia="Calibri" w:hAnsi="Cambria" w:cs="Times New Roman"/>
      <w:color w:val="4F81BD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7415C6"/>
    <w:rPr>
      <w:rFonts w:ascii="Cambria" w:eastAsia="Calibri" w:hAnsi="Cambria" w:cs="Times New Roman"/>
      <w:i/>
      <w:color w:val="404040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rsid w:val="007415C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415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15C6"/>
    <w:rPr>
      <w:rFonts w:ascii="Times New Roman" w:eastAsia="Calibri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1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5C6"/>
    <w:rPr>
      <w:rFonts w:ascii="Times New Roman" w:eastAsia="Calibri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741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C6"/>
    <w:rPr>
      <w:rFonts w:ascii="Segoe UI" w:eastAsia="Calibr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7415C6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7415C6"/>
    <w:pPr>
      <w:jc w:val="both"/>
    </w:pPr>
    <w:rPr>
      <w:rFonts w:eastAsia="Times New Roman"/>
      <w:sz w:val="28"/>
      <w:szCs w:val="20"/>
      <w:lang w:val="en-GB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15C6"/>
    <w:rPr>
      <w:rFonts w:ascii="Times New Roman" w:eastAsia="Times New Roman" w:hAnsi="Times New Roman" w:cs="Times New Roman"/>
      <w:sz w:val="28"/>
      <w:szCs w:val="20"/>
      <w:lang w:val="en-GB" w:eastAsia="es-ES"/>
    </w:rPr>
  </w:style>
  <w:style w:type="character" w:customStyle="1" w:styleId="hps">
    <w:name w:val="hps"/>
    <w:basedOn w:val="Fuentedeprrafopredeter"/>
    <w:uiPriority w:val="99"/>
    <w:rsid w:val="007415C6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7415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415C6"/>
    <w:rPr>
      <w:rFonts w:ascii="Cambria" w:eastAsia="Calibri" w:hAnsi="Cambria" w:cs="Times New Roman"/>
      <w:color w:val="17365D"/>
      <w:spacing w:val="5"/>
      <w:kern w:val="28"/>
      <w:sz w:val="52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7415C6"/>
    <w:pPr>
      <w:numPr>
        <w:ilvl w:val="1"/>
      </w:numPr>
    </w:pPr>
    <w:rPr>
      <w:rFonts w:ascii="Cambria" w:hAnsi="Cambria"/>
      <w:i/>
      <w:color w:val="4F81BD"/>
      <w:spacing w:val="15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415C6"/>
    <w:rPr>
      <w:rFonts w:ascii="Cambria" w:eastAsia="Calibri" w:hAnsi="Cambria" w:cs="Times New Roman"/>
      <w:i/>
      <w:color w:val="4F81BD"/>
      <w:spacing w:val="15"/>
      <w:sz w:val="24"/>
      <w:szCs w:val="20"/>
      <w:lang w:eastAsia="es-ES"/>
    </w:rPr>
  </w:style>
  <w:style w:type="paragraph" w:styleId="Cita">
    <w:name w:val="Quote"/>
    <w:basedOn w:val="Normal"/>
    <w:next w:val="Normal"/>
    <w:link w:val="CitaCar"/>
    <w:uiPriority w:val="99"/>
    <w:qFormat/>
    <w:rsid w:val="007415C6"/>
    <w:rPr>
      <w:i/>
      <w:color w:val="000000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99"/>
    <w:rsid w:val="007415C6"/>
    <w:rPr>
      <w:rFonts w:ascii="Times New Roman" w:eastAsia="Calibri" w:hAnsi="Times New Roman" w:cs="Times New Roman"/>
      <w:i/>
      <w:color w:val="000000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415C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415C6"/>
    <w:rPr>
      <w:rFonts w:ascii="Times New Roman" w:eastAsia="Calibri" w:hAnsi="Times New Roman" w:cs="Times New Roman"/>
      <w:b/>
      <w:i/>
      <w:color w:val="4F81BD"/>
      <w:sz w:val="20"/>
      <w:szCs w:val="20"/>
      <w:lang w:eastAsia="es-ES"/>
    </w:rPr>
  </w:style>
  <w:style w:type="paragraph" w:styleId="TtuloTDC">
    <w:name w:val="TOC Heading"/>
    <w:basedOn w:val="Ttulo1"/>
    <w:next w:val="Normal"/>
    <w:uiPriority w:val="99"/>
    <w:qFormat/>
    <w:rsid w:val="007415C6"/>
    <w:pPr>
      <w:outlineLvl w:val="9"/>
    </w:pPr>
  </w:style>
  <w:style w:type="paragraph" w:styleId="Encabezado">
    <w:name w:val="header"/>
    <w:basedOn w:val="Normal"/>
    <w:link w:val="EncabezadoCar"/>
    <w:uiPriority w:val="99"/>
    <w:rsid w:val="007415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5C6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7415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5C6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rsid w:val="007415C6"/>
    <w:rPr>
      <w:rFonts w:cs="Times New Roman"/>
    </w:rPr>
  </w:style>
  <w:style w:type="character" w:customStyle="1" w:styleId="apple-converted-space">
    <w:name w:val="apple-converted-space"/>
    <w:basedOn w:val="Fuentedeprrafopredeter"/>
    <w:rsid w:val="007415C6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741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15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lt-edited">
    <w:name w:val="alt-edited"/>
    <w:basedOn w:val="Fuentedeprrafopredeter"/>
    <w:rsid w:val="007415C6"/>
  </w:style>
  <w:style w:type="character" w:customStyle="1" w:styleId="shorttext">
    <w:name w:val="short_text"/>
    <w:basedOn w:val="Fuentedeprrafopredeter"/>
    <w:rsid w:val="007415C6"/>
  </w:style>
  <w:style w:type="table" w:styleId="Tablaconcuadrcula">
    <w:name w:val="Table Grid"/>
    <w:basedOn w:val="Tablanormal"/>
    <w:uiPriority w:val="39"/>
    <w:rsid w:val="007415C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5C6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7415C6"/>
    <w:rPr>
      <w:color w:val="954F72" w:themeColor="followedHyperlink"/>
      <w:u w:val="single"/>
    </w:rPr>
  </w:style>
  <w:style w:type="paragraph" w:customStyle="1" w:styleId="desc">
    <w:name w:val="desc"/>
    <w:basedOn w:val="Normal"/>
    <w:rsid w:val="007415C6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415C6"/>
    <w:pPr>
      <w:spacing w:before="100" w:beforeAutospacing="1" w:after="100" w:afterAutospacing="1"/>
    </w:pPr>
  </w:style>
  <w:style w:type="character" w:customStyle="1" w:styleId="jrnl">
    <w:name w:val="jrnl"/>
    <w:basedOn w:val="Fuentedeprrafopredeter"/>
    <w:rsid w:val="007415C6"/>
  </w:style>
  <w:style w:type="character" w:customStyle="1" w:styleId="ref-journal">
    <w:name w:val="ref-journal"/>
    <w:basedOn w:val="Fuentedeprrafopredeter"/>
    <w:rsid w:val="007415C6"/>
  </w:style>
  <w:style w:type="character" w:customStyle="1" w:styleId="ref-vol">
    <w:name w:val="ref-vol"/>
    <w:basedOn w:val="Fuentedeprrafopredeter"/>
    <w:rsid w:val="007415C6"/>
  </w:style>
  <w:style w:type="character" w:customStyle="1" w:styleId="ref-title">
    <w:name w:val="ref-title"/>
    <w:basedOn w:val="Fuentedeprrafopredeter"/>
    <w:rsid w:val="007415C6"/>
  </w:style>
  <w:style w:type="paragraph" w:customStyle="1" w:styleId="xmsonormal">
    <w:name w:val="x_msonormal"/>
    <w:basedOn w:val="Normal"/>
    <w:rsid w:val="007415C6"/>
    <w:pPr>
      <w:spacing w:before="100" w:beforeAutospacing="1" w:after="100" w:afterAutospacing="1"/>
    </w:pPr>
  </w:style>
  <w:style w:type="character" w:customStyle="1" w:styleId="xgmail-msohyperlink">
    <w:name w:val="x_gmail-msohyperlink"/>
    <w:basedOn w:val="Fuentedeprrafopredeter"/>
    <w:rsid w:val="007415C6"/>
  </w:style>
  <w:style w:type="character" w:customStyle="1" w:styleId="xgmail-msocommentreference">
    <w:name w:val="x_gmail-msocommentreference"/>
    <w:basedOn w:val="Fuentedeprrafopredeter"/>
    <w:rsid w:val="007415C6"/>
  </w:style>
  <w:style w:type="character" w:customStyle="1" w:styleId="st">
    <w:name w:val="st"/>
    <w:basedOn w:val="Fuentedeprrafopredeter"/>
    <w:rsid w:val="007415C6"/>
  </w:style>
  <w:style w:type="character" w:styleId="nfasis">
    <w:name w:val="Emphasis"/>
    <w:basedOn w:val="Fuentedeprrafopredeter"/>
    <w:uiPriority w:val="20"/>
    <w:qFormat/>
    <w:rsid w:val="007415C6"/>
    <w:rPr>
      <w:i/>
      <w:iCs/>
    </w:rPr>
  </w:style>
  <w:style w:type="character" w:customStyle="1" w:styleId="gmail-">
    <w:name w:val="gmail-"/>
    <w:basedOn w:val="Fuentedeprrafopredeter"/>
    <w:rsid w:val="007415C6"/>
  </w:style>
  <w:style w:type="paragraph" w:styleId="Prrafodelista">
    <w:name w:val="List Paragraph"/>
    <w:basedOn w:val="Normal"/>
    <w:uiPriority w:val="34"/>
    <w:qFormat/>
    <w:rsid w:val="007415C6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74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ARROYO</dc:creator>
  <cp:keywords/>
  <dc:description/>
  <cp:lastModifiedBy>MARTA ARROYO</cp:lastModifiedBy>
  <cp:revision>2</cp:revision>
  <dcterms:created xsi:type="dcterms:W3CDTF">2020-05-12T11:41:00Z</dcterms:created>
  <dcterms:modified xsi:type="dcterms:W3CDTF">2020-05-12T11:44:00Z</dcterms:modified>
</cp:coreProperties>
</file>