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7E95" w:rsidRPr="004639E3" w:rsidRDefault="00627E95" w:rsidP="00627E95">
      <w:pPr>
        <w:rPr>
          <w:rFonts w:ascii="Times New Roman" w:hAnsi="Times New Roman" w:cs="Times New Roman"/>
          <w:b/>
          <w:sz w:val="24"/>
          <w:szCs w:val="24"/>
        </w:rPr>
      </w:pPr>
      <w:r w:rsidRPr="004639E3">
        <w:rPr>
          <w:rFonts w:ascii="Times New Roman" w:hAnsi="Times New Roman" w:cs="Times New Roman"/>
          <w:b/>
          <w:sz w:val="24"/>
          <w:szCs w:val="24"/>
        </w:rPr>
        <w:t>Appendix</w:t>
      </w:r>
    </w:p>
    <w:p w:rsidR="00627E95" w:rsidRPr="004639E3" w:rsidRDefault="00627E95" w:rsidP="00627E95">
      <w:pPr>
        <w:spacing w:after="0" w:line="360" w:lineRule="auto"/>
        <w:jc w:val="both"/>
        <w:rPr>
          <w:rFonts w:ascii="Times New Roman" w:hAnsi="Times New Roman" w:cs="Times New Roman"/>
          <w:b/>
          <w:bCs/>
          <w:i/>
          <w:iCs/>
          <w:sz w:val="24"/>
          <w:szCs w:val="24"/>
        </w:rPr>
      </w:pPr>
      <w:r w:rsidRPr="004639E3">
        <w:rPr>
          <w:rFonts w:ascii="Times New Roman" w:hAnsi="Times New Roman" w:cs="Times New Roman"/>
          <w:b/>
          <w:bCs/>
          <w:i/>
          <w:iCs/>
          <w:sz w:val="24"/>
          <w:szCs w:val="24"/>
        </w:rPr>
        <w:t>Literature review on the validity of food-frequency questionnaires (FFQ) among adults.</w:t>
      </w:r>
    </w:p>
    <w:tbl>
      <w:tblPr>
        <w:tblStyle w:val="TabelacomGrelh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349"/>
        <w:gridCol w:w="1017"/>
        <w:gridCol w:w="1320"/>
        <w:gridCol w:w="1559"/>
        <w:gridCol w:w="1134"/>
        <w:gridCol w:w="1151"/>
        <w:gridCol w:w="975"/>
        <w:gridCol w:w="2135"/>
        <w:gridCol w:w="2401"/>
        <w:gridCol w:w="1529"/>
      </w:tblGrid>
      <w:tr w:rsidR="00627E95" w:rsidRPr="004639E3" w:rsidTr="00007A39">
        <w:trPr>
          <w:trHeight w:val="567"/>
        </w:trPr>
        <w:tc>
          <w:tcPr>
            <w:tcW w:w="1349" w:type="dxa"/>
            <w:vMerge w:val="restart"/>
            <w:vAlign w:val="center"/>
          </w:tcPr>
          <w:p w:rsidR="00627E95" w:rsidRPr="004639E3" w:rsidRDefault="00627E95" w:rsidP="00007A39">
            <w:pPr>
              <w:contextualSpacing/>
              <w:jc w:val="center"/>
              <w:rPr>
                <w:rFonts w:ascii="Times New Roman" w:hAnsi="Times New Roman" w:cs="Times New Roman"/>
                <w:bCs/>
                <w:sz w:val="18"/>
                <w:szCs w:val="18"/>
              </w:rPr>
            </w:pPr>
            <w:bookmarkStart w:id="0" w:name="_Hlk31622300"/>
            <w:r w:rsidRPr="004639E3">
              <w:rPr>
                <w:rFonts w:ascii="Times New Roman" w:hAnsi="Times New Roman" w:cs="Times New Roman"/>
                <w:bCs/>
                <w:sz w:val="18"/>
                <w:szCs w:val="18"/>
              </w:rPr>
              <w:t>Author/Year</w:t>
            </w:r>
          </w:p>
        </w:tc>
        <w:tc>
          <w:tcPr>
            <w:tcW w:w="1017" w:type="dxa"/>
            <w:vMerge w:val="restart"/>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Country</w:t>
            </w:r>
          </w:p>
        </w:tc>
        <w:tc>
          <w:tcPr>
            <w:tcW w:w="1320" w:type="dxa"/>
            <w:vMerge w:val="restart"/>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Reference method</w:t>
            </w:r>
          </w:p>
        </w:tc>
        <w:tc>
          <w:tcPr>
            <w:tcW w:w="1559" w:type="dxa"/>
            <w:vMerge w:val="restart"/>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Sample</w:t>
            </w:r>
          </w:p>
        </w:tc>
        <w:tc>
          <w:tcPr>
            <w:tcW w:w="3260" w:type="dxa"/>
            <w:gridSpan w:val="3"/>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FFQ characteristics</w:t>
            </w:r>
          </w:p>
        </w:tc>
        <w:tc>
          <w:tcPr>
            <w:tcW w:w="4536" w:type="dxa"/>
            <w:gridSpan w:val="2"/>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Validity Study</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Reproducibility Study</w:t>
            </w:r>
          </w:p>
        </w:tc>
      </w:tr>
      <w:tr w:rsidR="00627E95" w:rsidRPr="004639E3" w:rsidTr="00007A39">
        <w:trPr>
          <w:trHeight w:val="567"/>
        </w:trPr>
        <w:tc>
          <w:tcPr>
            <w:tcW w:w="1349" w:type="dxa"/>
            <w:vMerge/>
            <w:tcBorders>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p>
        </w:tc>
        <w:tc>
          <w:tcPr>
            <w:tcW w:w="1017" w:type="dxa"/>
            <w:vMerge/>
            <w:tcBorders>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p>
        </w:tc>
        <w:tc>
          <w:tcPr>
            <w:tcW w:w="1320" w:type="dxa"/>
            <w:vMerge/>
            <w:tcBorders>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p>
        </w:tc>
        <w:tc>
          <w:tcPr>
            <w:tcW w:w="1559" w:type="dxa"/>
            <w:vMerge/>
            <w:tcBorders>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p>
        </w:tc>
        <w:tc>
          <w:tcPr>
            <w:tcW w:w="1134" w:type="dxa"/>
            <w:tcBorders>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Type of FFQ</w:t>
            </w:r>
          </w:p>
        </w:tc>
        <w:tc>
          <w:tcPr>
            <w:tcW w:w="1151" w:type="dxa"/>
            <w:tcBorders>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Number of food items</w:t>
            </w:r>
          </w:p>
        </w:tc>
        <w:tc>
          <w:tcPr>
            <w:tcW w:w="975" w:type="dxa"/>
            <w:tcBorders>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Reference time period</w:t>
            </w:r>
          </w:p>
        </w:tc>
        <w:tc>
          <w:tcPr>
            <w:tcW w:w="2135" w:type="dxa"/>
            <w:tcBorders>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Range of Correlation (energy-adjusted)</w:t>
            </w:r>
          </w:p>
        </w:tc>
        <w:tc>
          <w:tcPr>
            <w:tcW w:w="2401" w:type="dxa"/>
            <w:tcBorders>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Level of Agreement (unadjusted)</w:t>
            </w:r>
          </w:p>
        </w:tc>
        <w:tc>
          <w:tcPr>
            <w:tcW w:w="1529" w:type="dxa"/>
            <w:tcBorders>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Range of Correlation</w:t>
            </w:r>
          </w:p>
        </w:tc>
      </w:tr>
      <w:tr w:rsidR="00627E95" w:rsidRPr="004639E3" w:rsidTr="00007A39">
        <w:trPr>
          <w:trHeight w:val="567"/>
        </w:trPr>
        <w:tc>
          <w:tcPr>
            <w:tcW w:w="1349" w:type="dxa"/>
            <w:tcBorders>
              <w:top w:val="single" w:sz="12" w:space="0" w:color="auto"/>
              <w:bottom w:val="single" w:sz="8" w:space="0" w:color="auto"/>
            </w:tcBorders>
            <w:shd w:val="clear" w:color="auto" w:fill="auto"/>
            <w:vAlign w:val="center"/>
          </w:tcPr>
          <w:p w:rsidR="00627E95" w:rsidRPr="004639E3" w:rsidRDefault="00627E95" w:rsidP="0070125B">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Zac</w:t>
            </w:r>
            <w:r w:rsidR="0070125B">
              <w:rPr>
                <w:rFonts w:ascii="Times New Roman" w:hAnsi="Times New Roman" w:cs="Times New Roman"/>
                <w:bCs/>
                <w:sz w:val="18"/>
                <w:szCs w:val="18"/>
              </w:rPr>
              <w:t>k</w:t>
            </w:r>
            <w:r w:rsidRPr="004639E3">
              <w:rPr>
                <w:rFonts w:ascii="Times New Roman" w:hAnsi="Times New Roman" w:cs="Times New Roman"/>
                <w:bCs/>
                <w:sz w:val="18"/>
                <w:szCs w:val="18"/>
              </w:rPr>
              <w:t xml:space="preserve"> </w:t>
            </w:r>
            <w:r w:rsidRPr="00E31970">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w:t>
            </w:r>
            <w:r w:rsidR="0070125B">
              <w:rPr>
                <w:rFonts w:ascii="Times New Roman" w:hAnsi="Times New Roman" w:cs="Times New Roman"/>
                <w:bCs/>
                <w:sz w:val="18"/>
                <w:szCs w:val="18"/>
              </w:rPr>
              <w:t>8</w:t>
            </w:r>
            <w:r w:rsidRPr="004639E3">
              <w:rPr>
                <w:rFonts w:ascii="Times New Roman" w:hAnsi="Times New Roman" w:cs="Times New Roman"/>
                <w:bCs/>
                <w:sz w:val="18"/>
                <w:szCs w:val="18"/>
              </w:rPr>
              <w:t xml:space="preserve">) </w:t>
            </w:r>
            <w:r w:rsidR="00B6561A" w:rsidRPr="004639E3">
              <w:rPr>
                <w:rFonts w:ascii="Times New Roman" w:hAnsi="Times New Roman" w:cs="Times New Roman"/>
                <w:bCs/>
                <w:sz w:val="18"/>
                <w:szCs w:val="18"/>
              </w:rPr>
              <w:fldChar w:fldCharType="begin" w:fldLock="1"/>
            </w:r>
            <w:r w:rsidRPr="004639E3">
              <w:rPr>
                <w:rFonts w:ascii="Times New Roman" w:hAnsi="Times New Roman" w:cs="Times New Roman"/>
                <w:bCs/>
                <w:sz w:val="18"/>
                <w:szCs w:val="18"/>
              </w:rPr>
              <w:instrText>ADDIN CSL_CITATION {"citationItems":[{"id":"ITEM-1","itemData":{"DOI":"10.1017/S1368980018000848","ISSN":"00286885","abstract":"Objective FFQ are often used to estimate food and nutrient intakes to rank individuals by their level of intake. We evaluated the relative validity of a semi-quantitative FFQ created for use in Tanzania by comparing it with two 24 h diet recalls.Design We measured relative validity of the FFQ with deattenuated energy-adjusted rank correlations for nutrients, deattenuated rank correlations for food groups, and performed a cross-classification analysis of energy-adjusted nutrient quartiles using percentage of agreement and Bland-Altman analysis.Setting Interviews were conducted in 2014 in participants' homes in Ukonga, Dar es Salaam, Tanzania.Subjects We surveyed 317 adults aged 40 years or older from the general public.Results Deattenuated energy-adjusted rank correlation coefficients of nutrients ranged from -0·03 for riboflavin to 0·41 for percentage of energy from carbohydrates, with a median correlation of 0·21. Coefficients for food groups ranged from 0·00 for root vegetables to 0·51 for alcohol, with a median of 0·35. Relative to the average of the two 24 h diet recalls, the FFQ overestimated energy intake and intakes of all nutrients and food groups, other than tea, with ratios among nutrients ranging from 1·34 for SFA to 7·08 for Vitamin A; and among food groups from 0·92 for tea to 9·00 for fruit. The percentage of participants classified into the same nutrient intake quartile ranged from 23 % for SFA to 32 % for both niacin and pantothenic acid, with a median of 28 %.Conclusions The FFQ performed moderately well in urban Tanzanian adults.","author":[{"dropping-particle":"","family":"Zack","given":"Rachel M.","non-dropping-particle":"","parse-names":false,"suffix":""},{"dropping-particle":"","family":"Irema","given":"Kahema","non-dropping-particle":"","parse-names":false,"suffix":""},{"dropping-particle":"","family":"Kazonda","given":"Patrick","non-dropping-particle":"","parse-names":false,"suffix":""},{"dropping-particle":"","family":"Leyna","given":"Germana H.","non-dropping-particle":"","parse-names":false,"suffix":""},{"dropping-particle":"","family":"Liu","given":"Enju","non-dropping-particle":"","parse-names":false,"suffix":""},{"dropping-particle":"","family":"Gilbert","given":"Susan","non-dropping-particle":"","parse-names":false,"suffix":""},{"dropping-particle":"","family":"Lukmanji","given":"Zohra","non-dropping-particle":"","parse-names":false,"suffix":""},{"dropping-particle":"","family":"Spiegelman","given":"Donna","non-dropping-particle":"","parse-names":false,"suffix":""},{"dropping-particle":"","family":"Fawzi","given":"Wafaie","non-dropping-particle":"","parse-names":false,"suffix":""},{"dropping-particle":"","family":"Njelekela","given":"Marina","non-dropping-particle":"","parse-names":false,"suffix":""},{"dropping-particle":"","family":"Killewo","given":"Japhet","non-dropping-particle":"","parse-names":false,"suffix":""},{"dropping-particle":"","family":"Danaei","given":"Goodarz","non-dropping-particle":"","parse-names":false,"suffix":""}],"container-title":"New Testament Studies","id":"ITEM-1","issue":"12","issued":{"date-parts":[["2018"]]},"page":"2211-2220","title":"Validity of an FFQ to measure nutrient and food intakes in Tanzania","type":"article-journal","volume":"21"},"uris":["http://www.mendeley.com/documents/?uuid=133002a7-1762-4da4-8014-22b885ed84d6"]}],"mendeley":{"formattedCitation":"(34)","plainTextFormattedCitation":"(34)","previouslyFormattedCitation":"(34)"},"properties":{"noteIndex":0},"schema":"https://github.com/citation-style-language/schema/raw/master/csl-citation.json"}</w:instrText>
            </w:r>
            <w:r w:rsidR="00B6561A" w:rsidRPr="004639E3">
              <w:rPr>
                <w:rFonts w:ascii="Times New Roman" w:hAnsi="Times New Roman" w:cs="Times New Roman"/>
                <w:bCs/>
                <w:sz w:val="18"/>
                <w:szCs w:val="18"/>
              </w:rPr>
              <w:fldChar w:fldCharType="separate"/>
            </w:r>
            <w:r w:rsidRPr="004639E3">
              <w:rPr>
                <w:rFonts w:ascii="Times New Roman" w:hAnsi="Times New Roman" w:cs="Times New Roman"/>
                <w:bCs/>
                <w:noProof/>
                <w:sz w:val="18"/>
                <w:szCs w:val="18"/>
              </w:rPr>
              <w:t>(3</w:t>
            </w:r>
            <w:r w:rsidR="0070125B">
              <w:rPr>
                <w:rFonts w:ascii="Times New Roman" w:hAnsi="Times New Roman" w:cs="Times New Roman"/>
                <w:bCs/>
                <w:noProof/>
                <w:sz w:val="18"/>
                <w:szCs w:val="18"/>
              </w:rPr>
              <w:t>5</w:t>
            </w:r>
            <w:r w:rsidRPr="004639E3">
              <w:rPr>
                <w:rFonts w:ascii="Times New Roman" w:hAnsi="Times New Roman" w:cs="Times New Roman"/>
                <w:bCs/>
                <w:noProof/>
                <w:sz w:val="18"/>
                <w:szCs w:val="18"/>
              </w:rPr>
              <w:t>)</w:t>
            </w:r>
            <w:r w:rsidR="00B6561A" w:rsidRPr="004639E3">
              <w:rPr>
                <w:rFonts w:ascii="Times New Roman" w:hAnsi="Times New Roman" w:cs="Times New Roman"/>
                <w:bCs/>
                <w:sz w:val="18"/>
                <w:szCs w:val="18"/>
              </w:rPr>
              <w:fldChar w:fldCharType="end"/>
            </w:r>
          </w:p>
        </w:tc>
        <w:tc>
          <w:tcPr>
            <w:tcW w:w="1017" w:type="dxa"/>
            <w:tcBorders>
              <w:top w:val="single" w:sz="12" w:space="0" w:color="auto"/>
              <w:bottom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Tanzania</w:t>
            </w:r>
          </w:p>
        </w:tc>
        <w:tc>
          <w:tcPr>
            <w:tcW w:w="1320" w:type="dxa"/>
            <w:tcBorders>
              <w:top w:val="single" w:sz="12" w:space="0" w:color="auto"/>
              <w:bottom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Two </w:t>
            </w:r>
            <w:r w:rsidRPr="004639E3">
              <w:rPr>
                <w:rFonts w:ascii="Times New Roman" w:hAnsi="Times New Roman" w:cs="Times New Roman"/>
                <w:bCs/>
                <w:sz w:val="20"/>
                <w:szCs w:val="24"/>
              </w:rPr>
              <w:t>24hR</w:t>
            </w:r>
          </w:p>
        </w:tc>
        <w:tc>
          <w:tcPr>
            <w:tcW w:w="1559" w:type="dxa"/>
            <w:tcBorders>
              <w:top w:val="single" w:sz="12" w:space="0" w:color="auto"/>
              <w:bottom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317 adults</w:t>
            </w:r>
          </w:p>
        </w:tc>
        <w:tc>
          <w:tcPr>
            <w:tcW w:w="1134" w:type="dxa"/>
            <w:tcBorders>
              <w:top w:val="single" w:sz="12" w:space="0" w:color="auto"/>
              <w:bottom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tcBorders>
              <w:top w:val="single" w:sz="12" w:space="0" w:color="auto"/>
              <w:bottom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179</w:t>
            </w:r>
          </w:p>
        </w:tc>
        <w:tc>
          <w:tcPr>
            <w:tcW w:w="975" w:type="dxa"/>
            <w:tcBorders>
              <w:top w:val="single" w:sz="12" w:space="0" w:color="auto"/>
              <w:bottom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month</w:t>
            </w:r>
          </w:p>
        </w:tc>
        <w:tc>
          <w:tcPr>
            <w:tcW w:w="2135" w:type="dxa"/>
            <w:tcBorders>
              <w:top w:val="single" w:sz="12" w:space="0" w:color="auto"/>
              <w:bottom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-0.02 – 0.26</w:t>
            </w:r>
          </w:p>
        </w:tc>
        <w:tc>
          <w:tcPr>
            <w:tcW w:w="2401" w:type="dxa"/>
            <w:tcBorders>
              <w:top w:val="single" w:sz="12" w:space="0" w:color="auto"/>
              <w:bottom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-0.04 – 0.26 </w:t>
            </w:r>
          </w:p>
        </w:tc>
        <w:tc>
          <w:tcPr>
            <w:tcW w:w="1529" w:type="dxa"/>
            <w:tcBorders>
              <w:top w:val="single" w:sz="12" w:space="0" w:color="auto"/>
              <w:bottom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N.A.</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349" w:type="dxa"/>
            <w:tcBorders>
              <w:top w:val="single" w:sz="8" w:space="0" w:color="auto"/>
            </w:tcBorders>
            <w:vAlign w:val="center"/>
          </w:tcPr>
          <w:p w:rsidR="00627E95" w:rsidRPr="004639E3" w:rsidRDefault="00627E95" w:rsidP="00361534">
            <w:pPr>
              <w:contextualSpacing/>
              <w:jc w:val="center"/>
              <w:rPr>
                <w:rFonts w:ascii="Times New Roman" w:hAnsi="Times New Roman" w:cs="Times New Roman"/>
                <w:bCs/>
                <w:sz w:val="18"/>
                <w:szCs w:val="18"/>
              </w:rPr>
            </w:pPr>
            <w:proofErr w:type="spellStart"/>
            <w:r w:rsidRPr="004639E3">
              <w:rPr>
                <w:rFonts w:ascii="Times New Roman" w:hAnsi="Times New Roman" w:cs="Times New Roman"/>
                <w:bCs/>
                <w:sz w:val="18"/>
                <w:szCs w:val="18"/>
              </w:rPr>
              <w:t>Mouratidou</w:t>
            </w:r>
            <w:proofErr w:type="spellEnd"/>
            <w:r w:rsidR="00E31970">
              <w:rPr>
                <w:rFonts w:ascii="Times New Roman" w:hAnsi="Times New Roman" w:cs="Times New Roman"/>
                <w:bCs/>
                <w:sz w:val="18"/>
                <w:szCs w:val="18"/>
              </w:rPr>
              <w:t xml:space="preserve">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(2011) </w:t>
            </w:r>
            <w:r w:rsidR="00B6561A" w:rsidRPr="004639E3">
              <w:rPr>
                <w:rFonts w:ascii="Times New Roman" w:hAnsi="Times New Roman" w:cs="Times New Roman"/>
                <w:bCs/>
                <w:sz w:val="18"/>
                <w:szCs w:val="18"/>
              </w:rPr>
              <w:fldChar w:fldCharType="begin" w:fldLock="1"/>
            </w:r>
            <w:r w:rsidRPr="004639E3">
              <w:rPr>
                <w:rFonts w:ascii="Times New Roman" w:hAnsi="Times New Roman" w:cs="Times New Roman"/>
                <w:bCs/>
                <w:sz w:val="18"/>
                <w:szCs w:val="18"/>
              </w:rPr>
              <w:instrText>ADDIN CSL_CITATION {"citationItems":[{"id":"ITEM-1","itemData":{"DOI":"10.1111/j.1740-8709.2009.00221.x","ISSN":"17408695","PMID":"21410880","abstract":"The aim of this study was to examine the reproducibility and validity of a semi-quantitative food frequency questionnaire (FFQ) for assessing dietary intakes of low-income, Caucasian, English-speaking, postpartum women living in Sheffield, United Kingdom. Data was obtained from a cross-sectional sample of the 'Healthy Start' study; a population-based survey of mothers and infants. Participants completed two FFQs at 4 and 8 weeks postpartum. Measures from 24-hour dietary recalls (24HDRs) were collected at 4, 6, 8 and 12 weeks postpartum. In the reproducibility study, crude Pearson's correlation coefficients ranged from 0.40 (riboflavin) to 0.73 (thiamine), mean value 0.54. In the validation study, crude Pearson correlation coefficients between the FFQ and the measures from the 24HDRs ranged from 0.10 (B12) to 0.55 (manganese), mean value 0.34. Energy-adjustments and corrections for attenuation had no significant effect on the strength of the correlation both observed in the reproducibility and validity study. On average, 68% of the participants were classified correctly, and 3% were misclassified into the extreme opposite quintile of the distribution. The authors conclude that the questionnaire performed well for the majority of nutrients examined and that is a valid tool for ranking individuals according to nutrient distribution.","author":[{"dropping-particle":"","family":"Mouratidou","given":"Theodora","non-dropping-particle":"","parse-names":false,"suffix":""},{"dropping-particle":"","family":"Ford","given":"Fiona A.","non-dropping-particle":"","parse-names":false,"suffix":""},{"dropping-particle":"","family":"Fraser","given":"Robert B.","non-dropping-particle":"","parse-names":false,"suffix":""}],"container-title":"Maternal and Child Nutrition","id":"ITEM-1","issue":"2","issued":{"date-parts":[["2011"]]},"page":"128-139","title":"Reproducibility and validity of a food frequency questionnaire in assessing dietary intakes of low-income Caucasian postpartum women living in Sheffield, United Kingdom","type":"article-journal","volume":"7"},"uris":["http://www.mendeley.com/documents/?uuid=b705c901-a1fe-45a1-8701-01a1ac2d3c19"]}],"mendeley":{"formattedCitation":"(26)","plainTextFormattedCitation":"(26)","previouslyFormattedCitation":"(26)"},"properties":{"noteIndex":0},"schema":"https://github.com/citation-style-language/schema/raw/master/csl-citation.json"}</w:instrText>
            </w:r>
            <w:r w:rsidR="00B6561A" w:rsidRPr="004639E3">
              <w:rPr>
                <w:rFonts w:ascii="Times New Roman" w:hAnsi="Times New Roman" w:cs="Times New Roman"/>
                <w:bCs/>
                <w:sz w:val="18"/>
                <w:szCs w:val="18"/>
              </w:rPr>
              <w:fldChar w:fldCharType="separate"/>
            </w:r>
            <w:r w:rsidRPr="004639E3">
              <w:rPr>
                <w:rFonts w:ascii="Times New Roman" w:hAnsi="Times New Roman" w:cs="Times New Roman"/>
                <w:bCs/>
                <w:noProof/>
                <w:sz w:val="18"/>
                <w:szCs w:val="18"/>
              </w:rPr>
              <w:t>(2</w:t>
            </w:r>
            <w:r w:rsidR="00361534">
              <w:rPr>
                <w:rFonts w:ascii="Times New Roman" w:hAnsi="Times New Roman" w:cs="Times New Roman"/>
                <w:bCs/>
                <w:noProof/>
                <w:sz w:val="18"/>
                <w:szCs w:val="18"/>
              </w:rPr>
              <w:t>7</w:t>
            </w:r>
            <w:r w:rsidRPr="004639E3">
              <w:rPr>
                <w:rFonts w:ascii="Times New Roman" w:hAnsi="Times New Roman" w:cs="Times New Roman"/>
                <w:bCs/>
                <w:noProof/>
                <w:sz w:val="18"/>
                <w:szCs w:val="18"/>
              </w:rPr>
              <w:t>)</w:t>
            </w:r>
            <w:r w:rsidR="00B6561A" w:rsidRPr="004639E3">
              <w:rPr>
                <w:rFonts w:ascii="Times New Roman" w:hAnsi="Times New Roman" w:cs="Times New Roman"/>
                <w:bCs/>
                <w:sz w:val="18"/>
                <w:szCs w:val="18"/>
              </w:rPr>
              <w:fldChar w:fldCharType="end"/>
            </w:r>
          </w:p>
        </w:tc>
        <w:tc>
          <w:tcPr>
            <w:tcW w:w="1017" w:type="dxa"/>
            <w:tcBorders>
              <w:top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United Kingdom</w:t>
            </w:r>
          </w:p>
        </w:tc>
        <w:tc>
          <w:tcPr>
            <w:tcW w:w="1320" w:type="dxa"/>
            <w:tcBorders>
              <w:top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Four </w:t>
            </w:r>
            <w:r w:rsidRPr="004639E3">
              <w:rPr>
                <w:rFonts w:ascii="Times New Roman" w:hAnsi="Times New Roman" w:cs="Times New Roman"/>
                <w:bCs/>
                <w:sz w:val="20"/>
                <w:szCs w:val="24"/>
              </w:rPr>
              <w:t>24hR</w:t>
            </w:r>
          </w:p>
        </w:tc>
        <w:tc>
          <w:tcPr>
            <w:tcW w:w="1559" w:type="dxa"/>
            <w:tcBorders>
              <w:top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101 postpartum women</w:t>
            </w:r>
          </w:p>
        </w:tc>
        <w:tc>
          <w:tcPr>
            <w:tcW w:w="1134" w:type="dxa"/>
            <w:tcBorders>
              <w:top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tcBorders>
              <w:top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N.I.</w:t>
            </w:r>
            <w:r w:rsidRPr="004639E3">
              <w:rPr>
                <w:rFonts w:ascii="Times New Roman" w:hAnsi="Times New Roman" w:cs="Times New Roman"/>
                <w:bCs/>
                <w:sz w:val="16"/>
                <w:szCs w:val="16"/>
                <w:vertAlign w:val="superscript"/>
              </w:rPr>
              <w:t>†</w:t>
            </w:r>
          </w:p>
        </w:tc>
        <w:tc>
          <w:tcPr>
            <w:tcW w:w="975" w:type="dxa"/>
            <w:tcBorders>
              <w:top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month</w:t>
            </w:r>
          </w:p>
        </w:tc>
        <w:tc>
          <w:tcPr>
            <w:tcW w:w="2135" w:type="dxa"/>
            <w:tcBorders>
              <w:top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0.01 (vit. B12) – 0.57 (iron)</w:t>
            </w:r>
            <w:r w:rsidRPr="004639E3">
              <w:rPr>
                <w:rFonts w:ascii="Times New Roman" w:hAnsi="Times New Roman" w:cs="Times New Roman"/>
                <w:bCs/>
                <w:sz w:val="18"/>
                <w:szCs w:val="18"/>
                <w:vertAlign w:val="superscript"/>
              </w:rPr>
              <w:t xml:space="preserve"> ‡</w:t>
            </w:r>
          </w:p>
        </w:tc>
        <w:tc>
          <w:tcPr>
            <w:tcW w:w="2401" w:type="dxa"/>
            <w:tcBorders>
              <w:top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Energy-adjusted: 54% (starch, vit. B</w:t>
            </w:r>
            <w:r w:rsidRPr="004639E3">
              <w:rPr>
                <w:rFonts w:ascii="Times New Roman" w:hAnsi="Times New Roman" w:cs="Times New Roman"/>
                <w:bCs/>
                <w:sz w:val="18"/>
                <w:szCs w:val="18"/>
                <w:vertAlign w:val="subscript"/>
              </w:rPr>
              <w:t>12</w:t>
            </w:r>
            <w:r w:rsidRPr="004639E3">
              <w:rPr>
                <w:rFonts w:ascii="Times New Roman" w:hAnsi="Times New Roman" w:cs="Times New Roman"/>
                <w:bCs/>
                <w:sz w:val="18"/>
                <w:szCs w:val="18"/>
              </w:rPr>
              <w:t>) – 84% (manganese)</w:t>
            </w:r>
            <w:r w:rsidRPr="004639E3">
              <w:rPr>
                <w:rFonts w:ascii="Times New Roman" w:hAnsi="Times New Roman" w:cs="Times New Roman"/>
                <w:bCs/>
                <w:sz w:val="18"/>
                <w:szCs w:val="18"/>
                <w:vertAlign w:val="superscript"/>
              </w:rPr>
              <w:t xml:space="preserve"> ¶</w:t>
            </w:r>
          </w:p>
        </w:tc>
        <w:tc>
          <w:tcPr>
            <w:tcW w:w="1529" w:type="dxa"/>
            <w:tcBorders>
              <w:top w:val="single" w:sz="8"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-0.21 (total fat) – 0.67 (zinc)</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349" w:type="dxa"/>
            <w:vAlign w:val="center"/>
          </w:tcPr>
          <w:p w:rsidR="00627E95" w:rsidRPr="004639E3" w:rsidRDefault="00627E95" w:rsidP="00361534">
            <w:pPr>
              <w:contextualSpacing/>
              <w:jc w:val="center"/>
              <w:rPr>
                <w:rFonts w:ascii="Times New Roman" w:hAnsi="Times New Roman" w:cs="Times New Roman"/>
                <w:bCs/>
                <w:sz w:val="18"/>
                <w:szCs w:val="18"/>
              </w:rPr>
            </w:pPr>
            <w:proofErr w:type="spellStart"/>
            <w:r w:rsidRPr="004639E3">
              <w:rPr>
                <w:rFonts w:ascii="Times New Roman" w:hAnsi="Times New Roman" w:cs="Times New Roman"/>
                <w:bCs/>
                <w:sz w:val="18"/>
                <w:szCs w:val="18"/>
              </w:rPr>
              <w:t>Athanasiadou</w:t>
            </w:r>
            <w:proofErr w:type="spellEnd"/>
            <w:r w:rsidR="00E31970">
              <w:rPr>
                <w:rFonts w:ascii="Times New Roman" w:hAnsi="Times New Roman" w:cs="Times New Roman"/>
                <w:bCs/>
                <w:sz w:val="18"/>
                <w:szCs w:val="18"/>
              </w:rPr>
              <w:t xml:space="preserve">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(2016)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{"citationItems":[{"id":"ITEM-1","itemData":{"DOI":"10.3390/nu8090522","ISSN":"20726643","PMID":"27571097","abstract":"The objectives were to develop a Mediterranean oriented semi-quantitative food frequency questionnaire (FFQ) and evaluate its validity in measuring energy and nutrient intakes. For FFQ development, the main challenge was to merge food items and practices reflecting cultural Mediterranean preferences with other food choices ensuing from diet transition to more westernized dietary patterns. FFQ validity was evaluated by comparing nutrient intakes against the average of two 24-h dietary recalls for 179 pregnant women. Although the mean intake values for most nutrients and energy tended to be higher when determined by the FFQ, the Cohen's d was below 0.3. Bland-Altman plots confirmed the agreement between the two methods. Positive significant correlations ranged from 0.35 to 0.77. The proportion of women classified correctly was between 73.2% and 92.2%, whereas gross misclassification was low. Weighted kappa values were between 0.31 and 0.78, while intraclass correlation coefficients were between 0.49 and 0.89. Our methodological approach for the development and validation of this FFQ provides reliable measurements of energy, macro- and micronutrient intakes. Overall, our culture-specific FFQ could serve as a useful assessment tool in studies aiming at monitoring dietary intakes, especially in the Mediterranean region, where countries share common cultural dietary habits.","author":[{"dropping-particle":"","family":"Athanasiadou","given":"Elpiniki","non-dropping-particle":"","parse-names":false,"suffix":""},{"dropping-particle":"","family":"Kyrkou","given":"Charikleia","non-dropping-particle":"","parse-names":false,"suffix":""},{"dropping-particle":"","family":"Fotiou","given":"Maria","non-dropping-particle":"","parse-names":false,"suffix":""},{"dropping-particle":"","family":"Tsakoumaki","given":"Foteini","non-dropping-particle":"","parse-names":false,"suffix":""},{"dropping-particle":"","family":"Dimitropoulou","given":"Aristea","non-dropping-particle":"","parse-names":false,"suffix":""},{"dropping-particle":"","family":"Polychroniadou","given":"Eleni","non-dropping-particle":"","parse-names":false,"suffix":""},{"dropping-particle":"","family":"Menexes","given":"Georgios","non-dropping-particle":"","parse-names":false,"suffix":""},{"dropping-particle":"","family":"Athanasiadis","given":"Apostolos P.","non-dropping-particle":"","parse-names":false,"suffix":""},{"dropping-particle":"","family":"Biliaderis","given":"Costas G.","non-dropping-particle":"","parse-names":false,"suffix":""},{"dropping-particle":"","family":"Michaelidou","given":"Alexandra Maria","non-dropping-particle":"","parse-names":false,"suffix":""}],"container-title":"Nutrients","id":"ITEM-1","issue":"9","issued":{"date-parts":[["2016"]]},"title":"Development and validation of a mediterranean oriented culture-specific semi-quantitative food frequency questionnaire","type":"article-journal","volume":"8"},"uris":["http://www.mendeley.com/documents/?uuid=3e675fa9-9bb9-42dc-94bb-593c39f147d0"]}],"mendeley":{"formattedCitation":"(36)","plainTextFormattedCitation":"(36)","previouslyFormattedCitation":"(36)"},"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(3</w:t>
            </w:r>
            <w:r w:rsidR="00361534">
              <w:rPr>
                <w:rFonts w:ascii="Times New Roman" w:hAnsi="Times New Roman" w:cs="Times New Roman"/>
                <w:bCs/>
                <w:noProof/>
                <w:sz w:val="18"/>
                <w:szCs w:val="18"/>
              </w:rPr>
              <w:t>7</w:t>
            </w:r>
            <w:r w:rsidRPr="004639E3">
              <w:rPr>
                <w:rFonts w:ascii="Times New Roman" w:hAnsi="Times New Roman" w:cs="Times New Roman"/>
                <w:bCs/>
                <w:noProof/>
                <w:sz w:val="18"/>
                <w:szCs w:val="18"/>
              </w:rPr>
              <w:t>)</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Greece</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Two </w:t>
            </w:r>
            <w:r w:rsidRPr="004639E3">
              <w:rPr>
                <w:rFonts w:ascii="Times New Roman" w:hAnsi="Times New Roman" w:cs="Times New Roman"/>
                <w:bCs/>
                <w:sz w:val="20"/>
                <w:szCs w:val="24"/>
              </w:rPr>
              <w:t>24hR</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179 pregnant women</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221</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month</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Crude: 0.35 (cholesterol) – 0.77 (SFA)</w:t>
            </w:r>
            <w:r w:rsidRPr="004639E3">
              <w:rPr>
                <w:rFonts w:ascii="Times New Roman" w:hAnsi="Times New Roman" w:cs="Times New Roman"/>
                <w:bCs/>
                <w:sz w:val="18"/>
                <w:szCs w:val="16"/>
                <w:vertAlign w:val="superscript"/>
              </w:rPr>
              <w:t>‡</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0.15 (vit. B</w:t>
            </w:r>
            <w:r w:rsidRPr="004639E3">
              <w:rPr>
                <w:rFonts w:ascii="Times New Roman" w:hAnsi="Times New Roman" w:cs="Times New Roman"/>
                <w:bCs/>
                <w:sz w:val="18"/>
                <w:szCs w:val="18"/>
                <w:vertAlign w:val="subscript"/>
              </w:rPr>
              <w:t xml:space="preserve">6) </w:t>
            </w:r>
            <w:r w:rsidRPr="004639E3">
              <w:rPr>
                <w:rFonts w:ascii="Times New Roman" w:hAnsi="Times New Roman" w:cs="Times New Roman"/>
                <w:bCs/>
                <w:sz w:val="18"/>
                <w:szCs w:val="18"/>
              </w:rPr>
              <w:t>– 0.42 (magnesium)</w:t>
            </w:r>
            <w:r w:rsidRPr="004639E3">
              <w:rPr>
                <w:rFonts w:ascii="Times New Roman" w:hAnsi="Times New Roman" w:cs="Times New Roman"/>
                <w:bCs/>
                <w:sz w:val="18"/>
                <w:szCs w:val="18"/>
                <w:vertAlign w:val="superscript"/>
              </w:rPr>
              <w:t xml:space="preserve"> §</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N.A.</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349" w:type="dxa"/>
            <w:vAlign w:val="center"/>
          </w:tcPr>
          <w:p w:rsidR="00627E95" w:rsidRPr="004639E3" w:rsidRDefault="00627E95" w:rsidP="00B47184">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Papazian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(2016)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{"citationItems":[{"id":"ITEM-1","itemData":{"DOI":"10.1016/j.clnu.2016.04.015","ISSN":"15321983","PMID":"27161893","abstract":"Background &amp; aims Accurate dietary assessment tools are required to ensure that maternal diet supplies all the nutrients needed for fetal development. However, no dietary method could accurately estimate food intake during gestation. Food Frequency Questionnaires (FFQ), frequently used in epidemiological studies, estimate long term nutritional status of the target population. However, it is recommended to create and validate a FFQ compatible with the dietary habits of the studied population, to avoid cultural and social discrepancies. This study aimed to develop and test the reproducibility and the validity of a semi-quantitative FFQ compatible with the diet of Mediterranean and Middle-Eastern population, in a sample of Lebanese pregnant women. Methods 128 women participated in the validation study, while 38 took part in the reproducibility phase, which was repeated in a time frame of 21 days. The FFQ was validated against a 24??h dietary recall (DR). Results The intra class correlation coefficient (ICC) ranged from 0.935 for calcium to 0.984 for vitamin D (p value??&lt;??0.001), indicating an excellent reproducibility. A satisfactory agreement between the two dietary tools was demonstrated using Bland???Altman plot and Spearman's and Pearson's correlations coefficients which varied between 0.294 for iron to 0.762 for caloric intake (p value??&lt;??0.01). Conclusions The newly developed FFQ englobing Mediterranean food items was culture specific and assessed the nutrient intake of our population. Administering this tool in future researches will help monitor the nutritional status of pregnant women, aiming at improving maternal and newborn health.","author":[{"dropping-particle":"","family":"Papazian","given":"Tatiana","non-dropping-particle":"","parse-names":false,"suffix":""},{"dropping-particle":"","family":"Hout","given":"Hala","non-dropping-particle":"","parse-names":false,"suffix":""},{"dropping-particle":"","family":"Sibai","given":"Darine","non-dropping-particle":"","parse-names":false,"suffix":""},{"dropping-particle":"","family":"Helou","given":"Nour","non-dropping-particle":"","parse-names":false,"suffix":""},{"dropping-particle":"","family":"Younes","given":"Hassan","non-dropping-particle":"","parse-names":false,"suffix":""},{"dropping-particle":"","family":"Osta","given":"Nada","non-dropping-particle":"El","parse-names":false,"suffix":""},{"dropping-particle":"","family":"Khabbaz","given":"Lydia Rabbaa","non-dropping-particle":"","parse-names":false,"suffix":""}],"container-title":"Clinical Nutrition","id":"ITEM-1","issue":"6","issued":{"date-parts":[["2016"]]},"page":"1550-1556","publisher":"Elsevier Ltd","title":"Development, reproducibility and validity of a food frequency questionnaire among pregnant women adherent to the Mediterranean dietary pattern","type":"article-journal","volume":"35"},"uris":["http://www.mendeley.com/documents/?uuid=aa44b9cc-ddb4-442b-b47b-2abb146ca10f"]}],"mendeley":{"formattedCitation":"(31)","plainTextFormattedCitation":"(31)","previouslyFormattedCitation":"(31)"},"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(3</w:t>
            </w:r>
            <w:r w:rsidR="00B47184">
              <w:rPr>
                <w:rFonts w:ascii="Times New Roman" w:hAnsi="Times New Roman" w:cs="Times New Roman"/>
                <w:bCs/>
                <w:noProof/>
                <w:sz w:val="18"/>
                <w:szCs w:val="18"/>
              </w:rPr>
              <w:t>2</w:t>
            </w:r>
            <w:r w:rsidRPr="004639E3">
              <w:rPr>
                <w:rFonts w:ascii="Times New Roman" w:hAnsi="Times New Roman" w:cs="Times New Roman"/>
                <w:bCs/>
                <w:noProof/>
                <w:sz w:val="18"/>
                <w:szCs w:val="18"/>
              </w:rPr>
              <w:t>)</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Lebanon</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One </w:t>
            </w:r>
            <w:r w:rsidRPr="004639E3">
              <w:rPr>
                <w:rFonts w:ascii="Times New Roman" w:hAnsi="Times New Roman" w:cs="Times New Roman"/>
                <w:bCs/>
                <w:sz w:val="20"/>
                <w:szCs w:val="24"/>
              </w:rPr>
              <w:t>24hR</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128 (validity) 38 (reproducibility) pregnant women</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157</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N.I.</w:t>
            </w:r>
            <w:r w:rsidRPr="004639E3">
              <w:rPr>
                <w:rFonts w:ascii="Times New Roman" w:hAnsi="Times New Roman" w:cs="Times New Roman"/>
                <w:bCs/>
                <w:sz w:val="16"/>
                <w:szCs w:val="16"/>
                <w:vertAlign w:val="superscript"/>
              </w:rPr>
              <w:t>†</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0.312 (cholesterol) – 0.563 (carbohydrates)</w:t>
            </w:r>
            <w:r w:rsidRPr="004639E3">
              <w:rPr>
                <w:rFonts w:ascii="Times New Roman" w:hAnsi="Times New Roman" w:cs="Times New Roman"/>
                <w:bCs/>
                <w:sz w:val="18"/>
                <w:szCs w:val="18"/>
                <w:vertAlign w:val="superscript"/>
              </w:rPr>
              <w:t xml:space="preserve"> ‡</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62% (folic acid) - 88% (carbohydrates)</w:t>
            </w:r>
            <w:r w:rsidRPr="004639E3">
              <w:rPr>
                <w:rFonts w:ascii="Times New Roman" w:hAnsi="Times New Roman" w:cs="Times New Roman"/>
                <w:bCs/>
                <w:sz w:val="18"/>
                <w:szCs w:val="18"/>
                <w:vertAlign w:val="superscript"/>
              </w:rPr>
              <w:t>¶</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0.935 (calcium) – 0.984 (vit. D)</w:t>
            </w:r>
            <w:r w:rsidRPr="004639E3">
              <w:rPr>
                <w:rFonts w:ascii="Times New Roman" w:hAnsi="Times New Roman" w:cs="Times New Roman"/>
                <w:bCs/>
                <w:sz w:val="18"/>
                <w:szCs w:val="18"/>
                <w:vertAlign w:val="superscript"/>
              </w:rPr>
              <w:t>**</w:t>
            </w:r>
          </w:p>
        </w:tc>
      </w:tr>
      <w:tr w:rsidR="00627E95" w:rsidRPr="004639E3" w:rsidTr="00007A39">
        <w:trPr>
          <w:trHeight w:val="567"/>
        </w:trPr>
        <w:tc>
          <w:tcPr>
            <w:tcW w:w="1349" w:type="dxa"/>
            <w:vAlign w:val="center"/>
          </w:tcPr>
          <w:p w:rsidR="00627E95" w:rsidRPr="004639E3" w:rsidRDefault="00627E95" w:rsidP="00B47184">
            <w:pPr>
              <w:contextualSpacing/>
              <w:jc w:val="center"/>
              <w:rPr>
                <w:rFonts w:ascii="Times New Roman" w:hAnsi="Times New Roman" w:cs="Times New Roman"/>
                <w:bCs/>
                <w:sz w:val="18"/>
                <w:szCs w:val="18"/>
              </w:rPr>
            </w:pPr>
            <w:proofErr w:type="spellStart"/>
            <w:r w:rsidRPr="004639E3">
              <w:rPr>
                <w:rFonts w:ascii="Times New Roman" w:hAnsi="Times New Roman" w:cs="Times New Roman"/>
                <w:bCs/>
                <w:sz w:val="18"/>
                <w:szCs w:val="18"/>
              </w:rPr>
              <w:t>Gunes</w:t>
            </w:r>
            <w:proofErr w:type="spellEnd"/>
            <w:r w:rsidR="00E31970">
              <w:rPr>
                <w:rFonts w:ascii="Times New Roman" w:hAnsi="Times New Roman" w:cs="Times New Roman"/>
                <w:bCs/>
                <w:sz w:val="18"/>
                <w:szCs w:val="18"/>
              </w:rPr>
              <w:t xml:space="preserve">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(2015)</w:t>
            </w:r>
            <w:r w:rsidR="00CB01D6">
              <w:rPr>
                <w:rFonts w:ascii="Times New Roman" w:hAnsi="Times New Roman" w:cs="Times New Roman"/>
                <w:bCs/>
                <w:sz w:val="18"/>
                <w:szCs w:val="18"/>
              </w:rPr>
              <w:t xml:space="preserve">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{"citationItems":[{"id":"ITEM-1","itemData":{"ISBN":"0030-9982 (Print)\\r0030-9982 (Linking)","ISSN":"00309982","PMID":"26160087","abstract":"OBJECTIVE To validate the original food frequency questionnaire in Turkish adult population. METHODS The cross-sectional study was conducted in June and December 2008 and 2009, and comprised adults of either gender aged 30-70 years. All subjects were Caucasians and were native Turkish speakers. The food frequency questionnaire containing 229 most frequently consumed foods under 7 topics was used for data collection. It was completed twice and the 24-hour dietary recall four times in a year. In order to assess the validity of the questionnaire, Pearson correlation, attenuation coefficient, measures of agreement between the two methods, weighted kappa statistics and Bland-Altman plots were employed. SPSS 16 was used for statistical analysis. RESULTS Of the 120 subjects in the study, 71(59%) were males and 49(41%) were females with an overall mean age of 50.16±9.76 years. The correlation of estimated nutrient intake between the food frequency questionnaire and 24-hour dietary recall varied between 0.200 and 0.468, energy-adjusted regression was between 0.044 and 0.611 and attenuation coefficients of regression were between 0.339 and 0.658 for the selected macro and micro nutrients. Bland-Altman plots showed an acceptable agreement between the two methods. When nutrient intake was categorised in quartiles, proportions of the same or adjacent quartiles were 98.3%, 98.4%, 98.3%, 96.7% and 95% for energy, fat, protein, carbohydrates and fibre, respectively. CONCLUSIONS The first food frequency questionnaire developed in Turkish language was an adequate and valid tool to assess the nutritional habits of the local population.","author":[{"dropping-particle":"","family":"Gunes","given":"Fatma Esra","non-dropping-particle":"","parse-names":false,"suffix":""},{"dropping-particle":"","family":"Imeryuz","given":"Nese","non-dropping-particle":"","parse-names":false,"suffix":""},{"dropping-particle":"","family":"Akalin","given":"Arzu","non-dropping-particle":"","parse-names":false,"suffix":""},{"dropping-particle":"","family":"Calik","given":"Burcu","non-dropping-particle":"","parse-names":false,"suffix":""},{"dropping-particle":"","family":"Bekiroglu","given":"Nural","non-dropping-particle":"","parse-names":false,"suffix":""},{"dropping-particle":"","family":"Alphan","given":"Emel","non-dropping-particle":"","parse-names":false,"suffix":""},{"dropping-particle":"","family":"Oguz","given":"Aytekin","non-dropping-particle":"","parse-names":false,"suffix":""},{"dropping-particle":"","family":"Dehghan","given":"Mahshid","non-dropping-particle":"","parse-names":false,"suffix":""}],"container-title":"Journal of the Pakistan Medical Association","id":"ITEM-1","issue":"7","issued":{"date-parts":[["2015"]]},"page":"756-763","title":"Development and validation of a semi-quantitative food frequency questionnaire to assess dietary intake in Turkish adults","type":"article-journal","volume":"65"},"uris":["http://www.mendeley.com/documents/?uuid=87cbc999-b7a2-4e0c-839e-5b036a728b69"]}],"mendeley":{"formattedCitation":"(30)","plainTextFormattedCitation":"(30)","previouslyFormattedCitation":"(30)"},"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(3</w:t>
            </w:r>
            <w:r w:rsidR="00B47184">
              <w:rPr>
                <w:rFonts w:ascii="Times New Roman" w:hAnsi="Times New Roman" w:cs="Times New Roman"/>
                <w:bCs/>
                <w:noProof/>
                <w:sz w:val="18"/>
                <w:szCs w:val="18"/>
              </w:rPr>
              <w:t>1</w:t>
            </w:r>
            <w:r w:rsidRPr="004639E3">
              <w:rPr>
                <w:rFonts w:ascii="Times New Roman" w:hAnsi="Times New Roman" w:cs="Times New Roman"/>
                <w:bCs/>
                <w:noProof/>
                <w:sz w:val="18"/>
                <w:szCs w:val="18"/>
              </w:rPr>
              <w:t>)</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Turkey</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Four </w:t>
            </w:r>
            <w:r w:rsidRPr="004639E3">
              <w:rPr>
                <w:rFonts w:ascii="Times New Roman" w:hAnsi="Times New Roman" w:cs="Times New Roman"/>
                <w:bCs/>
                <w:sz w:val="20"/>
                <w:szCs w:val="24"/>
              </w:rPr>
              <w:t>24hR</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120 adults</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229</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year</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0.017 (vit. C and A) – 0.539 (zinc) </w:t>
            </w:r>
            <w:r w:rsidRPr="004639E3">
              <w:rPr>
                <w:rFonts w:ascii="Times New Roman" w:hAnsi="Times New Roman" w:cs="Times New Roman"/>
                <w:bCs/>
                <w:sz w:val="18"/>
                <w:szCs w:val="18"/>
                <w:vertAlign w:val="superscript"/>
              </w:rPr>
              <w:t>‡</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21.7% (vit. C) – 49.2% (fat)</w:t>
            </w:r>
            <w:r w:rsidRPr="004639E3">
              <w:rPr>
                <w:rFonts w:ascii="Times New Roman" w:hAnsi="Times New Roman" w:cs="Times New Roman"/>
                <w:bCs/>
                <w:sz w:val="18"/>
                <w:szCs w:val="18"/>
                <w:vertAlign w:val="superscript"/>
              </w:rPr>
              <w:t xml:space="preserve"> ¶</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N.A.</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349" w:type="dxa"/>
            <w:vAlign w:val="center"/>
          </w:tcPr>
          <w:p w:rsidR="00627E95" w:rsidRPr="004639E3" w:rsidRDefault="00627E95" w:rsidP="00EF706F">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Silva-Jaramillo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(2015)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{"citationItems":[{"id":"ITEM-1","itemData":{"DOI":"10.1017/S1368980014003346","ISSN":"1475-2727 (Electronic)","PMID":"25631377","abstract":"OBJECTIVE: To assess the reliability and validity of a semi-quantitative FFQ designed to evaluate the usual nutrient intake of adults in Quito, Ecuador. DESIGN: Dietary data using 24 h recalls (24hR) were used to design a list of commonly consumed foods. The relative validity of a 111-item FFQ was evaluated by comparing nutrient intakes against three non-consecutive 24hR. All nutrients were energy-adjusted. Reliability was assessed using two FFQ (FFQ1 and FFQ2) and assessed by the intra-class correlation coefficient. The comparisons between the FFQ and the 24hR were assessed by the de-attenuated Pearson correlation coefficient, weighted kappa and by Bland-Altman plots. SETTING: Quito, Ecuador. SUBJECTS: Overall, 345 adults were enrolled in the present study. Two hundred and fifty participated in FFQ development and ninety-five participated in the FFQ validity and reliability. RESULTS: The FFQ produced higher energy and nutrient intakes. Reliability correlation coefficients after adjusting for energy ranged from 0.62 to 0.88 for protein and Ca, respectively. For the validity study, energy-adjusted and de-attenuated correlation coefficients between the questionnaire and the 24hR ranged from 0.21 for fat to 0.65 for Ca. Only 4 % of the participants were grossly misclassified and 46 % had weighted kappa higher than 0.42. The Bland-Altman plot showed a constant bias with a tendency to increase according to the intake level. CONCLUSIONS: The FFQ showed reasonably good relative validity and reliable measurements, especially for nutrients considered protective and risk markers of non-communicable disease, and can be used to assess usual nutrient intake in this population.","author":[{"dropping-particle":"","family":"Silva-Jaramillo","given":"Katherine M","non-dropping-particle":"","parse-names":false,"suffix":""},{"dropping-particle":"","family":"Neutzling","given":"Marilda B","non-dropping-particle":"","parse-names":false,"suffix":""},{"dropping-particle":"","family":"Drehmer","given":"Michele","non-dropping-particle":"","parse-names":false,"suffix":""}],"container-title":"Public health nutrition","id":"ITEM-1","issue":"14","issued":{"date-parts":[["2015"]]},"page":"2540-2549","title":"FFQ for the adult population of the capital of Ecuador (FFQ-Quito): development,  reliability and validity.","type":"article-journal","volume":"18"},"uris":["http://www.mendeley.com/documents/?uuid=fc51be9a-d70a-46f3-9dac-c6b24529e4a8"]}],"mendeley":{"formattedCitation":"(25)","plainTextFormattedCitation":"(25)","previouslyFormattedCitation":"(25)"},"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(2</w:t>
            </w:r>
            <w:r w:rsidR="00EF706F">
              <w:rPr>
                <w:rFonts w:ascii="Times New Roman" w:hAnsi="Times New Roman" w:cs="Times New Roman"/>
                <w:bCs/>
                <w:noProof/>
                <w:sz w:val="18"/>
                <w:szCs w:val="18"/>
              </w:rPr>
              <w:t>6</w:t>
            </w:r>
            <w:r w:rsidRPr="004639E3">
              <w:rPr>
                <w:rFonts w:ascii="Times New Roman" w:hAnsi="Times New Roman" w:cs="Times New Roman"/>
                <w:bCs/>
                <w:noProof/>
                <w:sz w:val="18"/>
                <w:szCs w:val="18"/>
              </w:rPr>
              <w:t>)</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Ecuador</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Three </w:t>
            </w:r>
            <w:r w:rsidRPr="004639E3">
              <w:rPr>
                <w:rFonts w:ascii="Times New Roman" w:hAnsi="Times New Roman" w:cs="Times New Roman"/>
                <w:bCs/>
                <w:sz w:val="20"/>
                <w:szCs w:val="24"/>
              </w:rPr>
              <w:t>24hR</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345 adults</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111</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year</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0.20 (total fat) – 0.61 (calcium)</w:t>
            </w:r>
            <w:r w:rsidRPr="004639E3">
              <w:rPr>
                <w:rFonts w:ascii="Times New Roman" w:hAnsi="Times New Roman" w:cs="Times New Roman"/>
                <w:bCs/>
                <w:sz w:val="18"/>
                <w:szCs w:val="18"/>
                <w:vertAlign w:val="superscript"/>
              </w:rPr>
              <w:t>‡</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Energy-adjusted: 27.4% (total fat) – 52.7% (calcium) </w:t>
            </w:r>
            <w:r w:rsidRPr="004639E3">
              <w:rPr>
                <w:rFonts w:ascii="Times New Roman" w:hAnsi="Times New Roman" w:cs="Times New Roman"/>
                <w:bCs/>
                <w:sz w:val="18"/>
                <w:szCs w:val="18"/>
                <w:vertAlign w:val="superscript"/>
              </w:rPr>
              <w:t>¶</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0.77 (vit. A) – 0.88 (calcium)</w:t>
            </w:r>
            <w:r w:rsidRPr="004639E3">
              <w:rPr>
                <w:rFonts w:ascii="Times New Roman" w:hAnsi="Times New Roman" w:cs="Times New Roman"/>
                <w:bCs/>
                <w:sz w:val="18"/>
                <w:szCs w:val="18"/>
                <w:vertAlign w:val="superscript"/>
              </w:rPr>
              <w:t>**</w:t>
            </w:r>
          </w:p>
        </w:tc>
      </w:tr>
      <w:tr w:rsidR="00627E95" w:rsidRPr="004639E3" w:rsidTr="00007A39">
        <w:trPr>
          <w:trHeight w:val="567"/>
        </w:trPr>
        <w:tc>
          <w:tcPr>
            <w:tcW w:w="1349" w:type="dxa"/>
            <w:tcBorders>
              <w:bottom w:val="single" w:sz="4" w:space="0" w:color="auto"/>
            </w:tcBorders>
            <w:vAlign w:val="center"/>
          </w:tcPr>
          <w:p w:rsidR="00627E95" w:rsidRPr="004639E3" w:rsidRDefault="00627E95" w:rsidP="00EF706F">
            <w:pPr>
              <w:contextualSpacing/>
              <w:jc w:val="center"/>
              <w:rPr>
                <w:rFonts w:ascii="Times New Roman" w:hAnsi="Times New Roman" w:cs="Times New Roman"/>
                <w:bCs/>
                <w:sz w:val="18"/>
                <w:szCs w:val="18"/>
              </w:rPr>
            </w:pPr>
            <w:proofErr w:type="spellStart"/>
            <w:r w:rsidRPr="004639E3">
              <w:rPr>
                <w:rFonts w:ascii="Times New Roman" w:hAnsi="Times New Roman" w:cs="Times New Roman"/>
                <w:bCs/>
                <w:sz w:val="18"/>
                <w:szCs w:val="18"/>
              </w:rPr>
              <w:t>Dehghan</w:t>
            </w:r>
            <w:proofErr w:type="spellEnd"/>
            <w:r w:rsidR="00E31970">
              <w:rPr>
                <w:rFonts w:ascii="Times New Roman" w:hAnsi="Times New Roman" w:cs="Times New Roman"/>
                <w:bCs/>
                <w:sz w:val="18"/>
                <w:szCs w:val="18"/>
              </w:rPr>
              <w:t xml:space="preserve">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(2012)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{"citationItems":[{"id":"ITEM-1","itemData":{"DOI":"10.1371/journal.pone.0037958","ISSN":"19326203","PMID":"22662256","abstract":"BACKGROUND The Food Frequency Questionnaire (FFQ) is the most commonly used method for ranking individuals based on long term food intake in large epidemiological studies. The validation of an FFQ for specific populations is essential as food consumption is culture dependent. The aim of this study was to develop a Semi-quantitative Food Frequency Questionnaire (SFFQ) and evaluate its validity and reproducibility in estimating nutrient intake in urban and rural areas of Argentina. METHODS/PRINCIPAL FINDINGS Overall, 256 participants in the Argentinean arm of the ongoing Prospective Urban and Rural Epidemiological study (PURE) were enrolled for development and validation of the SFFQ. One hundred individuals participated in the SFFQ development. The other 156 individuals completed the SFFQs on two occasions, four 24-hour Dietary Recalls (24DRs) in urban, and three 24DRs in rural areas during a one-year period. Correlation coefficients (r) and de-attenuated correlation coefficients between 24DRs and SFFQ were calculated for macro and micro-nutrients. The level of agreement between the two methods was evaluated using classification into same and extreme quartiles and the Bland-Altman method. The reproducibility of the SFFQ was assessed by Pearson correlation coefficients and Intra-class Correlation Coefficients (ICC). The SFFQ consists of 96 food items. In both urban and rural settings de-attenuated correlations exceeded 0.4 for most of the nutrients. The classification into the same and adjacent quartiles was more than 70% for urban and 60% for rural settings. The Pearson correlation between two SFFQs varied from 0.30-0.56 and 0.32-0.60 in urban and rural settings, respectively. CONCLUSION Our results showed that this SFFQ had moderate relative validity and reproducibility for macro and micronutrients in relation to the comparison method and can be used to rank individuals based on habitual nutrient intake.","author":[{"dropping-particle":"","family":"Dehghan","given":"Mahshid","non-dropping-particle":"","parse-names":false,"suffix":""},{"dropping-particle":"","family":"Cerro","given":"Silvia","non-dropping-particle":"del","parse-names":false,"suffix":""},{"dropping-particle":"","family":"Zhang","given":"Xiaohe","non-dropping-particle":"","parse-names":false,"suffix":""},{"dropping-particle":"","family":"Cuneo","given":"Jose Maini","non-dropping-particle":"","parse-names":false,"suffix":""},{"dropping-particle":"","family":"Linetzky","given":"Bruno","non-dropping-particle":"","parse-names":false,"suffix":""},{"dropping-particle":"","family":"Diaz","given":"Rafael","non-dropping-particle":"","parse-names":false,"suffix":""},{"dropping-particle":"","family":"Merchant","given":"Anwar T.","non-dropping-particle":"","parse-names":false,"suffix":""}],"container-title":"PLoS ONE","id":"ITEM-1","issue":"5","issued":{"date-parts":[["2012"]]},"title":"Validation of a semi-quantitative food frequency questionnaire for argentinean adults","type":"article-journal","volume":"7"},"uris":["http://www.mendeley.com/documents/?uuid=06dd90b6-0ef1-4033-9385-26f0af7a7a14"]}],"mendeley":{"formattedCitation":"(27)","plainTextFormattedCitation":"(27)","previouslyFormattedCitation":"(27)"},"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(2</w:t>
            </w:r>
            <w:r w:rsidR="00EF706F">
              <w:rPr>
                <w:rFonts w:ascii="Times New Roman" w:hAnsi="Times New Roman" w:cs="Times New Roman"/>
                <w:bCs/>
                <w:noProof/>
                <w:sz w:val="18"/>
                <w:szCs w:val="18"/>
              </w:rPr>
              <w:t>8</w:t>
            </w:r>
            <w:r w:rsidRPr="004639E3">
              <w:rPr>
                <w:rFonts w:ascii="Times New Roman" w:hAnsi="Times New Roman" w:cs="Times New Roman"/>
                <w:bCs/>
                <w:noProof/>
                <w:sz w:val="18"/>
                <w:szCs w:val="18"/>
              </w:rPr>
              <w:t>)</w:t>
            </w:r>
            <w:r w:rsidR="00B6561A" w:rsidRPr="004639E3">
              <w:rPr>
                <w:rFonts w:ascii="Times New Roman" w:hAnsi="Times New Roman" w:cs="Times New Roman"/>
                <w:bCs/>
                <w:sz w:val="18"/>
                <w:szCs w:val="18"/>
                <w:vertAlign w:val="superscript"/>
              </w:rPr>
              <w:fldChar w:fldCharType="end"/>
            </w:r>
          </w:p>
        </w:tc>
        <w:tc>
          <w:tcPr>
            <w:tcW w:w="1017"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Argentina</w:t>
            </w:r>
          </w:p>
        </w:tc>
        <w:tc>
          <w:tcPr>
            <w:tcW w:w="1320"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Three/Four </w:t>
            </w:r>
            <w:r w:rsidRPr="004639E3">
              <w:rPr>
                <w:rFonts w:ascii="Times New Roman" w:hAnsi="Times New Roman" w:cs="Times New Roman"/>
                <w:bCs/>
                <w:sz w:val="20"/>
                <w:szCs w:val="24"/>
              </w:rPr>
              <w:t>24hR</w:t>
            </w:r>
          </w:p>
        </w:tc>
        <w:tc>
          <w:tcPr>
            <w:tcW w:w="1559"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256 adults (urban/rural)</w:t>
            </w:r>
          </w:p>
        </w:tc>
        <w:tc>
          <w:tcPr>
            <w:tcW w:w="1134"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96</w:t>
            </w:r>
          </w:p>
        </w:tc>
        <w:tc>
          <w:tcPr>
            <w:tcW w:w="975"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year</w:t>
            </w:r>
          </w:p>
        </w:tc>
        <w:tc>
          <w:tcPr>
            <w:tcW w:w="2135"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Crude:</w:t>
            </w:r>
          </w:p>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Urban: 0.20 (retinol) –0.47 (carbohydrate); Rural: 0.11 (PUFA) – 0.47 (Folate)</w:t>
            </w:r>
            <w:r w:rsidRPr="004639E3">
              <w:rPr>
                <w:rFonts w:ascii="Times New Roman" w:hAnsi="Times New Roman" w:cs="Times New Roman"/>
                <w:bCs/>
                <w:sz w:val="18"/>
                <w:szCs w:val="18"/>
                <w:vertAlign w:val="superscript"/>
              </w:rPr>
              <w:t xml:space="preserve"> ‡</w:t>
            </w:r>
          </w:p>
        </w:tc>
        <w:tc>
          <w:tcPr>
            <w:tcW w:w="2401"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Urban: 46.1 (energy) – 24.7 (fibre)</w:t>
            </w:r>
          </w:p>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Rural: 16.4 (phosphorus and PUFA) 49.3 (fibre)</w:t>
            </w:r>
            <w:r w:rsidRPr="004639E3">
              <w:rPr>
                <w:rFonts w:ascii="Times New Roman" w:hAnsi="Times New Roman" w:cs="Times New Roman"/>
                <w:bCs/>
                <w:sz w:val="18"/>
                <w:szCs w:val="18"/>
                <w:vertAlign w:val="superscript"/>
              </w:rPr>
              <w:t xml:space="preserve"> ¶</w:t>
            </w:r>
          </w:p>
        </w:tc>
        <w:tc>
          <w:tcPr>
            <w:tcW w:w="1529"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Urban setting: 0.30–0.56</w:t>
            </w:r>
          </w:p>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Rural setting: 0.32–0.60 </w:t>
            </w:r>
            <w:r w:rsidRPr="004639E3">
              <w:rPr>
                <w:rFonts w:ascii="Times New Roman" w:hAnsi="Times New Roman" w:cs="Times New Roman"/>
                <w:bCs/>
                <w:sz w:val="18"/>
                <w:szCs w:val="18"/>
                <w:vertAlign w:val="superscript"/>
              </w:rPr>
              <w:t>‡</w:t>
            </w:r>
          </w:p>
        </w:tc>
      </w:tr>
      <w:tr w:rsidR="00627E95" w:rsidRPr="004639E3" w:rsidTr="00007A39">
        <w:trPr>
          <w:trHeight w:val="567"/>
        </w:trPr>
        <w:tc>
          <w:tcPr>
            <w:tcW w:w="1349"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Jackson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(2012)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{"citationItems":[{"id":"ITEM-1","itemData":{"DOI":"10.1017/S1368980012004636","ISSN":"1475-2727","PMID":"23113958","abstract":"OBJECTIVE: To evaluate the validity and reproducibility of a 122-item interviewer administered quantitative FFQ developed to determine food and nutrient intakes of adults in Botswana. DESIGN: Relative validity of the FFQ was evaluated by comparing nutrient and food group intakes against four non-consecutive 24 h recalls administered over 12 months. The FFQ was repeated after 1 year to assess reproducibility. SETTING: Kanye, Botswana. SUBJECTS: Seventy-nine adults aged 18–75 years. RESULTS: Spearman correlation coefficients for the validity of energy-adjusted nutrients ranged from 0.42 (carbohydrate) to 0.49 (protein) for macronutrients and from 0.23 (Fe) to 0.44 (PUFA) for micronutrients. Exact agreement of quartile distribution for nutrients between the FFQ and recalls ranged from 27% to 72%. Weighted kappa values were lowest for retinol (0.13), Fe (0.22) and b-carotene (0.25) and ranged from 0.33 (SFA) to 0.59 (folate) for other nutrients (energy, carbohydrate, protein, fat, Ca and vitamin E). Spearman correlation coefficients between the recalls and FFQ for food groups ranged from 0.18 (dark green leafy and yellow vegetables) to 0.58 (poultry). Reproducibility correlation coefficients (energy-adjusted) varied between 0.39 for retinol and 0.66 for vitamin E, with most values falling between 0.50 and 0.60. CONCLUSIONS: The FFQ had good relative validity for estimating habitual food group and nutrient intakes, but was poor for some micronutrients (Fe, retinol and b-carotene) and foods (fruits and dark green leafy vegetables).","author":[{"dropping-particle":"","family":"Jackson","given":"Maria D","non-dropping-particle":"","parse-names":false,"suffix":""},{"dropping-particle":"","family":"Motswagole","given":"Boitumelo S","non-dropping-particle":"","parse-names":false,"suffix":""},{"dropping-particle":"","family":"Kwape","given":"Lemogang D","non-dropping-particle":"","parse-names":false,"suffix":""},{"dropping-particle":"","family":"Kobue-Lekalake","given":"Rosemary I","non-dropping-particle":"","parse-names":false,"suffix":""},{"dropping-particle":"","family":"Rakgantswana","given":"Tidimalo B","non-dropping-particle":"","parse-names":false,"suffix":""},{"dropping-particle":"","family":"Mongwaketse","given":"Tiyapo","non-dropping-particle":"","parse-names":false,"suffix":""},{"dropping-particle":"","family":"Mokotedi","given":"Motlalepula","non-dropping-particle":"","parse-names":false,"suffix":""},{"dropping-particle":"","family":"Jackson-Malete","given":"Jose","non-dropping-particle":"","parse-names":false,"suffix":""}],"container-title":"Public Health Nutrition","id":"ITEM-1","issue":"11","issued":{"date-parts":[["2012"]]},"page":"1995-2004","title":"Validation and reproducibility of an FFQ for use among adults in Botswana.","type":"article-journal","volume":"16"},"uris":["http://www.mendeley.com/documents/?uuid=cd60da91-113a-49af-b57f-532065d7fbb0"]}],"mendeley":{"formattedCitation":"(22)","plainTextFormattedCitation":"(22)","previouslyFormattedCitation":"(22)"},"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(22)</w:t>
            </w:r>
            <w:r w:rsidR="00B6561A" w:rsidRPr="004639E3">
              <w:rPr>
                <w:rFonts w:ascii="Times New Roman" w:hAnsi="Times New Roman" w:cs="Times New Roman"/>
                <w:bCs/>
                <w:sz w:val="18"/>
                <w:szCs w:val="18"/>
                <w:vertAlign w:val="superscript"/>
              </w:rPr>
              <w:fldChar w:fldCharType="end"/>
            </w:r>
          </w:p>
        </w:tc>
        <w:tc>
          <w:tcPr>
            <w:tcW w:w="1017"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Botswana</w:t>
            </w:r>
          </w:p>
        </w:tc>
        <w:tc>
          <w:tcPr>
            <w:tcW w:w="1320"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Four </w:t>
            </w:r>
            <w:r w:rsidRPr="004639E3">
              <w:rPr>
                <w:rFonts w:ascii="Times New Roman" w:hAnsi="Times New Roman" w:cs="Times New Roman"/>
                <w:bCs/>
                <w:sz w:val="20"/>
                <w:szCs w:val="24"/>
              </w:rPr>
              <w:t>24hR</w:t>
            </w:r>
          </w:p>
        </w:tc>
        <w:tc>
          <w:tcPr>
            <w:tcW w:w="1559"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79 adults</w:t>
            </w:r>
          </w:p>
        </w:tc>
        <w:tc>
          <w:tcPr>
            <w:tcW w:w="1134"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quantitative</w:t>
            </w:r>
          </w:p>
        </w:tc>
        <w:tc>
          <w:tcPr>
            <w:tcW w:w="1151"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122</w:t>
            </w:r>
          </w:p>
        </w:tc>
        <w:tc>
          <w:tcPr>
            <w:tcW w:w="975"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year</w:t>
            </w:r>
          </w:p>
        </w:tc>
        <w:tc>
          <w:tcPr>
            <w:tcW w:w="2135"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0.23 (iron)- 0.49 (protein)</w:t>
            </w:r>
            <w:r w:rsidRPr="004639E3">
              <w:rPr>
                <w:rFonts w:ascii="Times New Roman" w:hAnsi="Times New Roman" w:cs="Times New Roman"/>
                <w:bCs/>
                <w:sz w:val="18"/>
                <w:szCs w:val="18"/>
                <w:vertAlign w:val="superscript"/>
              </w:rPr>
              <w:t xml:space="preserve"> ‡</w:t>
            </w:r>
          </w:p>
        </w:tc>
        <w:tc>
          <w:tcPr>
            <w:tcW w:w="2401"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27% (retinol) to 72% (alcohol) </w:t>
            </w:r>
            <w:r w:rsidRPr="004639E3">
              <w:rPr>
                <w:rFonts w:ascii="Times New Roman" w:hAnsi="Times New Roman" w:cs="Times New Roman"/>
                <w:bCs/>
                <w:sz w:val="18"/>
                <w:szCs w:val="18"/>
                <w:vertAlign w:val="superscript"/>
              </w:rPr>
              <w:t>¶</w:t>
            </w:r>
          </w:p>
        </w:tc>
        <w:tc>
          <w:tcPr>
            <w:tcW w:w="1529" w:type="dxa"/>
            <w:tcBorders>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0.39 (retinol) – 0.66 (vit. E)</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349" w:type="dxa"/>
            <w:vAlign w:val="center"/>
          </w:tcPr>
          <w:p w:rsidR="00627E95" w:rsidRPr="004639E3" w:rsidRDefault="00627E95" w:rsidP="00EF706F">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Cheng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(200</w:t>
            </w:r>
            <w:r w:rsidR="00EF706F">
              <w:rPr>
                <w:rFonts w:ascii="Times New Roman" w:hAnsi="Times New Roman" w:cs="Times New Roman"/>
                <w:bCs/>
                <w:sz w:val="18"/>
                <w:szCs w:val="18"/>
              </w:rPr>
              <w:t>8</w:t>
            </w:r>
            <w:r w:rsidRPr="004639E3">
              <w:rPr>
                <w:rFonts w:ascii="Times New Roman" w:hAnsi="Times New Roman" w:cs="Times New Roman"/>
                <w:bCs/>
                <w:sz w:val="18"/>
                <w:szCs w:val="18"/>
              </w:rPr>
              <w:t xml:space="preserve">)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{"citationItems":[{"id":"ITEM-1","itemData":{"abstract":"A longitudinal study was conducted to validate a 68-item semi-quantitative food-frequency questionnaire (FFQ) for assessing nutrient intake among pregnant women in rural China. The interview administrated FFQs were conducted at the start of the third trimester (FFQ1) and repeated three months later prior to delivery (FFQ2), and compared with six repeated 24-hour recalls collected between the FFQs. From June to September 2004, 125 women at 23 to 26 weeks of gestation were recruited into the study in two rural counties in Shaanxi province, China. Pearson correlation coefficients for crude nutrients assessed by FFQ1 and FFQ2 had a mean of 0.46, and ranged from 0.31 for thiamin to 0.61 for fat. Pearson correlation coefficients estimated by FFQ2 and 24-hour recalls had a mean of 0.62 for all nutrients, and ranged from 0.53 for cholesterol and carotene to 0.70 for alpha-vitamin E and potassium. De-attenuated coefficients had a mean of 0.69 for all nutrients, and ranged from 0.58 for cholesterol to 0.77 for alpha- vitamin E. Bland-Altman plots revealed significant relationships between the difference and the average of the two methods with larger differences at higher average intakes. On average, 74% of participants were classified into the same or adjacent nutrient intake quintiles, while 1% were grossly misclassified to opposite quintiles. In conclusion, this FFQ has adequate reproducibility and validity for most nutrients but would benefit from the addition of wheat porridge to ensure it is suitable for assessing dietary intake in pregnant women in rural China.","author":[{"dropping-particle":"","family":"Cheng","given":"Yue","non-dropping-particle":"","parse-names":false,"suffix":""},{"dropping-particle":"","family":"Yan","given":"Hong","non-dropping-particle":"","parse-names":false,"suffix":""},{"dropping-particle":"","family":"Dibley","given":"Michael John","non-dropping-particle":"","parse-names":false,"suffix":""},{"dropping-particle":"","family":"Shen","given":"Yuan","non-dropping-particle":"","parse-names":false,"suffix":""},{"dropping-particle":"","family":"Li","given":"Qiang","non-dropping-particle":"","parse-names":false,"suffix":""},{"dropping-particle":"","family":"Zeng","given":"Lingxia","non-dropping-particle":"","parse-names":false,"suffix":""}],"container-title":"Asia Pacific journal of clinical nutrition","id":"ITEM-1","issue":"1","issued":{"date-parts":[["2008"]]},"page":"166-177","title":"Validity and reproducibility of a semi-quantitative food frequency questionnaire for use among pregnant women in rural China.","type":"article-journal","volume":"17"},"uris":["http://www.mendeley.com/documents/?uuid=1652649b-903c-4131-8efb-dc7690d48cde"]}],"mendeley":{"formattedCitation":"(29)","plainTextFormattedCitation":"(29)","previouslyFormattedCitation":"(29)"},"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w:t>
            </w:r>
            <w:r w:rsidR="00EF706F">
              <w:rPr>
                <w:rFonts w:ascii="Times New Roman" w:hAnsi="Times New Roman" w:cs="Times New Roman"/>
                <w:bCs/>
                <w:noProof/>
                <w:sz w:val="18"/>
                <w:szCs w:val="18"/>
              </w:rPr>
              <w:t>30</w:t>
            </w:r>
            <w:r w:rsidRPr="004639E3">
              <w:rPr>
                <w:rFonts w:ascii="Times New Roman" w:hAnsi="Times New Roman" w:cs="Times New Roman"/>
                <w:bCs/>
                <w:noProof/>
                <w:sz w:val="18"/>
                <w:szCs w:val="18"/>
              </w:rPr>
              <w:t>)</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China</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Six </w:t>
            </w:r>
            <w:r w:rsidRPr="004639E3">
              <w:rPr>
                <w:rFonts w:ascii="Times New Roman" w:hAnsi="Times New Roman" w:cs="Times New Roman"/>
                <w:bCs/>
                <w:sz w:val="20"/>
                <w:szCs w:val="24"/>
              </w:rPr>
              <w:t>24hR</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12 pregnant women</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68</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3 months</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0.22 (protein) – 0.60 (calcium, retinol) </w:t>
            </w:r>
            <w:r w:rsidRPr="004639E3">
              <w:rPr>
                <w:rFonts w:ascii="Times New Roman" w:hAnsi="Times New Roman" w:cs="Times New Roman"/>
                <w:bCs/>
                <w:sz w:val="18"/>
                <w:szCs w:val="18"/>
                <w:vertAlign w:val="superscript"/>
              </w:rPr>
              <w:t>‡</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28% (phosphorus) – 40% (calcium)</w:t>
            </w:r>
            <w:r w:rsidRPr="004639E3">
              <w:rPr>
                <w:rFonts w:ascii="Times New Roman" w:hAnsi="Times New Roman" w:cs="Times New Roman"/>
                <w:bCs/>
                <w:sz w:val="18"/>
                <w:szCs w:val="18"/>
                <w:vertAlign w:val="superscript"/>
              </w:rPr>
              <w:t xml:space="preserve"> ¶</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0.08 (zinc) to 0.50 (manganese)</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4570" w:type="dxa"/>
            <w:gridSpan w:val="10"/>
            <w:vAlign w:val="center"/>
          </w:tcPr>
          <w:p w:rsidR="00627E95" w:rsidRPr="00627E95" w:rsidRDefault="00627E95" w:rsidP="00627E95">
            <w:pPr>
              <w:spacing w:line="360" w:lineRule="auto"/>
              <w:jc w:val="both"/>
              <w:rPr>
                <w:rFonts w:ascii="Times New Roman" w:hAnsi="Times New Roman" w:cs="Times New Roman"/>
                <w:b/>
                <w:sz w:val="24"/>
                <w:szCs w:val="24"/>
              </w:rPr>
            </w:pPr>
            <w:r w:rsidRPr="004639E3">
              <w:rPr>
                <w:rFonts w:ascii="Times New Roman" w:hAnsi="Times New Roman" w:cs="Times New Roman"/>
                <w:sz w:val="16"/>
                <w:szCs w:val="16"/>
              </w:rPr>
              <w:t xml:space="preserve">N.A.: Not applicable; </w:t>
            </w:r>
            <w:r w:rsidRPr="004639E3">
              <w:rPr>
                <w:rFonts w:ascii="Times New Roman" w:hAnsi="Times New Roman" w:cs="Times New Roman"/>
                <w:sz w:val="16"/>
                <w:szCs w:val="16"/>
                <w:vertAlign w:val="superscript"/>
              </w:rPr>
              <w:t>†</w:t>
            </w:r>
            <w:r w:rsidRPr="004639E3">
              <w:rPr>
                <w:rFonts w:ascii="Times New Roman" w:hAnsi="Times New Roman" w:cs="Times New Roman"/>
                <w:sz w:val="16"/>
                <w:szCs w:val="16"/>
              </w:rPr>
              <w:t xml:space="preserve">N. I.: No Information; </w:t>
            </w:r>
            <w:r w:rsidRPr="004639E3">
              <w:rPr>
                <w:rFonts w:ascii="Times New Roman" w:hAnsi="Times New Roman" w:cs="Times New Roman"/>
                <w:sz w:val="16"/>
                <w:szCs w:val="16"/>
                <w:vertAlign w:val="superscript"/>
              </w:rPr>
              <w:t>‡</w:t>
            </w:r>
            <w:r w:rsidRPr="004639E3">
              <w:rPr>
                <w:rFonts w:ascii="Times New Roman" w:hAnsi="Times New Roman" w:cs="Times New Roman"/>
                <w:sz w:val="16"/>
                <w:szCs w:val="16"/>
              </w:rPr>
              <w:t>Spearman/Pearson correlations coefficients;</w:t>
            </w:r>
            <w:r w:rsidRPr="004639E3">
              <w:rPr>
                <w:rFonts w:ascii="Times New Roman" w:hAnsi="Times New Roman" w:cs="Times New Roman"/>
                <w:sz w:val="16"/>
                <w:szCs w:val="16"/>
                <w:vertAlign w:val="superscript"/>
              </w:rPr>
              <w:t xml:space="preserve"> §</w:t>
            </w:r>
            <w:r w:rsidRPr="004639E3">
              <w:rPr>
                <w:rFonts w:ascii="Times New Roman" w:hAnsi="Times New Roman" w:cs="Times New Roman"/>
                <w:sz w:val="16"/>
                <w:szCs w:val="16"/>
              </w:rPr>
              <w:t xml:space="preserve"> Cohen’s kappa; </w:t>
            </w:r>
            <w:r w:rsidRPr="004639E3">
              <w:rPr>
                <w:rFonts w:ascii="Times New Roman" w:hAnsi="Times New Roman" w:cs="Times New Roman"/>
                <w:sz w:val="16"/>
                <w:szCs w:val="16"/>
                <w:vertAlign w:val="superscript"/>
              </w:rPr>
              <w:t xml:space="preserve">|| </w:t>
            </w:r>
            <w:r w:rsidRPr="004639E3">
              <w:rPr>
                <w:rFonts w:ascii="Times New Roman" w:hAnsi="Times New Roman" w:cs="Times New Roman"/>
                <w:sz w:val="16"/>
                <w:szCs w:val="16"/>
              </w:rPr>
              <w:t>Bland-Altman</w:t>
            </w:r>
            <w:r w:rsidR="00CB01D6">
              <w:rPr>
                <w:rFonts w:ascii="Times New Roman" w:hAnsi="Times New Roman" w:cs="Times New Roman"/>
                <w:sz w:val="16"/>
                <w:szCs w:val="16"/>
              </w:rPr>
              <w:t xml:space="preserve"> </w:t>
            </w:r>
            <w:r w:rsidRPr="004639E3">
              <w:rPr>
                <w:rFonts w:ascii="Times New Roman" w:hAnsi="Times New Roman" w:cs="Times New Roman"/>
                <w:sz w:val="16"/>
                <w:szCs w:val="16"/>
              </w:rPr>
              <w:t xml:space="preserve">mean and 95% CI; </w:t>
            </w:r>
            <w:r w:rsidRPr="004639E3">
              <w:rPr>
                <w:rFonts w:ascii="Times New Roman" w:hAnsi="Times New Roman" w:cs="Times New Roman"/>
                <w:sz w:val="16"/>
                <w:szCs w:val="16"/>
                <w:vertAlign w:val="superscript"/>
              </w:rPr>
              <w:t>¶</w:t>
            </w:r>
            <w:r w:rsidRPr="004639E3">
              <w:rPr>
                <w:rFonts w:ascii="Times New Roman" w:hAnsi="Times New Roman" w:cs="Times New Roman"/>
                <w:sz w:val="16"/>
                <w:szCs w:val="16"/>
              </w:rPr>
              <w:t>Agreement in the same (or same and adjacent) percentile; **Intra-class</w:t>
            </w:r>
            <w:r w:rsidR="00CB01D6">
              <w:rPr>
                <w:rFonts w:ascii="Times New Roman" w:hAnsi="Times New Roman" w:cs="Times New Roman"/>
                <w:sz w:val="16"/>
                <w:szCs w:val="16"/>
              </w:rPr>
              <w:t xml:space="preserve"> </w:t>
            </w:r>
            <w:r w:rsidRPr="004639E3">
              <w:rPr>
                <w:rFonts w:ascii="Times New Roman" w:hAnsi="Times New Roman" w:cs="Times New Roman"/>
                <w:sz w:val="16"/>
                <w:szCs w:val="16"/>
              </w:rPr>
              <w:t xml:space="preserve">correlations coefficients. </w:t>
            </w:r>
          </w:p>
        </w:tc>
      </w:tr>
      <w:tr w:rsidR="00627E95" w:rsidRPr="004639E3" w:rsidTr="00007A39">
        <w:trPr>
          <w:trHeight w:val="567"/>
        </w:trPr>
        <w:tc>
          <w:tcPr>
            <w:tcW w:w="1349" w:type="dxa"/>
            <w:vMerge w:val="restart"/>
            <w:tcBorders>
              <w:top w:val="single" w:sz="4" w:space="0" w:color="auto"/>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lastRenderedPageBreak/>
              <w:t>Author/Year</w:t>
            </w:r>
          </w:p>
        </w:tc>
        <w:tc>
          <w:tcPr>
            <w:tcW w:w="1017" w:type="dxa"/>
            <w:vMerge w:val="restart"/>
            <w:tcBorders>
              <w:top w:val="single" w:sz="4" w:space="0" w:color="auto"/>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Country</w:t>
            </w:r>
          </w:p>
        </w:tc>
        <w:tc>
          <w:tcPr>
            <w:tcW w:w="1320" w:type="dxa"/>
            <w:vMerge w:val="restart"/>
            <w:tcBorders>
              <w:top w:val="single" w:sz="4" w:space="0" w:color="auto"/>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Reference method</w:t>
            </w:r>
          </w:p>
        </w:tc>
        <w:tc>
          <w:tcPr>
            <w:tcW w:w="1559" w:type="dxa"/>
            <w:vMerge w:val="restart"/>
            <w:tcBorders>
              <w:top w:val="single" w:sz="4" w:space="0" w:color="auto"/>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Sample</w:t>
            </w:r>
          </w:p>
        </w:tc>
        <w:tc>
          <w:tcPr>
            <w:tcW w:w="3260" w:type="dxa"/>
            <w:gridSpan w:val="3"/>
            <w:tcBorders>
              <w:top w:val="single" w:sz="4" w:space="0" w:color="auto"/>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FFQ characteristics</w:t>
            </w:r>
          </w:p>
        </w:tc>
        <w:tc>
          <w:tcPr>
            <w:tcW w:w="4536" w:type="dxa"/>
            <w:gridSpan w:val="2"/>
            <w:tcBorders>
              <w:top w:val="single" w:sz="4" w:space="0" w:color="auto"/>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Validity Study</w:t>
            </w:r>
          </w:p>
        </w:tc>
        <w:tc>
          <w:tcPr>
            <w:tcW w:w="1529" w:type="dxa"/>
            <w:tcBorders>
              <w:top w:val="single" w:sz="4" w:space="0" w:color="auto"/>
              <w:bottom w:val="single" w:sz="4"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Reproducibility Study</w:t>
            </w:r>
          </w:p>
        </w:tc>
      </w:tr>
      <w:tr w:rsidR="00627E95" w:rsidRPr="004639E3" w:rsidTr="00007A39">
        <w:trPr>
          <w:trHeight w:val="567"/>
        </w:trPr>
        <w:tc>
          <w:tcPr>
            <w:tcW w:w="1349" w:type="dxa"/>
            <w:vMerge/>
            <w:tcBorders>
              <w:top w:val="single" w:sz="4" w:space="0" w:color="auto"/>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p>
        </w:tc>
        <w:tc>
          <w:tcPr>
            <w:tcW w:w="1017" w:type="dxa"/>
            <w:vMerge/>
            <w:tcBorders>
              <w:top w:val="single" w:sz="4" w:space="0" w:color="auto"/>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p>
        </w:tc>
        <w:tc>
          <w:tcPr>
            <w:tcW w:w="1320" w:type="dxa"/>
            <w:vMerge/>
            <w:tcBorders>
              <w:top w:val="single" w:sz="4" w:space="0" w:color="auto"/>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p>
        </w:tc>
        <w:tc>
          <w:tcPr>
            <w:tcW w:w="1559" w:type="dxa"/>
            <w:vMerge/>
            <w:tcBorders>
              <w:top w:val="single" w:sz="4" w:space="0" w:color="auto"/>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p>
        </w:tc>
        <w:tc>
          <w:tcPr>
            <w:tcW w:w="1134" w:type="dxa"/>
            <w:tcBorders>
              <w:top w:val="single" w:sz="4" w:space="0" w:color="auto"/>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Type of FFQ</w:t>
            </w:r>
          </w:p>
        </w:tc>
        <w:tc>
          <w:tcPr>
            <w:tcW w:w="1151" w:type="dxa"/>
            <w:tcBorders>
              <w:top w:val="single" w:sz="4" w:space="0" w:color="auto"/>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Number of food items</w:t>
            </w:r>
          </w:p>
        </w:tc>
        <w:tc>
          <w:tcPr>
            <w:tcW w:w="975" w:type="dxa"/>
            <w:tcBorders>
              <w:top w:val="single" w:sz="4" w:space="0" w:color="auto"/>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Reference time period</w:t>
            </w:r>
          </w:p>
        </w:tc>
        <w:tc>
          <w:tcPr>
            <w:tcW w:w="2135" w:type="dxa"/>
            <w:tcBorders>
              <w:top w:val="single" w:sz="4" w:space="0" w:color="auto"/>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Range of Correlation (energy-adjusted)</w:t>
            </w:r>
          </w:p>
        </w:tc>
        <w:tc>
          <w:tcPr>
            <w:tcW w:w="2401" w:type="dxa"/>
            <w:tcBorders>
              <w:top w:val="single" w:sz="4" w:space="0" w:color="auto"/>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Level of Agreement (unadjusted)</w:t>
            </w:r>
          </w:p>
        </w:tc>
        <w:tc>
          <w:tcPr>
            <w:tcW w:w="1529" w:type="dxa"/>
            <w:tcBorders>
              <w:top w:val="single" w:sz="4" w:space="0" w:color="auto"/>
              <w:bottom w:val="single" w:sz="12" w:space="0" w:color="auto"/>
            </w:tcBorders>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Range of Correlation</w:t>
            </w:r>
          </w:p>
        </w:tc>
      </w:tr>
      <w:tr w:rsidR="00627E95" w:rsidRPr="004639E3" w:rsidTr="00007A39">
        <w:trPr>
          <w:trHeight w:val="567"/>
        </w:trPr>
        <w:tc>
          <w:tcPr>
            <w:tcW w:w="1349" w:type="dxa"/>
            <w:vAlign w:val="center"/>
          </w:tcPr>
          <w:p w:rsidR="00627E95" w:rsidRPr="004639E3" w:rsidRDefault="00627E95" w:rsidP="00473705">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Segovia-</w:t>
            </w:r>
            <w:proofErr w:type="spellStart"/>
            <w:r w:rsidRPr="004639E3">
              <w:rPr>
                <w:rFonts w:ascii="Times New Roman" w:hAnsi="Times New Roman" w:cs="Times New Roman"/>
                <w:bCs/>
                <w:sz w:val="18"/>
                <w:szCs w:val="18"/>
              </w:rPr>
              <w:t>Siapco</w:t>
            </w:r>
            <w:proofErr w:type="spellEnd"/>
            <w:r w:rsidR="00473705">
              <w:rPr>
                <w:rFonts w:ascii="Times New Roman" w:hAnsi="Times New Roman" w:cs="Times New Roman"/>
                <w:bCs/>
                <w:sz w:val="18"/>
                <w:szCs w:val="18"/>
              </w:rPr>
              <w:t xml:space="preserve">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(200</w:t>
            </w:r>
            <w:r w:rsidR="00473705">
              <w:rPr>
                <w:rFonts w:ascii="Times New Roman" w:hAnsi="Times New Roman" w:cs="Times New Roman"/>
                <w:bCs/>
                <w:sz w:val="18"/>
                <w:szCs w:val="18"/>
              </w:rPr>
              <w:t>7</w:t>
            </w:r>
            <w:r w:rsidRPr="004639E3">
              <w:rPr>
                <w:rFonts w:ascii="Times New Roman" w:hAnsi="Times New Roman" w:cs="Times New Roman"/>
                <w:bCs/>
                <w:sz w:val="18"/>
                <w:szCs w:val="18"/>
              </w:rPr>
              <w:t>)</w:t>
            </w:r>
            <w:r w:rsidR="00CB01D6">
              <w:rPr>
                <w:rFonts w:ascii="Times New Roman" w:hAnsi="Times New Roman" w:cs="Times New Roman"/>
                <w:bCs/>
                <w:sz w:val="18"/>
                <w:szCs w:val="18"/>
              </w:rPr>
              <w:t xml:space="preserve">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{"citationItems":[{"id":"ITEM-1","itemData":{"DOI":"10.1017/S1368980007226047","ISBN":"1368980007","ISSN":"1368-9800","PMID":"17261227","abstract":"OBJECTIVE: To validate a 171-item semi-quantitative food-frequency questionnaire (FFQ) for measurement of nutrient intake in an intervention trial based on walnut supplementation. DESIGN AND SETTING: Free-living adults from Southern California were randomly assigned to either an intervention (walnut-supplemented) or a control diet. The prescribed 6-month intervention was &gt; or = 28 g of walnuts per day for the walnut-supplemented group and &gt; or = 2 g of walnuts per day for the control group. Participants provided at least six 24-hour dietary recalls and completed a self-administered FFQ. SUBJECTS: Eighty-seven adults aged 30-72 years (48 females, 39 males). RESULTS: Our findings from validation (by correlation with six diet recall measures) of the measurement of 32 nutrients by the FFQ are as follows. We found significant positive correlations (corrected for measurement error) between the FFQ and diet recalls for total energy (r = 0.34), total carbohydrate (r = 0.42), vegetable protein (r = 0.43), total fat (r = 0.51), polyunsaturated fat (r = 0.77), total fibre (r = 0.60), linoleic acid (r = 0.78) and alpha-linolenic acid (r = 0.79) - the last nutrient being an excellent nutrient biomarker of the intervention (walnut supplementation). Significant positive correlations were also found for vitamin C (r = 0.96) and certain minerals (r = 0.46-0.80 for calcium, phosphorus, magnesium, iron and potassium). Uncorrected correlations were also high (r&gt;0.40) for retinol, beta-carotene, folate and alcohol. Both diet recalls and FFQ showed a similar significant difference in alpha-linolenic acid content between the walnut-supplemented and control diets. CONCLUSIONS: The FFQ demonstrated good relative validity in the estimation intake of some of the major nutrients in a dietary intervention trial and was a particularly valid estimate of an important nutrient biomarker of walnut supplementation.","author":[{"dropping-particle":"","family":"Segovia-Siapco","given":"Gina","non-dropping-particle":"","parse-names":false,"suffix":""},{"dropping-particle":"","family":"Singh","given":"Pramil","non-dropping-particle":"","parse-names":false,"suffix":""},{"dropping-particle":"","family":"Jaceldo-Siegl","given":"Karen","non-dropping-particle":"","parse-names":false,"suffix":""},{"dropping-particle":"","family":"Sabaté","given":"Joan","non-dropping-particle":"","parse-names":false,"suffix":""}],"container-title":"Public health nutrition","id":"ITEM-1","issue":"2","issued":{"date-parts":[["2007"]]},"page":"177-184","title":"Validation of a food-frequency questionnaire for measurement of nutrient intake in a dietary intervention study.","type":"article-journal","volume":"10"},"uris":["http://www.mendeley.com/documents/?uuid=4e34ea26-306f-4ec9-83b9-2298022a4db6"]}],"mendeley":{"formattedCitation":"(33)","plainTextFormattedCitation":"(33)","previouslyFormattedCitation":"(33)"},"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(3</w:t>
            </w:r>
            <w:r w:rsidR="00473705">
              <w:rPr>
                <w:rFonts w:ascii="Times New Roman" w:hAnsi="Times New Roman" w:cs="Times New Roman"/>
                <w:bCs/>
                <w:noProof/>
                <w:sz w:val="18"/>
                <w:szCs w:val="18"/>
              </w:rPr>
              <w:t>4</w:t>
            </w:r>
            <w:r w:rsidRPr="004639E3">
              <w:rPr>
                <w:rFonts w:ascii="Times New Roman" w:hAnsi="Times New Roman" w:cs="Times New Roman"/>
                <w:bCs/>
                <w:noProof/>
                <w:sz w:val="18"/>
                <w:szCs w:val="18"/>
              </w:rPr>
              <w:t>)</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Southern California</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Six </w:t>
            </w:r>
            <w:r w:rsidRPr="004639E3">
              <w:rPr>
                <w:rFonts w:ascii="Times New Roman" w:hAnsi="Times New Roman" w:cs="Times New Roman"/>
                <w:bCs/>
                <w:sz w:val="20"/>
                <w:szCs w:val="24"/>
              </w:rPr>
              <w:t>24hR</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87 adults</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171</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6 months</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De-attenuated: 0.33 (95% CI -0.36-0.67) (protein) – 0.96 (95% CI 0.40-1.00) (vit. C)</w:t>
            </w:r>
            <w:r w:rsidRPr="004639E3">
              <w:rPr>
                <w:rFonts w:ascii="Times New Roman" w:hAnsi="Times New Roman" w:cs="Times New Roman"/>
                <w:bCs/>
                <w:sz w:val="18"/>
                <w:szCs w:val="18"/>
                <w:vertAlign w:val="superscript"/>
              </w:rPr>
              <w:t xml:space="preserve"> ‡</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N.I.</w:t>
            </w:r>
            <w:r w:rsidRPr="004639E3">
              <w:rPr>
                <w:rFonts w:ascii="Times New Roman" w:hAnsi="Times New Roman" w:cs="Times New Roman"/>
                <w:bCs/>
                <w:sz w:val="16"/>
                <w:szCs w:val="16"/>
                <w:vertAlign w:val="superscript"/>
              </w:rPr>
              <w:t>†</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N.A.</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349" w:type="dxa"/>
            <w:vAlign w:val="center"/>
          </w:tcPr>
          <w:p w:rsidR="00627E95" w:rsidRPr="004639E3" w:rsidRDefault="00627E95" w:rsidP="00473705">
            <w:pPr>
              <w:contextualSpacing/>
              <w:jc w:val="center"/>
              <w:rPr>
                <w:rFonts w:ascii="Times New Roman" w:hAnsi="Times New Roman" w:cs="Times New Roman"/>
                <w:bCs/>
                <w:sz w:val="18"/>
                <w:szCs w:val="18"/>
              </w:rPr>
            </w:pPr>
            <w:proofErr w:type="spellStart"/>
            <w:r w:rsidRPr="004639E3">
              <w:rPr>
                <w:rFonts w:ascii="Times New Roman" w:hAnsi="Times New Roman" w:cs="Times New Roman"/>
                <w:bCs/>
                <w:sz w:val="18"/>
                <w:szCs w:val="18"/>
              </w:rPr>
              <w:t>Mouratidou</w:t>
            </w:r>
            <w:proofErr w:type="spellEnd"/>
            <w:r w:rsidR="00473705">
              <w:rPr>
                <w:rFonts w:ascii="Times New Roman" w:hAnsi="Times New Roman" w:cs="Times New Roman"/>
                <w:bCs/>
                <w:sz w:val="18"/>
                <w:szCs w:val="18"/>
              </w:rPr>
              <w:t xml:space="preserve">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(2005)</w:t>
            </w:r>
            <w:r w:rsidR="00CB01D6">
              <w:rPr>
                <w:rFonts w:ascii="Times New Roman" w:hAnsi="Times New Roman" w:cs="Times New Roman"/>
                <w:bCs/>
                <w:sz w:val="18"/>
                <w:szCs w:val="18"/>
              </w:rPr>
              <w:t xml:space="preserve">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{"citationItems":[{"id":"ITEM-1","itemData":{"DOI":"10.1079/PHN2005876","ISBN":"13689800 (ISSN)","ISSN":"1368-9800","PMID":"16870025","abstract":"OBJECTIVES: As a part of an ongoing project to develop a nutritional screening tool, we evaluated the performance of a semi-quantitative food-frequency questionnaire (FFQ) in terms of validity in a Sheffield Caucasian pregnant population using two different statistical approaches--the correlation coefficient and the limits of agreement (LOA). The FFQ was designed specifically for pregnant women and previously used in a large-scale study. DESIGN: A validation study. SETTING: A community-based field study of a general population of pregnant women booked for their first antenatal appointment at the Jessop Wing, Royal Hallamshire Hospital, Sheffield, UK. SUBJECTS: One hundred and twenty-three women of different socio-economic status, aged between 17 and 43 years, provided complete dietary data. RESULTS: The validity of the FFQ was tested against a series of two 24-hour recalls. As expected, the intakes of all examined nutrients, except for iodine, carotene, vitamin E, biotin, vitamin C and alcohol, were higher when determined by the FFQ than when determined by 24-hour recall. Pearson's correlation coefficient between the two methods ranged from 0.19 (added sugar, zinc) to 0.47 (Englyst fibre). The LOA were broader for some of the nutrients, e.g. protein, Southgate fibre and alcohol, and an increasing lack of agreement between the two methods was identified with higher dietary intakes. CONCLUSIONS: The FFQ gave useful estimates of the nutrient intakes of Caucasian pregnant women and appears to be a valid tool for categorising pregnant women according to dietary intake. The FFQ performed well for most nutrients and had acceptable agreement with the 24-hour recall.","author":[{"dropping-particle":"","family":"Mouratidou","given":"Theodora","non-dropping-particle":"","parse-names":false,"suffix":""},{"dropping-particle":"","family":"Ford","given":"Fiona","non-dropping-particle":"","parse-names":false,"suffix":""},{"dropping-particle":"","family":"Fraser","given":"Robert B","non-dropping-particle":"","parse-names":false,"suffix":""}],"container-title":"Public health nutrition","id":"ITEM-1","issue":"4","issued":{"date-parts":[["2005"]]},"page":"515-522","title":"Validation of a food-frequency questionnaire for use in pregnancy.","type":"article-journal","volume":"9"},"uris":["http://www.mendeley.com/documents/?uuid=7d4df7df-6da7-4b2b-b117-202c64e70463"]}],"mendeley":{"formattedCitation":"(28)","plainTextFormattedCitation":"(28)","previouslyFormattedCitation":"(28)"},"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(2</w:t>
            </w:r>
            <w:r w:rsidR="00473705">
              <w:rPr>
                <w:rFonts w:ascii="Times New Roman" w:hAnsi="Times New Roman" w:cs="Times New Roman"/>
                <w:bCs/>
                <w:noProof/>
                <w:sz w:val="18"/>
                <w:szCs w:val="18"/>
              </w:rPr>
              <w:t>9</w:t>
            </w:r>
            <w:r w:rsidRPr="004639E3">
              <w:rPr>
                <w:rFonts w:ascii="Times New Roman" w:hAnsi="Times New Roman" w:cs="Times New Roman"/>
                <w:bCs/>
                <w:noProof/>
                <w:sz w:val="18"/>
                <w:szCs w:val="18"/>
              </w:rPr>
              <w:t>)</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United Kingdom</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Two </w:t>
            </w:r>
            <w:r w:rsidRPr="004639E3">
              <w:rPr>
                <w:rFonts w:ascii="Times New Roman" w:hAnsi="Times New Roman" w:cs="Times New Roman"/>
                <w:bCs/>
                <w:sz w:val="20"/>
                <w:szCs w:val="24"/>
              </w:rPr>
              <w:t>24hR</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123 pregnant women</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17</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month</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Crude: -0.15 (potassium) to 0.47 (</w:t>
            </w:r>
            <w:proofErr w:type="spellStart"/>
            <w:r w:rsidRPr="004639E3">
              <w:rPr>
                <w:rFonts w:ascii="Times New Roman" w:hAnsi="Times New Roman" w:cs="Times New Roman"/>
                <w:bCs/>
                <w:sz w:val="18"/>
                <w:szCs w:val="18"/>
              </w:rPr>
              <w:t>Englyst</w:t>
            </w:r>
            <w:proofErr w:type="spellEnd"/>
            <w:r w:rsidRPr="004639E3">
              <w:rPr>
                <w:rFonts w:ascii="Times New Roman" w:hAnsi="Times New Roman" w:cs="Times New Roman"/>
                <w:bCs/>
                <w:sz w:val="18"/>
                <w:szCs w:val="18"/>
              </w:rPr>
              <w:t xml:space="preserve"> ﬁbre)</w:t>
            </w:r>
            <w:r w:rsidRPr="004639E3">
              <w:rPr>
                <w:rFonts w:ascii="Times New Roman" w:hAnsi="Times New Roman" w:cs="Times New Roman"/>
                <w:bCs/>
                <w:sz w:val="18"/>
                <w:szCs w:val="18"/>
                <w:vertAlign w:val="superscript"/>
              </w:rPr>
              <w:t xml:space="preserve"> ‡</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48.0% (alcohol) – 70.7% (</w:t>
            </w:r>
            <w:proofErr w:type="spellStart"/>
            <w:r w:rsidRPr="004639E3">
              <w:rPr>
                <w:rFonts w:ascii="Times New Roman" w:hAnsi="Times New Roman" w:cs="Times New Roman"/>
                <w:bCs/>
                <w:sz w:val="18"/>
                <w:szCs w:val="18"/>
              </w:rPr>
              <w:t>Englyst</w:t>
            </w:r>
            <w:proofErr w:type="spellEnd"/>
            <w:r w:rsidRPr="004639E3">
              <w:rPr>
                <w:rFonts w:ascii="Times New Roman" w:hAnsi="Times New Roman" w:cs="Times New Roman"/>
                <w:bCs/>
                <w:sz w:val="18"/>
                <w:szCs w:val="18"/>
              </w:rPr>
              <w:t xml:space="preserve"> ﬁbre)</w:t>
            </w:r>
            <w:r w:rsidRPr="004639E3">
              <w:rPr>
                <w:rFonts w:ascii="Times New Roman" w:hAnsi="Times New Roman" w:cs="Times New Roman"/>
                <w:bCs/>
                <w:sz w:val="18"/>
                <w:szCs w:val="18"/>
                <w:vertAlign w:val="superscript"/>
              </w:rPr>
              <w:t xml:space="preserve"> ¶</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N.A.</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4570" w:type="dxa"/>
            <w:gridSpan w:val="10"/>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NO ASSESSMENT OF ABSOLUTE INTAKES/ OTHER REFERENCE METHOD</w:t>
            </w:r>
          </w:p>
        </w:tc>
      </w:tr>
      <w:tr w:rsidR="00627E95" w:rsidRPr="004639E3" w:rsidTr="00007A39">
        <w:trPr>
          <w:trHeight w:val="567"/>
        </w:trPr>
        <w:tc>
          <w:tcPr>
            <w:tcW w:w="1349" w:type="dxa"/>
            <w:vAlign w:val="center"/>
          </w:tcPr>
          <w:p w:rsidR="00627E95" w:rsidRPr="004639E3" w:rsidRDefault="00627E95" w:rsidP="00007A39">
            <w:pPr>
              <w:contextualSpacing/>
              <w:jc w:val="center"/>
              <w:rPr>
                <w:rFonts w:ascii="Times New Roman" w:hAnsi="Times New Roman" w:cs="Times New Roman"/>
                <w:bCs/>
                <w:sz w:val="18"/>
                <w:szCs w:val="18"/>
              </w:rPr>
            </w:pPr>
            <w:proofErr w:type="spellStart"/>
            <w:r w:rsidRPr="004639E3">
              <w:rPr>
                <w:rFonts w:ascii="Times New Roman" w:hAnsi="Times New Roman" w:cs="Times New Roman"/>
                <w:bCs/>
                <w:sz w:val="18"/>
                <w:szCs w:val="18"/>
              </w:rPr>
              <w:t>Landais</w:t>
            </w:r>
            <w:proofErr w:type="spellEnd"/>
            <w:r w:rsidR="00473705">
              <w:rPr>
                <w:rFonts w:ascii="Times New Roman" w:hAnsi="Times New Roman" w:cs="Times New Roman"/>
                <w:bCs/>
                <w:sz w:val="18"/>
                <w:szCs w:val="18"/>
              </w:rPr>
              <w:t xml:space="preserve">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(2014)</w:t>
            </w:r>
            <w:r w:rsidR="00CB01D6">
              <w:rPr>
                <w:rFonts w:ascii="Times New Roman" w:hAnsi="Times New Roman" w:cs="Times New Roman"/>
                <w:bCs/>
                <w:sz w:val="18"/>
                <w:szCs w:val="18"/>
              </w:rPr>
              <w:t xml:space="preserve">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10.1111/jhn.12131","ISSN":"1365277X","author":[{"dropping-particle":"","family":"Landais","given":"E.","non-dropping-particle":"","parse-names":false,"suffix":""},{"dropping-particle":"","family":"Gartner","given":"a.","non-dropping-particle":"","parse-names":false,"suffix":""},{"dropping-particle":"","family":"Bour","given":"a.","non-dropping-particle":"","parse-names":false,"suffix":""},{"dropping-particle":"","family":"Mccullough","given":"F.","non-dropping-particle":"","parse-names":false,"suffix":""},{"dropping-particle":"","family":"Delpeuch","given":"F.","non-dropping-particle":"","parse-names":false,"suffix":""},{"dropping-particle":"","family":"Holdsworth","given":"M.","non-dropping-particle":"","parse-names":false,"suffix":""}],"container-title":"Journal of Human Nutrition and Dietetics","id":"ITEM-1","issue":"SUPPL2","issued":{"date-parts":[["2014"]]},"page":"152-159","title":"Reproducibility and relative validity of a brief quantitative food frequency questionnaire for assessing fruit and vegetable intakes in North-African women","type":"article-journal","volume":"27"},"uris":["http://www.mendeley.com/documents/?uuid=488cc531-7cb3-487b-8f4b-887fa4cb34ba"]}],"mendeley":{"formattedCitation":"(40)","plainTextFormattedCitation":"(40)","previouslyFormattedCitation":"(40)"},"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(40)</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Morocco</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Three </w:t>
            </w:r>
            <w:r w:rsidRPr="004639E3">
              <w:rPr>
                <w:rFonts w:ascii="Times New Roman" w:hAnsi="Times New Roman" w:cs="Times New Roman"/>
                <w:bCs/>
                <w:sz w:val="20"/>
                <w:szCs w:val="24"/>
              </w:rPr>
              <w:t>24hR</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100 women</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Fruit and vegetable intakes: 8</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week</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0.48 (vegetables) – 0.67 (fruits)</w:t>
            </w:r>
            <w:r w:rsidRPr="004639E3">
              <w:rPr>
                <w:rFonts w:ascii="Times New Roman" w:hAnsi="Times New Roman" w:cs="Times New Roman"/>
                <w:bCs/>
                <w:sz w:val="18"/>
                <w:szCs w:val="18"/>
                <w:vertAlign w:val="superscript"/>
              </w:rPr>
              <w:t xml:space="preserve"> ‡</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N.I.</w:t>
            </w:r>
            <w:r w:rsidRPr="004639E3">
              <w:rPr>
                <w:rFonts w:ascii="Times New Roman" w:hAnsi="Times New Roman" w:cs="Times New Roman"/>
                <w:bCs/>
                <w:sz w:val="16"/>
                <w:szCs w:val="16"/>
                <w:vertAlign w:val="superscript"/>
              </w:rPr>
              <w:t>†</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0.48 (vegetables) – 0.54 (fruits)</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34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Morita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(2015)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{"citationItems":[{"id":"ITEM-1","itemData":{"DOI":"10.1002/ajhb.22647","ISBN":"1520-6300 (Electronic)\\r1042-0533 (Linking)","ISSN":"15206300","PMID":"25367668","abstract":"Objectives: The aim of this article was to develop a semi-quantitative food frequency questionnaire (FFQ) and eval- uate its validity to estimate habitual protein intake, and investigate current dietary protein intakes of Papua New Guinea (PNG) Highlanders. Methods: A 32-item FFQ was developed and tested among 135 healthy male and female volunteers. The FFQ- estimated daily total and animal protein intakes were compared with biomarkers and 3-day Weighed Food Records (WFR) by correlation analyses, Bland–Altman plot analyses and joint classification analyses. Results: The FFQ-estimated total protein intake significantly correlated with urinary nitrogen in the first morning void after adjusting urinary creatinine concentration (r50.28, P&lt;0.01) and the FFQ-estimated animal protein intake significantly correlated with the hair d15N (Spearman’s r50.34, P&lt;0.001). The limits of agreement were62.39 Z-score residuals for total protein intake and 62.19 Z-score for animal protein intake, and intra-individual differences increased as protein intake increased. The classification into the same and adjacent quartiles was 66.0% for total pro- tein intake and 73.6% for animal protein intake. Median daily total and animal protein intake estimates from the FFQ and the 3-day WFR showed a good agreement with differences of 0.2 and 4.9 g, respectively. None of the studied com- munities in the PNG Highlands met the biologically required protein intake; although the community closer to an urban center showed higher protein intake than the more remote communities. Conclusions: The newly developed 32-item FFQ for PNG Highlanders is applicable for evaluation of protein intake C at the individual level.","author":[{"dropping-particle":"","family":"Morita","given":"Ayako","non-dropping-particle":"","parse-names":false,"suffix":""},{"dropping-particle":"","family":"Natsuhara","given":"Kazumi","non-dropping-particle":"","parse-names":false,"suffix":""},{"dropping-particle":"","family":"Tomitsuka","given":"Eriko","non-dropping-particle":"","parse-names":false,"suffix":""},{"dropping-particle":"","family":"Odani","given":"Shingo","non-dropping-particle":"","parse-names":false,"suffix":""},{"dropping-particle":"","family":"Baba","given":"Jun","non-dropping-particle":"","parse-names":false,"suffix":""},{"dropping-particle":"","family":"Tadokoro","given":"Kiyoshi","non-dropping-particle":"","parse-names":false,"suffix":""},{"dropping-particle":"","family":"Igai","given":"Katsura","non-dropping-particle":"","parse-names":false,"suffix":""},{"dropping-particle":"","family":"Greenhill","given":"Andrew R.","non-dropping-particle":"","parse-names":false,"suffix":""},{"dropping-particle":"","family":"Horwood","given":"Paul F.","non-dropping-particle":"","parse-names":false,"suffix":""},{"dropping-particle":"","family":"Soli","given":"Kevin W.","non-dropping-particle":"","parse-names":false,"suffix":""},{"dropping-particle":"","family":"Phuanukoonnon","given":"Suparat","non-dropping-particle":"","parse-names":false,"suffix":""},{"dropping-particle":"","family":"Siba","given":"Peter M.","non-dropping-particle":"","parse-names":false,"suffix":""},{"dropping-particle":"","family":"Umezaki","given":"Masahiro","non-dropping-particle":"","parse-names":false,"suffix":""}],"container-title":"American Journal of Human Biology","id":"ITEM-1","issue":"3","issued":{"date-parts":[["2015"]]},"page":"349-357","title":"Development, validation, and use of a semi-quantitative food frequency questionnaire for assessing protein intake in Papua New Guinean Highlanders","type":"article-journal","volume":"27"},"uris":["http://www.mendeley.com/documents/?uuid=77fd9a05-6d30-4b4b-b900-64eb7e5c79c6"]}],"mendeley":{"formattedCitation":"(41)","plainTextFormattedCitation":"(41)","previouslyFormattedCitation":"(41)"},"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(41)</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Papua New Guinea</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Biomarkers and three-day Weighed Food Records</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135 adults</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Protein intake: 32</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month</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Median protein intake did not differ signiﬁcantly in total protein intake (P=0.56) or animal protein intake (P=0.33)</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FFQ vs. biomarkers:</w:t>
            </w:r>
          </w:p>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27.2% (total protein) – 34.8% (animal protein)</w:t>
            </w:r>
            <w:r w:rsidRPr="004639E3">
              <w:rPr>
                <w:rFonts w:ascii="Times New Roman" w:hAnsi="Times New Roman" w:cs="Times New Roman"/>
                <w:bCs/>
                <w:sz w:val="18"/>
                <w:szCs w:val="18"/>
                <w:vertAlign w:val="superscript"/>
              </w:rPr>
              <w:t xml:space="preserve"> ¶</w:t>
            </w:r>
          </w:p>
          <w:p w:rsidR="00627E95" w:rsidRPr="004639E3" w:rsidRDefault="00627E95" w:rsidP="00007A39">
            <w:pPr>
              <w:contextualSpacing/>
              <w:jc w:val="center"/>
              <w:rPr>
                <w:rFonts w:ascii="Times New Roman" w:hAnsi="Times New Roman" w:cs="Times New Roman"/>
                <w:bCs/>
                <w:sz w:val="18"/>
                <w:szCs w:val="18"/>
              </w:rPr>
            </w:pP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N.A.</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34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Jayawardena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(2016)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{"citationItems":[{"id":"ITEM-1","itemData":{"DOI":"10.1186/s40064-016-1837-x","ISSN":"2193-1801","PMID":"27026859","abstract":"Sri Lanka is undergoing nutritional transition and diet-related chronic diseases are emerging as an important health problem. Currently, no validated food frequency questionnaire (FFQ) exists to measure habitual dietary intake of Sri Lankan adults. The purpose of the study is to assess the validity of a semi-quantitative FFQ and 7-day weighed-intake dietary records (7DWR), designed to assess dietary intake among Sri Lankan adults. Dietary intake was measured using both a FFQ and 7DWR. The FFQ consisted of 8 food groups containing the main foods comprising the diet of Sri Lankan adults, a total of 85 items and 12 color photographs to identify serving size. One hundred healthy adults were randomly recruited from a community sample and administrated the FFQ followed by completion of the 7DWR. Paired sample t tests, Pearson's correlation coefficients, kappa test and Bland-Altman analysis were conducted to determine correlation and the level of agreement for energy and micronutrients. Seventy-seven participants completed both the FFQ and 7DWR. Estimated mean energy intake (SD) from FFQ (1794 ± 398 kcal) and 7DWR (1698 ± 333 kcal, p &lt; 0.001) were significantly different due to a significant overestimation of carbohydrate (11.5 g/day, p &lt; 0.001) and to some extent fat (5.7 g/day, ns). Significant positive correlations (p &lt; 0.05) were found between the FFQ and 7DWR for energy (r = 0.39), carbohydrate (r = 0.47), protein (r = 0.26), fat (r = 0.17) and dietary fiber (r = 0.32). Bland-Altman graphs indicated fairly good agreement between methods with no relationship between bias and average intake of each nutrient examined. Based on these findings, the FFQ appears to be an acceptable tool for assessing the nutrient intake of Sri Lankans and will assist proper categorization of individuals by dietary intake.","author":[{"dropping-particle":"","family":"Jayawardena","given":"Ranil","non-dropping-particle":"","parse-names":false,"suffix":""},{"dropping-particle":"","family":"Byrne","given":"Nuala M","non-dropping-particle":"","parse-names":false,"suffix":""},{"dropping-particle":"","family":"Soares","given":"Mario J","non-dropping-particle":"","parse-names":false,"suffix":""},{"dropping-particle":"","family":"Katulanda","given":"Prasad","non-dropping-particle":"","parse-names":false,"suffix":""},{"dropping-particle":"","family":"Hills","given":"Andrew P","non-dropping-particle":"","parse-names":false,"suffix":""}],"container-title":"SpringerPlus","id":"ITEM-1","issued":{"date-parts":[["2016"]]},"page":"162","publisher":"Springer International Publishing","title":"Validity of a food frequency questionnaire to assess nutritional intake among Sri Lankan adults.","type":"article-journal","volume":"5"},"uris":["http://www.mendeley.com/documents/?uuid=9f34e79f-ac22-4a8d-baa1-63d44f787d31"]}],"mendeley":{"formattedCitation":"(42)","plainTextFormattedCitation":"(42)","previouslyFormattedCitation":"(42)"},"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(42)</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Sri Lanka</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7-day weighed-intake dietary records</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77 adults</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85</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month</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0.09 (vit. E) – 0.47 (carbohydrates) </w:t>
            </w:r>
            <w:r w:rsidRPr="004639E3">
              <w:rPr>
                <w:rFonts w:ascii="Times New Roman" w:hAnsi="Times New Roman" w:cs="Times New Roman"/>
                <w:bCs/>
                <w:sz w:val="18"/>
                <w:szCs w:val="18"/>
                <w:vertAlign w:val="superscript"/>
              </w:rPr>
              <w:t>‡</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Mean: -96.20 (mean-2SD: -897.05 mean+2SD: 704.64) (energy) – Mean: -40.92 (mean-2SD: -180.09, mean+2SD: 98.25) (carbohydrates) </w:t>
            </w:r>
            <w:r w:rsidRPr="004639E3">
              <w:rPr>
                <w:rFonts w:ascii="Times New Roman" w:hAnsi="Times New Roman" w:cs="Times New Roman"/>
                <w:bCs/>
                <w:sz w:val="18"/>
                <w:szCs w:val="18"/>
                <w:vertAlign w:val="superscript"/>
              </w:rPr>
              <w:t>||</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N.A.</w:t>
            </w:r>
            <w:r w:rsidRPr="004639E3">
              <w:rPr>
                <w:rFonts w:ascii="Times New Roman" w:hAnsi="Times New Roman" w:cs="Times New Roman"/>
                <w:bCs/>
                <w:sz w:val="18"/>
                <w:szCs w:val="18"/>
                <w:vertAlign w:val="superscript"/>
              </w:rPr>
              <w:t xml:space="preserve"> *</w:t>
            </w:r>
          </w:p>
        </w:tc>
      </w:tr>
      <w:tr w:rsidR="00627E95" w:rsidRPr="00627E95" w:rsidTr="00007A39">
        <w:trPr>
          <w:trHeight w:val="567"/>
        </w:trPr>
        <w:tc>
          <w:tcPr>
            <w:tcW w:w="134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Macedo-</w:t>
            </w:r>
            <w:proofErr w:type="spellStart"/>
            <w:r w:rsidRPr="004639E3">
              <w:rPr>
                <w:rFonts w:ascii="Times New Roman" w:hAnsi="Times New Roman" w:cs="Times New Roman"/>
                <w:bCs/>
                <w:sz w:val="18"/>
                <w:szCs w:val="18"/>
              </w:rPr>
              <w:t>ojeda</w:t>
            </w:r>
            <w:proofErr w:type="spellEnd"/>
            <w:r w:rsidR="00473705">
              <w:rPr>
                <w:rFonts w:ascii="Times New Roman" w:hAnsi="Times New Roman" w:cs="Times New Roman"/>
                <w:bCs/>
                <w:sz w:val="18"/>
                <w:szCs w:val="18"/>
              </w:rPr>
              <w:t xml:space="preserve">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(2013)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{"citationItems":[{"id":"ITEM-1","itemData":{"DOI":"10.3305/nh.2013.28.6.6887","ISSN":"02121611 16995198","abstract":"Introduction: Semi-quantitative Food Frequency Questionnaires (FFQs) analyze average food and nutrient intake over extended periods to associate habitual dietary intake with health problems and chronic diseases. A tool of this nature applicable to both women and men is not presently available in Mexico. Objective: To validate a FFQ for adult men and women. Methods: The study was conducted on 97 participants, 61% were women. Two FFQs were administered (with a one-year interval) to measure reproducibility. To assess validity, the second FFQ was compared against dietary record (DR) covering nine days. Statistical analyses included Pearson correlations and Intraclass Correlation Coefficients (ICC). The de-attenuation of the ICC resulting from intraindividual variability was controlled. The validity analysis was complemented by comparing the classification ability of FFQ to that of DR through concordance between intake categories and Bland-Altman plots. Results: Reproducibility: ICC values for food groups ranged 0.42-0.87; the range for energy and nutrients was between 0.34 and 0.82. Validity: ICC values for food groups ranged 0.35-0.84; the range for energy and nutrients was between 0.36 and 0.77. Most subjects (56.7- 76.3%) classified in the same or adjacent quintile for energy and nutrients using both methods. Extreme misclassification was &lt;6.3% for all items. Bland-Altman plots reveal high concordance between FFQ and DR. Conclusions: FFQ produced sufficient levels of reproducibility and validity to determine average daily intake over one year. These results will enable the analysis of possible associations with chronic diseases and dietary diagnoses in adult populations of men and women.","author":[{"dropping-particle":"","family":"Macedo-Ojeda","given":"G.","non-dropping-particle":"","parse-names":false,"suffix":""},{"dropping-particle":"","family":"Vizmanos-Lamotte","given":"B.","non-dropping-particle":"","parse-names":false,"suffix":""},{"dropping-particle":"","family":"Márquez-Sandoval","given":"Y.F.","non-dropping-particle":"","parse-names":false,"suffix":""},{"dropping-particle":"","family":"Rodríguez-Rocha","given":"N.P.","non-dropping-particle":"","parse-names":false,"suffix":""},{"dropping-particle":"","family":"López-Uriarte","given":"P.J.","non-dropping-particle":"","parse-names":false,"suffix":""},{"dropping-particle":"","family":"Fernández-Ballart","given":"J.D.","non-dropping-particle":"","parse-names":false,"suffix":""}],"container-title":"Nutricion Hospitalaria","id":"ITEM-1","issue":"6","issued":{"date-parts":[["2013"]]},"page":"2212-2220","title":"Validation of a semi-quantitative food frequency questionnaire to assess food groups and nutrient intake | Validación de un cuestionario semi-cuantitativo de frecuencia de consumo de alimentos para determinar la ingestión de grupos de alimentos y nutrient","type":"article-journal","volume":"28"},"uris":["http://www.mendeley.com/documents/?uuid=e73ecc81-de24-4afa-a75f-02687f01c0b2"]}],"mendeley":{"formattedCitation":"(43)","plainTextFormattedCitation":"(43)","previouslyFormattedCitation":"(43)"},"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(43)</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Mexico</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Three weighed dietary records</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97 adults</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162</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year</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0.09 (vit. E) – 0.62 (calcium) </w:t>
            </w:r>
            <w:r w:rsidRPr="004639E3">
              <w:rPr>
                <w:rFonts w:ascii="Times New Roman" w:hAnsi="Times New Roman" w:cs="Times New Roman"/>
                <w:bCs/>
                <w:sz w:val="18"/>
                <w:szCs w:val="18"/>
                <w:vertAlign w:val="superscript"/>
              </w:rPr>
              <w:t>‡</w:t>
            </w:r>
          </w:p>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0.16 (riboflavin) – 0.77 (cholesterol) </w:t>
            </w:r>
            <w:r w:rsidRPr="004639E3">
              <w:rPr>
                <w:rFonts w:ascii="Times New Roman" w:hAnsi="Times New Roman" w:cs="Times New Roman"/>
                <w:bCs/>
                <w:sz w:val="18"/>
                <w:szCs w:val="18"/>
                <w:vertAlign w:val="superscript"/>
              </w:rPr>
              <w:t>**</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56.7% (vit. B</w:t>
            </w:r>
            <w:r w:rsidRPr="004639E3">
              <w:rPr>
                <w:rFonts w:ascii="Times New Roman" w:hAnsi="Times New Roman" w:cs="Times New Roman"/>
                <w:bCs/>
                <w:sz w:val="18"/>
                <w:szCs w:val="18"/>
                <w:vertAlign w:val="subscript"/>
              </w:rPr>
              <w:t>12</w:t>
            </w:r>
            <w:r w:rsidRPr="004639E3">
              <w:rPr>
                <w:rFonts w:ascii="Times New Roman" w:hAnsi="Times New Roman" w:cs="Times New Roman"/>
                <w:bCs/>
                <w:sz w:val="18"/>
                <w:szCs w:val="18"/>
              </w:rPr>
              <w:t>) – 76.3% (thiamine)</w:t>
            </w:r>
            <w:r w:rsidRPr="004639E3">
              <w:rPr>
                <w:rFonts w:ascii="Times New Roman" w:hAnsi="Times New Roman" w:cs="Times New Roman"/>
                <w:bCs/>
                <w:sz w:val="18"/>
                <w:szCs w:val="18"/>
                <w:vertAlign w:val="superscript"/>
              </w:rPr>
              <w:t xml:space="preserve"> ¶</w:t>
            </w:r>
          </w:p>
        </w:tc>
        <w:tc>
          <w:tcPr>
            <w:tcW w:w="1529" w:type="dxa"/>
            <w:vAlign w:val="center"/>
          </w:tcPr>
          <w:p w:rsidR="00627E95" w:rsidRPr="00627E95" w:rsidRDefault="00627E95" w:rsidP="00007A39">
            <w:pPr>
              <w:contextualSpacing/>
              <w:jc w:val="center"/>
              <w:rPr>
                <w:rFonts w:ascii="Times New Roman" w:hAnsi="Times New Roman" w:cs="Times New Roman"/>
                <w:bCs/>
                <w:sz w:val="18"/>
                <w:szCs w:val="18"/>
                <w:lang w:val="en-US"/>
              </w:rPr>
            </w:pPr>
            <w:r w:rsidRPr="00627E95">
              <w:rPr>
                <w:rFonts w:ascii="Times New Roman" w:hAnsi="Times New Roman" w:cs="Times New Roman"/>
                <w:bCs/>
                <w:sz w:val="18"/>
                <w:szCs w:val="18"/>
                <w:lang w:val="en-US"/>
              </w:rPr>
              <w:t xml:space="preserve">0.20 (vit. E) – 0.82 (energy) </w:t>
            </w:r>
            <w:r w:rsidRPr="00627E95">
              <w:rPr>
                <w:rFonts w:ascii="Times New Roman" w:hAnsi="Times New Roman" w:cs="Times New Roman"/>
                <w:bCs/>
                <w:sz w:val="18"/>
                <w:szCs w:val="18"/>
                <w:vertAlign w:val="superscript"/>
                <w:lang w:val="en-US"/>
              </w:rPr>
              <w:t>‡</w:t>
            </w:r>
          </w:p>
          <w:p w:rsidR="00627E95" w:rsidRPr="00627E95" w:rsidRDefault="00627E95" w:rsidP="00007A39">
            <w:pPr>
              <w:contextualSpacing/>
              <w:jc w:val="center"/>
              <w:rPr>
                <w:rFonts w:ascii="Times New Roman" w:hAnsi="Times New Roman" w:cs="Times New Roman"/>
                <w:bCs/>
                <w:sz w:val="18"/>
                <w:szCs w:val="18"/>
                <w:lang w:val="en-US"/>
              </w:rPr>
            </w:pPr>
            <w:r w:rsidRPr="00627E95">
              <w:rPr>
                <w:rFonts w:ascii="Times New Roman" w:hAnsi="Times New Roman" w:cs="Times New Roman"/>
                <w:bCs/>
                <w:sz w:val="18"/>
                <w:szCs w:val="18"/>
                <w:lang w:val="en-US"/>
              </w:rPr>
              <w:t xml:space="preserve">0.34 (vit. E) – 0.82 (ethanol) </w:t>
            </w:r>
            <w:r w:rsidRPr="00627E95">
              <w:rPr>
                <w:rFonts w:ascii="Times New Roman" w:hAnsi="Times New Roman" w:cs="Times New Roman"/>
                <w:bCs/>
                <w:sz w:val="18"/>
                <w:szCs w:val="18"/>
                <w:vertAlign w:val="superscript"/>
                <w:lang w:val="en-US"/>
              </w:rPr>
              <w:t>**</w:t>
            </w:r>
          </w:p>
        </w:tc>
      </w:tr>
      <w:tr w:rsidR="00627E95" w:rsidRPr="004639E3" w:rsidTr="00007A39">
        <w:trPr>
          <w:trHeight w:val="567"/>
        </w:trPr>
        <w:tc>
          <w:tcPr>
            <w:tcW w:w="134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Barret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(2010)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{"citationItems":[{"id":"ITEM-1","itemData":{"DOI":"10.1016/j.jada.2010.07.011","ISBN":"0002-8223","ISSN":"00028223","PMID":"20869485","abstract":"Background: Fermentable, short chain carbohydrates (FODMAPs) have been identified as triggers for functional gastrointestinal symptoms. In addition, excess FODMAP consumption has been implicated in the onset of Crohn's disease, and animal studies suggest that a low glycemic index diet can impair absorption of fructose, a major dietary FODMAP. Such hypotheses cannot be tested without the ability to quantify FODMAP ingestion with a validated dietary assessment tool. Objective: To assess the validity and reproducibility of a 297-item comprehensive, semi-quantitative food frequency questionnaire (FFQ) in estimating intake of macro- and micronutrients, FODMAPs, and glycemic index/load. Subjects/setting: One hundred healthy participants were recruited to complete the FFQ on two occasions, plus four 1-week food diaries kept during a 12-month period. Participants exhibiting major dietary change during the study period or low energy reporting on the FFQ were excluded. Main outcome measures: Validation and reproducibility of the semi-quantitative FFQ by comparison with the mean of four 1-week food diaries. Statistical analyses performed: Validation was assessed using Wilcoxon signed rank test, Spearman's correlation, Bland-Altman, and weighted K statistics. Reproducibility was examined using Shrout-Fleiss intraclass correlation coefficient. Results: Seventy-two participants fulfilled inclusion and exclusion criteria. Demographics of the participants were comparable with 2006 Australian Census data. Consistent with other reported FFQs, the FFQ overestimated nutrient intake by a mean 140% (range=95% to 249%). However, based on the other analyses performed, it demonstrated validity for intake of sugars, fiber, alcohol, glycemic index, glucose, FODMAPs, calcium, folate, phosphate, potassium, iron, and magnesium; moderate validation for energy, total fat, saturated fat, carbohydrates, sodium, thiamin, sucrose, and retinol; poor validation for protein, mono/polyunsaturated fat, starch, glycemic load, niacin, and zinc. Riboflavin intake was not validated. Intraclass correlation coefficients for reproducibility ranged from 0.352 to 0.928. Conclusions: The FFQ was validated for assessment of a wide range of nutrients, including the new class of carbohydrates, FODMAPs, and glycemic index. This provides a useful tool for dietary research, particularly in the area of gastroenterological disorders. ?? 2010 American Dietetic Association.","author":[{"dropping-particle":"","family":"Barrett","given":"Jacqueline S.","non-dropping-particle":"","parse-names":false,"suffix":""},{"dropping-particle":"","family":"Gibson","given":"Peter R.","non-dropping-particle":"","parse-names":false,"suffix":""}],"container-title":"Journal of the American Dietetic Association","id":"ITEM-1","issue":"10","issued":{"date-parts":[["2010"]]},"page":"1469-1476","publisher":"Elsevier Inc.","title":"Development and Validation of a Comprehensive Semi-Quantitative Food Frequency Questionnaire that Includes FODMAP Intake and Glycemic Index","type":"article-journal","volume":"110"},"uris":["http://www.mendeley.com/documents/?uuid=81aabe5b-838b-427a-9d7b-0808c57a3c6b"]}],"mendeley":{"formattedCitation":"(44)","plainTextFormattedCitation":"(44)","previouslyFormattedCitation":"(44)"},"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(44)</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Australia</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Four 7-day food diaries</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100 adults</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297</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year</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Crude: 0.239 (starch) – 0.810 (alcohol)</w:t>
            </w:r>
            <w:r w:rsidRPr="004639E3">
              <w:rPr>
                <w:rFonts w:ascii="Times New Roman" w:hAnsi="Times New Roman" w:cs="Times New Roman"/>
                <w:bCs/>
                <w:sz w:val="18"/>
                <w:szCs w:val="18"/>
                <w:vertAlign w:val="superscript"/>
              </w:rPr>
              <w:t xml:space="preserve"> ‡</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Energy-adjusted: 43% (riboflavin) – 67% (alcohol)</w:t>
            </w:r>
            <w:r w:rsidRPr="004639E3">
              <w:rPr>
                <w:rFonts w:ascii="Times New Roman" w:hAnsi="Times New Roman" w:cs="Times New Roman"/>
                <w:bCs/>
                <w:sz w:val="18"/>
                <w:szCs w:val="18"/>
                <w:vertAlign w:val="superscript"/>
              </w:rPr>
              <w:t>¶</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vertAlign w:val="superscript"/>
              </w:rPr>
            </w:pPr>
            <w:r w:rsidRPr="004639E3">
              <w:rPr>
                <w:rFonts w:ascii="Times New Roman" w:hAnsi="Times New Roman" w:cs="Times New Roman"/>
                <w:bCs/>
                <w:sz w:val="18"/>
                <w:szCs w:val="18"/>
              </w:rPr>
              <w:t>0.928 (</w:t>
            </w:r>
            <w:proofErr w:type="spellStart"/>
            <w:r w:rsidRPr="004639E3">
              <w:rPr>
                <w:rFonts w:ascii="Times New Roman" w:hAnsi="Times New Roman" w:cs="Times New Roman"/>
                <w:bCs/>
                <w:sz w:val="18"/>
                <w:szCs w:val="18"/>
              </w:rPr>
              <w:t>galactans</w:t>
            </w:r>
            <w:proofErr w:type="spellEnd"/>
            <w:r w:rsidRPr="004639E3">
              <w:rPr>
                <w:rFonts w:ascii="Times New Roman" w:hAnsi="Times New Roman" w:cs="Times New Roman"/>
                <w:bCs/>
                <w:sz w:val="18"/>
                <w:szCs w:val="18"/>
              </w:rPr>
              <w:t>) – 0.352 (mannitol)</w:t>
            </w:r>
            <w:r w:rsidRPr="004639E3">
              <w:rPr>
                <w:rFonts w:ascii="Times New Roman" w:hAnsi="Times New Roman" w:cs="Times New Roman"/>
                <w:bCs/>
                <w:sz w:val="18"/>
                <w:szCs w:val="18"/>
                <w:vertAlign w:val="superscript"/>
              </w:rPr>
              <w:t xml:space="preserve"> **</w:t>
            </w:r>
          </w:p>
          <w:p w:rsidR="00627E95" w:rsidRPr="004639E3" w:rsidRDefault="00627E95" w:rsidP="00007A39">
            <w:pPr>
              <w:contextualSpacing/>
              <w:jc w:val="center"/>
              <w:rPr>
                <w:rFonts w:ascii="Times New Roman" w:hAnsi="Times New Roman" w:cs="Times New Roman"/>
                <w:bCs/>
                <w:sz w:val="18"/>
                <w:szCs w:val="18"/>
              </w:rPr>
            </w:pPr>
          </w:p>
        </w:tc>
      </w:tr>
      <w:tr w:rsidR="00627E95" w:rsidRPr="004639E3" w:rsidTr="00007A39">
        <w:trPr>
          <w:trHeight w:val="567"/>
        </w:trPr>
        <w:tc>
          <w:tcPr>
            <w:tcW w:w="14570" w:type="dxa"/>
            <w:gridSpan w:val="10"/>
            <w:vAlign w:val="center"/>
          </w:tcPr>
          <w:p w:rsidR="00627E95" w:rsidRPr="00627E95" w:rsidRDefault="00627E95" w:rsidP="00627E95">
            <w:pPr>
              <w:spacing w:line="360" w:lineRule="auto"/>
              <w:jc w:val="both"/>
              <w:rPr>
                <w:rFonts w:ascii="Times New Roman" w:hAnsi="Times New Roman" w:cs="Times New Roman"/>
                <w:b/>
                <w:sz w:val="24"/>
                <w:szCs w:val="24"/>
              </w:rPr>
            </w:pPr>
            <w:r w:rsidRPr="004639E3">
              <w:rPr>
                <w:rFonts w:ascii="Times New Roman" w:hAnsi="Times New Roman" w:cs="Times New Roman"/>
                <w:sz w:val="16"/>
                <w:szCs w:val="16"/>
              </w:rPr>
              <w:t xml:space="preserve">N.A.: Not applicable; </w:t>
            </w:r>
            <w:r w:rsidRPr="004639E3">
              <w:rPr>
                <w:rFonts w:ascii="Times New Roman" w:hAnsi="Times New Roman" w:cs="Times New Roman"/>
                <w:sz w:val="16"/>
                <w:szCs w:val="16"/>
                <w:vertAlign w:val="superscript"/>
              </w:rPr>
              <w:t>†</w:t>
            </w:r>
            <w:r w:rsidRPr="004639E3">
              <w:rPr>
                <w:rFonts w:ascii="Times New Roman" w:hAnsi="Times New Roman" w:cs="Times New Roman"/>
                <w:sz w:val="16"/>
                <w:szCs w:val="16"/>
              </w:rPr>
              <w:t xml:space="preserve">N. I.: No Information; </w:t>
            </w:r>
            <w:r w:rsidRPr="004639E3">
              <w:rPr>
                <w:rFonts w:ascii="Times New Roman" w:hAnsi="Times New Roman" w:cs="Times New Roman"/>
                <w:sz w:val="16"/>
                <w:szCs w:val="16"/>
                <w:vertAlign w:val="superscript"/>
              </w:rPr>
              <w:t>‡</w:t>
            </w:r>
            <w:r w:rsidRPr="004639E3">
              <w:rPr>
                <w:rFonts w:ascii="Times New Roman" w:hAnsi="Times New Roman" w:cs="Times New Roman"/>
                <w:sz w:val="16"/>
                <w:szCs w:val="16"/>
              </w:rPr>
              <w:t>Spearman/Pearson correlations coefficients;</w:t>
            </w:r>
            <w:r w:rsidRPr="004639E3">
              <w:rPr>
                <w:rFonts w:ascii="Times New Roman" w:hAnsi="Times New Roman" w:cs="Times New Roman"/>
                <w:sz w:val="16"/>
                <w:szCs w:val="16"/>
                <w:vertAlign w:val="superscript"/>
              </w:rPr>
              <w:t xml:space="preserve"> §</w:t>
            </w:r>
            <w:r w:rsidRPr="004639E3">
              <w:rPr>
                <w:rFonts w:ascii="Times New Roman" w:hAnsi="Times New Roman" w:cs="Times New Roman"/>
                <w:sz w:val="16"/>
                <w:szCs w:val="16"/>
              </w:rPr>
              <w:t xml:space="preserve"> Cohen’s kappa; </w:t>
            </w:r>
            <w:r w:rsidRPr="004639E3">
              <w:rPr>
                <w:rFonts w:ascii="Times New Roman" w:hAnsi="Times New Roman" w:cs="Times New Roman"/>
                <w:sz w:val="16"/>
                <w:szCs w:val="16"/>
                <w:vertAlign w:val="superscript"/>
              </w:rPr>
              <w:t xml:space="preserve">|| </w:t>
            </w:r>
            <w:r w:rsidRPr="004639E3">
              <w:rPr>
                <w:rFonts w:ascii="Times New Roman" w:hAnsi="Times New Roman" w:cs="Times New Roman"/>
                <w:sz w:val="16"/>
                <w:szCs w:val="16"/>
              </w:rPr>
              <w:t>Bland-Altman</w:t>
            </w:r>
            <w:r w:rsidR="00CB01D6">
              <w:rPr>
                <w:rFonts w:ascii="Times New Roman" w:hAnsi="Times New Roman" w:cs="Times New Roman"/>
                <w:sz w:val="16"/>
                <w:szCs w:val="16"/>
              </w:rPr>
              <w:t xml:space="preserve"> </w:t>
            </w:r>
            <w:r w:rsidRPr="004639E3">
              <w:rPr>
                <w:rFonts w:ascii="Times New Roman" w:hAnsi="Times New Roman" w:cs="Times New Roman"/>
                <w:sz w:val="16"/>
                <w:szCs w:val="16"/>
              </w:rPr>
              <w:t xml:space="preserve">mean and 95% CI; </w:t>
            </w:r>
            <w:r w:rsidRPr="004639E3">
              <w:rPr>
                <w:rFonts w:ascii="Times New Roman" w:hAnsi="Times New Roman" w:cs="Times New Roman"/>
                <w:sz w:val="16"/>
                <w:szCs w:val="16"/>
                <w:vertAlign w:val="superscript"/>
              </w:rPr>
              <w:t>¶</w:t>
            </w:r>
            <w:r w:rsidRPr="004639E3">
              <w:rPr>
                <w:rFonts w:ascii="Times New Roman" w:hAnsi="Times New Roman" w:cs="Times New Roman"/>
                <w:sz w:val="16"/>
                <w:szCs w:val="16"/>
              </w:rPr>
              <w:t>Agreement in the same (or same and adjacent) percentile; **Intra-class</w:t>
            </w:r>
            <w:r w:rsidR="00CB01D6">
              <w:rPr>
                <w:rFonts w:ascii="Times New Roman" w:hAnsi="Times New Roman" w:cs="Times New Roman"/>
                <w:sz w:val="16"/>
                <w:szCs w:val="16"/>
              </w:rPr>
              <w:t xml:space="preserve"> </w:t>
            </w:r>
            <w:r w:rsidRPr="004639E3">
              <w:rPr>
                <w:rFonts w:ascii="Times New Roman" w:hAnsi="Times New Roman" w:cs="Times New Roman"/>
                <w:sz w:val="16"/>
                <w:szCs w:val="16"/>
              </w:rPr>
              <w:t xml:space="preserve">correlations coefficients. </w:t>
            </w:r>
          </w:p>
        </w:tc>
      </w:tr>
      <w:tr w:rsidR="00627E95" w:rsidRPr="004639E3" w:rsidTr="00007A39">
        <w:trPr>
          <w:trHeight w:val="567"/>
        </w:trPr>
        <w:tc>
          <w:tcPr>
            <w:tcW w:w="1349" w:type="dxa"/>
            <w:vMerge w:val="restart"/>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lastRenderedPageBreak/>
              <w:t>Author/Year</w:t>
            </w:r>
          </w:p>
        </w:tc>
        <w:tc>
          <w:tcPr>
            <w:tcW w:w="1017" w:type="dxa"/>
            <w:vMerge w:val="restart"/>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Country</w:t>
            </w:r>
          </w:p>
        </w:tc>
        <w:tc>
          <w:tcPr>
            <w:tcW w:w="1320" w:type="dxa"/>
            <w:vMerge w:val="restart"/>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Reference method</w:t>
            </w:r>
          </w:p>
        </w:tc>
        <w:tc>
          <w:tcPr>
            <w:tcW w:w="1559" w:type="dxa"/>
            <w:vMerge w:val="restart"/>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Sample</w:t>
            </w:r>
          </w:p>
        </w:tc>
        <w:tc>
          <w:tcPr>
            <w:tcW w:w="3260" w:type="dxa"/>
            <w:gridSpan w:val="3"/>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FFQ characteristics</w:t>
            </w:r>
          </w:p>
        </w:tc>
        <w:tc>
          <w:tcPr>
            <w:tcW w:w="4536" w:type="dxa"/>
            <w:gridSpan w:val="2"/>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Validity Study</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Reproducibility Study</w:t>
            </w:r>
          </w:p>
        </w:tc>
      </w:tr>
      <w:tr w:rsidR="00627E95" w:rsidRPr="004639E3" w:rsidTr="00007A39">
        <w:trPr>
          <w:trHeight w:val="567"/>
        </w:trPr>
        <w:tc>
          <w:tcPr>
            <w:tcW w:w="1349" w:type="dxa"/>
            <w:vMerge/>
            <w:vAlign w:val="center"/>
          </w:tcPr>
          <w:p w:rsidR="00627E95" w:rsidRPr="004639E3" w:rsidRDefault="00627E95" w:rsidP="00007A39">
            <w:pPr>
              <w:contextualSpacing/>
              <w:jc w:val="center"/>
              <w:rPr>
                <w:rFonts w:ascii="Times New Roman" w:hAnsi="Times New Roman" w:cs="Times New Roman"/>
                <w:bCs/>
                <w:sz w:val="18"/>
                <w:szCs w:val="18"/>
              </w:rPr>
            </w:pPr>
          </w:p>
        </w:tc>
        <w:tc>
          <w:tcPr>
            <w:tcW w:w="1017" w:type="dxa"/>
            <w:vMerge/>
            <w:vAlign w:val="center"/>
          </w:tcPr>
          <w:p w:rsidR="00627E95" w:rsidRPr="004639E3" w:rsidRDefault="00627E95" w:rsidP="00007A39">
            <w:pPr>
              <w:contextualSpacing/>
              <w:jc w:val="center"/>
              <w:rPr>
                <w:rFonts w:ascii="Times New Roman" w:hAnsi="Times New Roman" w:cs="Times New Roman"/>
                <w:bCs/>
                <w:sz w:val="18"/>
                <w:szCs w:val="18"/>
              </w:rPr>
            </w:pPr>
          </w:p>
        </w:tc>
        <w:tc>
          <w:tcPr>
            <w:tcW w:w="1320" w:type="dxa"/>
            <w:vMerge/>
            <w:vAlign w:val="center"/>
          </w:tcPr>
          <w:p w:rsidR="00627E95" w:rsidRPr="004639E3" w:rsidRDefault="00627E95" w:rsidP="00007A39">
            <w:pPr>
              <w:contextualSpacing/>
              <w:jc w:val="center"/>
              <w:rPr>
                <w:rFonts w:ascii="Times New Roman" w:hAnsi="Times New Roman" w:cs="Times New Roman"/>
                <w:bCs/>
                <w:sz w:val="18"/>
                <w:szCs w:val="18"/>
              </w:rPr>
            </w:pPr>
          </w:p>
        </w:tc>
        <w:tc>
          <w:tcPr>
            <w:tcW w:w="1559" w:type="dxa"/>
            <w:vMerge/>
            <w:vAlign w:val="center"/>
          </w:tcPr>
          <w:p w:rsidR="00627E95" w:rsidRPr="004639E3" w:rsidRDefault="00627E95" w:rsidP="00007A39">
            <w:pPr>
              <w:contextualSpacing/>
              <w:jc w:val="center"/>
              <w:rPr>
                <w:rFonts w:ascii="Times New Roman" w:hAnsi="Times New Roman" w:cs="Times New Roman"/>
                <w:bCs/>
                <w:sz w:val="18"/>
                <w:szCs w:val="18"/>
              </w:rPr>
            </w:pP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Type of FFQ</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Number of food items</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Reference time period</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Range of Correlation (energy-adjusted)</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Level of Agreement (unadjusted)</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Range of Correlation</w:t>
            </w:r>
          </w:p>
        </w:tc>
      </w:tr>
      <w:tr w:rsidR="00627E95" w:rsidRPr="004639E3" w:rsidTr="00007A39">
        <w:trPr>
          <w:trHeight w:val="567"/>
        </w:trPr>
        <w:tc>
          <w:tcPr>
            <w:tcW w:w="14570" w:type="dxa"/>
            <w:gridSpan w:val="10"/>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NO ASSESSMENT OF ABSOLUTE INTAKES/ OTHER REFERENCE METHOD</w:t>
            </w:r>
          </w:p>
        </w:tc>
      </w:tr>
      <w:tr w:rsidR="00627E95" w:rsidRPr="004639E3" w:rsidTr="00007A39">
        <w:trPr>
          <w:trHeight w:val="567"/>
        </w:trPr>
        <w:tc>
          <w:tcPr>
            <w:tcW w:w="1349" w:type="dxa"/>
            <w:vAlign w:val="center"/>
          </w:tcPr>
          <w:p w:rsidR="00627E95" w:rsidRPr="004639E3" w:rsidRDefault="00627E95" w:rsidP="0070125B">
            <w:pPr>
              <w:contextualSpacing/>
              <w:jc w:val="center"/>
              <w:rPr>
                <w:rFonts w:ascii="Times New Roman" w:hAnsi="Times New Roman" w:cs="Times New Roman"/>
                <w:bCs/>
                <w:sz w:val="18"/>
                <w:szCs w:val="18"/>
              </w:rPr>
            </w:pPr>
            <w:proofErr w:type="spellStart"/>
            <w:r w:rsidRPr="004639E3">
              <w:rPr>
                <w:rFonts w:ascii="Times New Roman" w:hAnsi="Times New Roman" w:cs="Times New Roman"/>
                <w:bCs/>
                <w:sz w:val="18"/>
                <w:szCs w:val="18"/>
              </w:rPr>
              <w:t>Bountziouka</w:t>
            </w:r>
            <w:proofErr w:type="spellEnd"/>
            <w:r w:rsidR="0070125B">
              <w:rPr>
                <w:rFonts w:ascii="Times New Roman" w:hAnsi="Times New Roman" w:cs="Times New Roman"/>
                <w:bCs/>
                <w:sz w:val="18"/>
                <w:szCs w:val="18"/>
              </w:rPr>
              <w:t xml:space="preserve">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w:t>
            </w:r>
            <w:r w:rsidR="0070125B">
              <w:rPr>
                <w:rFonts w:ascii="Times New Roman" w:hAnsi="Times New Roman" w:cs="Times New Roman"/>
                <w:bCs/>
                <w:sz w:val="18"/>
                <w:szCs w:val="18"/>
              </w:rPr>
              <w:t>2</w:t>
            </w:r>
            <w:r w:rsidRPr="004639E3">
              <w:rPr>
                <w:rFonts w:ascii="Times New Roman" w:hAnsi="Times New Roman" w:cs="Times New Roman"/>
                <w:bCs/>
                <w:sz w:val="18"/>
                <w:szCs w:val="18"/>
              </w:rPr>
              <w:t xml:space="preserve">)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{"citationItems":[{"id":"ITEM-1","itemData":{"DOI":"10.1016/j.numecd.2010.10.015","ISBN":"0939-4753","ISSN":"09394753","PMID":"21269818","abstract":"Background and Aim: The aim of this work was to evaluate the repeatability and the validity of a food frequency questionnaire (FFQ), and to discuss the methodological framework of such procedures. Methods and Results: The semi-quantitative FFQ included 69 questions regarding the frequency of consumption of all main food groups and beverages usually consumed and 7 questions regarding eating behaviors. Five hundred individuals (37 ?? 15 yrs, 38% males) were recruited for the repeatability process, while another 432 (46 ?? 16 yrs, 40% males) also completed 3-Day Diaries (3DD) for the validation process. The repeatability of the FFQ was adequate for all food items tested (Kendall's tau-b: 0.26-0.67, p &lt; 0.05), energy and macronutrients intake (energy adjusted correlation coefficients ranged between 0.56-0.69, p &lt; 0.05). Moderate validity of the FFQ was observed for \" dairy products\" , \" fruit\" , \" alcohol\" and \" stimulants\" (tau-b: 0.31-0.60, p &lt; 0.05), whereas low agreement was shown for \" starchy products\" , \" legumes\" , \" vegetables\" , \" meat\" , \" fish\" , \" sweets\" , \" eggs\" , \" fats and oils\" (tau-b &lt; 0.30, p &lt; 0.05). The FFQ was also valid regarding energy and macronutrients intake. Sensitivity analyses by sex and BMI category (&lt; or ???25 kg/m2) showed similar validity of the FFQ for all food groups (apart from \" fats and oils\" intake), as well as energy and nutrient intake. Conclusion: The proposed FFQ has proven repeatable and relatively valid for foods' intake, and could therefore be used for nutritional assessment purposes. ?? 2010 Elsevier B.V.","author":[{"dropping-particle":"","family":"Bountziouka","given":"V.","non-dropping-particle":"","parse-names":false,"suffix":""},{"dropping-particle":"","family":"Bathrellou","given":"E.","non-dropping-particle":"","parse-names":false,"suffix":""},{"dropping-particle":"","family":"Giotopoulou","given":"A.","non-dropping-particle":"","parse-names":false,"suffix":""},{"dropping-particle":"","family":"Katsagoni","given":"C.","non-dropping-particle":"","parse-names":false,"suffix":""},{"dropping-particle":"","family":"Bonou","given":"M.","non-dropping-particle":"","parse-names":false,"suffix":""},{"dropping-particle":"","family":"Vallianou","given":"N.","non-dropping-particle":"","parse-names":false,"suffix":""},{"dropping-particle":"","family":"Barbetseas","given":"J.","non-dropping-particle":"","parse-names":false,"suffix":""},{"dropping-particle":"","family":"Avgerinos","given":"P. C.","non-dropping-particle":"","parse-names":false,"suffix":""},{"dropping-particle":"","family":"Panagiotakos","given":"D. B.","non-dropping-particle":"","parse-names":false,"suffix":""}],"container-title":"Nutrition, Metabolism and Cardiovascular Diseases","id":"ITEM-1","issue":"8","issued":{"date-parts":[["2012"]]},"page":"659-667","publisher":"Elsevier Ltd","title":"Development, repeatability and validity regarding energy and macronutrient intake of a semi-quantitative food frequency questionnaire: Methodological considerations","type":"article-journal","volume":"22"},"uris":["http://www.mendeley.com/documents/?uuid=56cde297-44db-405e-8525-945d51b5b1a4"]}],"mendeley":{"formattedCitation":"(45)","plainTextFormattedCitation":"(45)","previouslyFormattedCitation":"(45)"},"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(45)</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Greece</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Three dietary register</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500 adults</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76</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month</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Crude: -0.02 (carbohydrates) –     -0.15 (protein)</w:t>
            </w:r>
            <w:r w:rsidRPr="004639E3">
              <w:rPr>
                <w:rFonts w:ascii="Times New Roman" w:hAnsi="Times New Roman" w:cs="Times New Roman"/>
                <w:bCs/>
                <w:sz w:val="18"/>
                <w:szCs w:val="18"/>
                <w:vertAlign w:val="superscript"/>
              </w:rPr>
              <w:t xml:space="preserve"> ‡</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-1.1 (mean-2SD: -64, mean+2SD: 62) (protein) – 27 (mean-2SD: -56, mean+2SD: 119) (fat)</w:t>
            </w:r>
            <w:r w:rsidRPr="004639E3">
              <w:rPr>
                <w:rFonts w:ascii="Times New Roman" w:hAnsi="Times New Roman" w:cs="Times New Roman"/>
                <w:bCs/>
                <w:sz w:val="18"/>
                <w:szCs w:val="18"/>
                <w:vertAlign w:val="superscript"/>
              </w:rPr>
              <w:t xml:space="preserve"> ||</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Crude: -0.08 (protein – -0.01 (fat, carbohydrates)</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34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Pinto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(2010)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{"citationItems":[{"id":"ITEM-1","itemData":{"DOI":"10.1111/j.1740-8709.2009.00199.x","ISBN":"1740-8709 (Electronic)\\r1740-8695 (Linking)","ISSN":"17408709","PMID":"20624208","abstract":"This study aimed to evaluate the validity and reproducibility of a semi-quantitative food frequency questionnaire (FFQ) to estimate nutrient intake among Portuguese pregnant women. A sample of 101 pregnant women completed a 3-day food diary (FD) in each pregnancy trimester (reference method) and an interviewer-administered FFQ in the immediate post-partum period. Ranking women according to their usual intake showed that, on average, 65% were classified into the same +/-1 quintile and 2.4% into opposite quintiles by the two methods. Energy-adjusted and de-attenuated correlation coefficients ranged from 0.20 (protein) to 0.58 (riboflavin). Similar results were obtained when the FFQ was compared to each trimester-specific FD. To assess the FFQ reproducibility, 70 women in their third pregnancy trimester were interviewed twice within a 2-week interval. The level of agreement was high, with &gt; or = 75% of the participants being classified into the same +/-1 quintile by the two administrations for 13 of the 15 nutrients examined. A review of the published literature revealed that this is the first FFQ to take the whole pregnancy as its reference time window. Our findings showed that a single administration of this FFQ in the immediate post-partum period is a valid tool to rank Portuguese pregnant women according to their intakes.","author":[{"dropping-particle":"","family":"Pinto","given":"Elisabete","non-dropping-particle":"","parse-names":false,"suffix":""},{"dropping-particle":"","family":"Severo","given":"Milton","non-dropping-particle":"","parse-names":false,"suffix":""},{"dropping-particle":"","family":"Correia","given":"Sofia","non-dropping-particle":"","parse-names":false,"suffix":""},{"dropping-particle":"","family":"Santos Silva","given":"Isabel","non-dropping-particle":"dos","parse-names":false,"suffix":""},{"dropping-particle":"","family":"Lopes","given":"Carla","non-dropping-particle":"","parse-names":false,"suffix":""},{"dropping-particle":"","family":"Barros","given":"Henrique","non-dropping-particle":"","parse-names":false,"suffix":""}],"container-title":"Maternal and Child Nutrition","id":"ITEM-1","issue":"2","issued":{"date-parts":[["2010"]]},"page":"105-119","title":"Validity and reproducibility of a semi-quantitative food frequency questionnaire for use among Portuguese pregnant women","type":"article-journal","volume":"6"},"uris":["http://www.mendeley.com/documents/?uuid=b556953f-2408-4e3f-b4d4-2069c7f9a25b"]}],"mendeley":{"formattedCitation":"(46)","plainTextFormattedCitation":"(46)","previouslyFormattedCitation":"(46)"},"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(46)</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Portugal</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Three food diaries</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71 (reproducibility study)</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86</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month</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0.20 (for protein) to 0.58 (for riboﬂavin)</w:t>
            </w:r>
            <w:r w:rsidRPr="004639E3">
              <w:rPr>
                <w:rFonts w:ascii="Times New Roman" w:hAnsi="Times New Roman" w:cs="Times New Roman"/>
                <w:bCs/>
                <w:sz w:val="18"/>
                <w:szCs w:val="18"/>
                <w:vertAlign w:val="superscript"/>
              </w:rPr>
              <w:t xml:space="preserve"> ‡</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22.8% (vit. C) – 36.6% (folate) </w:t>
            </w:r>
            <w:r w:rsidRPr="004639E3">
              <w:rPr>
                <w:rFonts w:ascii="Times New Roman" w:hAnsi="Times New Roman" w:cs="Times New Roman"/>
                <w:bCs/>
                <w:sz w:val="18"/>
                <w:szCs w:val="18"/>
                <w:vertAlign w:val="superscript"/>
              </w:rPr>
              <w:t>¶</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0.19 (vit. E and thiamine) –0.62 (riboﬂavin)</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34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 xml:space="preserve">Moreira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(2003)</w:t>
            </w:r>
            <w:r w:rsidR="00CB01D6">
              <w:rPr>
                <w:rFonts w:ascii="Times New Roman" w:hAnsi="Times New Roman" w:cs="Times New Roman"/>
                <w:bCs/>
                <w:sz w:val="18"/>
                <w:szCs w:val="18"/>
              </w:rPr>
              <w:t xml:space="preserve">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ISSN":"16460758","author":[{"dropping-particle":"","family":"Moreira","given":"Pedro","non-dropping-particle":"","parse-names":false,"suffix":""},{"dropping-particle":"","family":"Sampaio","given":"Daniel","non-dropping-particle":"","parse-names":false,"suffix":""},{"dropping-particle":"","family":"Vaz De Almeida","given":"Maria Daniel","non-dropping-particle":"","parse-names":false,"suffix":""}],"container-title":"Acta Medica Portuguesa","id":"ITEM-1","issue":"6","issued":{"date-parts":[["2003"]]},"page":"412-420","title":"Validade relativa de um questionário de frequência de consumo alimentar através da comparação com um registo alimentar de quatro dias","type":"article-journal","volume":"16"},"uris":["http://www.mendeley.com/documents/?uuid=920b0939-eacd-4e17-a73d-2b3192713eae"]}],"mendeley":{"formattedCitation":"(47)","plainTextFormattedCitation":"(47)","previouslyFormattedCitation":"(47)"},"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(47)</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Portugal</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Four-day dietary records</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246 adults</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89</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month</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0.20 (selenium) – 0.75 (iodine)</w:t>
            </w:r>
            <w:r w:rsidRPr="004639E3">
              <w:rPr>
                <w:rFonts w:ascii="Times New Roman" w:hAnsi="Times New Roman" w:cs="Times New Roman"/>
                <w:bCs/>
                <w:sz w:val="18"/>
                <w:szCs w:val="18"/>
                <w:vertAlign w:val="superscript"/>
              </w:rPr>
              <w:t xml:space="preserve"> ‡</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Lowest two percentiles: 52% – 84%; Highest two percentiles: 51% – 88%</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N.A.</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349" w:type="dxa"/>
            <w:vAlign w:val="center"/>
          </w:tcPr>
          <w:p w:rsidR="00627E95" w:rsidRPr="004639E3" w:rsidRDefault="00627E95" w:rsidP="0070125B">
            <w:pPr>
              <w:contextualSpacing/>
              <w:jc w:val="center"/>
              <w:rPr>
                <w:rFonts w:ascii="Times New Roman" w:hAnsi="Times New Roman" w:cs="Times New Roman"/>
                <w:bCs/>
                <w:sz w:val="18"/>
                <w:szCs w:val="18"/>
              </w:rPr>
            </w:pPr>
            <w:proofErr w:type="spellStart"/>
            <w:r w:rsidRPr="004639E3">
              <w:rPr>
                <w:rFonts w:ascii="Times New Roman" w:hAnsi="Times New Roman" w:cs="Times New Roman"/>
                <w:bCs/>
                <w:sz w:val="18"/>
                <w:szCs w:val="18"/>
              </w:rPr>
              <w:t>MacIntyre</w:t>
            </w:r>
            <w:r w:rsidRPr="004639E3">
              <w:rPr>
                <w:rFonts w:ascii="Times New Roman" w:hAnsi="Times New Roman" w:cs="Times New Roman"/>
                <w:bCs/>
                <w:i/>
                <w:sz w:val="18"/>
                <w:szCs w:val="18"/>
              </w:rPr>
              <w:t>et</w:t>
            </w:r>
            <w:proofErr w:type="spellEnd"/>
            <w:r w:rsidRPr="004639E3">
              <w:rPr>
                <w:rFonts w:ascii="Times New Roman" w:hAnsi="Times New Roman" w:cs="Times New Roman"/>
                <w:bCs/>
                <w:i/>
                <w:sz w:val="18"/>
                <w:szCs w:val="18"/>
              </w:rPr>
              <w:t xml:space="preserve"> al.</w:t>
            </w:r>
            <w:r w:rsidRPr="004639E3">
              <w:rPr>
                <w:rFonts w:ascii="Times New Roman" w:hAnsi="Times New Roman" w:cs="Times New Roman"/>
                <w:bCs/>
                <w:sz w:val="18"/>
                <w:szCs w:val="18"/>
              </w:rPr>
              <w:t xml:space="preserve"> (200</w:t>
            </w:r>
            <w:r w:rsidR="0070125B">
              <w:rPr>
                <w:rFonts w:ascii="Times New Roman" w:hAnsi="Times New Roman" w:cs="Times New Roman"/>
                <w:bCs/>
                <w:sz w:val="18"/>
                <w:szCs w:val="18"/>
              </w:rPr>
              <w:t>1</w:t>
            </w:r>
            <w:r w:rsidRPr="004639E3">
              <w:rPr>
                <w:rFonts w:ascii="Times New Roman" w:hAnsi="Times New Roman" w:cs="Times New Roman"/>
                <w:bCs/>
                <w:sz w:val="18"/>
                <w:szCs w:val="18"/>
              </w:rPr>
              <w:t xml:space="preserve">)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{"citationItems":[{"id":"ITEM-1","itemData":{"DOI":"10.1079/PHN200041","ISBN":"1368-9800 (Print)\r1368-9800 (Linking)","ISSN":"1368-9800","PMID":"11315682","abstract":"OBJECTIVE: To determine the relative validity of the culture-sensitive quantitative food frequency questionnaire (QFFQ) developed for the Transition, Health and Urbanisation in South Africa (THUSA) study by 7-day weighed food records, urinary nitrogen excretion and basal metabolic rate (BMR). DESIGN: A cross-sectional study. SETTING: A community-based study in a population stratified according to level of urbanization. SUBJECTS: Residents of the North West Province, South Africa. aged between 15 and 65 years. The weighed food record study comprised 74 participants while 104 participants collected 24-hour urine samples. METHODS: All participants were interviewed using the QFFQ. For the weighed food record study, participants kept detailed weighed food diaries for seven consecutive days. For the urinary nitrogen study, participants made one 24-hour urine collection. Completeness of the urine collections was checked against 240 rug pan-aminobenzoic acid. BMR was estimated by the Schofield equations. RESULTS: Spearman rank correlation coefficients between the QFFQ and weighed food record ranged between 0.14 (fibre) and 0.59 (vitamin C). The QFFQ tended to underestimate intakes compared with the weighed records. Quintile distributions were similar for both methods. The correlation between urinary nitrogen excretion and dietary intake was poor. Possible underreporting was identified for 43% of the participants with the QFFQ and 28% with the weighed food record. CONCLUSIONS: The QFFQ appeared to be a relatively valid instrument for the assessment of dietary intakes of the population of the North West Province. The use of biomarkers in this population was difficult and needs further investigation.","author":[{"dropping-particle":"","family":"MacIntyre","given":"U E","non-dropping-particle":"","parse-names":false,"suffix":""},{"dropping-particle":"","family":"Venter","given":"C S","non-dropping-particle":"","parse-names":false,"suffix":""},{"dropping-particle":"","family":"Vorster","given":"H H","non-dropping-particle":"","parse-names":false,"suffix":""}],"container-title":"Public health nutrition","id":"ITEM-1","issue":"1","issued":{"date-parts":[["2001"]]},"page":"63-71","title":"A culture-sensitive quantitative food frequency questionnaire used in an African population: 2. Relative validation by 7-day weighted records and biomarkers.","type":"article-journal","volume":"4"},"uris":["http://www.mendeley.com/documents/?uuid=5e4ed120-aba9-4973-9687-95a267624d11"]}],"mendeley":{"formattedCitation":"(39)","plainTextFormattedCitation":"(39)","previouslyFormattedCitation":"(39)"},"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(39)</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South Africa</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7-day weighted records and biomarkers</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144 adults</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145</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N.I.</w:t>
            </w:r>
            <w:r w:rsidRPr="004639E3">
              <w:rPr>
                <w:rFonts w:ascii="Times New Roman" w:hAnsi="Times New Roman" w:cs="Times New Roman"/>
                <w:bCs/>
                <w:sz w:val="16"/>
                <w:szCs w:val="16"/>
                <w:vertAlign w:val="superscript"/>
              </w:rPr>
              <w:t>†</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Crude: 0.14 (fibre) and 0.59 (vit. C)</w:t>
            </w:r>
            <w:r w:rsidRPr="004639E3">
              <w:rPr>
                <w:rFonts w:ascii="Times New Roman" w:hAnsi="Times New Roman" w:cs="Times New Roman"/>
                <w:bCs/>
                <w:sz w:val="18"/>
                <w:szCs w:val="18"/>
                <w:vertAlign w:val="superscript"/>
              </w:rPr>
              <w:t xml:space="preserve"> ‡</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31% (protein) – 79% (alcohol)</w:t>
            </w:r>
            <w:r w:rsidRPr="004639E3">
              <w:rPr>
                <w:rFonts w:ascii="Times New Roman" w:hAnsi="Times New Roman" w:cs="Times New Roman"/>
                <w:bCs/>
                <w:sz w:val="18"/>
                <w:szCs w:val="18"/>
                <w:vertAlign w:val="superscript"/>
              </w:rPr>
              <w:t xml:space="preserve"> ¶</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Crude: 0.14 (calcium) – 0.75 (alcohol)</w:t>
            </w:r>
            <w:r w:rsidRPr="004639E3">
              <w:rPr>
                <w:rFonts w:ascii="Times New Roman" w:hAnsi="Times New Roman" w:cs="Times New Roman"/>
                <w:bCs/>
                <w:sz w:val="18"/>
                <w:szCs w:val="18"/>
                <w:vertAlign w:val="superscript"/>
              </w:rPr>
              <w:t xml:space="preserve"> ‡</w:t>
            </w:r>
          </w:p>
        </w:tc>
      </w:tr>
      <w:tr w:rsidR="00627E95" w:rsidRPr="004639E3" w:rsidTr="00007A39">
        <w:trPr>
          <w:trHeight w:val="567"/>
        </w:trPr>
        <w:tc>
          <w:tcPr>
            <w:tcW w:w="1349" w:type="dxa"/>
            <w:vAlign w:val="center"/>
          </w:tcPr>
          <w:p w:rsidR="00627E95" w:rsidRPr="004639E3" w:rsidRDefault="00627E95" w:rsidP="00007A39">
            <w:pPr>
              <w:contextualSpacing/>
              <w:jc w:val="center"/>
              <w:rPr>
                <w:rFonts w:ascii="Times New Roman" w:hAnsi="Times New Roman" w:cs="Times New Roman"/>
                <w:bCs/>
                <w:sz w:val="18"/>
                <w:szCs w:val="18"/>
              </w:rPr>
            </w:pPr>
            <w:proofErr w:type="spellStart"/>
            <w:r w:rsidRPr="004639E3">
              <w:rPr>
                <w:rFonts w:ascii="Times New Roman" w:hAnsi="Times New Roman" w:cs="Times New Roman"/>
                <w:bCs/>
                <w:sz w:val="18"/>
                <w:szCs w:val="18"/>
              </w:rPr>
              <w:t>Decarli</w:t>
            </w:r>
            <w:proofErr w:type="spellEnd"/>
            <w:r w:rsidR="0070125B">
              <w:rPr>
                <w:rFonts w:ascii="Times New Roman" w:hAnsi="Times New Roman" w:cs="Times New Roman"/>
                <w:bCs/>
                <w:sz w:val="18"/>
                <w:szCs w:val="18"/>
              </w:rPr>
              <w:t xml:space="preserve"> </w:t>
            </w:r>
            <w:r w:rsidRPr="004639E3">
              <w:rPr>
                <w:rFonts w:ascii="Times New Roman" w:hAnsi="Times New Roman" w:cs="Times New Roman"/>
                <w:bCs/>
                <w:i/>
                <w:sz w:val="18"/>
                <w:szCs w:val="18"/>
              </w:rPr>
              <w:t>et al.</w:t>
            </w:r>
            <w:r w:rsidRPr="004639E3">
              <w:rPr>
                <w:rFonts w:ascii="Times New Roman" w:hAnsi="Times New Roman" w:cs="Times New Roman"/>
                <w:bCs/>
                <w:sz w:val="18"/>
                <w:szCs w:val="18"/>
              </w:rPr>
              <w:t xml:space="preserve"> (1996)</w:t>
            </w:r>
            <w:r w:rsidR="00CB01D6">
              <w:rPr>
                <w:rFonts w:ascii="Times New Roman" w:hAnsi="Times New Roman" w:cs="Times New Roman"/>
                <w:bCs/>
                <w:sz w:val="18"/>
                <w:szCs w:val="18"/>
              </w:rPr>
              <w:t xml:space="preserve"> </w:t>
            </w:r>
            <w:r w:rsidR="00B6561A" w:rsidRPr="004639E3">
              <w:rPr>
                <w:rFonts w:ascii="Times New Roman" w:hAnsi="Times New Roman" w:cs="Times New Roman"/>
                <w:bCs/>
                <w:sz w:val="18"/>
                <w:szCs w:val="18"/>
                <w:vertAlign w:val="superscript"/>
              </w:rPr>
              <w:fldChar w:fldCharType="begin" w:fldLock="1"/>
            </w:r>
            <w:r w:rsidRPr="004639E3">
              <w:rPr>
                <w:rFonts w:ascii="Times New Roman" w:hAnsi="Times New Roman" w:cs="Times New Roman"/>
                <w:bCs/>
                <w:sz w:val="18"/>
                <w:szCs w:val="18"/>
                <w:vertAlign w:val="superscript"/>
              </w:rPr>
              <w:instrText>ADDIN CSL_CITATION {"citationItems":[{"id":"ITEM-1","itemData":{"author":[{"dropping-particle":"","family":"Decarli","given":"Adriano","non-dropping-particle":"","parse-names":false,"suffix":""},{"dropping-particle":"","family":"Franceschi","given":"Silvia","non-dropping-particle":"","parse-names":false,"suffix":""},{"dropping-particle":"","family":"Ferraroni","given":"Monica","non-dropping-particle":"","parse-names":false,"suffix":""},{"dropping-particle":"","family":"Gnagnarella","given":"Patrizia","non-dropping-particle":"","parse-names":false,"suffix":""},{"dropping-particle":"","family":"Parpinel","given":"MariaTeresa","non-dropping-particle":"","parse-names":false,"suffix":""},{"dropping-particle":"La","family":"Vecchia","given":"Carlo","non-dropping-particle":"","parse-names":false,"suffix":""},{"dropping-particle":"","family":"Negri","given":"Eva","non-dropping-particle":"","parse-names":false,"suffix":""},{"dropping-particle":"","family":"Salvini","given":"Simonetta","non-dropping-particle":"","parse-names":false,"suffix":""},{"dropping-particle":"","family":"Falcini","given":"Fabio","non-dropping-particle":"","parse-names":false,"suffix":""},{"dropping-particle":"","family":"Giacosa","given":"Attilio","non-dropping-particle":"","parse-names":false,"suffix":""}],"container-title":"AEP","id":"ITEM-1","issue":"2","issued":{"date-parts":[["1996"]]},"page":"110-118","title":"Validation of a Food-Frequency Questionnaire Dietary Intakes in Cancer Studies in Italy","type":"article-journal","volume":"6"},"uris":["http://www.mendeley.com/documents/?uuid=99a549ed-ca03-4e06-b3b0-868e89f33c7a"]}],"mendeley":{"formattedCitation":"(48)","plainTextFormattedCitation":"(48)","previouslyFormattedCitation":"(48)"},"properties":{"noteIndex":0},"schema":"https://github.com/citation-style-language/schema/raw/master/csl-citation.json"}</w:instrText>
            </w:r>
            <w:r w:rsidR="00B6561A" w:rsidRPr="004639E3">
              <w:rPr>
                <w:rFonts w:ascii="Times New Roman" w:hAnsi="Times New Roman" w:cs="Times New Roman"/>
                <w:bCs/>
                <w:sz w:val="18"/>
                <w:szCs w:val="18"/>
                <w:vertAlign w:val="superscript"/>
              </w:rPr>
              <w:fldChar w:fldCharType="separate"/>
            </w:r>
            <w:r w:rsidRPr="004639E3">
              <w:rPr>
                <w:rFonts w:ascii="Times New Roman" w:hAnsi="Times New Roman" w:cs="Times New Roman"/>
                <w:bCs/>
                <w:noProof/>
                <w:sz w:val="18"/>
                <w:szCs w:val="18"/>
              </w:rPr>
              <w:t>(48)</w:t>
            </w:r>
            <w:r w:rsidR="00B6561A" w:rsidRPr="004639E3">
              <w:rPr>
                <w:rFonts w:ascii="Times New Roman" w:hAnsi="Times New Roman" w:cs="Times New Roman"/>
                <w:bCs/>
                <w:sz w:val="18"/>
                <w:szCs w:val="18"/>
                <w:vertAlign w:val="superscript"/>
              </w:rPr>
              <w:fldChar w:fldCharType="end"/>
            </w:r>
          </w:p>
        </w:tc>
        <w:tc>
          <w:tcPr>
            <w:tcW w:w="1017"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Italy</w:t>
            </w:r>
          </w:p>
        </w:tc>
        <w:tc>
          <w:tcPr>
            <w:tcW w:w="1320"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Two 7-day dietary record</w:t>
            </w:r>
          </w:p>
        </w:tc>
        <w:tc>
          <w:tcPr>
            <w:tcW w:w="155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395 cancer patients (adults)</w:t>
            </w:r>
          </w:p>
        </w:tc>
        <w:tc>
          <w:tcPr>
            <w:tcW w:w="1134"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semi-quantitative</w:t>
            </w:r>
          </w:p>
        </w:tc>
        <w:tc>
          <w:tcPr>
            <w:tcW w:w="115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77</w:t>
            </w:r>
          </w:p>
        </w:tc>
        <w:tc>
          <w:tcPr>
            <w:tcW w:w="97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1 year</w:t>
            </w:r>
          </w:p>
        </w:tc>
        <w:tc>
          <w:tcPr>
            <w:tcW w:w="2135"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0.19 (vegetable fat) – 0.64 (sugar)</w:t>
            </w:r>
            <w:r w:rsidRPr="004639E3">
              <w:rPr>
                <w:rFonts w:ascii="Times New Roman" w:hAnsi="Times New Roman" w:cs="Times New Roman"/>
                <w:bCs/>
                <w:sz w:val="18"/>
                <w:szCs w:val="18"/>
                <w:vertAlign w:val="superscript"/>
              </w:rPr>
              <w:t xml:space="preserve"> ‡</w:t>
            </w:r>
          </w:p>
        </w:tc>
        <w:tc>
          <w:tcPr>
            <w:tcW w:w="2401"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Lowest two percentiles: 59% (vegetable fat, vit. E) – 96% (alcohol); Highest two percentiles: 44% (vegetable fat) – 94% (alcohol)</w:t>
            </w:r>
          </w:p>
        </w:tc>
        <w:tc>
          <w:tcPr>
            <w:tcW w:w="1529" w:type="dxa"/>
            <w:vAlign w:val="center"/>
          </w:tcPr>
          <w:p w:rsidR="00627E95" w:rsidRPr="004639E3" w:rsidRDefault="00627E95" w:rsidP="00007A39">
            <w:pPr>
              <w:contextualSpacing/>
              <w:jc w:val="center"/>
              <w:rPr>
                <w:rFonts w:ascii="Times New Roman" w:hAnsi="Times New Roman" w:cs="Times New Roman"/>
                <w:bCs/>
                <w:sz w:val="18"/>
                <w:szCs w:val="18"/>
              </w:rPr>
            </w:pPr>
            <w:r w:rsidRPr="004639E3">
              <w:rPr>
                <w:rFonts w:ascii="Times New Roman" w:hAnsi="Times New Roman" w:cs="Times New Roman"/>
                <w:bCs/>
                <w:sz w:val="18"/>
                <w:szCs w:val="18"/>
              </w:rPr>
              <w:t>N.A.</w:t>
            </w:r>
            <w:r w:rsidRPr="004639E3">
              <w:rPr>
                <w:rFonts w:ascii="Times New Roman" w:hAnsi="Times New Roman" w:cs="Times New Roman"/>
                <w:bCs/>
                <w:sz w:val="18"/>
                <w:szCs w:val="18"/>
                <w:vertAlign w:val="superscript"/>
              </w:rPr>
              <w:t xml:space="preserve"> *</w:t>
            </w:r>
          </w:p>
        </w:tc>
      </w:tr>
      <w:bookmarkEnd w:id="0"/>
    </w:tbl>
    <w:p w:rsidR="00627E95" w:rsidRPr="004639E3" w:rsidRDefault="00627E95" w:rsidP="00627E95">
      <w:pPr>
        <w:spacing w:after="0" w:line="360" w:lineRule="auto"/>
        <w:jc w:val="both"/>
        <w:rPr>
          <w:rFonts w:ascii="Times New Roman" w:hAnsi="Times New Roman" w:cs="Times New Roman"/>
          <w:sz w:val="16"/>
          <w:szCs w:val="16"/>
          <w:vertAlign w:val="superscript"/>
        </w:rPr>
      </w:pPr>
    </w:p>
    <w:p w:rsidR="00627E95" w:rsidRDefault="00627E95" w:rsidP="00627E95">
      <w:pPr>
        <w:spacing w:after="0" w:line="360" w:lineRule="auto"/>
        <w:jc w:val="both"/>
        <w:rPr>
          <w:rFonts w:ascii="Times New Roman" w:hAnsi="Times New Roman" w:cs="Times New Roman"/>
          <w:sz w:val="16"/>
          <w:szCs w:val="16"/>
          <w:vertAlign w:val="superscript"/>
        </w:rPr>
      </w:pPr>
    </w:p>
    <w:p w:rsidR="00627E95" w:rsidRDefault="00627E95" w:rsidP="00627E95">
      <w:pPr>
        <w:spacing w:after="0" w:line="360" w:lineRule="auto"/>
        <w:jc w:val="both"/>
        <w:rPr>
          <w:rFonts w:ascii="Times New Roman" w:hAnsi="Times New Roman" w:cs="Times New Roman"/>
          <w:sz w:val="16"/>
          <w:szCs w:val="16"/>
          <w:vertAlign w:val="superscript"/>
        </w:rPr>
      </w:pPr>
    </w:p>
    <w:p w:rsidR="00627E95" w:rsidRDefault="00627E95" w:rsidP="00627E95">
      <w:pPr>
        <w:spacing w:after="0" w:line="360" w:lineRule="auto"/>
        <w:jc w:val="both"/>
        <w:rPr>
          <w:rFonts w:ascii="Times New Roman" w:hAnsi="Times New Roman" w:cs="Times New Roman"/>
          <w:sz w:val="16"/>
          <w:szCs w:val="16"/>
          <w:vertAlign w:val="superscript"/>
        </w:rPr>
      </w:pPr>
    </w:p>
    <w:p w:rsidR="00627E95" w:rsidRDefault="00627E95" w:rsidP="00627E95">
      <w:pPr>
        <w:spacing w:after="0" w:line="360" w:lineRule="auto"/>
        <w:jc w:val="both"/>
        <w:rPr>
          <w:rFonts w:ascii="Times New Roman" w:hAnsi="Times New Roman" w:cs="Times New Roman"/>
          <w:sz w:val="16"/>
          <w:szCs w:val="16"/>
          <w:vertAlign w:val="superscript"/>
        </w:rPr>
      </w:pPr>
    </w:p>
    <w:p w:rsidR="00627E95" w:rsidRPr="004639E3" w:rsidRDefault="00627E95" w:rsidP="00627E95">
      <w:pPr>
        <w:spacing w:after="0" w:line="360" w:lineRule="auto"/>
        <w:jc w:val="both"/>
        <w:rPr>
          <w:rFonts w:ascii="Times New Roman" w:hAnsi="Times New Roman" w:cs="Times New Roman"/>
          <w:sz w:val="16"/>
          <w:szCs w:val="16"/>
          <w:vertAlign w:val="superscript"/>
        </w:rPr>
      </w:pPr>
    </w:p>
    <w:p w:rsidR="00627E95" w:rsidRPr="004639E3" w:rsidRDefault="00627E95" w:rsidP="00627E95">
      <w:pPr>
        <w:spacing w:after="0" w:line="360" w:lineRule="auto"/>
        <w:jc w:val="both"/>
        <w:rPr>
          <w:rFonts w:ascii="Times New Roman" w:hAnsi="Times New Roman" w:cs="Times New Roman"/>
          <w:sz w:val="16"/>
          <w:szCs w:val="16"/>
          <w:vertAlign w:val="superscript"/>
        </w:rPr>
      </w:pPr>
    </w:p>
    <w:p w:rsidR="00627E95" w:rsidRPr="004639E3" w:rsidRDefault="00627E95" w:rsidP="00627E95">
      <w:pPr>
        <w:spacing w:after="0" w:line="360" w:lineRule="auto"/>
        <w:jc w:val="both"/>
        <w:rPr>
          <w:rFonts w:ascii="Times New Roman" w:hAnsi="Times New Roman" w:cs="Times New Roman"/>
          <w:sz w:val="16"/>
          <w:szCs w:val="16"/>
          <w:vertAlign w:val="superscript"/>
        </w:rPr>
      </w:pPr>
    </w:p>
    <w:p w:rsidR="00627E95" w:rsidRPr="004639E3" w:rsidRDefault="00627E95" w:rsidP="00627E95">
      <w:pPr>
        <w:spacing w:after="0" w:line="360" w:lineRule="auto"/>
        <w:jc w:val="both"/>
        <w:rPr>
          <w:rFonts w:ascii="Times New Roman" w:hAnsi="Times New Roman" w:cs="Times New Roman"/>
          <w:sz w:val="16"/>
          <w:szCs w:val="16"/>
          <w:vertAlign w:val="superscript"/>
        </w:rPr>
      </w:pPr>
    </w:p>
    <w:p w:rsidR="00EA4D5F" w:rsidRDefault="00627E95" w:rsidP="00627E95">
      <w:pPr>
        <w:spacing w:after="0" w:line="360" w:lineRule="auto"/>
        <w:jc w:val="both"/>
      </w:pPr>
      <w:r w:rsidRPr="004639E3">
        <w:rPr>
          <w:rFonts w:ascii="Times New Roman" w:hAnsi="Times New Roman" w:cs="Times New Roman"/>
          <w:sz w:val="16"/>
          <w:szCs w:val="16"/>
          <w:vertAlign w:val="superscript"/>
        </w:rPr>
        <w:t>*</w:t>
      </w:r>
      <w:r w:rsidRPr="004639E3">
        <w:rPr>
          <w:rFonts w:ascii="Times New Roman" w:hAnsi="Times New Roman" w:cs="Times New Roman"/>
          <w:sz w:val="16"/>
          <w:szCs w:val="16"/>
        </w:rPr>
        <w:t xml:space="preserve">N.A.: Not applicable; </w:t>
      </w:r>
      <w:r w:rsidRPr="004639E3">
        <w:rPr>
          <w:rFonts w:ascii="Times New Roman" w:hAnsi="Times New Roman" w:cs="Times New Roman"/>
          <w:sz w:val="16"/>
          <w:szCs w:val="16"/>
          <w:vertAlign w:val="superscript"/>
        </w:rPr>
        <w:t>†</w:t>
      </w:r>
      <w:r w:rsidRPr="004639E3">
        <w:rPr>
          <w:rFonts w:ascii="Times New Roman" w:hAnsi="Times New Roman" w:cs="Times New Roman"/>
          <w:sz w:val="16"/>
          <w:szCs w:val="16"/>
        </w:rPr>
        <w:t xml:space="preserve">N. I.: No Information; </w:t>
      </w:r>
      <w:r w:rsidRPr="004639E3">
        <w:rPr>
          <w:rFonts w:ascii="Times New Roman" w:hAnsi="Times New Roman" w:cs="Times New Roman"/>
          <w:sz w:val="16"/>
          <w:szCs w:val="16"/>
          <w:vertAlign w:val="superscript"/>
        </w:rPr>
        <w:t>‡</w:t>
      </w:r>
      <w:r w:rsidRPr="004639E3">
        <w:rPr>
          <w:rFonts w:ascii="Times New Roman" w:hAnsi="Times New Roman" w:cs="Times New Roman"/>
          <w:sz w:val="16"/>
          <w:szCs w:val="16"/>
        </w:rPr>
        <w:t>Spearman/Pearson correlations coefficients;</w:t>
      </w:r>
      <w:r w:rsidRPr="004639E3">
        <w:rPr>
          <w:rFonts w:ascii="Times New Roman" w:hAnsi="Times New Roman" w:cs="Times New Roman"/>
          <w:sz w:val="16"/>
          <w:szCs w:val="16"/>
          <w:vertAlign w:val="superscript"/>
        </w:rPr>
        <w:t xml:space="preserve"> §</w:t>
      </w:r>
      <w:r w:rsidRPr="004639E3">
        <w:rPr>
          <w:rFonts w:ascii="Times New Roman" w:hAnsi="Times New Roman" w:cs="Times New Roman"/>
          <w:sz w:val="16"/>
          <w:szCs w:val="16"/>
        </w:rPr>
        <w:t xml:space="preserve"> Cohen’s kappa; </w:t>
      </w:r>
      <w:r w:rsidRPr="004639E3">
        <w:rPr>
          <w:rFonts w:ascii="Times New Roman" w:hAnsi="Times New Roman" w:cs="Times New Roman"/>
          <w:sz w:val="16"/>
          <w:szCs w:val="16"/>
          <w:vertAlign w:val="superscript"/>
        </w:rPr>
        <w:t xml:space="preserve">|| </w:t>
      </w:r>
      <w:r w:rsidRPr="004639E3">
        <w:rPr>
          <w:rFonts w:ascii="Times New Roman" w:hAnsi="Times New Roman" w:cs="Times New Roman"/>
          <w:sz w:val="16"/>
          <w:szCs w:val="16"/>
        </w:rPr>
        <w:t>Bland-Altman</w:t>
      </w:r>
      <w:r w:rsidR="00CB01D6">
        <w:rPr>
          <w:rFonts w:ascii="Times New Roman" w:hAnsi="Times New Roman" w:cs="Times New Roman"/>
          <w:sz w:val="16"/>
          <w:szCs w:val="16"/>
        </w:rPr>
        <w:t xml:space="preserve"> </w:t>
      </w:r>
      <w:r w:rsidRPr="004639E3">
        <w:rPr>
          <w:rFonts w:ascii="Times New Roman" w:hAnsi="Times New Roman" w:cs="Times New Roman"/>
          <w:sz w:val="16"/>
          <w:szCs w:val="16"/>
        </w:rPr>
        <w:t xml:space="preserve">mean and 95% CI; </w:t>
      </w:r>
      <w:r w:rsidRPr="004639E3">
        <w:rPr>
          <w:rFonts w:ascii="Times New Roman" w:hAnsi="Times New Roman" w:cs="Times New Roman"/>
          <w:sz w:val="16"/>
          <w:szCs w:val="16"/>
          <w:vertAlign w:val="superscript"/>
        </w:rPr>
        <w:t>¶</w:t>
      </w:r>
      <w:r w:rsidRPr="004639E3">
        <w:rPr>
          <w:rFonts w:ascii="Times New Roman" w:hAnsi="Times New Roman" w:cs="Times New Roman"/>
          <w:sz w:val="16"/>
          <w:szCs w:val="16"/>
        </w:rPr>
        <w:t>Agreement in the same (or same and adjacent) percentile; **Intra-class</w:t>
      </w:r>
      <w:r w:rsidR="00CB01D6">
        <w:rPr>
          <w:rFonts w:ascii="Times New Roman" w:hAnsi="Times New Roman" w:cs="Times New Roman"/>
          <w:sz w:val="16"/>
          <w:szCs w:val="16"/>
        </w:rPr>
        <w:t xml:space="preserve"> </w:t>
      </w:r>
      <w:r w:rsidRPr="004639E3">
        <w:rPr>
          <w:rFonts w:ascii="Times New Roman" w:hAnsi="Times New Roman" w:cs="Times New Roman"/>
          <w:sz w:val="16"/>
          <w:szCs w:val="16"/>
        </w:rPr>
        <w:t xml:space="preserve">correlations coefficients. </w:t>
      </w:r>
    </w:p>
    <w:sectPr w:rsidR="00EA4D5F" w:rsidSect="00627E95">
      <w:footerReference w:type="default" r:id="rId6"/>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15AD" w:rsidRDefault="00B915AD" w:rsidP="00B6561A">
      <w:pPr>
        <w:spacing w:after="0" w:line="240" w:lineRule="auto"/>
      </w:pPr>
      <w:r>
        <w:separator/>
      </w:r>
    </w:p>
  </w:endnote>
  <w:endnote w:type="continuationSeparator" w:id="0">
    <w:p w:rsidR="00B915AD" w:rsidRDefault="00B915AD" w:rsidP="00B6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6639"/>
      <w:docPartObj>
        <w:docPartGallery w:val="Page Numbers (Bottom of Page)"/>
        <w:docPartUnique/>
      </w:docPartObj>
    </w:sdtPr>
    <w:sdtEndPr/>
    <w:sdtContent>
      <w:p w:rsidR="00031E90" w:rsidRDefault="00B6561A">
        <w:pPr>
          <w:pStyle w:val="Rodap"/>
          <w:jc w:val="right"/>
        </w:pPr>
        <w:r>
          <w:fldChar w:fldCharType="begin"/>
        </w:r>
        <w:r w:rsidR="00627E95">
          <w:instrText>PAGE   \* MERGEFORMAT</w:instrText>
        </w:r>
        <w:r>
          <w:fldChar w:fldCharType="separate"/>
        </w:r>
        <w:r w:rsidR="0070125B" w:rsidRPr="0070125B">
          <w:rPr>
            <w:noProof/>
            <w:lang w:val="pt-PT"/>
          </w:rPr>
          <w:t>1</w:t>
        </w:r>
        <w:r>
          <w:fldChar w:fldCharType="end"/>
        </w:r>
      </w:p>
    </w:sdtContent>
  </w:sdt>
  <w:p w:rsidR="00031E90" w:rsidRDefault="00B915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15AD" w:rsidRDefault="00B915AD" w:rsidP="00B6561A">
      <w:pPr>
        <w:spacing w:after="0" w:line="240" w:lineRule="auto"/>
      </w:pPr>
      <w:r>
        <w:separator/>
      </w:r>
    </w:p>
  </w:footnote>
  <w:footnote w:type="continuationSeparator" w:id="0">
    <w:p w:rsidR="00B915AD" w:rsidRDefault="00B915AD" w:rsidP="00B65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95"/>
    <w:rsid w:val="00361534"/>
    <w:rsid w:val="00473705"/>
    <w:rsid w:val="00513320"/>
    <w:rsid w:val="00627E95"/>
    <w:rsid w:val="0070125B"/>
    <w:rsid w:val="00B47184"/>
    <w:rsid w:val="00B6561A"/>
    <w:rsid w:val="00B915AD"/>
    <w:rsid w:val="00BA6124"/>
    <w:rsid w:val="00CB01D6"/>
    <w:rsid w:val="00DA4055"/>
    <w:rsid w:val="00E31970"/>
    <w:rsid w:val="00E6256E"/>
    <w:rsid w:val="00EF7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976F"/>
  <w15:docId w15:val="{B856A2BA-1556-C74C-9983-F52B0856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95"/>
    <w:pPr>
      <w:spacing w:after="200" w:line="276" w:lineRule="auto"/>
    </w:pPr>
    <w:rPr>
      <w:sz w:val="22"/>
      <w:szCs w:val="22"/>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627E9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unhideWhenUsed/>
    <w:rsid w:val="00627E9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27E95"/>
    <w:rPr>
      <w:sz w:val="22"/>
      <w:szCs w:val="22"/>
      <w:lang w:val="en-GB"/>
    </w:rPr>
  </w:style>
  <w:style w:type="paragraph" w:styleId="Textodebalo">
    <w:name w:val="Balloon Text"/>
    <w:basedOn w:val="Normal"/>
    <w:link w:val="TextodebaloCarter"/>
    <w:uiPriority w:val="99"/>
    <w:semiHidden/>
    <w:unhideWhenUsed/>
    <w:rsid w:val="00BA6124"/>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BA6124"/>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10895</Words>
  <Characters>58835</Characters>
  <Application>Microsoft Office Word</Application>
  <DocSecurity>0</DocSecurity>
  <Lines>490</Lines>
  <Paragraphs>139</Paragraphs>
  <ScaleCrop>false</ScaleCrop>
  <Company/>
  <LinksUpToDate>false</LinksUpToDate>
  <CharactersWithSpaces>69591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Pereira Vila Real (360708024)</dc:creator>
  <cp:keywords/>
  <dc:description/>
  <cp:lastModifiedBy>Catarina Pereira Vila Real (360708024)</cp:lastModifiedBy>
  <cp:revision>2</cp:revision>
  <dcterms:created xsi:type="dcterms:W3CDTF">2020-07-14T09:53:00Z</dcterms:created>
  <dcterms:modified xsi:type="dcterms:W3CDTF">2020-07-14T09:53:00Z</dcterms:modified>
</cp:coreProperties>
</file>