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A1F9" w14:textId="56D5AB0D" w:rsidR="00B068B1" w:rsidRPr="00141217" w:rsidRDefault="0059693E" w:rsidP="005F4DCE">
      <w:pPr>
        <w:pStyle w:val="Caption"/>
      </w:pPr>
      <w:bookmarkStart w:id="0" w:name="_Ref450836128"/>
      <w:r w:rsidRPr="0059693E">
        <w:t>Supplemental Table S</w:t>
      </w:r>
      <w:r>
        <w:t>1</w:t>
      </w:r>
      <w:r w:rsidR="00B068B1" w:rsidRPr="00141217">
        <w:t xml:space="preserve"> Baseline input parameter table</w:t>
      </w:r>
      <w:r w:rsidR="00141217" w:rsidRPr="00141217">
        <w:t xml:space="preserve"> used in modelling dietar</w:t>
      </w:r>
      <w:r w:rsidR="004F7522">
        <w:t>y counselling</w:t>
      </w:r>
      <w:r w:rsidR="00141217" w:rsidRPr="00141217">
        <w:t xml:space="preserve"> for weight loss</w:t>
      </w:r>
    </w:p>
    <w:tbl>
      <w:tblPr>
        <w:tblStyle w:val="TableGrid"/>
        <w:tblW w:w="13716" w:type="dxa"/>
        <w:tblLayout w:type="fixed"/>
        <w:tblLook w:val="04A0" w:firstRow="1" w:lastRow="0" w:firstColumn="1" w:lastColumn="0" w:noHBand="0" w:noVBand="1"/>
      </w:tblPr>
      <w:tblGrid>
        <w:gridCol w:w="1805"/>
        <w:gridCol w:w="6525"/>
        <w:gridCol w:w="3118"/>
        <w:gridCol w:w="2268"/>
      </w:tblGrid>
      <w:tr w:rsidR="00B068B1" w:rsidRPr="00141217" w14:paraId="2683C487" w14:textId="77777777" w:rsidTr="000B7661">
        <w:tc>
          <w:tcPr>
            <w:tcW w:w="1805" w:type="dxa"/>
            <w:shd w:val="clear" w:color="auto" w:fill="D9D9D9" w:themeFill="background1" w:themeFillShade="D9"/>
          </w:tcPr>
          <w:p w14:paraId="27E39F21"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Baseline input Parameter</w:t>
            </w:r>
          </w:p>
        </w:tc>
        <w:tc>
          <w:tcPr>
            <w:tcW w:w="6525" w:type="dxa"/>
            <w:shd w:val="clear" w:color="auto" w:fill="D9D9D9" w:themeFill="background1" w:themeFillShade="D9"/>
          </w:tcPr>
          <w:p w14:paraId="625C8E60"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Source</w:t>
            </w:r>
            <w:r w:rsidR="00265708" w:rsidRPr="00141217">
              <w:rPr>
                <w:rFonts w:ascii="Times New Roman" w:hAnsi="Times New Roman" w:cs="Times New Roman"/>
                <w:b/>
              </w:rPr>
              <w:t xml:space="preserve"> and application to model</w:t>
            </w:r>
          </w:p>
        </w:tc>
        <w:tc>
          <w:tcPr>
            <w:tcW w:w="3118" w:type="dxa"/>
            <w:shd w:val="clear" w:color="auto" w:fill="D9D9D9" w:themeFill="background1" w:themeFillShade="D9"/>
          </w:tcPr>
          <w:p w14:paraId="13CEED77"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Expected Value and 95% UI</w:t>
            </w:r>
          </w:p>
        </w:tc>
        <w:tc>
          <w:tcPr>
            <w:tcW w:w="2268" w:type="dxa"/>
            <w:shd w:val="clear" w:color="auto" w:fill="D9D9D9" w:themeFill="background1" w:themeFillShade="D9"/>
          </w:tcPr>
          <w:p w14:paraId="0478B9FD"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Distribution</w:t>
            </w:r>
          </w:p>
        </w:tc>
      </w:tr>
      <w:tr w:rsidR="00B068B1" w:rsidRPr="00141217" w14:paraId="244A14F8" w14:textId="77777777" w:rsidTr="000B7661">
        <w:tc>
          <w:tcPr>
            <w:tcW w:w="1805" w:type="dxa"/>
          </w:tcPr>
          <w:p w14:paraId="28172990"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Baseline population count</w:t>
            </w:r>
          </w:p>
        </w:tc>
        <w:tc>
          <w:tcPr>
            <w:tcW w:w="6525" w:type="dxa"/>
          </w:tcPr>
          <w:p w14:paraId="1BA24DD6" w14:textId="77777777" w:rsidR="00B068B1" w:rsidRPr="00141217" w:rsidRDefault="00B068B1" w:rsidP="000B7661">
            <w:pPr>
              <w:autoSpaceDE w:val="0"/>
              <w:autoSpaceDN w:val="0"/>
              <w:adjustRightInd w:val="0"/>
              <w:rPr>
                <w:rFonts w:ascii="Times New Roman" w:hAnsi="Times New Roman" w:cs="Times New Roman"/>
              </w:rPr>
            </w:pPr>
            <w:r w:rsidRPr="00141217">
              <w:rPr>
                <w:rFonts w:ascii="Times New Roman" w:hAnsi="Times New Roman" w:cs="Times New Roman"/>
                <w:lang w:val="en-US"/>
              </w:rPr>
              <w:t>Statistics NZ (SNZ) population estimates for 2011.</w:t>
            </w:r>
          </w:p>
        </w:tc>
        <w:tc>
          <w:tcPr>
            <w:tcW w:w="3118" w:type="dxa"/>
          </w:tcPr>
          <w:p w14:paraId="3C90BA06"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Nil uncertainty.</w:t>
            </w:r>
          </w:p>
        </w:tc>
        <w:tc>
          <w:tcPr>
            <w:tcW w:w="2268" w:type="dxa"/>
          </w:tcPr>
          <w:p w14:paraId="173D4343" w14:textId="77777777" w:rsidR="00B068B1" w:rsidRPr="00141217" w:rsidRDefault="00B068B1" w:rsidP="000B7661">
            <w:pPr>
              <w:rPr>
                <w:rFonts w:ascii="Times New Roman" w:hAnsi="Times New Roman" w:cs="Times New Roman"/>
              </w:rPr>
            </w:pPr>
          </w:p>
        </w:tc>
      </w:tr>
      <w:tr w:rsidR="00B068B1" w:rsidRPr="00141217" w14:paraId="251AFC0D" w14:textId="77777777" w:rsidTr="000B7661">
        <w:tc>
          <w:tcPr>
            <w:tcW w:w="1805" w:type="dxa"/>
          </w:tcPr>
          <w:p w14:paraId="49132757"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All-cause mortality rates</w:t>
            </w:r>
          </w:p>
        </w:tc>
        <w:tc>
          <w:tcPr>
            <w:tcW w:w="6525" w:type="dxa"/>
          </w:tcPr>
          <w:p w14:paraId="7ED905C0"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SNZ mortality rates for 2011.</w:t>
            </w:r>
          </w:p>
        </w:tc>
        <w:tc>
          <w:tcPr>
            <w:tcW w:w="3118" w:type="dxa"/>
          </w:tcPr>
          <w:p w14:paraId="66BE8C16"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Nil uncertainty.</w:t>
            </w:r>
          </w:p>
        </w:tc>
        <w:tc>
          <w:tcPr>
            <w:tcW w:w="2268" w:type="dxa"/>
          </w:tcPr>
          <w:p w14:paraId="37111337" w14:textId="77777777" w:rsidR="00B068B1" w:rsidRPr="00141217" w:rsidRDefault="00B068B1" w:rsidP="000B7661">
            <w:pPr>
              <w:rPr>
                <w:rFonts w:ascii="Times New Roman" w:hAnsi="Times New Roman" w:cs="Times New Roman"/>
              </w:rPr>
            </w:pPr>
          </w:p>
        </w:tc>
      </w:tr>
      <w:tr w:rsidR="00B068B1" w:rsidRPr="00141217" w14:paraId="187069E2" w14:textId="77777777" w:rsidTr="000B7661">
        <w:tc>
          <w:tcPr>
            <w:tcW w:w="1805" w:type="dxa"/>
          </w:tcPr>
          <w:p w14:paraId="174434C0" w14:textId="77777777" w:rsidR="00B068B1" w:rsidRPr="00141217" w:rsidRDefault="00B068B1" w:rsidP="000B7661">
            <w:pPr>
              <w:autoSpaceDE w:val="0"/>
              <w:autoSpaceDN w:val="0"/>
              <w:adjustRightInd w:val="0"/>
              <w:rPr>
                <w:rFonts w:ascii="Times New Roman" w:hAnsi="Times New Roman" w:cs="Times New Roman"/>
                <w:lang w:val="en-US"/>
              </w:rPr>
            </w:pPr>
            <w:r w:rsidRPr="00141217">
              <w:rPr>
                <w:rFonts w:ascii="Times New Roman" w:hAnsi="Times New Roman" w:cs="Times New Roman"/>
                <w:lang w:val="en-US"/>
              </w:rPr>
              <w:t>Disease-specific incidence,  prevalence, and case-fatality rates (and remission rates)</w:t>
            </w:r>
          </w:p>
        </w:tc>
        <w:tc>
          <w:tcPr>
            <w:tcW w:w="6525" w:type="dxa"/>
          </w:tcPr>
          <w:p w14:paraId="2EA85BCE" w14:textId="77777777" w:rsidR="00B068B1" w:rsidRPr="00141217" w:rsidRDefault="00B068B1" w:rsidP="000B7661">
            <w:pPr>
              <w:autoSpaceDE w:val="0"/>
              <w:autoSpaceDN w:val="0"/>
              <w:adjustRightInd w:val="0"/>
              <w:rPr>
                <w:rFonts w:ascii="Times New Roman" w:hAnsi="Times New Roman" w:cs="Times New Roman"/>
              </w:rPr>
            </w:pPr>
            <w:r w:rsidRPr="00141217">
              <w:rPr>
                <w:rFonts w:ascii="Times New Roman" w:hAnsi="Times New Roman" w:cs="Times New Roman"/>
                <w:color w:val="000000"/>
                <w:lang w:val="en-US"/>
              </w:rPr>
              <w:t>For each disease, coherent sets of incidence rates, prevalence, case-fatality rates (CFR), and remission rates (zero for non</w:t>
            </w:r>
            <w:r w:rsidR="00B66F31" w:rsidRPr="00141217">
              <w:rPr>
                <w:rFonts w:ascii="Times New Roman" w:hAnsi="Times New Roman" w:cs="Times New Roman"/>
                <w:color w:val="000000"/>
                <w:lang w:val="en-US"/>
              </w:rPr>
              <w:t>-</w:t>
            </w:r>
            <w:r w:rsidRPr="00141217">
              <w:rPr>
                <w:rFonts w:ascii="Times New Roman" w:hAnsi="Times New Roman" w:cs="Times New Roman"/>
                <w:color w:val="000000"/>
                <w:lang w:val="en-US"/>
              </w:rPr>
              <w:t xml:space="preserve">cancers, the complement of the CFR for cancers to give the expected 5-y relative survival) were estimated using DISMOD II using data from </w:t>
            </w:r>
            <w:r w:rsidRPr="00141217">
              <w:rPr>
                <w:rFonts w:ascii="Times New Roman" w:eastAsia="Times New Roman" w:hAnsi="Times New Roman" w:cs="Times New Roman"/>
              </w:rPr>
              <w:t>NZBDS, HealthTracker and the Ministry of Health.</w:t>
            </w:r>
          </w:p>
        </w:tc>
        <w:tc>
          <w:tcPr>
            <w:tcW w:w="3118" w:type="dxa"/>
          </w:tcPr>
          <w:p w14:paraId="0BD6AE34"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rates all +/- 5% standard deviation (SD).</w:t>
            </w:r>
          </w:p>
        </w:tc>
        <w:tc>
          <w:tcPr>
            <w:tcW w:w="2268" w:type="dxa"/>
          </w:tcPr>
          <w:p w14:paraId="45E5B57E"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Log-normal</w:t>
            </w:r>
          </w:p>
        </w:tc>
      </w:tr>
      <w:tr w:rsidR="00B068B1" w:rsidRPr="00141217" w14:paraId="74E1077B" w14:textId="77777777" w:rsidTr="000B7661">
        <w:tc>
          <w:tcPr>
            <w:tcW w:w="1805" w:type="dxa"/>
          </w:tcPr>
          <w:p w14:paraId="2B9AC50A" w14:textId="77777777" w:rsidR="00B068B1" w:rsidRPr="00141217" w:rsidRDefault="00B068B1" w:rsidP="000B7661">
            <w:pPr>
              <w:autoSpaceDE w:val="0"/>
              <w:autoSpaceDN w:val="0"/>
              <w:adjustRightInd w:val="0"/>
              <w:rPr>
                <w:rFonts w:ascii="Times New Roman" w:hAnsi="Times New Roman" w:cs="Times New Roman"/>
                <w:lang w:val="en-US"/>
              </w:rPr>
            </w:pPr>
            <w:r w:rsidRPr="00141217">
              <w:rPr>
                <w:rFonts w:ascii="Times New Roman" w:hAnsi="Times New Roman" w:cs="Times New Roman"/>
                <w:lang w:val="en-US"/>
              </w:rPr>
              <w:t>Disease trends</w:t>
            </w:r>
          </w:p>
        </w:tc>
        <w:tc>
          <w:tcPr>
            <w:tcW w:w="6525" w:type="dxa"/>
          </w:tcPr>
          <w:p w14:paraId="6B85E47A" w14:textId="77777777" w:rsidR="00B068B1" w:rsidRPr="00141217" w:rsidRDefault="00B068B1" w:rsidP="000B7661">
            <w:pPr>
              <w:autoSpaceDE w:val="0"/>
              <w:autoSpaceDN w:val="0"/>
              <w:adjustRightInd w:val="0"/>
              <w:rPr>
                <w:rFonts w:ascii="Times New Roman" w:hAnsi="Times New Roman" w:cs="Times New Roman"/>
                <w:color w:val="000000"/>
                <w:lang w:val="en-US"/>
              </w:rPr>
            </w:pPr>
            <w:r w:rsidRPr="00141217">
              <w:rPr>
                <w:rFonts w:ascii="Times New Roman" w:hAnsi="Times New Roman" w:cs="Times New Roman"/>
                <w:color w:val="000000"/>
                <w:lang w:val="en-US"/>
              </w:rPr>
              <w:t>Trends are applied to incidence, case-fatality and remission. These are switched on until 2026 and then kept constant for the remainder of the lifetime.</w:t>
            </w:r>
          </w:p>
        </w:tc>
        <w:tc>
          <w:tcPr>
            <w:tcW w:w="3118" w:type="dxa"/>
          </w:tcPr>
          <w:p w14:paraId="0A9AFFFB" w14:textId="77777777" w:rsidR="00B068B1" w:rsidRPr="00141217" w:rsidRDefault="00B068B1" w:rsidP="000B7661">
            <w:pPr>
              <w:rPr>
                <w:rFonts w:ascii="Times New Roman" w:hAnsi="Times New Roman" w:cs="Times New Roman"/>
                <w:lang w:val="en-US"/>
              </w:rPr>
            </w:pPr>
            <w:r w:rsidRPr="00141217">
              <w:rPr>
                <w:rFonts w:ascii="Times New Roman" w:hAnsi="Times New Roman" w:cs="Times New Roman"/>
                <w:lang w:val="en-US"/>
              </w:rPr>
              <w:t>Uncertainty: +/- 0.5% absolute change. Diabetes: Uncertainty +/- 1.5% absolute change.</w:t>
            </w:r>
          </w:p>
        </w:tc>
        <w:tc>
          <w:tcPr>
            <w:tcW w:w="2268" w:type="dxa"/>
          </w:tcPr>
          <w:p w14:paraId="775AE3C6"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Normal</w:t>
            </w:r>
          </w:p>
        </w:tc>
      </w:tr>
      <w:tr w:rsidR="00B068B1" w:rsidRPr="00141217" w14:paraId="0E206BD7" w14:textId="77777777" w:rsidTr="000B7661">
        <w:tc>
          <w:tcPr>
            <w:tcW w:w="1805" w:type="dxa"/>
          </w:tcPr>
          <w:p w14:paraId="77E8F0E4" w14:textId="77777777" w:rsidR="00B068B1" w:rsidRPr="00141217" w:rsidRDefault="00B068B1" w:rsidP="000B7661">
            <w:pPr>
              <w:autoSpaceDE w:val="0"/>
              <w:autoSpaceDN w:val="0"/>
              <w:adjustRightInd w:val="0"/>
              <w:rPr>
                <w:rFonts w:ascii="Times New Roman" w:hAnsi="Times New Roman" w:cs="Times New Roman"/>
              </w:rPr>
            </w:pPr>
            <w:r w:rsidRPr="00141217">
              <w:rPr>
                <w:rFonts w:ascii="Times New Roman" w:hAnsi="Times New Roman" w:cs="Times New Roman"/>
                <w:lang w:val="en-US"/>
              </w:rPr>
              <w:t>Total morbidity per capita in 2011</w:t>
            </w:r>
          </w:p>
        </w:tc>
        <w:tc>
          <w:tcPr>
            <w:tcW w:w="6525" w:type="dxa"/>
          </w:tcPr>
          <w:p w14:paraId="3E6E5ABB" w14:textId="77777777" w:rsidR="00B068B1" w:rsidRPr="00141217" w:rsidRDefault="00B068B1" w:rsidP="000B7661">
            <w:pPr>
              <w:autoSpaceDE w:val="0"/>
              <w:autoSpaceDN w:val="0"/>
              <w:adjustRightInd w:val="0"/>
              <w:rPr>
                <w:rFonts w:ascii="Times New Roman" w:hAnsi="Times New Roman" w:cs="Times New Roman"/>
              </w:rPr>
            </w:pPr>
            <w:r w:rsidRPr="00141217">
              <w:rPr>
                <w:rFonts w:ascii="Times New Roman" w:hAnsi="Times New Roman" w:cs="Times New Roman"/>
                <w:color w:val="000000"/>
                <w:lang w:val="en-US"/>
              </w:rPr>
              <w:t>The per capita rate of years of life lived with disability (YLD) from the NZBDS.</w:t>
            </w:r>
          </w:p>
        </w:tc>
        <w:tc>
          <w:tcPr>
            <w:tcW w:w="3118" w:type="dxa"/>
          </w:tcPr>
          <w:p w14:paraId="2A9B942C"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+/- 10% SD.</w:t>
            </w:r>
          </w:p>
        </w:tc>
        <w:tc>
          <w:tcPr>
            <w:tcW w:w="2268" w:type="dxa"/>
          </w:tcPr>
          <w:p w14:paraId="2D902677"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Log-normal</w:t>
            </w:r>
          </w:p>
        </w:tc>
      </w:tr>
      <w:tr w:rsidR="00B068B1" w:rsidRPr="00141217" w14:paraId="55A4E5CD" w14:textId="77777777" w:rsidTr="000B7661">
        <w:tc>
          <w:tcPr>
            <w:tcW w:w="1805" w:type="dxa"/>
          </w:tcPr>
          <w:p w14:paraId="0CD5CAF6"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Disease morbidity rate per capita</w:t>
            </w:r>
          </w:p>
        </w:tc>
        <w:tc>
          <w:tcPr>
            <w:tcW w:w="6525" w:type="dxa"/>
          </w:tcPr>
          <w:p w14:paraId="00D7E729" w14:textId="77777777" w:rsidR="00B068B1" w:rsidRPr="00141217" w:rsidRDefault="00B068B1" w:rsidP="000B7661">
            <w:pPr>
              <w:autoSpaceDE w:val="0"/>
              <w:autoSpaceDN w:val="0"/>
              <w:adjustRightInd w:val="0"/>
              <w:rPr>
                <w:rFonts w:ascii="Times New Roman" w:hAnsi="Times New Roman" w:cs="Times New Roman"/>
              </w:rPr>
            </w:pPr>
            <w:r w:rsidRPr="00141217">
              <w:rPr>
                <w:rFonts w:ascii="Times New Roman" w:hAnsi="Times New Roman" w:cs="Times New Roman"/>
                <w:color w:val="000000"/>
                <w:lang w:val="en-US"/>
              </w:rPr>
              <w:t>Each disease was assigned a disability rate (DR; by sex and age) equal to YLDs for that disease (scaled down to adjust for comorbidities) from the 2006 NZBDS projected forward to 2011, divided by the disease prevalence. This DR was assigned to the proportion of the cohort in each disease state.</w:t>
            </w:r>
          </w:p>
        </w:tc>
        <w:tc>
          <w:tcPr>
            <w:tcW w:w="3118" w:type="dxa"/>
          </w:tcPr>
          <w:p w14:paraId="75CBAE50"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+/- 10% SD.</w:t>
            </w:r>
          </w:p>
        </w:tc>
        <w:tc>
          <w:tcPr>
            <w:tcW w:w="2268" w:type="dxa"/>
          </w:tcPr>
          <w:p w14:paraId="21EB2987"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Normal</w:t>
            </w:r>
          </w:p>
        </w:tc>
      </w:tr>
      <w:tr w:rsidR="00B068B1" w:rsidRPr="00141217" w14:paraId="3D273861" w14:textId="77777777" w:rsidTr="000B7661">
        <w:tc>
          <w:tcPr>
            <w:tcW w:w="1805" w:type="dxa"/>
          </w:tcPr>
          <w:p w14:paraId="3210C76F"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Health system costs</w:t>
            </w:r>
          </w:p>
        </w:tc>
        <w:tc>
          <w:tcPr>
            <w:tcW w:w="6525" w:type="dxa"/>
          </w:tcPr>
          <w:p w14:paraId="48BFBE9F" w14:textId="2CD5FD6C" w:rsidR="00B068B1" w:rsidRPr="00141217" w:rsidRDefault="00B068B1" w:rsidP="00CE74B3">
            <w:pPr>
              <w:autoSpaceDE w:val="0"/>
              <w:autoSpaceDN w:val="0"/>
              <w:adjustRightInd w:val="0"/>
              <w:rPr>
                <w:rFonts w:ascii="Times New Roman" w:hAnsi="Times New Roman" w:cs="Times New Roman"/>
              </w:rPr>
            </w:pPr>
            <w:r w:rsidRPr="00141217">
              <w:rPr>
                <w:rFonts w:ascii="Times New Roman" w:hAnsi="Times New Roman" w:cs="Times New Roman"/>
                <w:color w:val="000000"/>
                <w:lang w:val="en-US"/>
              </w:rPr>
              <w:t>Linked health data (</w:t>
            </w:r>
            <w:proofErr w:type="spellStart"/>
            <w:r w:rsidRPr="00141217">
              <w:rPr>
                <w:rFonts w:ascii="Times New Roman" w:hAnsi="Times New Roman" w:cs="Times New Roman"/>
                <w:color w:val="000000"/>
                <w:lang w:val="en-US"/>
              </w:rPr>
              <w:t>hospitalisations</w:t>
            </w:r>
            <w:proofErr w:type="spellEnd"/>
            <w:r w:rsidRPr="00141217">
              <w:rPr>
                <w:rFonts w:ascii="Times New Roman" w:hAnsi="Times New Roman" w:cs="Times New Roman"/>
                <w:color w:val="000000"/>
                <w:lang w:val="en-US"/>
              </w:rPr>
              <w:t>, inpatient procedures, outpatients,  pharmaceuticals, laboratories, and expected primary care usage) for each individual in NZ for the period 2006–2010 had unit costs assigned to each event, and then five health system costs (</w:t>
            </w:r>
            <w:r w:rsidR="00CE74B3">
              <w:rPr>
                <w:rFonts w:ascii="Times New Roman" w:hAnsi="Times New Roman" w:cs="Times New Roman"/>
                <w:color w:val="000000"/>
                <w:lang w:val="en-US"/>
              </w:rPr>
              <w:t xml:space="preserve">2011 </w:t>
            </w:r>
            <w:r w:rsidRPr="00141217">
              <w:rPr>
                <w:rFonts w:ascii="Times New Roman" w:hAnsi="Times New Roman" w:cs="Times New Roman"/>
                <w:color w:val="000000"/>
                <w:lang w:val="en-US"/>
              </w:rPr>
              <w:t>NZ$) were estimated.</w:t>
            </w:r>
          </w:p>
        </w:tc>
        <w:tc>
          <w:tcPr>
            <w:tcW w:w="3118" w:type="dxa"/>
          </w:tcPr>
          <w:p w14:paraId="7F00B6AB"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Estimated at SD = ±10% of the point estimate.</w:t>
            </w:r>
          </w:p>
        </w:tc>
        <w:tc>
          <w:tcPr>
            <w:tcW w:w="2268" w:type="dxa"/>
          </w:tcPr>
          <w:p w14:paraId="596CC750"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Gamma</w:t>
            </w:r>
          </w:p>
        </w:tc>
      </w:tr>
      <w:tr w:rsidR="00B068B1" w:rsidRPr="00141217" w14:paraId="415463CB" w14:textId="77777777" w:rsidTr="000B7661">
        <w:tc>
          <w:tcPr>
            <w:tcW w:w="1805" w:type="dxa"/>
          </w:tcPr>
          <w:p w14:paraId="24AAC5CB" w14:textId="77777777" w:rsidR="00B068B1" w:rsidRPr="00141217" w:rsidRDefault="00B068B1" w:rsidP="000B7661">
            <w:pPr>
              <w:rPr>
                <w:rFonts w:ascii="Times New Roman" w:hAnsi="Times New Roman" w:cs="Times New Roman"/>
                <w:lang w:val="en-US"/>
              </w:rPr>
            </w:pPr>
            <w:proofErr w:type="spellStart"/>
            <w:r w:rsidRPr="00141217">
              <w:rPr>
                <w:rFonts w:ascii="Times New Roman" w:hAnsi="Times New Roman" w:cs="Times New Roman"/>
                <w:lang w:val="en-US"/>
              </w:rPr>
              <w:t>Timelags</w:t>
            </w:r>
            <w:proofErr w:type="spellEnd"/>
          </w:p>
        </w:tc>
        <w:tc>
          <w:tcPr>
            <w:tcW w:w="6525" w:type="dxa"/>
          </w:tcPr>
          <w:p w14:paraId="4672CD72" w14:textId="77777777" w:rsidR="00B068B1" w:rsidRPr="00141217" w:rsidRDefault="00B068B1" w:rsidP="000B7661">
            <w:pPr>
              <w:autoSpaceDE w:val="0"/>
              <w:autoSpaceDN w:val="0"/>
              <w:adjustRightInd w:val="0"/>
              <w:rPr>
                <w:rFonts w:ascii="Times New Roman" w:hAnsi="Times New Roman" w:cs="Times New Roman"/>
                <w:color w:val="000000"/>
                <w:lang w:val="en-US"/>
              </w:rPr>
            </w:pPr>
            <w:r w:rsidRPr="00141217">
              <w:rPr>
                <w:rFonts w:ascii="Times New Roman" w:hAnsi="Times New Roman" w:cs="Times New Roman"/>
                <w:color w:val="000000"/>
                <w:lang w:val="en-US"/>
              </w:rPr>
              <w:t xml:space="preserve">It takes time for a change in BMI to impact on disease incidence. As there are no data on just how long these are we have used wide windows for </w:t>
            </w:r>
            <w:proofErr w:type="spellStart"/>
            <w:r w:rsidRPr="00141217">
              <w:rPr>
                <w:rFonts w:ascii="Times New Roman" w:hAnsi="Times New Roman" w:cs="Times New Roman"/>
                <w:color w:val="000000"/>
                <w:lang w:val="en-US"/>
              </w:rPr>
              <w:t>timelags</w:t>
            </w:r>
            <w:proofErr w:type="spellEnd"/>
            <w:r w:rsidRPr="00141217">
              <w:rPr>
                <w:rFonts w:ascii="Times New Roman" w:hAnsi="Times New Roman" w:cs="Times New Roman"/>
                <w:color w:val="000000"/>
                <w:lang w:val="en-US"/>
              </w:rPr>
              <w:t xml:space="preserve">. For cancers the </w:t>
            </w:r>
            <w:proofErr w:type="spellStart"/>
            <w:r w:rsidRPr="00141217">
              <w:rPr>
                <w:rFonts w:ascii="Times New Roman" w:hAnsi="Times New Roman" w:cs="Times New Roman"/>
                <w:color w:val="000000"/>
                <w:lang w:val="en-US"/>
              </w:rPr>
              <w:t>timelag</w:t>
            </w:r>
            <w:proofErr w:type="spellEnd"/>
            <w:r w:rsidRPr="00141217">
              <w:rPr>
                <w:rFonts w:ascii="Times New Roman" w:hAnsi="Times New Roman" w:cs="Times New Roman"/>
                <w:color w:val="000000"/>
                <w:lang w:val="en-US"/>
              </w:rPr>
              <w:t xml:space="preserve"> was assumed to range between 10 and 30 years. For CHD, Stroke, diabetes and osteoarthritis, the non-cancers, the </w:t>
            </w:r>
            <w:proofErr w:type="spellStart"/>
            <w:r w:rsidRPr="00141217">
              <w:rPr>
                <w:rFonts w:ascii="Times New Roman" w:hAnsi="Times New Roman" w:cs="Times New Roman"/>
                <w:color w:val="000000"/>
                <w:lang w:val="en-US"/>
              </w:rPr>
              <w:t>timelag</w:t>
            </w:r>
            <w:proofErr w:type="spellEnd"/>
            <w:r w:rsidRPr="00141217">
              <w:rPr>
                <w:rFonts w:ascii="Times New Roman" w:hAnsi="Times New Roman" w:cs="Times New Roman"/>
                <w:color w:val="000000"/>
                <w:lang w:val="en-US"/>
              </w:rPr>
              <w:t xml:space="preserve"> was assumed to be shorter and ranges between 0 and 5 years. Wide uncertainty is included in these estimates. </w:t>
            </w:r>
          </w:p>
        </w:tc>
        <w:tc>
          <w:tcPr>
            <w:tcW w:w="3118" w:type="dxa"/>
          </w:tcPr>
          <w:p w14:paraId="3D4059F1"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+/- 20% SD about each of minimum (10) and maximum (30) with no correlation</w:t>
            </w:r>
          </w:p>
        </w:tc>
        <w:tc>
          <w:tcPr>
            <w:tcW w:w="2268" w:type="dxa"/>
          </w:tcPr>
          <w:p w14:paraId="68C74FFC"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Normal</w:t>
            </w:r>
          </w:p>
        </w:tc>
      </w:tr>
      <w:tr w:rsidR="00B068B1" w:rsidRPr="00141217" w14:paraId="4932C56D" w14:textId="77777777" w:rsidTr="000B7661">
        <w:tc>
          <w:tcPr>
            <w:tcW w:w="1805" w:type="dxa"/>
          </w:tcPr>
          <w:p w14:paraId="5D853624" w14:textId="77777777" w:rsidR="00B068B1" w:rsidRPr="00141217" w:rsidRDefault="00B068B1" w:rsidP="000B7661">
            <w:pPr>
              <w:rPr>
                <w:rFonts w:ascii="Times New Roman" w:hAnsi="Times New Roman" w:cs="Times New Roman"/>
                <w:lang w:val="en-US"/>
              </w:rPr>
            </w:pPr>
            <w:r w:rsidRPr="00141217">
              <w:rPr>
                <w:rFonts w:ascii="Times New Roman" w:hAnsi="Times New Roman" w:cs="Times New Roman"/>
                <w:lang w:val="en-US"/>
              </w:rPr>
              <w:t>BMI TMREL</w:t>
            </w:r>
          </w:p>
        </w:tc>
        <w:tc>
          <w:tcPr>
            <w:tcW w:w="6525" w:type="dxa"/>
          </w:tcPr>
          <w:p w14:paraId="5A7AE349" w14:textId="2D7438EB" w:rsidR="00B068B1" w:rsidRPr="00141217" w:rsidRDefault="00B068B1" w:rsidP="00872436">
            <w:pPr>
              <w:autoSpaceDE w:val="0"/>
              <w:autoSpaceDN w:val="0"/>
              <w:adjustRightInd w:val="0"/>
              <w:rPr>
                <w:rFonts w:ascii="Times New Roman" w:hAnsi="Times New Roman" w:cs="Times New Roman"/>
                <w:color w:val="000000"/>
                <w:lang w:val="en-US"/>
              </w:rPr>
            </w:pPr>
            <w:r w:rsidRPr="00141217">
              <w:rPr>
                <w:rFonts w:ascii="Times New Roman" w:hAnsi="Times New Roman" w:cs="Times New Roman"/>
                <w:lang w:val="en-GB"/>
              </w:rPr>
              <w:t>The Theoretical Minimum Risk Exposure Level (TMREL) is the level of risk exposure at which the dose response ceases.  For BMI, a TMREL of between 21 and 23 was used from the latest Global Burden of Disease study</w:t>
            </w:r>
            <w:r w:rsidRPr="00141217">
              <w:rPr>
                <w:rFonts w:ascii="Times New Roman" w:hAnsi="Times New Roman" w:cs="Times New Roman"/>
                <w:lang w:val="en-GB"/>
              </w:rPr>
              <w:fldChar w:fldCharType="begin"/>
            </w:r>
            <w:r w:rsidR="00872436">
              <w:rPr>
                <w:rFonts w:ascii="Times New Roman" w:hAnsi="Times New Roman" w:cs="Times New Roman"/>
                <w:lang w:val="en-GB"/>
              </w:rPr>
              <w:instrText xml:space="preserve"> ADDIN EN.CITE &lt;EndNote&gt;&lt;Cite&gt;&lt;Author&gt;Forouzanfar&lt;/Author&gt;&lt;Year&gt;2015&lt;/Year&gt;&lt;RecNum&gt;141&lt;/RecNum&gt;&lt;DisplayText&gt;&lt;style face="superscript"&gt;(1)&lt;/style&gt;&lt;/DisplayText&gt;&lt;record&gt;&lt;rec-number&gt;141&lt;/rec-number&gt;&lt;foreign-keys&gt;&lt;key app="EN" db-id="st99e9vfkvwxdkeadax55ap9fsd2vzwwfsfz" timestamp="1459986414"&gt;141&lt;/key&gt;&lt;/foreign-keys&gt;&lt;ref-type name="Journal Article"&gt;17&lt;/ref-type&gt;&lt;contributors&gt;&lt;authors&gt;&lt;author&gt;Forouzanfar, Mohammad H&lt;/author&gt;&lt;author&gt;Alexander, Lily&lt;/author&gt;&lt;author&gt;Anderson, H Ross&lt;/author&gt;&lt;author&gt;Bachman, Victoria F&lt;/author&gt;&lt;author&gt;Biryukov, Stan&lt;/author&gt;&lt;author&gt;Brauer, Michael&lt;/author&gt;&lt;author&gt;Burnett, Richard&lt;/author&gt;&lt;author&gt;Casey, Daniel&lt;/author&gt;&lt;author&gt;Coates, Matthew M&lt;/author&gt;&lt;author&gt;Cohen, Aaron&lt;/author&gt;&lt;/authors&gt;&lt;/contributors&gt;&lt;titles&gt;&lt;title&gt;Global, regional, and national comparative risk assessment of 79 behavioural, environmental and occupational, and metabolic risks or clusters of risks in 188 countries, 1990–2013: a systematic analysis for the Global Burden of Disease Study 2013&lt;/title&gt;&lt;secondary-title&gt;The Lancet&lt;/secondary-title&gt;&lt;/titles&gt;&lt;periodical&gt;&lt;full-title&gt;The Lancet&lt;/full-title&gt;&lt;/periodical&gt;&lt;pages&gt;2287-2323&lt;/pages&gt;&lt;volume&gt;386&lt;/volume&gt;&lt;number&gt;10010&lt;/number&gt;&lt;dates&gt;&lt;year&gt;2015&lt;/year&gt;&lt;/dates&gt;&lt;isbn&gt;0140-6736&lt;/isbn&gt;&lt;urls&gt;&lt;/urls&gt;&lt;/record&gt;&lt;/Cite&gt;&lt;/EndNote&gt;</w:instrText>
            </w:r>
            <w:r w:rsidRPr="00141217">
              <w:rPr>
                <w:rFonts w:ascii="Times New Roman" w:hAnsi="Times New Roman" w:cs="Times New Roman"/>
                <w:lang w:val="en-GB"/>
              </w:rPr>
              <w:fldChar w:fldCharType="separate"/>
            </w:r>
            <w:r w:rsidR="00872436" w:rsidRPr="00872436">
              <w:rPr>
                <w:rFonts w:ascii="Times New Roman" w:hAnsi="Times New Roman" w:cs="Times New Roman"/>
                <w:noProof/>
                <w:vertAlign w:val="superscript"/>
                <w:lang w:val="en-GB"/>
              </w:rPr>
              <w:t>(1)</w:t>
            </w:r>
            <w:r w:rsidRPr="00141217">
              <w:rPr>
                <w:rFonts w:ascii="Times New Roman" w:hAnsi="Times New Roman" w:cs="Times New Roman"/>
                <w:lang w:val="en-GB"/>
              </w:rPr>
              <w:fldChar w:fldCharType="end"/>
            </w:r>
            <w:r w:rsidRPr="00141217">
              <w:rPr>
                <w:rFonts w:ascii="Times New Roman" w:hAnsi="Times New Roman" w:cs="Times New Roman"/>
                <w:lang w:val="en-GB"/>
              </w:rPr>
              <w:t xml:space="preserve">. </w:t>
            </w:r>
          </w:p>
        </w:tc>
        <w:tc>
          <w:tcPr>
            <w:tcW w:w="3118" w:type="dxa"/>
          </w:tcPr>
          <w:p w14:paraId="376E4A0D" w14:textId="77777777" w:rsidR="00B068B1" w:rsidRPr="00141217" w:rsidRDefault="00B068B1" w:rsidP="000B7661">
            <w:pPr>
              <w:rPr>
                <w:rFonts w:ascii="Times New Roman" w:hAnsi="Times New Roman" w:cs="Times New Roman"/>
              </w:rPr>
            </w:pPr>
          </w:p>
        </w:tc>
        <w:tc>
          <w:tcPr>
            <w:tcW w:w="2268" w:type="dxa"/>
          </w:tcPr>
          <w:p w14:paraId="1D1BA918"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Uniform</w:t>
            </w:r>
          </w:p>
        </w:tc>
      </w:tr>
      <w:tr w:rsidR="00B068B1" w:rsidRPr="00141217" w14:paraId="59414908" w14:textId="77777777" w:rsidTr="000B7661">
        <w:tc>
          <w:tcPr>
            <w:tcW w:w="1805" w:type="dxa"/>
          </w:tcPr>
          <w:p w14:paraId="3BCCB9EB" w14:textId="0D6D2CBA" w:rsidR="00B068B1" w:rsidRPr="00141217" w:rsidRDefault="004630C5" w:rsidP="004630C5">
            <w:pPr>
              <w:rPr>
                <w:rFonts w:ascii="Times New Roman" w:hAnsi="Times New Roman" w:cs="Times New Roman"/>
                <w:lang w:val="en-US"/>
              </w:rPr>
            </w:pPr>
            <w:r>
              <w:rPr>
                <w:rFonts w:ascii="Times New Roman" w:hAnsi="Times New Roman" w:cs="Times New Roman"/>
                <w:lang w:val="en-US"/>
              </w:rPr>
              <w:t>Adult</w:t>
            </w:r>
            <w:r w:rsidRPr="00141217">
              <w:rPr>
                <w:rFonts w:ascii="Times New Roman" w:hAnsi="Times New Roman" w:cs="Times New Roman"/>
                <w:lang w:val="en-US"/>
              </w:rPr>
              <w:t xml:space="preserve"> </w:t>
            </w:r>
            <w:r>
              <w:rPr>
                <w:rFonts w:ascii="Times New Roman" w:hAnsi="Times New Roman" w:cs="Times New Roman"/>
                <w:lang w:val="en-US"/>
              </w:rPr>
              <w:t>h</w:t>
            </w:r>
            <w:r w:rsidR="00B068B1" w:rsidRPr="00141217">
              <w:rPr>
                <w:rFonts w:ascii="Times New Roman" w:hAnsi="Times New Roman" w:cs="Times New Roman"/>
                <w:lang w:val="en-US"/>
              </w:rPr>
              <w:t>eight</w:t>
            </w:r>
          </w:p>
        </w:tc>
        <w:tc>
          <w:tcPr>
            <w:tcW w:w="6525" w:type="dxa"/>
          </w:tcPr>
          <w:p w14:paraId="3805459D" w14:textId="4FDC242E" w:rsidR="00B068B1" w:rsidRPr="00141217" w:rsidRDefault="00B068B1" w:rsidP="00872436">
            <w:pPr>
              <w:autoSpaceDE w:val="0"/>
              <w:autoSpaceDN w:val="0"/>
              <w:adjustRightInd w:val="0"/>
              <w:rPr>
                <w:rFonts w:ascii="Times New Roman" w:hAnsi="Times New Roman" w:cs="Times New Roman"/>
                <w:color w:val="000000"/>
                <w:lang w:val="en-US"/>
              </w:rPr>
            </w:pPr>
            <w:r w:rsidRPr="00141217">
              <w:rPr>
                <w:rFonts w:ascii="Times New Roman" w:hAnsi="Times New Roman" w:cs="Times New Roman"/>
                <w:color w:val="000000"/>
                <w:lang w:val="en-US"/>
              </w:rPr>
              <w:t xml:space="preserve">Mean and SD of height from NZ Adult Nutrition Survey 2008/09 </w:t>
            </w:r>
            <w:r w:rsidRPr="00141217">
              <w:rPr>
                <w:rFonts w:ascii="Times New Roman" w:hAnsi="Times New Roman" w:cs="Times New Roman"/>
                <w:color w:val="000000"/>
                <w:lang w:val="en-US"/>
              </w:rPr>
              <w:fldChar w:fldCharType="begin"/>
            </w:r>
            <w:r w:rsidR="00872436">
              <w:rPr>
                <w:rFonts w:ascii="Times New Roman" w:hAnsi="Times New Roman" w:cs="Times New Roman"/>
                <w:color w:val="000000"/>
                <w:lang w:val="en-US"/>
              </w:rPr>
              <w:instrText xml:space="preserve"> ADDIN EN.CITE &lt;EndNote&gt;&lt;Cite&gt;&lt;Author&gt;University of Otago&lt;/Author&gt;&lt;Year&gt;2011&lt;/Year&gt;&lt;RecNum&gt;101&lt;/RecNum&gt;&lt;DisplayText&gt;&lt;style face="superscript"&gt;(2)&lt;/style&gt;&lt;/DisplayText&gt;&lt;record&gt;&lt;rec-number&gt;101&lt;/rec-number&gt;&lt;foreign-keys&gt;&lt;key app="EN" db-id="st99e9vfkvwxdkeadax55ap9fsd2vzwwfsfz" timestamp="1446078508"&gt;101&lt;/key&gt;&lt;/foreign-keys&gt;&lt;ref-type name="Report"&gt;27&lt;/ref-type&gt;&lt;contributors&gt;&lt;authors&gt;&lt;author&gt;University of Otago, &lt;/author&gt;&lt;author&gt;Ministry of Health,&lt;/author&gt;&lt;/authors&gt;&lt;/contributors&gt;&lt;titles&gt;&lt;title&gt;A Focus on Nutrition: Key findings of the 2008/09 New Zealand Adult Nutrition Survey. &lt;/title&gt;&lt;/titles&gt;&lt;dates&gt;&lt;year&gt;2011&lt;/year&gt;&lt;/dates&gt;&lt;pub-location&gt;Wellington &lt;/pub-location&gt;&lt;publisher&gt;Ministry of Health&lt;/publisher&gt;&lt;urls&gt;&lt;/urls&gt;&lt;/record&gt;&lt;/Cite&gt;&lt;/EndNote&gt;</w:instrText>
            </w:r>
            <w:r w:rsidRPr="00141217">
              <w:rPr>
                <w:rFonts w:ascii="Times New Roman" w:hAnsi="Times New Roman" w:cs="Times New Roman"/>
                <w:color w:val="000000"/>
                <w:lang w:val="en-US"/>
              </w:rPr>
              <w:fldChar w:fldCharType="separate"/>
            </w:r>
            <w:r w:rsidR="00872436" w:rsidRPr="00872436">
              <w:rPr>
                <w:rFonts w:ascii="Times New Roman" w:hAnsi="Times New Roman" w:cs="Times New Roman"/>
                <w:noProof/>
                <w:color w:val="000000"/>
                <w:vertAlign w:val="superscript"/>
                <w:lang w:val="en-US"/>
              </w:rPr>
              <w:t>(2)</w:t>
            </w:r>
            <w:r w:rsidRPr="00141217">
              <w:rPr>
                <w:rFonts w:ascii="Times New Roman" w:hAnsi="Times New Roman" w:cs="Times New Roman"/>
                <w:color w:val="000000"/>
                <w:lang w:val="en-US"/>
              </w:rPr>
              <w:fldChar w:fldCharType="end"/>
            </w:r>
          </w:p>
        </w:tc>
        <w:tc>
          <w:tcPr>
            <w:tcW w:w="3118" w:type="dxa"/>
          </w:tcPr>
          <w:p w14:paraId="3D4C5853"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using reported SD.</w:t>
            </w:r>
          </w:p>
        </w:tc>
        <w:tc>
          <w:tcPr>
            <w:tcW w:w="2268" w:type="dxa"/>
          </w:tcPr>
          <w:p w14:paraId="34E53C26"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Normal</w:t>
            </w:r>
          </w:p>
        </w:tc>
      </w:tr>
    </w:tbl>
    <w:p w14:paraId="389B9FD5" w14:textId="77777777" w:rsidR="00265708" w:rsidRPr="00141217" w:rsidRDefault="00265708" w:rsidP="00265708">
      <w:pPr>
        <w:rPr>
          <w:rFonts w:ascii="Times New Roman" w:hAnsi="Times New Roman" w:cs="Times New Roman"/>
          <w:sz w:val="24"/>
          <w:szCs w:val="24"/>
        </w:rPr>
      </w:pPr>
    </w:p>
    <w:p w14:paraId="454F85BF" w14:textId="1169E2BB" w:rsidR="00B068B1" w:rsidRPr="00141217" w:rsidRDefault="0059693E" w:rsidP="00B068B1">
      <w:pPr>
        <w:rPr>
          <w:rFonts w:ascii="Times New Roman" w:hAnsi="Times New Roman" w:cs="Times New Roman"/>
          <w:b/>
        </w:rPr>
      </w:pPr>
      <w:r w:rsidRPr="0059693E">
        <w:rPr>
          <w:rFonts w:ascii="Times New Roman" w:hAnsi="Times New Roman" w:cs="Times New Roman"/>
          <w:b/>
        </w:rPr>
        <w:lastRenderedPageBreak/>
        <w:t>Supplemental Table S</w:t>
      </w:r>
      <w:r>
        <w:rPr>
          <w:rFonts w:ascii="Times New Roman" w:hAnsi="Times New Roman" w:cs="Times New Roman"/>
          <w:b/>
        </w:rPr>
        <w:t>2</w:t>
      </w:r>
      <w:r w:rsidR="00B068B1" w:rsidRPr="00141217">
        <w:rPr>
          <w:rFonts w:ascii="Times New Roman" w:hAnsi="Times New Roman" w:cs="Times New Roman"/>
          <w:b/>
        </w:rPr>
        <w:t xml:space="preserve"> Intervention input parameter table</w:t>
      </w:r>
      <w:r w:rsidR="00141217" w:rsidRPr="00141217">
        <w:rPr>
          <w:rFonts w:ascii="Times New Roman" w:hAnsi="Times New Roman" w:cs="Times New Roman"/>
          <w:b/>
        </w:rPr>
        <w:t xml:space="preserve"> used in modelling dietar</w:t>
      </w:r>
      <w:r w:rsidR="004F7522">
        <w:rPr>
          <w:rFonts w:ascii="Times New Roman" w:hAnsi="Times New Roman" w:cs="Times New Roman"/>
          <w:b/>
        </w:rPr>
        <w:t>y counselling</w:t>
      </w:r>
      <w:r w:rsidR="00141217" w:rsidRPr="00141217">
        <w:rPr>
          <w:rFonts w:ascii="Times New Roman" w:hAnsi="Times New Roman" w:cs="Times New Roman"/>
          <w:b/>
        </w:rPr>
        <w:t xml:space="preserve"> for weight loss</w:t>
      </w:r>
    </w:p>
    <w:tbl>
      <w:tblPr>
        <w:tblStyle w:val="TableGrid"/>
        <w:tblW w:w="13716" w:type="dxa"/>
        <w:tblLayout w:type="fixed"/>
        <w:tblLook w:val="04A0" w:firstRow="1" w:lastRow="0" w:firstColumn="1" w:lastColumn="0" w:noHBand="0" w:noVBand="1"/>
      </w:tblPr>
      <w:tblGrid>
        <w:gridCol w:w="1804"/>
        <w:gridCol w:w="6526"/>
        <w:gridCol w:w="3118"/>
        <w:gridCol w:w="2268"/>
      </w:tblGrid>
      <w:tr w:rsidR="00B068B1" w:rsidRPr="00141217" w14:paraId="68EA70CE" w14:textId="77777777" w:rsidTr="000B7661">
        <w:trPr>
          <w:tblHeader/>
        </w:trPr>
        <w:tc>
          <w:tcPr>
            <w:tcW w:w="1804" w:type="dxa"/>
            <w:shd w:val="clear" w:color="auto" w:fill="D9D9D9" w:themeFill="background1" w:themeFillShade="D9"/>
          </w:tcPr>
          <w:p w14:paraId="16CAC249"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Intervention Input Parameters</w:t>
            </w:r>
          </w:p>
        </w:tc>
        <w:tc>
          <w:tcPr>
            <w:tcW w:w="6526" w:type="dxa"/>
            <w:shd w:val="clear" w:color="auto" w:fill="D9D9D9" w:themeFill="background1" w:themeFillShade="D9"/>
          </w:tcPr>
          <w:p w14:paraId="7B8C3273"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Source and application to model</w:t>
            </w:r>
          </w:p>
        </w:tc>
        <w:tc>
          <w:tcPr>
            <w:tcW w:w="3118" w:type="dxa"/>
            <w:shd w:val="clear" w:color="auto" w:fill="D9D9D9" w:themeFill="background1" w:themeFillShade="D9"/>
          </w:tcPr>
          <w:p w14:paraId="4C784E01"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Expected Value and 95% UI</w:t>
            </w:r>
          </w:p>
        </w:tc>
        <w:tc>
          <w:tcPr>
            <w:tcW w:w="2268" w:type="dxa"/>
            <w:shd w:val="clear" w:color="auto" w:fill="D9D9D9" w:themeFill="background1" w:themeFillShade="D9"/>
          </w:tcPr>
          <w:p w14:paraId="3E554951" w14:textId="77777777" w:rsidR="00B068B1" w:rsidRPr="00141217" w:rsidRDefault="00B068B1" w:rsidP="000B7661">
            <w:pPr>
              <w:rPr>
                <w:rFonts w:ascii="Times New Roman" w:hAnsi="Times New Roman" w:cs="Times New Roman"/>
                <w:b/>
              </w:rPr>
            </w:pPr>
            <w:r w:rsidRPr="00141217">
              <w:rPr>
                <w:rFonts w:ascii="Times New Roman" w:hAnsi="Times New Roman" w:cs="Times New Roman"/>
                <w:b/>
              </w:rPr>
              <w:t>Distribution</w:t>
            </w:r>
          </w:p>
        </w:tc>
      </w:tr>
      <w:tr w:rsidR="00B068B1" w:rsidRPr="00141217" w14:paraId="1F4878A1" w14:textId="77777777" w:rsidTr="000B7661">
        <w:tc>
          <w:tcPr>
            <w:tcW w:w="1804" w:type="dxa"/>
          </w:tcPr>
          <w:p w14:paraId="04F67A83"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Effect size</w:t>
            </w:r>
          </w:p>
        </w:tc>
        <w:tc>
          <w:tcPr>
            <w:tcW w:w="6526" w:type="dxa"/>
          </w:tcPr>
          <w:p w14:paraId="7EC6A7BD" w14:textId="5E72815F" w:rsidR="00CE74B3" w:rsidRPr="00141217" w:rsidRDefault="00B068B1" w:rsidP="00CE74B3">
            <w:pPr>
              <w:rPr>
                <w:rFonts w:ascii="Times New Roman" w:hAnsi="Times New Roman" w:cs="Times New Roman"/>
              </w:rPr>
            </w:pPr>
            <w:r w:rsidRPr="00141217">
              <w:rPr>
                <w:rFonts w:ascii="Times New Roman" w:hAnsi="Times New Roman" w:cs="Times New Roman"/>
                <w:lang w:val="en-US"/>
              </w:rPr>
              <w:t>Weight loss in the intervention arm of the review had an average non-significant weight loss of</w:t>
            </w:r>
            <w:r w:rsidRPr="00141217">
              <w:rPr>
                <w:rFonts w:ascii="Times New Roman" w:hAnsi="Times New Roman" w:cs="Times New Roman"/>
                <w:lang w:val="en-GB"/>
              </w:rPr>
              <w:t xml:space="preserve"> </w:t>
            </w:r>
            <w:r w:rsidRPr="00141217">
              <w:rPr>
                <w:rFonts w:ascii="Times New Roman" w:eastAsia="BSSymbol-Medium" w:hAnsi="Times New Roman" w:cs="Times New Roman"/>
                <w:lang w:val="en-GB"/>
              </w:rPr>
              <w:t>−</w:t>
            </w:r>
            <w:r w:rsidRPr="00141217">
              <w:rPr>
                <w:rFonts w:ascii="Times New Roman" w:hAnsi="Times New Roman" w:cs="Times New Roman"/>
                <w:lang w:val="en-GB"/>
              </w:rPr>
              <w:t xml:space="preserve">0.45 kg (95% CI </w:t>
            </w:r>
            <w:r w:rsidRPr="00141217">
              <w:rPr>
                <w:rFonts w:ascii="Times New Roman" w:eastAsia="BSSymbol-Medium" w:hAnsi="Times New Roman" w:cs="Times New Roman"/>
                <w:lang w:val="en-GB"/>
              </w:rPr>
              <w:t>−</w:t>
            </w:r>
            <w:r w:rsidRPr="00141217">
              <w:rPr>
                <w:rFonts w:ascii="Times New Roman" w:hAnsi="Times New Roman" w:cs="Times New Roman"/>
                <w:lang w:val="en-GB"/>
              </w:rPr>
              <w:t>1.34 to 0.43)</w:t>
            </w:r>
            <w:r w:rsidRPr="00141217">
              <w:rPr>
                <w:rFonts w:ascii="Times New Roman" w:hAnsi="Times New Roman" w:cs="Times New Roman"/>
                <w:lang w:val="en-GB"/>
              </w:rPr>
              <w:fldChar w:fldCharType="begin">
                <w:fldData xml:space="preserve">PEVuZE5vdGU+PENpdGU+PEF1dGhvcj5IYXJ0bWFubi1Cb3ljZTwvQXV0aG9yPjxZZWFyPjIwMTQ8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Nzg5WCAoRWxlY3Ryb25pYykmI3hEOzE0NjctNzg4MSAoTGlua2luZyk8L2lzYm4+PGFjY2Vzc2lv
bi1udW0+MjUxMTI1NTk8L2FjY2Vzc2lvbi1udW0+PHVybHM+PHJlbGF0ZWQtdXJscz48dXJsPmh0
dHBzOi8vd3d3Lm5jYmkubmxtLm5paC5nb3YvcHVibWVkLzI1MTEyNTU5PC91cmw+PC9yZWxhdGVk
LXVybHM+PC91cmxzPjxjdXN0b20yPlBNQzQyMzM5OTc8L2N1c3RvbTI+PGVsZWN0cm9uaWMtcmVz
b3VyY2UtbnVtPjEwLjExMTEvb2JyLjEyMjIwPC9lbGVjdHJvbmljLXJlc291cmNlLW51bT48L3Jl
Y29yZD48L0NpdGU+PC9FbmROb3RlPgB=
</w:fldData>
              </w:fldChar>
            </w:r>
            <w:r w:rsidR="00872436">
              <w:rPr>
                <w:rFonts w:ascii="Times New Roman" w:hAnsi="Times New Roman" w:cs="Times New Roman"/>
                <w:lang w:val="en-GB"/>
              </w:rPr>
              <w:instrText xml:space="preserve"> ADDIN EN.CITE </w:instrText>
            </w:r>
            <w:r w:rsidR="00872436">
              <w:rPr>
                <w:rFonts w:ascii="Times New Roman" w:hAnsi="Times New Roman" w:cs="Times New Roman"/>
                <w:lang w:val="en-GB"/>
              </w:rPr>
              <w:fldChar w:fldCharType="begin">
                <w:fldData xml:space="preserve">PEVuZE5vdGU+PENpdGU+PEF1dGhvcj5IYXJ0bWFubi1Cb3ljZTwvQXV0aG9yPjxZZWFyPjIwMTQ8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Nzg5WCAoRWxlY3Ryb25pYykmI3hEOzE0NjctNzg4MSAoTGlua2luZyk8L2lzYm4+PGFjY2Vzc2lv
bi1udW0+MjUxMTI1NTk8L2FjY2Vzc2lvbi1udW0+PHVybHM+PHJlbGF0ZWQtdXJscz48dXJsPmh0
dHBzOi8vd3d3Lm5jYmkubmxtLm5paC5nb3YvcHVibWVkLzI1MTEyNTU5PC91cmw+PC9yZWxhdGVk
LXVybHM+PC91cmxzPjxjdXN0b20yPlBNQzQyMzM5OTc8L2N1c3RvbTI+PGVsZWN0cm9uaWMtcmVz
b3VyY2UtbnVtPjEwLjExMTEvb2JyLjEyMjIwPC9lbGVjdHJvbmljLXJlc291cmNlLW51bT48L3Jl
Y29yZD48L0NpdGU+PC9FbmROb3RlPgB=
</w:fldData>
              </w:fldChar>
            </w:r>
            <w:r w:rsidR="00872436">
              <w:rPr>
                <w:rFonts w:ascii="Times New Roman" w:hAnsi="Times New Roman" w:cs="Times New Roman"/>
                <w:lang w:val="en-GB"/>
              </w:rPr>
              <w:instrText xml:space="preserve"> ADDIN EN.CITE.DATA </w:instrText>
            </w:r>
            <w:r w:rsidR="00872436">
              <w:rPr>
                <w:rFonts w:ascii="Times New Roman" w:hAnsi="Times New Roman" w:cs="Times New Roman"/>
                <w:lang w:val="en-GB"/>
              </w:rPr>
            </w:r>
            <w:r w:rsidR="00872436">
              <w:rPr>
                <w:rFonts w:ascii="Times New Roman" w:hAnsi="Times New Roman" w:cs="Times New Roman"/>
                <w:lang w:val="en-GB"/>
              </w:rPr>
              <w:fldChar w:fldCharType="end"/>
            </w:r>
            <w:r w:rsidRPr="00141217">
              <w:rPr>
                <w:rFonts w:ascii="Times New Roman" w:hAnsi="Times New Roman" w:cs="Times New Roman"/>
                <w:lang w:val="en-GB"/>
              </w:rPr>
            </w:r>
            <w:r w:rsidRPr="00141217">
              <w:rPr>
                <w:rFonts w:ascii="Times New Roman" w:hAnsi="Times New Roman" w:cs="Times New Roman"/>
                <w:lang w:val="en-GB"/>
              </w:rPr>
              <w:fldChar w:fldCharType="separate"/>
            </w:r>
            <w:r w:rsidR="00872436" w:rsidRPr="00872436">
              <w:rPr>
                <w:rFonts w:ascii="Times New Roman" w:hAnsi="Times New Roman" w:cs="Times New Roman"/>
                <w:noProof/>
                <w:vertAlign w:val="superscript"/>
                <w:lang w:val="en-GB"/>
              </w:rPr>
              <w:t>(3)</w:t>
            </w:r>
            <w:r w:rsidRPr="00141217">
              <w:rPr>
                <w:rFonts w:ascii="Times New Roman" w:hAnsi="Times New Roman" w:cs="Times New Roman"/>
                <w:lang w:val="en-GB"/>
              </w:rPr>
              <w:fldChar w:fldCharType="end"/>
            </w:r>
            <w:r w:rsidRPr="00141217">
              <w:rPr>
                <w:rFonts w:ascii="Times New Roman" w:hAnsi="Times New Roman" w:cs="Times New Roman"/>
                <w:lang w:val="en-GB"/>
              </w:rPr>
              <w:t xml:space="preserve"> at 12 months</w:t>
            </w:r>
            <w:r w:rsidRPr="00141217">
              <w:rPr>
                <w:rFonts w:ascii="Times New Roman" w:hAnsi="Times New Roman" w:cs="Times New Roman"/>
              </w:rPr>
              <w:t>.</w:t>
            </w:r>
            <w:r w:rsidR="00CE74B3">
              <w:rPr>
                <w:rFonts w:ascii="Times New Roman" w:hAnsi="Times New Roman" w:cs="Times New Roman"/>
              </w:rPr>
              <w:t xml:space="preserve"> </w:t>
            </w:r>
            <w:r w:rsidR="00CE74B3" w:rsidRPr="00CE74B3">
              <w:rPr>
                <w:rFonts w:ascii="Times New Roman" w:hAnsi="Times New Roman" w:cs="Times New Roman"/>
              </w:rPr>
              <w:t>Due to the average contact time in the meta-analysis being more than that in the modelled intervention the effect size was scaled down. Using the original effect sizes in the 5 included studies an average per minute weight decrease was calculated and then multiplied by 120 minutes to give an effect size of -0.34kg.</w:t>
            </w:r>
          </w:p>
        </w:tc>
        <w:tc>
          <w:tcPr>
            <w:tcW w:w="3118" w:type="dxa"/>
          </w:tcPr>
          <w:p w14:paraId="261DE7B0" w14:textId="6007197B" w:rsidR="00B068B1" w:rsidRPr="00141217" w:rsidRDefault="00CE74B3" w:rsidP="000B7661">
            <w:pPr>
              <w:rPr>
                <w:rFonts w:ascii="Times New Roman" w:hAnsi="Times New Roman" w:cs="Times New Roman"/>
              </w:rPr>
            </w:pPr>
            <w:r w:rsidRPr="00CE74B3">
              <w:rPr>
                <w:rFonts w:ascii="Times New Roman" w:hAnsi="Times New Roman" w:cs="Times New Roman"/>
              </w:rPr>
              <w:t>-0.34kg (95% CI: -1.01 to 0.32).</w:t>
            </w:r>
          </w:p>
        </w:tc>
        <w:tc>
          <w:tcPr>
            <w:tcW w:w="2268" w:type="dxa"/>
          </w:tcPr>
          <w:p w14:paraId="644DFF4F"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Normal</w:t>
            </w:r>
          </w:p>
        </w:tc>
      </w:tr>
      <w:tr w:rsidR="00B068B1" w:rsidRPr="00141217" w14:paraId="5994DD2D" w14:textId="77777777" w:rsidTr="000B7661">
        <w:tc>
          <w:tcPr>
            <w:tcW w:w="1804" w:type="dxa"/>
          </w:tcPr>
          <w:p w14:paraId="3A4886CA" w14:textId="75E01BE4" w:rsidR="00B068B1" w:rsidRPr="00141217" w:rsidRDefault="004630C5" w:rsidP="004630C5">
            <w:pPr>
              <w:rPr>
                <w:rFonts w:ascii="Times New Roman" w:hAnsi="Times New Roman" w:cs="Times New Roman"/>
              </w:rPr>
            </w:pPr>
            <w:r>
              <w:rPr>
                <w:rFonts w:ascii="Times New Roman" w:hAnsi="Times New Roman" w:cs="Times New Roman"/>
              </w:rPr>
              <w:t xml:space="preserve">Decay in </w:t>
            </w:r>
            <w:r w:rsidR="00B068B1" w:rsidRPr="00141217">
              <w:rPr>
                <w:rFonts w:ascii="Times New Roman" w:hAnsi="Times New Roman" w:cs="Times New Roman"/>
              </w:rPr>
              <w:t xml:space="preserve">BMI </w:t>
            </w:r>
            <w:r>
              <w:rPr>
                <w:rFonts w:ascii="Times New Roman" w:hAnsi="Times New Roman" w:cs="Times New Roman"/>
              </w:rPr>
              <w:t>change post-intervention</w:t>
            </w:r>
          </w:p>
        </w:tc>
        <w:tc>
          <w:tcPr>
            <w:tcW w:w="6526" w:type="dxa"/>
          </w:tcPr>
          <w:p w14:paraId="0B67C61B" w14:textId="313C897B" w:rsidR="00B068B1" w:rsidRPr="00141217" w:rsidRDefault="00457CD4" w:rsidP="00457CD4">
            <w:pPr>
              <w:rPr>
                <w:rFonts w:ascii="Times New Roman" w:hAnsi="Times New Roman" w:cs="Times New Roman"/>
              </w:rPr>
            </w:pPr>
            <w:r w:rsidRPr="00457CD4">
              <w:rPr>
                <w:rFonts w:ascii="Times New Roman" w:hAnsi="Times New Roman" w:cs="Times New Roman"/>
                <w:lang w:val="en-US"/>
              </w:rPr>
              <w:t>Modeled BMI reduction decays back to the pre-intervention BMI at a rate of 0.03 units per month returning to approximately baseline levels the year after the intervention.</w:t>
            </w:r>
            <w:r w:rsidRPr="00134824">
              <w:t xml:space="preserve"> </w:t>
            </w:r>
            <w:r w:rsidR="00B068B1" w:rsidRPr="00141217">
              <w:rPr>
                <w:rFonts w:ascii="Times New Roman" w:hAnsi="Times New Roman" w:cs="Times New Roman"/>
              </w:rPr>
              <w:fldChar w:fldCharType="begin"/>
            </w:r>
            <w:r w:rsidR="00872436">
              <w:rPr>
                <w:rFonts w:ascii="Times New Roman" w:hAnsi="Times New Roman" w:cs="Times New Roman"/>
              </w:rPr>
              <w:instrText xml:space="preserve"> ADDIN EN.CITE &lt;EndNote&gt;&lt;Cite&gt;&lt;Author&gt;Dansinger&lt;/Author&gt;&lt;Year&gt;2007&lt;/Year&gt;&lt;RecNum&gt;93&lt;/RecNum&gt;&lt;DisplayText&gt;&lt;style face="superscript"&gt;(4)&lt;/style&gt;&lt;/DisplayText&gt;&lt;record&gt;&lt;rec-number&gt;93&lt;/rec-number&gt;&lt;foreign-keys&gt;&lt;key app="EN" db-id="st99e9vfkvwxdkeadax55ap9fsd2vzwwfsfz" timestamp="1443491659"&gt;93&lt;/key&gt;&lt;/foreign-keys&gt;&lt;ref-type name="Journal Article"&gt;17&lt;/ref-type&gt;&lt;contributors&gt;&lt;authors&gt;&lt;author&gt;Dansinger, Michael L&lt;/author&gt;&lt;author&gt;Tatsioni, Athina&lt;/author&gt;&lt;author&gt;Wong, John B&lt;/author&gt;&lt;author&gt;Chung, Mei&lt;/author&gt;&lt;author&gt;Balk, Ethan M&lt;/author&gt;&lt;/authors&gt;&lt;/contributors&gt;&lt;titles&gt;&lt;title&gt;Meta-analysis: the effect of dietary counseling for weight loss&lt;/title&gt;&lt;secondary-title&gt;Annals of internal medicine&lt;/secondary-title&gt;&lt;/titles&gt;&lt;periodical&gt;&lt;full-title&gt;Annals of internal medicine&lt;/full-title&gt;&lt;/periodical&gt;&lt;pages&gt;41-50&lt;/pages&gt;&lt;volume&gt;147&lt;/volume&gt;&lt;number&gt;1&lt;/number&gt;&lt;dates&gt;&lt;year&gt;2007&lt;/year&gt;&lt;/dates&gt;&lt;isbn&gt;0003-4819&lt;/isbn&gt;&lt;urls&gt;&lt;/urls&gt;&lt;/record&gt;&lt;/Cite&gt;&lt;/EndNote&gt;</w:instrText>
            </w:r>
            <w:r w:rsidR="00B068B1" w:rsidRPr="00141217">
              <w:rPr>
                <w:rFonts w:ascii="Times New Roman" w:hAnsi="Times New Roman" w:cs="Times New Roman"/>
              </w:rPr>
              <w:fldChar w:fldCharType="separate"/>
            </w:r>
            <w:r w:rsidR="00872436" w:rsidRPr="00872436">
              <w:rPr>
                <w:rFonts w:ascii="Times New Roman" w:hAnsi="Times New Roman" w:cs="Times New Roman"/>
                <w:noProof/>
                <w:vertAlign w:val="superscript"/>
              </w:rPr>
              <w:t>(4)</w:t>
            </w:r>
            <w:r w:rsidR="00B068B1" w:rsidRPr="00141217">
              <w:rPr>
                <w:rFonts w:ascii="Times New Roman" w:hAnsi="Times New Roman" w:cs="Times New Roman"/>
              </w:rPr>
              <w:fldChar w:fldCharType="end"/>
            </w:r>
            <w:r w:rsidR="00B068B1" w:rsidRPr="00141217">
              <w:rPr>
                <w:rFonts w:ascii="Times New Roman" w:hAnsi="Times New Roman" w:cs="Times New Roman"/>
              </w:rPr>
              <w:t>.</w:t>
            </w:r>
          </w:p>
        </w:tc>
        <w:tc>
          <w:tcPr>
            <w:tcW w:w="3118" w:type="dxa"/>
          </w:tcPr>
          <w:p w14:paraId="2727C1AB" w14:textId="77777777" w:rsidR="00B068B1" w:rsidRPr="00141217" w:rsidRDefault="00B068B1" w:rsidP="000B7661">
            <w:pPr>
              <w:rPr>
                <w:rFonts w:ascii="Times New Roman" w:hAnsi="Times New Roman" w:cs="Times New Roman"/>
                <w:lang w:val="en-US"/>
              </w:rPr>
            </w:pPr>
            <w:r w:rsidRPr="00141217">
              <w:rPr>
                <w:rFonts w:ascii="Times New Roman" w:hAnsi="Times New Roman" w:cs="Times New Roman"/>
                <w:lang w:val="en-US"/>
              </w:rPr>
              <w:t>24% per year</w:t>
            </w:r>
          </w:p>
          <w:p w14:paraId="3B3D7804" w14:textId="77777777" w:rsidR="00B068B1" w:rsidRPr="00141217" w:rsidRDefault="00B068B1" w:rsidP="000B7661">
            <w:pPr>
              <w:rPr>
                <w:rFonts w:ascii="Times New Roman" w:hAnsi="Times New Roman" w:cs="Times New Roman"/>
              </w:rPr>
            </w:pPr>
            <w:r w:rsidRPr="00141217">
              <w:rPr>
                <w:rFonts w:ascii="Times New Roman" w:hAnsi="Times New Roman" w:cs="Times New Roman"/>
                <w:lang w:val="en-US"/>
              </w:rPr>
              <w:t>Uncertainty +/- 20% SD.</w:t>
            </w:r>
          </w:p>
        </w:tc>
        <w:tc>
          <w:tcPr>
            <w:tcW w:w="2268" w:type="dxa"/>
          </w:tcPr>
          <w:p w14:paraId="40320273"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Exponential</w:t>
            </w:r>
          </w:p>
        </w:tc>
      </w:tr>
      <w:tr w:rsidR="00B068B1" w:rsidRPr="00141217" w14:paraId="51988AA7" w14:textId="77777777" w:rsidTr="000B7661">
        <w:tc>
          <w:tcPr>
            <w:tcW w:w="1804" w:type="dxa"/>
          </w:tcPr>
          <w:p w14:paraId="3EF5FAAA" w14:textId="77777777" w:rsidR="00B068B1" w:rsidRPr="00141217" w:rsidRDefault="00B068B1" w:rsidP="000B7661">
            <w:pPr>
              <w:pStyle w:val="NormalWeb"/>
              <w:spacing w:before="0" w:beforeAutospacing="0" w:after="0" w:afterAutospacing="0"/>
              <w:rPr>
                <w:rFonts w:ascii="Times New Roman" w:hAnsi="Times New Roman"/>
                <w:sz w:val="20"/>
                <w:szCs w:val="20"/>
              </w:rPr>
            </w:pPr>
            <w:r w:rsidRPr="00141217">
              <w:rPr>
                <w:rFonts w:ascii="Times New Roman" w:eastAsia="Times New Roman" w:hAnsi="Times New Roman"/>
                <w:color w:val="000000"/>
                <w:kern w:val="24"/>
                <w:sz w:val="20"/>
                <w:szCs w:val="20"/>
              </w:rPr>
              <w:t>Those targeted by diabetes and CVD check</w:t>
            </w:r>
          </w:p>
          <w:p w14:paraId="7D9E1423" w14:textId="77777777" w:rsidR="00B068B1" w:rsidRPr="00141217" w:rsidRDefault="00B068B1" w:rsidP="000B7661">
            <w:pPr>
              <w:rPr>
                <w:rFonts w:ascii="Times New Roman" w:hAnsi="Times New Roman" w:cs="Times New Roman"/>
              </w:rPr>
            </w:pPr>
          </w:p>
        </w:tc>
        <w:tc>
          <w:tcPr>
            <w:tcW w:w="6526" w:type="dxa"/>
          </w:tcPr>
          <w:p w14:paraId="34776E63" w14:textId="432F376E" w:rsidR="00B068B1" w:rsidRPr="00141217" w:rsidRDefault="00B068B1" w:rsidP="000B7661">
            <w:pPr>
              <w:rPr>
                <w:rFonts w:ascii="Times New Roman" w:hAnsi="Times New Roman" w:cs="Times New Roman"/>
                <w:color w:val="000000"/>
              </w:rPr>
            </w:pPr>
            <w:r w:rsidRPr="00141217">
              <w:rPr>
                <w:rFonts w:ascii="Times New Roman" w:hAnsi="Times New Roman" w:cs="Times New Roman"/>
                <w:color w:val="000000" w:themeColor="dark1"/>
                <w:kern w:val="24"/>
              </w:rPr>
              <w:t>90% of those eligible for a Diabetes and CVD check are captured through this programme:</w:t>
            </w:r>
            <w:r w:rsidRPr="00141217">
              <w:rPr>
                <w:rFonts w:ascii="Times New Roman" w:hAnsi="Times New Roman" w:cs="Times New Roman"/>
                <w:color w:val="000000" w:themeColor="dark1"/>
                <w:kern w:val="24"/>
              </w:rPr>
              <w:fldChar w:fldCharType="begin"/>
            </w:r>
            <w:r w:rsidR="00872436">
              <w:rPr>
                <w:rFonts w:ascii="Times New Roman" w:hAnsi="Times New Roman" w:cs="Times New Roman"/>
                <w:color w:val="000000" w:themeColor="dark1"/>
                <w:kern w:val="24"/>
              </w:rPr>
              <w:instrText xml:space="preserve"> ADDIN EN.CITE &lt;EndNote&gt;&lt;Cite&gt;&lt;Author&gt;New Zealand Ministry of Health&lt;/Author&gt;&lt;Year&gt;2016&lt;/Year&gt;&lt;RecNum&gt;278&lt;/RecNum&gt;&lt;DisplayText&gt;&lt;style face="superscript"&gt;(5)&lt;/style&gt;&lt;/DisplayText&gt;&lt;record&gt;&lt;rec-number&gt;278&lt;/rec-number&gt;&lt;foreign-keys&gt;&lt;key app="EN" db-id="st99e9vfkvwxdkeadax55ap9fsd2vzwwfsfz" timestamp="1495422839"&gt;278&lt;/key&gt;&lt;/foreign-keys&gt;&lt;ref-type name="Web Page"&gt;12&lt;/ref-type&gt;&lt;contributors&gt;&lt;authors&gt;&lt;author&gt;New Zealand Ministry of Health,&lt;/author&gt;&lt;/authors&gt;&lt;/contributors&gt;&lt;titles&gt;&lt;title&gt;Health targets – 2015/16 quarter 1 – results summary&lt;/title&gt;&lt;/titles&gt;&lt;volume&gt;2017&lt;/volume&gt;&lt;number&gt;22nd May 2017&lt;/number&gt;&lt;dates&gt;&lt;year&gt;2016&lt;/year&gt;&lt;/dates&gt;&lt;urls&gt;&lt;related-urls&gt;&lt;url&gt;http://www.health.govt.nz/new-zealand-health-system/health-targets/how-my-dhb-performing/how-my-dhb-performing-2015-16/health-targets-2015-16-quarter-1-results-summary&lt;/url&gt;&lt;/related-urls&gt;&lt;/urls&gt;&lt;/record&gt;&lt;/Cite&gt;&lt;/EndNote&gt;</w:instrText>
            </w:r>
            <w:r w:rsidRPr="00141217">
              <w:rPr>
                <w:rFonts w:ascii="Times New Roman" w:hAnsi="Times New Roman" w:cs="Times New Roman"/>
                <w:color w:val="000000" w:themeColor="dark1"/>
                <w:kern w:val="24"/>
              </w:rPr>
              <w:fldChar w:fldCharType="separate"/>
            </w:r>
            <w:r w:rsidR="00872436" w:rsidRPr="00872436">
              <w:rPr>
                <w:rFonts w:ascii="Times New Roman" w:hAnsi="Times New Roman" w:cs="Times New Roman"/>
                <w:noProof/>
                <w:color w:val="000000" w:themeColor="dark1"/>
                <w:kern w:val="24"/>
                <w:vertAlign w:val="superscript"/>
              </w:rPr>
              <w:t>(5)</w:t>
            </w:r>
            <w:r w:rsidRPr="00141217">
              <w:rPr>
                <w:rFonts w:ascii="Times New Roman" w:hAnsi="Times New Roman" w:cs="Times New Roman"/>
                <w:color w:val="000000" w:themeColor="dark1"/>
                <w:kern w:val="24"/>
              </w:rPr>
              <w:fldChar w:fldCharType="end"/>
            </w:r>
            <w:r w:rsidRPr="00141217">
              <w:rPr>
                <w:rFonts w:ascii="Times New Roman" w:hAnsi="Times New Roman" w:cs="Times New Roman"/>
                <w:color w:val="000000" w:themeColor="dark1"/>
                <w:kern w:val="24"/>
              </w:rPr>
              <w:t xml:space="preserve"> </w:t>
            </w:r>
          </w:p>
          <w:p w14:paraId="64D2A68D" w14:textId="77777777" w:rsidR="00B068B1" w:rsidRPr="00141217" w:rsidRDefault="00B66F31" w:rsidP="000B7661">
            <w:pPr>
              <w:rPr>
                <w:rFonts w:ascii="Times New Roman" w:hAnsi="Times New Roman" w:cs="Times New Roman"/>
              </w:rPr>
            </w:pPr>
            <w:r w:rsidRPr="00141217">
              <w:rPr>
                <w:rFonts w:ascii="Times New Roman" w:hAnsi="Times New Roman" w:cs="Times New Roman"/>
              </w:rPr>
              <w:t>Targets</w:t>
            </w:r>
            <w:r w:rsidR="00B068B1" w:rsidRPr="00141217">
              <w:rPr>
                <w:rFonts w:ascii="Times New Roman" w:hAnsi="Times New Roman" w:cs="Times New Roman"/>
              </w:rPr>
              <w:t xml:space="preserve"> overweight and obese adults over 35 years (</w:t>
            </w:r>
            <w:r w:rsidR="00D42439" w:rsidRPr="00141217">
              <w:rPr>
                <w:rFonts w:ascii="Times New Roman" w:hAnsi="Times New Roman" w:cs="Times New Roman"/>
                <w:color w:val="000000" w:themeColor="dark1"/>
                <w:kern w:val="24"/>
              </w:rPr>
              <w:t>Māori men), 45 (Māori women</w:t>
            </w:r>
            <w:r w:rsidRPr="00141217">
              <w:rPr>
                <w:rFonts w:ascii="Times New Roman" w:hAnsi="Times New Roman" w:cs="Times New Roman"/>
                <w:color w:val="000000" w:themeColor="dark1"/>
                <w:kern w:val="24"/>
              </w:rPr>
              <w:t xml:space="preserve"> and</w:t>
            </w:r>
            <w:r w:rsidR="00B068B1" w:rsidRPr="00141217">
              <w:rPr>
                <w:rFonts w:ascii="Times New Roman" w:hAnsi="Times New Roman" w:cs="Times New Roman"/>
                <w:color w:val="000000" w:themeColor="dark1"/>
                <w:kern w:val="24"/>
              </w:rPr>
              <w:t xml:space="preserve"> Non-Māori men) and 55 (Non-Māori women)</w:t>
            </w:r>
            <w:r w:rsidR="00B068B1" w:rsidRPr="00141217">
              <w:rPr>
                <w:rFonts w:ascii="Times New Roman" w:hAnsi="Times New Roman" w:cs="Times New Roman"/>
              </w:rPr>
              <w:t xml:space="preserve"> in the model.</w:t>
            </w:r>
          </w:p>
        </w:tc>
        <w:tc>
          <w:tcPr>
            <w:tcW w:w="3118" w:type="dxa"/>
          </w:tcPr>
          <w:p w14:paraId="004C6038" w14:textId="77777777" w:rsidR="00B068B1" w:rsidRPr="00141217" w:rsidRDefault="00D42439" w:rsidP="000B7661">
            <w:pPr>
              <w:rPr>
                <w:rFonts w:ascii="Times New Roman" w:hAnsi="Times New Roman" w:cs="Times New Roman"/>
              </w:rPr>
            </w:pPr>
            <w:r w:rsidRPr="00141217">
              <w:rPr>
                <w:rFonts w:ascii="Times New Roman" w:hAnsi="Times New Roman" w:cs="Times New Roman"/>
                <w:color w:val="000000"/>
              </w:rPr>
              <w:t>95% UI: 80% - 97%</w:t>
            </w:r>
          </w:p>
        </w:tc>
        <w:tc>
          <w:tcPr>
            <w:tcW w:w="2268" w:type="dxa"/>
          </w:tcPr>
          <w:p w14:paraId="0D13F487"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Beta</w:t>
            </w:r>
          </w:p>
        </w:tc>
      </w:tr>
      <w:tr w:rsidR="00B068B1" w:rsidRPr="00141217" w14:paraId="48543097" w14:textId="77777777" w:rsidTr="000B7661">
        <w:tc>
          <w:tcPr>
            <w:tcW w:w="1804" w:type="dxa"/>
          </w:tcPr>
          <w:p w14:paraId="640C05F1" w14:textId="77777777" w:rsidR="00B068B1" w:rsidRPr="00141217" w:rsidRDefault="00B068B1" w:rsidP="000B7661">
            <w:pPr>
              <w:pStyle w:val="NormalWeb"/>
              <w:spacing w:before="0" w:beforeAutospacing="0" w:after="0" w:afterAutospacing="0"/>
              <w:rPr>
                <w:rFonts w:ascii="Times New Roman" w:hAnsi="Times New Roman"/>
                <w:sz w:val="20"/>
                <w:szCs w:val="20"/>
              </w:rPr>
            </w:pPr>
            <w:r w:rsidRPr="00141217">
              <w:rPr>
                <w:rFonts w:ascii="Times New Roman" w:eastAsia="Times New Roman" w:hAnsi="Times New Roman"/>
                <w:color w:val="000000"/>
                <w:kern w:val="24"/>
                <w:sz w:val="20"/>
                <w:szCs w:val="20"/>
              </w:rPr>
              <w:t>Those referred to the intervention</w:t>
            </w:r>
          </w:p>
          <w:p w14:paraId="3C4CE4F0" w14:textId="77777777" w:rsidR="00B068B1" w:rsidRPr="00141217" w:rsidRDefault="00B068B1" w:rsidP="000B7661">
            <w:pPr>
              <w:rPr>
                <w:rFonts w:ascii="Times New Roman" w:hAnsi="Times New Roman" w:cs="Times New Roman"/>
              </w:rPr>
            </w:pPr>
          </w:p>
        </w:tc>
        <w:tc>
          <w:tcPr>
            <w:tcW w:w="6526" w:type="dxa"/>
          </w:tcPr>
          <w:p w14:paraId="6CF7A4B9" w14:textId="18035588" w:rsidR="00B068B1" w:rsidRPr="00141217" w:rsidRDefault="00B66F31" w:rsidP="000B7661">
            <w:pPr>
              <w:pStyle w:val="NormalWeb"/>
              <w:spacing w:before="0" w:beforeAutospacing="0" w:after="0" w:afterAutospacing="0"/>
              <w:rPr>
                <w:rFonts w:ascii="Times New Roman" w:hAnsi="Times New Roman"/>
                <w:sz w:val="20"/>
                <w:szCs w:val="20"/>
              </w:rPr>
            </w:pPr>
            <w:r w:rsidRPr="00141217">
              <w:rPr>
                <w:rFonts w:ascii="Times New Roman" w:hAnsi="Times New Roman"/>
                <w:color w:val="000000" w:themeColor="dark1"/>
                <w:kern w:val="24"/>
                <w:sz w:val="20"/>
                <w:szCs w:val="20"/>
              </w:rPr>
              <w:t>60% of the above</w:t>
            </w:r>
            <w:r w:rsidR="00B068B1" w:rsidRPr="00141217">
              <w:rPr>
                <w:rFonts w:ascii="Times New Roman" w:hAnsi="Times New Roman"/>
                <w:color w:val="000000" w:themeColor="dark1"/>
                <w:kern w:val="24"/>
                <w:sz w:val="20"/>
                <w:szCs w:val="20"/>
              </w:rPr>
              <w:t xml:space="preserve"> </w:t>
            </w:r>
            <w:r w:rsidR="004630C5">
              <w:rPr>
                <w:rFonts w:ascii="Times New Roman" w:hAnsi="Times New Roman"/>
                <w:color w:val="000000" w:themeColor="dark1"/>
                <w:kern w:val="24"/>
                <w:sz w:val="20"/>
                <w:szCs w:val="20"/>
              </w:rPr>
              <w:t xml:space="preserve">were assumed to </w:t>
            </w:r>
            <w:r w:rsidR="00B068B1" w:rsidRPr="00141217">
              <w:rPr>
                <w:rFonts w:ascii="Times New Roman" w:hAnsi="Times New Roman"/>
                <w:color w:val="000000" w:themeColor="dark1"/>
                <w:kern w:val="24"/>
                <w:sz w:val="20"/>
                <w:szCs w:val="20"/>
              </w:rPr>
              <w:t>be referred by GPs to practice nurses</w:t>
            </w:r>
            <w:r w:rsidR="00B068B1" w:rsidRPr="00141217">
              <w:rPr>
                <w:rFonts w:ascii="Times New Roman" w:hAnsi="Times New Roman"/>
                <w:color w:val="000000" w:themeColor="dark1"/>
                <w:kern w:val="24"/>
                <w:sz w:val="20"/>
                <w:szCs w:val="20"/>
              </w:rPr>
              <w:fldChar w:fldCharType="begin"/>
            </w:r>
            <w:r w:rsidR="00872436">
              <w:rPr>
                <w:rFonts w:ascii="Times New Roman" w:hAnsi="Times New Roman"/>
                <w:color w:val="000000" w:themeColor="dark1"/>
                <w:kern w:val="24"/>
                <w:sz w:val="20"/>
                <w:szCs w:val="20"/>
              </w:rPr>
              <w:instrText xml:space="preserve"> ADDIN EN.CITE &lt;EndNote&gt;&lt;Cite&gt;&lt;Author&gt;Brotons&lt;/Author&gt;&lt;Year&gt;2003&lt;/Year&gt;&lt;RecNum&gt;124&lt;/RecNum&gt;&lt;DisplayText&gt;&lt;style face="superscript"&gt;(6)&lt;/style&gt;&lt;/DisplayText&gt;&lt;record&gt;&lt;rec-number&gt;124&lt;/rec-number&gt;&lt;foreign-keys&gt;&lt;key app="EN" db-id="st99e9vfkvwxdkeadax55ap9fsd2vzwwfsfz" timestamp="1455832821"&gt;124&lt;/key&gt;&lt;/foreign-keys&gt;&lt;ref-type name="Journal Article"&gt;17&lt;/ref-type&gt;&lt;contributors&gt;&lt;authors&gt;&lt;author&gt;Brotons, Carlos&lt;/author&gt;&lt;author&gt;Ciurana, Ramon&lt;/author&gt;&lt;author&gt;Piñeiro, Rosa&lt;/author&gt;&lt;author&gt;Kloppe, Pilar&lt;/author&gt;&lt;author&gt;Godycki-Cwirko, Maciek&lt;/author&gt;&lt;author&gt;Sammut, Mario R&lt;/author&gt;&lt;/authors&gt;&lt;/contributors&gt;&lt;titles&gt;&lt;title&gt;Dietary advice in clinical practice: the views of general practitioners in Europe&lt;/title&gt;&lt;secondary-title&gt;The American journal of clinical nutrition&lt;/secondary-title&gt;&lt;/titles&gt;&lt;periodical&gt;&lt;full-title&gt;The American journal of clinical nutrition&lt;/full-title&gt;&lt;/periodical&gt;&lt;pages&gt;1048S-1051S&lt;/pages&gt;&lt;volume&gt;77&lt;/volume&gt;&lt;number&gt;4&lt;/number&gt;&lt;dates&gt;&lt;year&gt;2003&lt;/year&gt;&lt;/dates&gt;&lt;isbn&gt;0002-9165&lt;/isbn&gt;&lt;urls&gt;&lt;/urls&gt;&lt;/record&gt;&lt;/Cite&gt;&lt;/EndNote&gt;</w:instrText>
            </w:r>
            <w:r w:rsidR="00B068B1" w:rsidRPr="00141217">
              <w:rPr>
                <w:rFonts w:ascii="Times New Roman" w:hAnsi="Times New Roman"/>
                <w:color w:val="000000" w:themeColor="dark1"/>
                <w:kern w:val="24"/>
                <w:sz w:val="20"/>
                <w:szCs w:val="20"/>
              </w:rPr>
              <w:fldChar w:fldCharType="separate"/>
            </w:r>
            <w:r w:rsidR="00872436" w:rsidRPr="00872436">
              <w:rPr>
                <w:rFonts w:ascii="Times New Roman" w:hAnsi="Times New Roman"/>
                <w:noProof/>
                <w:color w:val="000000" w:themeColor="dark1"/>
                <w:kern w:val="24"/>
                <w:sz w:val="20"/>
                <w:szCs w:val="20"/>
                <w:vertAlign w:val="superscript"/>
              </w:rPr>
              <w:t>(6)</w:t>
            </w:r>
            <w:r w:rsidR="00B068B1" w:rsidRPr="00141217">
              <w:rPr>
                <w:rFonts w:ascii="Times New Roman" w:hAnsi="Times New Roman"/>
                <w:color w:val="000000" w:themeColor="dark1"/>
                <w:kern w:val="24"/>
                <w:sz w:val="20"/>
                <w:szCs w:val="20"/>
              </w:rPr>
              <w:fldChar w:fldCharType="end"/>
            </w:r>
          </w:p>
          <w:p w14:paraId="73774FBB" w14:textId="77777777" w:rsidR="00B068B1" w:rsidRPr="00141217" w:rsidRDefault="00B068B1" w:rsidP="000B7661">
            <w:pPr>
              <w:rPr>
                <w:rFonts w:ascii="Times New Roman" w:hAnsi="Times New Roman" w:cs="Times New Roman"/>
              </w:rPr>
            </w:pPr>
          </w:p>
        </w:tc>
        <w:tc>
          <w:tcPr>
            <w:tcW w:w="3118" w:type="dxa"/>
          </w:tcPr>
          <w:p w14:paraId="433AA2F5" w14:textId="77777777" w:rsidR="00B068B1" w:rsidRPr="00141217" w:rsidRDefault="00B66F31" w:rsidP="000B7661">
            <w:pPr>
              <w:rPr>
                <w:rFonts w:ascii="Times New Roman" w:hAnsi="Times New Roman" w:cs="Times New Roman"/>
              </w:rPr>
            </w:pPr>
            <w:r w:rsidRPr="00141217">
              <w:rPr>
                <w:rFonts w:ascii="Times New Roman" w:hAnsi="Times New Roman" w:cs="Times New Roman"/>
                <w:color w:val="000000"/>
              </w:rPr>
              <w:t>95% UI: 35% - 82%</w:t>
            </w:r>
          </w:p>
        </w:tc>
        <w:tc>
          <w:tcPr>
            <w:tcW w:w="2268" w:type="dxa"/>
          </w:tcPr>
          <w:p w14:paraId="3B8A6BBE"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Beta</w:t>
            </w:r>
          </w:p>
        </w:tc>
      </w:tr>
      <w:tr w:rsidR="00B068B1" w:rsidRPr="00141217" w14:paraId="1F030BCA" w14:textId="77777777" w:rsidTr="000B7661">
        <w:tc>
          <w:tcPr>
            <w:tcW w:w="1804" w:type="dxa"/>
          </w:tcPr>
          <w:p w14:paraId="60D8DF27" w14:textId="77777777" w:rsidR="00B068B1" w:rsidRPr="00141217" w:rsidRDefault="00B068B1" w:rsidP="000B7661">
            <w:pPr>
              <w:pStyle w:val="NormalWeb"/>
              <w:spacing w:before="0" w:beforeAutospacing="0" w:after="0" w:afterAutospacing="0"/>
              <w:rPr>
                <w:rFonts w:ascii="Times New Roman" w:hAnsi="Times New Roman"/>
                <w:sz w:val="20"/>
                <w:szCs w:val="20"/>
              </w:rPr>
            </w:pPr>
            <w:r w:rsidRPr="00141217">
              <w:rPr>
                <w:rFonts w:ascii="Times New Roman" w:eastAsia="Times New Roman" w:hAnsi="Times New Roman"/>
                <w:color w:val="000000" w:themeColor="text1"/>
                <w:kern w:val="24"/>
                <w:sz w:val="20"/>
                <w:szCs w:val="20"/>
              </w:rPr>
              <w:t>Those exposed to the  intervention</w:t>
            </w:r>
          </w:p>
          <w:p w14:paraId="7AF5D440" w14:textId="77777777" w:rsidR="00B068B1" w:rsidRPr="00141217" w:rsidRDefault="00B068B1" w:rsidP="000B7661">
            <w:pPr>
              <w:rPr>
                <w:rFonts w:ascii="Times New Roman" w:hAnsi="Times New Roman" w:cs="Times New Roman"/>
              </w:rPr>
            </w:pPr>
          </w:p>
        </w:tc>
        <w:tc>
          <w:tcPr>
            <w:tcW w:w="6526" w:type="dxa"/>
          </w:tcPr>
          <w:p w14:paraId="43DC8978" w14:textId="37F22A3E" w:rsidR="00B068B1" w:rsidRPr="00141217" w:rsidRDefault="00B66F31" w:rsidP="000B7661">
            <w:pPr>
              <w:pStyle w:val="NormalWeb"/>
              <w:spacing w:before="0" w:beforeAutospacing="0" w:after="0" w:afterAutospacing="0"/>
              <w:rPr>
                <w:rFonts w:ascii="Times New Roman" w:hAnsi="Times New Roman"/>
                <w:sz w:val="20"/>
                <w:szCs w:val="20"/>
              </w:rPr>
            </w:pPr>
            <w:r w:rsidRPr="00141217">
              <w:rPr>
                <w:rFonts w:ascii="Times New Roman" w:hAnsi="Times New Roman"/>
                <w:kern w:val="24"/>
                <w:sz w:val="20"/>
                <w:szCs w:val="20"/>
                <w:lang w:val="en-US"/>
              </w:rPr>
              <w:t>49.4% of the above are likely to take</w:t>
            </w:r>
            <w:r w:rsidR="00B068B1" w:rsidRPr="00141217">
              <w:rPr>
                <w:rFonts w:ascii="Times New Roman" w:hAnsi="Times New Roman"/>
                <w:kern w:val="24"/>
                <w:sz w:val="20"/>
                <w:szCs w:val="20"/>
                <w:lang w:val="en-US"/>
              </w:rPr>
              <w:t xml:space="preserve"> up the intervention</w:t>
            </w:r>
            <w:r w:rsidR="00B068B1" w:rsidRPr="00141217">
              <w:rPr>
                <w:rFonts w:ascii="Times New Roman" w:hAnsi="Times New Roman"/>
                <w:kern w:val="24"/>
                <w:sz w:val="20"/>
                <w:szCs w:val="20"/>
                <w:lang w:val="en-US"/>
              </w:rPr>
              <w:fldChar w:fldCharType="begin"/>
            </w:r>
            <w:r w:rsidR="00872436">
              <w:rPr>
                <w:rFonts w:ascii="Times New Roman" w:hAnsi="Times New Roman"/>
                <w:kern w:val="24"/>
                <w:sz w:val="20"/>
                <w:szCs w:val="20"/>
                <w:lang w:val="en-US"/>
              </w:rPr>
              <w:instrText xml:space="preserve"> ADDIN EN.CITE &lt;EndNote&gt;&lt;Cite&gt;&lt;Author&gt;Wee&lt;/Author&gt;&lt;Year&gt;2005&lt;/Year&gt;&lt;RecNum&gt;162&lt;/RecNum&gt;&lt;DisplayText&gt;&lt;style face="superscript"&gt;(7)&lt;/style&gt;&lt;/DisplayText&gt;&lt;record&gt;&lt;rec-number&gt;162&lt;/rec-number&gt;&lt;foreign-keys&gt;&lt;key app="EN" db-id="st99e9vfkvwxdkeadax55ap9fsd2vzwwfsfz" timestamp="1478231654"&gt;162&lt;/key&gt;&lt;key app="ENWeb" db-id=""&gt;0&lt;/key&gt;&lt;/foreign-keys&gt;&lt;ref-type name="Journal Article"&gt;17&lt;/ref-type&gt;&lt;contributors&gt;&lt;authors&gt;&lt;author&gt;Wee, C. C.&lt;/author&gt;&lt;author&gt;Davis, R. B.&lt;/author&gt;&lt;author&gt;Phillips, R. S.&lt;/author&gt;&lt;/authors&gt;&lt;/contributors&gt;&lt;auth-address&gt;Division of General Medicine and Primary Care, Beth Israel Deaconess Medical Center, Harvard Medical School, Boston, MA 02215, USA. cweekuo@bidmc.harvard.edu &amp;lt;cweekuo@bidmc.harvard.edu&amp;gt;&lt;/auth-address&gt;&lt;titles&gt;&lt;title&gt;Stage of readiness to control weight and adopt weight control behaviors in primary care&lt;/title&gt;&lt;secondary-title&gt;J Gen Intern Med&lt;/secondary-title&gt;&lt;/titles&gt;&lt;periodical&gt;&lt;full-title&gt;J Gen Intern Med&lt;/full-title&gt;&lt;/periodical&gt;&lt;pages&gt;410-5&lt;/pages&gt;&lt;volume&gt;20&lt;/volume&gt;&lt;number&gt;5&lt;/number&gt;&lt;keywords&gt;&lt;keyword&gt;Counseling&lt;/keyword&gt;&lt;keyword&gt;Diet&lt;/keyword&gt;&lt;keyword&gt;Exercise&lt;/keyword&gt;&lt;keyword&gt;Female&lt;/keyword&gt;&lt;keyword&gt;*Health Behavior&lt;/keyword&gt;&lt;keyword&gt;Humans&lt;/keyword&gt;&lt;keyword&gt;Life Style&lt;/keyword&gt;&lt;keyword&gt;Male&lt;/keyword&gt;&lt;keyword&gt;Motivation&lt;/keyword&gt;&lt;keyword&gt;Multivariate Analysis&lt;/keyword&gt;&lt;keyword&gt;Obesity/prevention &amp;amp; control/psychology&lt;/keyword&gt;&lt;keyword&gt;Primary Health Care&lt;/keyword&gt;&lt;keyword&gt;*Weight Loss&lt;/keyword&gt;&lt;/keywords&gt;&lt;dates&gt;&lt;year&gt;2005&lt;/year&gt;&lt;pub-dates&gt;&lt;date&gt;May&lt;/date&gt;&lt;/pub-dates&gt;&lt;/dates&gt;&lt;isbn&gt;1525-1497 (Electronic)&amp;#xD;0884-8734 (Linking)&lt;/isbn&gt;&lt;accession-num&gt;15963162&lt;/accession-num&gt;&lt;urls&gt;&lt;related-urls&gt;&lt;url&gt;https://www.ncbi.nlm.nih.gov/pubmed/15963162&lt;/url&gt;&lt;/related-urls&gt;&lt;/urls&gt;&lt;custom2&gt;PMC1490121&lt;/custom2&gt;&lt;electronic-resource-num&gt;10.1111/j.1525-1497.2005.0074.x&lt;/electronic-resource-num&gt;&lt;/record&gt;&lt;/Cite&gt;&lt;/EndNote&gt;</w:instrText>
            </w:r>
            <w:r w:rsidR="00B068B1" w:rsidRPr="00141217">
              <w:rPr>
                <w:rFonts w:ascii="Times New Roman" w:hAnsi="Times New Roman"/>
                <w:kern w:val="24"/>
                <w:sz w:val="20"/>
                <w:szCs w:val="20"/>
                <w:lang w:val="en-US"/>
              </w:rPr>
              <w:fldChar w:fldCharType="separate"/>
            </w:r>
            <w:r w:rsidR="00872436" w:rsidRPr="00872436">
              <w:rPr>
                <w:rFonts w:ascii="Times New Roman" w:hAnsi="Times New Roman"/>
                <w:noProof/>
                <w:kern w:val="24"/>
                <w:sz w:val="20"/>
                <w:szCs w:val="20"/>
                <w:vertAlign w:val="superscript"/>
                <w:lang w:val="en-US"/>
              </w:rPr>
              <w:t>(7)</w:t>
            </w:r>
            <w:r w:rsidR="00B068B1" w:rsidRPr="00141217">
              <w:rPr>
                <w:rFonts w:ascii="Times New Roman" w:hAnsi="Times New Roman"/>
                <w:kern w:val="24"/>
                <w:sz w:val="20"/>
                <w:szCs w:val="20"/>
                <w:lang w:val="en-US"/>
              </w:rPr>
              <w:fldChar w:fldCharType="end"/>
            </w:r>
            <w:r w:rsidR="00B068B1" w:rsidRPr="00141217">
              <w:rPr>
                <w:rFonts w:ascii="Times New Roman" w:hAnsi="Times New Roman"/>
                <w:kern w:val="24"/>
                <w:sz w:val="20"/>
                <w:szCs w:val="20"/>
                <w:lang w:val="en-US"/>
              </w:rPr>
              <w:t xml:space="preserve"> </w:t>
            </w:r>
          </w:p>
          <w:p w14:paraId="7E92A1EC" w14:textId="77777777" w:rsidR="00B068B1" w:rsidRPr="00141217" w:rsidRDefault="00B068B1" w:rsidP="000B7661">
            <w:pPr>
              <w:rPr>
                <w:rFonts w:ascii="Times New Roman" w:hAnsi="Times New Roman" w:cs="Times New Roman"/>
              </w:rPr>
            </w:pPr>
          </w:p>
        </w:tc>
        <w:tc>
          <w:tcPr>
            <w:tcW w:w="3118" w:type="dxa"/>
          </w:tcPr>
          <w:p w14:paraId="5A5AD910" w14:textId="77777777" w:rsidR="00B068B1" w:rsidRPr="00141217" w:rsidRDefault="00D54E96" w:rsidP="000B7661">
            <w:pPr>
              <w:rPr>
                <w:rFonts w:ascii="Times New Roman" w:hAnsi="Times New Roman" w:cs="Times New Roman"/>
              </w:rPr>
            </w:pPr>
            <w:r w:rsidRPr="00141217">
              <w:rPr>
                <w:rFonts w:ascii="Times New Roman" w:hAnsi="Times New Roman" w:cs="Times New Roman"/>
                <w:color w:val="000000"/>
              </w:rPr>
              <w:t>95% UI: 40% - 59%</w:t>
            </w:r>
          </w:p>
        </w:tc>
        <w:tc>
          <w:tcPr>
            <w:tcW w:w="2268" w:type="dxa"/>
          </w:tcPr>
          <w:p w14:paraId="6A461E3D"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Beta</w:t>
            </w:r>
          </w:p>
        </w:tc>
      </w:tr>
      <w:tr w:rsidR="00B068B1" w:rsidRPr="00141217" w14:paraId="4C6B9E01" w14:textId="77777777" w:rsidTr="000B7661">
        <w:tc>
          <w:tcPr>
            <w:tcW w:w="1804" w:type="dxa"/>
          </w:tcPr>
          <w:p w14:paraId="52E80100"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Intervention costs</w:t>
            </w:r>
          </w:p>
        </w:tc>
        <w:tc>
          <w:tcPr>
            <w:tcW w:w="6526" w:type="dxa"/>
          </w:tcPr>
          <w:p w14:paraId="76A60B44" w14:textId="271B9972" w:rsidR="00B068B1" w:rsidRPr="00141217" w:rsidRDefault="00B068B1" w:rsidP="00CE74B3">
            <w:pPr>
              <w:spacing w:before="20" w:after="20"/>
              <w:rPr>
                <w:rFonts w:ascii="Times New Roman" w:hAnsi="Times New Roman" w:cs="Times New Roman"/>
              </w:rPr>
            </w:pPr>
            <w:r w:rsidRPr="00141217">
              <w:rPr>
                <w:rFonts w:ascii="Times New Roman" w:hAnsi="Times New Roman" w:cs="Times New Roman"/>
              </w:rPr>
              <w:t xml:space="preserve">Total intervention costs </w:t>
            </w:r>
            <w:r w:rsidR="004630C5">
              <w:rPr>
                <w:rFonts w:ascii="Times New Roman" w:hAnsi="Times New Roman" w:cs="Times New Roman"/>
              </w:rPr>
              <w:t>were</w:t>
            </w:r>
            <w:r w:rsidR="004630C5" w:rsidRPr="00141217">
              <w:rPr>
                <w:rFonts w:ascii="Times New Roman" w:hAnsi="Times New Roman" w:cs="Times New Roman"/>
              </w:rPr>
              <w:t xml:space="preserve"> </w:t>
            </w:r>
            <w:r w:rsidR="00CE74B3">
              <w:rPr>
                <w:rFonts w:ascii="Times New Roman" w:hAnsi="Times New Roman" w:cs="Times New Roman"/>
              </w:rPr>
              <w:t xml:space="preserve">2011 </w:t>
            </w:r>
            <w:r w:rsidRPr="00141217">
              <w:rPr>
                <w:rFonts w:ascii="Times New Roman" w:hAnsi="Times New Roman" w:cs="Times New Roman"/>
              </w:rPr>
              <w:t xml:space="preserve">NZ$ </w:t>
            </w:r>
            <w:r w:rsidR="00B66F31" w:rsidRPr="00141217">
              <w:rPr>
                <w:rFonts w:ascii="Times New Roman" w:hAnsi="Times New Roman" w:cs="Times New Roman"/>
              </w:rPr>
              <w:t xml:space="preserve">38 291 968 </w:t>
            </w:r>
            <w:r w:rsidR="00CE74B3">
              <w:rPr>
                <w:rFonts w:ascii="Times New Roman" w:hAnsi="Times New Roman" w:cs="Times New Roman"/>
              </w:rPr>
              <w:t xml:space="preserve">for individual dietary </w:t>
            </w:r>
            <w:r w:rsidR="004630C5">
              <w:rPr>
                <w:rFonts w:ascii="Times New Roman" w:hAnsi="Times New Roman" w:cs="Times New Roman"/>
              </w:rPr>
              <w:t xml:space="preserve">counselling </w:t>
            </w:r>
            <w:r w:rsidRPr="00141217">
              <w:rPr>
                <w:rFonts w:ascii="Times New Roman" w:hAnsi="Times New Roman" w:cs="Times New Roman"/>
              </w:rPr>
              <w:t xml:space="preserve">(See </w:t>
            </w:r>
            <w:r w:rsidR="00B66F31" w:rsidRPr="00141217">
              <w:rPr>
                <w:rFonts w:ascii="Times New Roman" w:hAnsi="Times New Roman" w:cs="Times New Roman"/>
              </w:rPr>
              <w:t xml:space="preserve">Table 1 in main text </w:t>
            </w:r>
            <w:r w:rsidRPr="00141217">
              <w:rPr>
                <w:rFonts w:ascii="Times New Roman" w:hAnsi="Times New Roman" w:cs="Times New Roman"/>
              </w:rPr>
              <w:t>for details).</w:t>
            </w:r>
          </w:p>
        </w:tc>
        <w:tc>
          <w:tcPr>
            <w:tcW w:w="3118" w:type="dxa"/>
          </w:tcPr>
          <w:p w14:paraId="5B0B2BA2" w14:textId="77777777" w:rsidR="00B068B1" w:rsidRPr="00141217" w:rsidRDefault="00B068B1" w:rsidP="000B7661">
            <w:pPr>
              <w:pStyle w:val="CommentText"/>
              <w:rPr>
                <w:rFonts w:ascii="Times New Roman" w:hAnsi="Times New Roman" w:cs="Times New Roman"/>
              </w:rPr>
            </w:pPr>
            <w:r w:rsidRPr="00141217">
              <w:rPr>
                <w:rFonts w:ascii="Times New Roman" w:hAnsi="Times New Roman" w:cs="Times New Roman"/>
              </w:rPr>
              <w:t xml:space="preserve">Modelled uncertainty set at 20% of the mean </w:t>
            </w:r>
          </w:p>
        </w:tc>
        <w:tc>
          <w:tcPr>
            <w:tcW w:w="2268" w:type="dxa"/>
          </w:tcPr>
          <w:p w14:paraId="5695D079"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Gamma</w:t>
            </w:r>
          </w:p>
        </w:tc>
      </w:tr>
      <w:tr w:rsidR="00B068B1" w:rsidRPr="00141217" w14:paraId="214FB322" w14:textId="77777777" w:rsidTr="000B7661">
        <w:tc>
          <w:tcPr>
            <w:tcW w:w="1804" w:type="dxa"/>
          </w:tcPr>
          <w:p w14:paraId="5799635B" w14:textId="77777777" w:rsidR="00B068B1" w:rsidRPr="00141217" w:rsidRDefault="00B068B1" w:rsidP="000B7661">
            <w:pPr>
              <w:rPr>
                <w:rFonts w:ascii="Times New Roman" w:hAnsi="Times New Roman" w:cs="Times New Roman"/>
              </w:rPr>
            </w:pPr>
            <w:r w:rsidRPr="00141217">
              <w:rPr>
                <w:rFonts w:ascii="Times New Roman" w:hAnsi="Times New Roman" w:cs="Times New Roman"/>
              </w:rPr>
              <w:t>Relative risks for risk factors and disease incidence</w:t>
            </w:r>
          </w:p>
        </w:tc>
        <w:tc>
          <w:tcPr>
            <w:tcW w:w="6526" w:type="dxa"/>
          </w:tcPr>
          <w:p w14:paraId="32856F7A" w14:textId="221922E6" w:rsidR="00B068B1" w:rsidRPr="00141217" w:rsidRDefault="00B068B1" w:rsidP="00E0692A">
            <w:pPr>
              <w:rPr>
                <w:rFonts w:ascii="Times New Roman" w:hAnsi="Times New Roman" w:cs="Times New Roman"/>
              </w:rPr>
            </w:pPr>
            <w:r w:rsidRPr="00141217">
              <w:rPr>
                <w:rFonts w:ascii="Times New Roman" w:hAnsi="Times New Roman" w:cs="Times New Roman"/>
              </w:rPr>
              <w:t xml:space="preserve">See </w:t>
            </w:r>
            <w:r w:rsidR="00E0692A">
              <w:rPr>
                <w:rFonts w:ascii="Times New Roman" w:hAnsi="Times New Roman" w:cs="Times New Roman"/>
              </w:rPr>
              <w:t>Supplementary table 3 and 4</w:t>
            </w:r>
            <w:r w:rsidRPr="00141217">
              <w:rPr>
                <w:rFonts w:ascii="Times New Roman" w:hAnsi="Times New Roman" w:cs="Times New Roman"/>
              </w:rPr>
              <w:t xml:space="preserve"> for disease specific relative risks.</w:t>
            </w:r>
          </w:p>
        </w:tc>
        <w:tc>
          <w:tcPr>
            <w:tcW w:w="3118" w:type="dxa"/>
          </w:tcPr>
          <w:p w14:paraId="441277DB" w14:textId="77777777" w:rsidR="00B068B1" w:rsidRPr="00141217" w:rsidRDefault="00B068B1" w:rsidP="000B7661">
            <w:pPr>
              <w:rPr>
                <w:rFonts w:ascii="Times New Roman" w:hAnsi="Times New Roman" w:cs="Times New Roman"/>
              </w:rPr>
            </w:pPr>
          </w:p>
        </w:tc>
        <w:tc>
          <w:tcPr>
            <w:tcW w:w="2268" w:type="dxa"/>
          </w:tcPr>
          <w:p w14:paraId="138CF2EA" w14:textId="77777777" w:rsidR="00B068B1" w:rsidRPr="00141217" w:rsidRDefault="00B068B1" w:rsidP="000B7661">
            <w:pPr>
              <w:rPr>
                <w:rFonts w:ascii="Times New Roman" w:hAnsi="Times New Roman" w:cs="Times New Roman"/>
              </w:rPr>
            </w:pPr>
          </w:p>
        </w:tc>
      </w:tr>
    </w:tbl>
    <w:p w14:paraId="0997D4B4" w14:textId="77777777" w:rsidR="00B068B1" w:rsidRPr="00141217" w:rsidRDefault="00B068B1" w:rsidP="00B068B1">
      <w:pPr>
        <w:rPr>
          <w:rFonts w:ascii="Times New Roman" w:hAnsi="Times New Roman" w:cs="Times New Roman"/>
        </w:rPr>
        <w:sectPr w:rsidR="00B068B1" w:rsidRPr="00141217" w:rsidSect="00B068B1">
          <w:pgSz w:w="16838" w:h="11906" w:orient="landscape"/>
          <w:pgMar w:top="1440" w:right="1440" w:bottom="1440" w:left="1440" w:header="708" w:footer="708" w:gutter="0"/>
          <w:cols w:space="708"/>
          <w:docGrid w:linePitch="360"/>
        </w:sectPr>
      </w:pPr>
    </w:p>
    <w:bookmarkEnd w:id="0"/>
    <w:p w14:paraId="20C7BD75" w14:textId="5D9CFE91" w:rsidR="0008139A" w:rsidRDefault="0059693E" w:rsidP="005F4DCE">
      <w:pPr>
        <w:pStyle w:val="Caption"/>
      </w:pPr>
      <w:r w:rsidRPr="0059693E">
        <w:lastRenderedPageBreak/>
        <w:t>Supplemental Table S</w:t>
      </w:r>
      <w:r>
        <w:t>3</w:t>
      </w:r>
      <w:r w:rsidR="0008139A" w:rsidRPr="00141217">
        <w:t xml:space="preserve"> Relative risks of BMI-related diseases (non-cancers) fro</w:t>
      </w:r>
      <w:r w:rsidR="005F4DCE">
        <w:t>m the Global Burden of Disease S</w:t>
      </w:r>
      <w:r w:rsidR="0008139A" w:rsidRPr="00141217">
        <w:t>tudy (</w:t>
      </w:r>
      <w:r w:rsidR="00265708" w:rsidRPr="00141217">
        <w:t xml:space="preserve">for males and females, </w:t>
      </w:r>
      <w:r w:rsidR="0008139A" w:rsidRPr="00141217">
        <w:t xml:space="preserve">per 5 BMI units) </w:t>
      </w:r>
      <w:r w:rsidR="0008139A" w:rsidRPr="00141217">
        <w:fldChar w:fldCharType="begin"/>
      </w:r>
      <w:r w:rsidR="00872436">
        <w:instrText xml:space="preserve"> ADDIN EN.CITE &lt;EndNote&gt;&lt;Cite&gt;&lt;Author&gt;Forouzanfar&lt;/Author&gt;&lt;Year&gt;2015&lt;/Year&gt;&lt;RecNum&gt;141&lt;/RecNum&gt;&lt;DisplayText&gt;&lt;style face="superscript"&gt;(1)&lt;/style&gt;&lt;/DisplayText&gt;&lt;record&gt;&lt;rec-number&gt;141&lt;/rec-number&gt;&lt;foreign-keys&gt;&lt;key app="EN" db-id="st99e9vfkvwxdkeadax55ap9fsd2vzwwfsfz" timestamp="1459986414"&gt;141&lt;/key&gt;&lt;/foreign-keys&gt;&lt;ref-type name="Journal Article"&gt;17&lt;/ref-type&gt;&lt;contributors&gt;&lt;authors&gt;&lt;author&gt;Forouzanfar, Mohammad H&lt;/author&gt;&lt;author&gt;Alexander, Lily&lt;/author&gt;&lt;author&gt;Anderson, H Ross&lt;/author&gt;&lt;author&gt;Bachman, Victoria F&lt;/author&gt;&lt;author&gt;Biryukov, Stan&lt;/author&gt;&lt;author&gt;Brauer, Michael&lt;/author&gt;&lt;author&gt;Burnett, Richard&lt;/author&gt;&lt;author&gt;Casey, Daniel&lt;/author&gt;&lt;author&gt;Coates, Matthew M&lt;/author&gt;&lt;author&gt;Cohen, Aaron&lt;/author&gt;&lt;/authors&gt;&lt;/contributors&gt;&lt;titles&gt;&lt;title&gt;Global, regional, and national comparative risk assessment of 79 behavioural, environmental and occupational, and metabolic risks or clusters of risks in 188 countries, 1990–2013: a systematic analysis for the Global Burden of Disease Study 2013&lt;/title&gt;&lt;secondary-title&gt;The Lancet&lt;/secondary-title&gt;&lt;/titles&gt;&lt;periodical&gt;&lt;full-title&gt;The Lancet&lt;/full-title&gt;&lt;/periodical&gt;&lt;pages&gt;2287-2323&lt;/pages&gt;&lt;volume&gt;386&lt;/volume&gt;&lt;number&gt;10010&lt;/number&gt;&lt;dates&gt;&lt;year&gt;2015&lt;/year&gt;&lt;/dates&gt;&lt;isbn&gt;0140-6736&lt;/isbn&gt;&lt;urls&gt;&lt;/urls&gt;&lt;/record&gt;&lt;/Cite&gt;&lt;/EndNote&gt;</w:instrText>
      </w:r>
      <w:r w:rsidR="0008139A" w:rsidRPr="00141217">
        <w:fldChar w:fldCharType="separate"/>
      </w:r>
      <w:r w:rsidR="00872436" w:rsidRPr="00872436">
        <w:rPr>
          <w:noProof/>
          <w:vertAlign w:val="superscript"/>
        </w:rPr>
        <w:t>(1)</w:t>
      </w:r>
      <w:r w:rsidR="0008139A" w:rsidRPr="00141217">
        <w:fldChar w:fldCharType="end"/>
      </w:r>
    </w:p>
    <w:tbl>
      <w:tblPr>
        <w:tblW w:w="13051" w:type="dxa"/>
        <w:tblInd w:w="98" w:type="dxa"/>
        <w:tblLook w:val="04A0" w:firstRow="1" w:lastRow="0" w:firstColumn="1" w:lastColumn="0" w:noHBand="0" w:noVBand="1"/>
      </w:tblPr>
      <w:tblGrid>
        <w:gridCol w:w="908"/>
        <w:gridCol w:w="968"/>
        <w:gridCol w:w="2555"/>
        <w:gridCol w:w="2556"/>
        <w:gridCol w:w="2556"/>
        <w:gridCol w:w="3508"/>
      </w:tblGrid>
      <w:tr w:rsidR="00F22C7E" w:rsidRPr="00F22C7E" w14:paraId="0D3FBAE2" w14:textId="77777777" w:rsidTr="00036CFE">
        <w:trPr>
          <w:trHeight w:val="344"/>
        </w:trPr>
        <w:tc>
          <w:tcPr>
            <w:tcW w:w="908" w:type="dxa"/>
            <w:tcBorders>
              <w:top w:val="single" w:sz="8" w:space="0" w:color="auto"/>
              <w:left w:val="single" w:sz="8" w:space="0" w:color="auto"/>
              <w:bottom w:val="single" w:sz="8" w:space="0" w:color="auto"/>
              <w:right w:val="nil"/>
            </w:tcBorders>
            <w:shd w:val="clear" w:color="auto" w:fill="auto"/>
            <w:noWrap/>
            <w:vAlign w:val="center"/>
            <w:hideMark/>
          </w:tcPr>
          <w:p w14:paraId="120F5A19" w14:textId="77777777" w:rsidR="00F22C7E" w:rsidRPr="00F22C7E" w:rsidRDefault="00F22C7E" w:rsidP="00C500BF">
            <w:pPr>
              <w:spacing w:after="0" w:line="240" w:lineRule="auto"/>
              <w:rPr>
                <w:rFonts w:ascii="Times New Roman" w:eastAsia="Times New Roman" w:hAnsi="Times New Roman" w:cs="Times New Roman"/>
                <w:b/>
                <w:bCs/>
                <w:sz w:val="20"/>
                <w:szCs w:val="20"/>
                <w:lang w:eastAsia="en-NZ"/>
              </w:rPr>
            </w:pPr>
            <w:r w:rsidRPr="00F22C7E">
              <w:rPr>
                <w:rFonts w:ascii="Times New Roman" w:eastAsia="Times New Roman" w:hAnsi="Times New Roman" w:cs="Times New Roman"/>
                <w:b/>
                <w:bCs/>
                <w:sz w:val="20"/>
                <w:szCs w:val="20"/>
                <w:lang w:eastAsia="en-NZ"/>
              </w:rPr>
              <w:t> </w:t>
            </w:r>
          </w:p>
        </w:tc>
        <w:tc>
          <w:tcPr>
            <w:tcW w:w="968" w:type="dxa"/>
            <w:tcBorders>
              <w:top w:val="single" w:sz="8" w:space="0" w:color="auto"/>
              <w:left w:val="nil"/>
              <w:bottom w:val="single" w:sz="8" w:space="0" w:color="auto"/>
              <w:right w:val="single" w:sz="8" w:space="0" w:color="auto"/>
            </w:tcBorders>
            <w:shd w:val="clear" w:color="auto" w:fill="auto"/>
            <w:noWrap/>
            <w:vAlign w:val="center"/>
            <w:hideMark/>
          </w:tcPr>
          <w:p w14:paraId="72003DF5" w14:textId="77777777" w:rsidR="00F22C7E" w:rsidRPr="00F22C7E" w:rsidRDefault="00F22C7E" w:rsidP="00C500BF">
            <w:pPr>
              <w:spacing w:after="0" w:line="240" w:lineRule="auto"/>
              <w:jc w:val="center"/>
              <w:rPr>
                <w:rFonts w:ascii="Times New Roman" w:eastAsia="Times New Roman" w:hAnsi="Times New Roman" w:cs="Times New Roman"/>
                <w:b/>
                <w:bCs/>
                <w:sz w:val="20"/>
                <w:szCs w:val="20"/>
                <w:lang w:eastAsia="en-NZ"/>
              </w:rPr>
            </w:pPr>
            <w:r w:rsidRPr="00F22C7E">
              <w:rPr>
                <w:rFonts w:ascii="Times New Roman" w:eastAsia="Times New Roman" w:hAnsi="Times New Roman" w:cs="Times New Roman"/>
                <w:b/>
                <w:bCs/>
                <w:sz w:val="20"/>
                <w:szCs w:val="20"/>
                <w:lang w:eastAsia="en-NZ"/>
              </w:rPr>
              <w:t>Age-group</w:t>
            </w:r>
          </w:p>
        </w:tc>
        <w:tc>
          <w:tcPr>
            <w:tcW w:w="2555" w:type="dxa"/>
            <w:tcBorders>
              <w:top w:val="single" w:sz="8" w:space="0" w:color="auto"/>
              <w:left w:val="nil"/>
              <w:bottom w:val="single" w:sz="8" w:space="0" w:color="auto"/>
              <w:right w:val="nil"/>
            </w:tcBorders>
            <w:shd w:val="clear" w:color="auto" w:fill="auto"/>
            <w:vAlign w:val="center"/>
            <w:hideMark/>
          </w:tcPr>
          <w:p w14:paraId="0E55C7C8" w14:textId="77777777" w:rsidR="00F22C7E" w:rsidRPr="00F22C7E" w:rsidRDefault="00F22C7E" w:rsidP="00C500BF">
            <w:pPr>
              <w:spacing w:after="0" w:line="240" w:lineRule="auto"/>
              <w:jc w:val="center"/>
              <w:rPr>
                <w:rFonts w:ascii="Times New Roman" w:eastAsia="Times New Roman" w:hAnsi="Times New Roman" w:cs="Times New Roman"/>
                <w:b/>
                <w:bCs/>
                <w:sz w:val="20"/>
                <w:szCs w:val="20"/>
                <w:lang w:eastAsia="en-NZ"/>
              </w:rPr>
            </w:pPr>
            <w:r w:rsidRPr="00F22C7E">
              <w:rPr>
                <w:rFonts w:ascii="Times New Roman" w:eastAsia="Times New Roman" w:hAnsi="Times New Roman" w:cs="Times New Roman"/>
                <w:b/>
                <w:bCs/>
                <w:sz w:val="20"/>
                <w:szCs w:val="20"/>
                <w:lang w:eastAsia="en-NZ"/>
              </w:rPr>
              <w:t>CHD</w:t>
            </w:r>
          </w:p>
        </w:tc>
        <w:tc>
          <w:tcPr>
            <w:tcW w:w="2556" w:type="dxa"/>
            <w:tcBorders>
              <w:top w:val="single" w:sz="8" w:space="0" w:color="auto"/>
              <w:left w:val="nil"/>
              <w:bottom w:val="single" w:sz="8" w:space="0" w:color="auto"/>
              <w:right w:val="nil"/>
            </w:tcBorders>
            <w:shd w:val="clear" w:color="auto" w:fill="auto"/>
            <w:vAlign w:val="center"/>
            <w:hideMark/>
          </w:tcPr>
          <w:p w14:paraId="0BDE0D2A" w14:textId="77777777" w:rsidR="00F22C7E" w:rsidRPr="00F22C7E" w:rsidRDefault="00F22C7E" w:rsidP="00C500BF">
            <w:pPr>
              <w:spacing w:after="0" w:line="240" w:lineRule="auto"/>
              <w:jc w:val="center"/>
              <w:rPr>
                <w:rFonts w:ascii="Times New Roman" w:eastAsia="Times New Roman" w:hAnsi="Times New Roman" w:cs="Times New Roman"/>
                <w:b/>
                <w:bCs/>
                <w:sz w:val="20"/>
                <w:szCs w:val="20"/>
                <w:lang w:eastAsia="en-NZ"/>
              </w:rPr>
            </w:pPr>
            <w:r w:rsidRPr="00F22C7E">
              <w:rPr>
                <w:rFonts w:ascii="Times New Roman" w:eastAsia="Times New Roman" w:hAnsi="Times New Roman" w:cs="Times New Roman"/>
                <w:b/>
                <w:bCs/>
                <w:sz w:val="20"/>
                <w:szCs w:val="20"/>
                <w:lang w:eastAsia="en-NZ"/>
              </w:rPr>
              <w:t>Stroke</w:t>
            </w:r>
          </w:p>
        </w:tc>
        <w:tc>
          <w:tcPr>
            <w:tcW w:w="2556" w:type="dxa"/>
            <w:tcBorders>
              <w:top w:val="single" w:sz="8" w:space="0" w:color="auto"/>
              <w:left w:val="nil"/>
              <w:bottom w:val="single" w:sz="8" w:space="0" w:color="auto"/>
              <w:right w:val="nil"/>
            </w:tcBorders>
            <w:shd w:val="clear" w:color="auto" w:fill="auto"/>
            <w:vAlign w:val="center"/>
            <w:hideMark/>
          </w:tcPr>
          <w:p w14:paraId="60ABBF00" w14:textId="77777777" w:rsidR="00F22C7E" w:rsidRPr="00F22C7E" w:rsidRDefault="00F22C7E" w:rsidP="00C500BF">
            <w:pPr>
              <w:spacing w:after="0" w:line="240" w:lineRule="auto"/>
              <w:jc w:val="center"/>
              <w:rPr>
                <w:rFonts w:ascii="Times New Roman" w:eastAsia="Times New Roman" w:hAnsi="Times New Roman" w:cs="Times New Roman"/>
                <w:b/>
                <w:bCs/>
                <w:sz w:val="20"/>
                <w:szCs w:val="20"/>
                <w:lang w:eastAsia="en-NZ"/>
              </w:rPr>
            </w:pPr>
            <w:r w:rsidRPr="00F22C7E">
              <w:rPr>
                <w:rFonts w:ascii="Times New Roman" w:eastAsia="Times New Roman" w:hAnsi="Times New Roman" w:cs="Times New Roman"/>
                <w:b/>
                <w:bCs/>
                <w:sz w:val="20"/>
                <w:szCs w:val="20"/>
                <w:lang w:eastAsia="en-NZ"/>
              </w:rPr>
              <w:t>Type 2 diabetes</w:t>
            </w:r>
          </w:p>
        </w:tc>
        <w:tc>
          <w:tcPr>
            <w:tcW w:w="3508" w:type="dxa"/>
            <w:tcBorders>
              <w:top w:val="single" w:sz="8" w:space="0" w:color="auto"/>
              <w:left w:val="nil"/>
              <w:bottom w:val="single" w:sz="8" w:space="0" w:color="auto"/>
              <w:right w:val="single" w:sz="8" w:space="0" w:color="auto"/>
            </w:tcBorders>
            <w:shd w:val="clear" w:color="auto" w:fill="auto"/>
            <w:vAlign w:val="center"/>
            <w:hideMark/>
          </w:tcPr>
          <w:p w14:paraId="37CB4C6D" w14:textId="203C135B" w:rsidR="00F22C7E" w:rsidRPr="00F22C7E" w:rsidRDefault="00036CFE" w:rsidP="00C500BF">
            <w:pPr>
              <w:spacing w:after="0" w:line="240" w:lineRule="auto"/>
              <w:jc w:val="center"/>
              <w:rPr>
                <w:rFonts w:ascii="Times New Roman" w:eastAsia="Times New Roman" w:hAnsi="Times New Roman" w:cs="Times New Roman"/>
                <w:b/>
                <w:bCs/>
                <w:sz w:val="20"/>
                <w:szCs w:val="20"/>
                <w:lang w:eastAsia="en-NZ"/>
              </w:rPr>
            </w:pPr>
            <w:r>
              <w:rPr>
                <w:rFonts w:ascii="Times New Roman" w:eastAsia="Times New Roman" w:hAnsi="Times New Roman" w:cs="Times New Roman"/>
                <w:b/>
                <w:bCs/>
                <w:sz w:val="20"/>
                <w:szCs w:val="20"/>
                <w:lang w:eastAsia="en-NZ"/>
              </w:rPr>
              <w:t xml:space="preserve"> Osteoarthritis (knee &amp;</w:t>
            </w:r>
            <w:r w:rsidR="00F22C7E" w:rsidRPr="00F22C7E">
              <w:rPr>
                <w:rFonts w:ascii="Times New Roman" w:eastAsia="Times New Roman" w:hAnsi="Times New Roman" w:cs="Times New Roman"/>
                <w:b/>
                <w:bCs/>
                <w:sz w:val="20"/>
                <w:szCs w:val="20"/>
                <w:lang w:eastAsia="en-NZ"/>
              </w:rPr>
              <w:t xml:space="preserve"> hip combined)</w:t>
            </w:r>
          </w:p>
        </w:tc>
      </w:tr>
      <w:tr w:rsidR="00F22C7E" w:rsidRPr="00F22C7E" w14:paraId="7B6B2596"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60F115F0"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Male</w:t>
            </w:r>
          </w:p>
        </w:tc>
        <w:tc>
          <w:tcPr>
            <w:tcW w:w="968" w:type="dxa"/>
            <w:tcBorders>
              <w:top w:val="nil"/>
              <w:left w:val="nil"/>
              <w:bottom w:val="nil"/>
              <w:right w:val="single" w:sz="8" w:space="0" w:color="auto"/>
            </w:tcBorders>
            <w:shd w:val="clear" w:color="auto" w:fill="auto"/>
            <w:noWrap/>
            <w:vAlign w:val="center"/>
            <w:hideMark/>
          </w:tcPr>
          <w:p w14:paraId="1BE38DF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25-29</w:t>
            </w:r>
          </w:p>
        </w:tc>
        <w:tc>
          <w:tcPr>
            <w:tcW w:w="2555" w:type="dxa"/>
            <w:tcBorders>
              <w:top w:val="nil"/>
              <w:left w:val="nil"/>
              <w:bottom w:val="nil"/>
              <w:right w:val="nil"/>
            </w:tcBorders>
            <w:shd w:val="clear" w:color="auto" w:fill="auto"/>
            <w:vAlign w:val="center"/>
            <w:hideMark/>
          </w:tcPr>
          <w:p w14:paraId="03CA77F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2.274 (1.252 - 3.686)</w:t>
            </w:r>
          </w:p>
        </w:tc>
        <w:tc>
          <w:tcPr>
            <w:tcW w:w="2556" w:type="dxa"/>
            <w:tcBorders>
              <w:top w:val="nil"/>
              <w:left w:val="nil"/>
              <w:bottom w:val="nil"/>
              <w:right w:val="nil"/>
            </w:tcBorders>
            <w:shd w:val="clear" w:color="auto" w:fill="auto"/>
            <w:vAlign w:val="center"/>
            <w:hideMark/>
          </w:tcPr>
          <w:p w14:paraId="0969889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2.620 (1.486 - 4.318)</w:t>
            </w:r>
          </w:p>
        </w:tc>
        <w:tc>
          <w:tcPr>
            <w:tcW w:w="2556" w:type="dxa"/>
            <w:tcBorders>
              <w:top w:val="nil"/>
              <w:left w:val="nil"/>
              <w:bottom w:val="nil"/>
              <w:right w:val="nil"/>
            </w:tcBorders>
            <w:shd w:val="clear" w:color="auto" w:fill="auto"/>
            <w:vAlign w:val="center"/>
            <w:hideMark/>
          </w:tcPr>
          <w:p w14:paraId="30A9C95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3.546 (2.300 - 5.227)</w:t>
            </w:r>
          </w:p>
        </w:tc>
        <w:tc>
          <w:tcPr>
            <w:tcW w:w="3508" w:type="dxa"/>
            <w:tcBorders>
              <w:top w:val="nil"/>
              <w:left w:val="nil"/>
              <w:bottom w:val="nil"/>
              <w:right w:val="single" w:sz="8" w:space="0" w:color="auto"/>
            </w:tcBorders>
            <w:shd w:val="clear" w:color="auto" w:fill="auto"/>
            <w:vAlign w:val="center"/>
            <w:hideMark/>
          </w:tcPr>
          <w:p w14:paraId="7C9F040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1.677 (1.388 - 2.021)</w:t>
            </w:r>
          </w:p>
        </w:tc>
      </w:tr>
      <w:tr w:rsidR="00F22C7E" w:rsidRPr="00F22C7E" w14:paraId="2018D6F8"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588DD49E"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5422853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30-34</w:t>
            </w:r>
          </w:p>
        </w:tc>
        <w:tc>
          <w:tcPr>
            <w:tcW w:w="2555" w:type="dxa"/>
            <w:tcBorders>
              <w:top w:val="nil"/>
              <w:left w:val="nil"/>
              <w:bottom w:val="nil"/>
              <w:right w:val="nil"/>
            </w:tcBorders>
            <w:shd w:val="clear" w:color="auto" w:fill="auto"/>
            <w:vAlign w:val="center"/>
            <w:hideMark/>
          </w:tcPr>
          <w:p w14:paraId="4B5E7F2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2.018 (1.291 - 3.107)</w:t>
            </w:r>
          </w:p>
        </w:tc>
        <w:tc>
          <w:tcPr>
            <w:tcW w:w="2556" w:type="dxa"/>
            <w:tcBorders>
              <w:top w:val="nil"/>
              <w:left w:val="nil"/>
              <w:bottom w:val="nil"/>
              <w:right w:val="nil"/>
            </w:tcBorders>
            <w:shd w:val="clear" w:color="auto" w:fill="auto"/>
            <w:vAlign w:val="center"/>
            <w:hideMark/>
          </w:tcPr>
          <w:p w14:paraId="0341D185"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2.404 (1.547 - 3.599)</w:t>
            </w:r>
          </w:p>
        </w:tc>
        <w:tc>
          <w:tcPr>
            <w:tcW w:w="2556" w:type="dxa"/>
            <w:tcBorders>
              <w:top w:val="nil"/>
              <w:left w:val="nil"/>
              <w:bottom w:val="nil"/>
              <w:right w:val="nil"/>
            </w:tcBorders>
            <w:shd w:val="clear" w:color="auto" w:fill="auto"/>
            <w:vAlign w:val="center"/>
            <w:hideMark/>
          </w:tcPr>
          <w:p w14:paraId="0F0F8B9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3.455 (2.500 - 4.692)</w:t>
            </w:r>
          </w:p>
        </w:tc>
        <w:tc>
          <w:tcPr>
            <w:tcW w:w="3508" w:type="dxa"/>
            <w:tcBorders>
              <w:top w:val="nil"/>
              <w:left w:val="nil"/>
              <w:bottom w:val="nil"/>
              <w:right w:val="single" w:sz="8" w:space="0" w:color="auto"/>
            </w:tcBorders>
            <w:shd w:val="clear" w:color="auto" w:fill="auto"/>
            <w:vAlign w:val="center"/>
            <w:hideMark/>
          </w:tcPr>
          <w:p w14:paraId="626A38F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1.568 (1.305 - 1.882)</w:t>
            </w:r>
          </w:p>
        </w:tc>
      </w:tr>
      <w:tr w:rsidR="00F22C7E" w:rsidRPr="00F22C7E" w14:paraId="37FA8B0B"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73FB9D24"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16C85EF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35-39</w:t>
            </w:r>
          </w:p>
        </w:tc>
        <w:tc>
          <w:tcPr>
            <w:tcW w:w="2555" w:type="dxa"/>
            <w:tcBorders>
              <w:top w:val="nil"/>
              <w:left w:val="nil"/>
              <w:bottom w:val="nil"/>
              <w:right w:val="nil"/>
            </w:tcBorders>
            <w:shd w:val="clear" w:color="auto" w:fill="auto"/>
            <w:vAlign w:val="center"/>
            <w:hideMark/>
          </w:tcPr>
          <w:p w14:paraId="1FF12C4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1.724 (1.531 - 1.934)</w:t>
            </w:r>
          </w:p>
        </w:tc>
        <w:tc>
          <w:tcPr>
            <w:tcW w:w="2556" w:type="dxa"/>
            <w:tcBorders>
              <w:top w:val="nil"/>
              <w:left w:val="nil"/>
              <w:bottom w:val="nil"/>
              <w:right w:val="nil"/>
            </w:tcBorders>
            <w:shd w:val="clear" w:color="auto" w:fill="auto"/>
            <w:vAlign w:val="center"/>
            <w:hideMark/>
          </w:tcPr>
          <w:p w14:paraId="023CC99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2.134 (1.760 - 2.581)</w:t>
            </w:r>
          </w:p>
        </w:tc>
        <w:tc>
          <w:tcPr>
            <w:tcW w:w="2556" w:type="dxa"/>
            <w:tcBorders>
              <w:top w:val="nil"/>
              <w:left w:val="nil"/>
              <w:bottom w:val="nil"/>
              <w:right w:val="nil"/>
            </w:tcBorders>
            <w:shd w:val="clear" w:color="auto" w:fill="auto"/>
            <w:vAlign w:val="center"/>
            <w:hideMark/>
          </w:tcPr>
          <w:p w14:paraId="710E238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3.349 (2.801 - 3.918)</w:t>
            </w:r>
          </w:p>
        </w:tc>
        <w:tc>
          <w:tcPr>
            <w:tcW w:w="3508" w:type="dxa"/>
            <w:tcBorders>
              <w:top w:val="nil"/>
              <w:left w:val="nil"/>
              <w:bottom w:val="nil"/>
              <w:right w:val="single" w:sz="8" w:space="0" w:color="auto"/>
            </w:tcBorders>
            <w:shd w:val="clear" w:color="auto" w:fill="auto"/>
            <w:vAlign w:val="center"/>
            <w:hideMark/>
          </w:tcPr>
          <w:p w14:paraId="4676006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1.592 (1.328 - 1.919)</w:t>
            </w:r>
          </w:p>
        </w:tc>
      </w:tr>
      <w:tr w:rsidR="00F22C7E" w:rsidRPr="00F22C7E" w14:paraId="50D6A04E" w14:textId="77777777" w:rsidTr="00036CFE">
        <w:trPr>
          <w:trHeight w:val="483"/>
        </w:trPr>
        <w:tc>
          <w:tcPr>
            <w:tcW w:w="908" w:type="dxa"/>
            <w:tcBorders>
              <w:top w:val="nil"/>
              <w:left w:val="single" w:sz="8" w:space="0" w:color="auto"/>
              <w:bottom w:val="nil"/>
              <w:right w:val="nil"/>
            </w:tcBorders>
            <w:shd w:val="clear" w:color="auto" w:fill="auto"/>
            <w:noWrap/>
            <w:vAlign w:val="center"/>
            <w:hideMark/>
          </w:tcPr>
          <w:p w14:paraId="21B5091A"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392AF7B2"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40-44</w:t>
            </w:r>
          </w:p>
        </w:tc>
        <w:tc>
          <w:tcPr>
            <w:tcW w:w="2555" w:type="dxa"/>
            <w:tcBorders>
              <w:top w:val="nil"/>
              <w:left w:val="nil"/>
              <w:bottom w:val="nil"/>
              <w:right w:val="nil"/>
            </w:tcBorders>
            <w:shd w:val="clear" w:color="auto" w:fill="auto"/>
            <w:vAlign w:val="center"/>
            <w:hideMark/>
          </w:tcPr>
          <w:p w14:paraId="406D4BE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1.599 (1.417 - 1.785)</w:t>
            </w:r>
          </w:p>
        </w:tc>
        <w:tc>
          <w:tcPr>
            <w:tcW w:w="2556" w:type="dxa"/>
            <w:tcBorders>
              <w:top w:val="nil"/>
              <w:left w:val="nil"/>
              <w:bottom w:val="nil"/>
              <w:right w:val="nil"/>
            </w:tcBorders>
            <w:shd w:val="clear" w:color="auto" w:fill="auto"/>
            <w:vAlign w:val="center"/>
            <w:hideMark/>
          </w:tcPr>
          <w:p w14:paraId="3C06518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1.985 (1.675 - 2.337)</w:t>
            </w:r>
          </w:p>
        </w:tc>
        <w:tc>
          <w:tcPr>
            <w:tcW w:w="2556" w:type="dxa"/>
            <w:tcBorders>
              <w:top w:val="nil"/>
              <w:left w:val="nil"/>
              <w:bottom w:val="nil"/>
              <w:right w:val="nil"/>
            </w:tcBorders>
            <w:shd w:val="clear" w:color="auto" w:fill="auto"/>
            <w:vAlign w:val="center"/>
            <w:hideMark/>
          </w:tcPr>
          <w:p w14:paraId="5973B6F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3.160 (2.689 - 3.700)</w:t>
            </w:r>
          </w:p>
        </w:tc>
        <w:tc>
          <w:tcPr>
            <w:tcW w:w="3508" w:type="dxa"/>
            <w:tcBorders>
              <w:top w:val="nil"/>
              <w:left w:val="nil"/>
              <w:bottom w:val="nil"/>
              <w:right w:val="single" w:sz="8" w:space="0" w:color="auto"/>
            </w:tcBorders>
            <w:shd w:val="clear" w:color="auto" w:fill="auto"/>
            <w:vAlign w:val="center"/>
            <w:hideMark/>
          </w:tcPr>
          <w:p w14:paraId="473ED74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1.576 (1.312 - 1.876)</w:t>
            </w:r>
          </w:p>
        </w:tc>
      </w:tr>
      <w:tr w:rsidR="00F22C7E" w:rsidRPr="00F22C7E" w14:paraId="7509B518"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54D0A96D"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6400935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45-49</w:t>
            </w:r>
          </w:p>
        </w:tc>
        <w:tc>
          <w:tcPr>
            <w:tcW w:w="2555" w:type="dxa"/>
            <w:tcBorders>
              <w:top w:val="nil"/>
              <w:left w:val="nil"/>
              <w:bottom w:val="nil"/>
              <w:right w:val="nil"/>
            </w:tcBorders>
            <w:shd w:val="clear" w:color="auto" w:fill="auto"/>
            <w:vAlign w:val="center"/>
            <w:hideMark/>
          </w:tcPr>
          <w:p w14:paraId="0520404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1.567 (1.455 - 1.681)</w:t>
            </w:r>
          </w:p>
        </w:tc>
        <w:tc>
          <w:tcPr>
            <w:tcW w:w="2556" w:type="dxa"/>
            <w:tcBorders>
              <w:top w:val="nil"/>
              <w:left w:val="nil"/>
              <w:bottom w:val="nil"/>
              <w:right w:val="nil"/>
            </w:tcBorders>
            <w:shd w:val="clear" w:color="auto" w:fill="auto"/>
            <w:vAlign w:val="center"/>
            <w:hideMark/>
          </w:tcPr>
          <w:p w14:paraId="414F9474"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1.862 (1.646 - 2.114)</w:t>
            </w:r>
          </w:p>
        </w:tc>
        <w:tc>
          <w:tcPr>
            <w:tcW w:w="2556" w:type="dxa"/>
            <w:tcBorders>
              <w:top w:val="nil"/>
              <w:left w:val="nil"/>
              <w:bottom w:val="nil"/>
              <w:right w:val="nil"/>
            </w:tcBorders>
            <w:shd w:val="clear" w:color="auto" w:fill="auto"/>
            <w:vAlign w:val="center"/>
            <w:hideMark/>
          </w:tcPr>
          <w:p w14:paraId="24FEEEC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2.864 (2.450 - 3.318)</w:t>
            </w:r>
          </w:p>
        </w:tc>
        <w:tc>
          <w:tcPr>
            <w:tcW w:w="3508" w:type="dxa"/>
            <w:tcBorders>
              <w:top w:val="nil"/>
              <w:left w:val="nil"/>
              <w:bottom w:val="nil"/>
              <w:right w:val="single" w:sz="8" w:space="0" w:color="auto"/>
            </w:tcBorders>
            <w:shd w:val="clear" w:color="auto" w:fill="auto"/>
            <w:vAlign w:val="center"/>
            <w:hideMark/>
          </w:tcPr>
          <w:p w14:paraId="6319EF9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1.510 (1.275 - 1.798)</w:t>
            </w:r>
          </w:p>
        </w:tc>
      </w:tr>
      <w:tr w:rsidR="00F22C7E" w:rsidRPr="00F22C7E" w14:paraId="4E2DA4E4"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107544DF"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7DDFC8B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50-54</w:t>
            </w:r>
          </w:p>
        </w:tc>
        <w:tc>
          <w:tcPr>
            <w:tcW w:w="2555" w:type="dxa"/>
            <w:tcBorders>
              <w:top w:val="nil"/>
              <w:left w:val="nil"/>
              <w:bottom w:val="nil"/>
              <w:right w:val="nil"/>
            </w:tcBorders>
            <w:shd w:val="clear" w:color="auto" w:fill="auto"/>
            <w:vAlign w:val="center"/>
            <w:hideMark/>
          </w:tcPr>
          <w:p w14:paraId="0D2527E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1.520 (1.416 - 1.631)</w:t>
            </w:r>
          </w:p>
        </w:tc>
        <w:tc>
          <w:tcPr>
            <w:tcW w:w="2556" w:type="dxa"/>
            <w:tcBorders>
              <w:top w:val="nil"/>
              <w:left w:val="nil"/>
              <w:bottom w:val="nil"/>
              <w:right w:val="nil"/>
            </w:tcBorders>
            <w:shd w:val="clear" w:color="auto" w:fill="auto"/>
            <w:vAlign w:val="center"/>
            <w:hideMark/>
          </w:tcPr>
          <w:p w14:paraId="6578543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1.732 (1.518 - 1.964)</w:t>
            </w:r>
          </w:p>
        </w:tc>
        <w:tc>
          <w:tcPr>
            <w:tcW w:w="2556" w:type="dxa"/>
            <w:tcBorders>
              <w:top w:val="nil"/>
              <w:left w:val="nil"/>
              <w:bottom w:val="nil"/>
              <w:right w:val="nil"/>
            </w:tcBorders>
            <w:shd w:val="clear" w:color="auto" w:fill="auto"/>
            <w:vAlign w:val="center"/>
            <w:hideMark/>
          </w:tcPr>
          <w:p w14:paraId="544445A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2.624 (2.222 - 3.038)</w:t>
            </w:r>
          </w:p>
        </w:tc>
        <w:tc>
          <w:tcPr>
            <w:tcW w:w="3508" w:type="dxa"/>
            <w:tcBorders>
              <w:top w:val="nil"/>
              <w:left w:val="nil"/>
              <w:bottom w:val="nil"/>
              <w:right w:val="single" w:sz="8" w:space="0" w:color="auto"/>
            </w:tcBorders>
            <w:shd w:val="clear" w:color="auto" w:fill="auto"/>
            <w:vAlign w:val="center"/>
            <w:hideMark/>
          </w:tcPr>
          <w:p w14:paraId="5A3213C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1.504 (1.265 - 1.797)</w:t>
            </w:r>
          </w:p>
        </w:tc>
      </w:tr>
      <w:tr w:rsidR="00F22C7E" w:rsidRPr="00F22C7E" w14:paraId="5497D3F8"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481B925F"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64CB34A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55-59</w:t>
            </w:r>
          </w:p>
        </w:tc>
        <w:tc>
          <w:tcPr>
            <w:tcW w:w="2555" w:type="dxa"/>
            <w:tcBorders>
              <w:top w:val="nil"/>
              <w:left w:val="nil"/>
              <w:bottom w:val="nil"/>
              <w:right w:val="nil"/>
            </w:tcBorders>
            <w:shd w:val="clear" w:color="auto" w:fill="auto"/>
            <w:vAlign w:val="center"/>
            <w:hideMark/>
          </w:tcPr>
          <w:p w14:paraId="62AFEB5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1.466 (1.372 - 1.558)</w:t>
            </w:r>
          </w:p>
        </w:tc>
        <w:tc>
          <w:tcPr>
            <w:tcW w:w="2556" w:type="dxa"/>
            <w:tcBorders>
              <w:top w:val="nil"/>
              <w:left w:val="nil"/>
              <w:bottom w:val="nil"/>
              <w:right w:val="nil"/>
            </w:tcBorders>
            <w:shd w:val="clear" w:color="auto" w:fill="auto"/>
            <w:vAlign w:val="center"/>
            <w:hideMark/>
          </w:tcPr>
          <w:p w14:paraId="11E37DE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1.599 (1.468 - 1.740)</w:t>
            </w:r>
          </w:p>
        </w:tc>
        <w:tc>
          <w:tcPr>
            <w:tcW w:w="2556" w:type="dxa"/>
            <w:tcBorders>
              <w:top w:val="nil"/>
              <w:left w:val="nil"/>
              <w:bottom w:val="nil"/>
              <w:right w:val="nil"/>
            </w:tcBorders>
            <w:shd w:val="clear" w:color="auto" w:fill="auto"/>
            <w:vAlign w:val="center"/>
            <w:hideMark/>
          </w:tcPr>
          <w:p w14:paraId="5F62144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2.417 (2.084 - 2.781)</w:t>
            </w:r>
          </w:p>
        </w:tc>
        <w:tc>
          <w:tcPr>
            <w:tcW w:w="3508" w:type="dxa"/>
            <w:tcBorders>
              <w:top w:val="nil"/>
              <w:left w:val="nil"/>
              <w:bottom w:val="nil"/>
              <w:right w:val="single" w:sz="8" w:space="0" w:color="auto"/>
            </w:tcBorders>
            <w:shd w:val="clear" w:color="auto" w:fill="auto"/>
            <w:vAlign w:val="center"/>
            <w:hideMark/>
          </w:tcPr>
          <w:p w14:paraId="50B1EB2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1.521 (1.288 - 1.814)</w:t>
            </w:r>
          </w:p>
        </w:tc>
      </w:tr>
      <w:tr w:rsidR="00F22C7E" w:rsidRPr="00F22C7E" w14:paraId="28E7CA7D"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5FABBAE4"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5A2DA8F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60-64</w:t>
            </w:r>
          </w:p>
        </w:tc>
        <w:tc>
          <w:tcPr>
            <w:tcW w:w="2555" w:type="dxa"/>
            <w:tcBorders>
              <w:top w:val="nil"/>
              <w:left w:val="nil"/>
              <w:bottom w:val="nil"/>
              <w:right w:val="nil"/>
            </w:tcBorders>
            <w:shd w:val="clear" w:color="auto" w:fill="auto"/>
            <w:vAlign w:val="center"/>
            <w:hideMark/>
          </w:tcPr>
          <w:p w14:paraId="24B7503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1.414 (1.324 - 1.505)</w:t>
            </w:r>
          </w:p>
        </w:tc>
        <w:tc>
          <w:tcPr>
            <w:tcW w:w="2556" w:type="dxa"/>
            <w:tcBorders>
              <w:top w:val="nil"/>
              <w:left w:val="nil"/>
              <w:bottom w:val="nil"/>
              <w:right w:val="nil"/>
            </w:tcBorders>
            <w:shd w:val="clear" w:color="auto" w:fill="auto"/>
            <w:vAlign w:val="center"/>
            <w:hideMark/>
          </w:tcPr>
          <w:p w14:paraId="278E057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1.496 (1.363 - 1.637)</w:t>
            </w:r>
          </w:p>
        </w:tc>
        <w:tc>
          <w:tcPr>
            <w:tcW w:w="2556" w:type="dxa"/>
            <w:tcBorders>
              <w:top w:val="nil"/>
              <w:left w:val="nil"/>
              <w:bottom w:val="nil"/>
              <w:right w:val="nil"/>
            </w:tcBorders>
            <w:shd w:val="clear" w:color="auto" w:fill="auto"/>
            <w:vAlign w:val="center"/>
            <w:hideMark/>
          </w:tcPr>
          <w:p w14:paraId="0E74366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2.215 (1.866 - 2.611)</w:t>
            </w:r>
          </w:p>
        </w:tc>
        <w:tc>
          <w:tcPr>
            <w:tcW w:w="3508" w:type="dxa"/>
            <w:tcBorders>
              <w:top w:val="nil"/>
              <w:left w:val="nil"/>
              <w:bottom w:val="nil"/>
              <w:right w:val="single" w:sz="8" w:space="0" w:color="auto"/>
            </w:tcBorders>
            <w:shd w:val="clear" w:color="auto" w:fill="auto"/>
            <w:vAlign w:val="center"/>
            <w:hideMark/>
          </w:tcPr>
          <w:p w14:paraId="1B58635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1.543 (1.294 - 1.830)</w:t>
            </w:r>
          </w:p>
        </w:tc>
      </w:tr>
      <w:tr w:rsidR="00F22C7E" w:rsidRPr="00F22C7E" w14:paraId="48537D24"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5F4FD4A1"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149D1FA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65-69</w:t>
            </w:r>
          </w:p>
        </w:tc>
        <w:tc>
          <w:tcPr>
            <w:tcW w:w="2555" w:type="dxa"/>
            <w:tcBorders>
              <w:top w:val="nil"/>
              <w:left w:val="nil"/>
              <w:bottom w:val="nil"/>
              <w:right w:val="nil"/>
            </w:tcBorders>
            <w:shd w:val="clear" w:color="auto" w:fill="auto"/>
            <w:vAlign w:val="center"/>
            <w:hideMark/>
          </w:tcPr>
          <w:p w14:paraId="6AD4D4A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1.364 (1.286 - 1.448)</w:t>
            </w:r>
          </w:p>
        </w:tc>
        <w:tc>
          <w:tcPr>
            <w:tcW w:w="2556" w:type="dxa"/>
            <w:tcBorders>
              <w:top w:val="nil"/>
              <w:left w:val="nil"/>
              <w:bottom w:val="nil"/>
              <w:right w:val="nil"/>
            </w:tcBorders>
            <w:shd w:val="clear" w:color="auto" w:fill="auto"/>
            <w:vAlign w:val="center"/>
            <w:hideMark/>
          </w:tcPr>
          <w:p w14:paraId="01EE522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1.406 (1.321 - 1.499)</w:t>
            </w:r>
          </w:p>
        </w:tc>
        <w:tc>
          <w:tcPr>
            <w:tcW w:w="2556" w:type="dxa"/>
            <w:tcBorders>
              <w:top w:val="nil"/>
              <w:left w:val="nil"/>
              <w:bottom w:val="nil"/>
              <w:right w:val="nil"/>
            </w:tcBorders>
            <w:shd w:val="clear" w:color="auto" w:fill="auto"/>
            <w:vAlign w:val="center"/>
            <w:hideMark/>
          </w:tcPr>
          <w:p w14:paraId="2ED33D7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2.046 (1.724 - 2.388)</w:t>
            </w:r>
          </w:p>
        </w:tc>
        <w:tc>
          <w:tcPr>
            <w:tcW w:w="3508" w:type="dxa"/>
            <w:tcBorders>
              <w:top w:val="nil"/>
              <w:left w:val="nil"/>
              <w:bottom w:val="nil"/>
              <w:right w:val="single" w:sz="8" w:space="0" w:color="auto"/>
            </w:tcBorders>
            <w:shd w:val="clear" w:color="auto" w:fill="auto"/>
            <w:vAlign w:val="center"/>
            <w:hideMark/>
          </w:tcPr>
          <w:p w14:paraId="78EA1C7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1.558 (1.296 - 1.866)</w:t>
            </w:r>
          </w:p>
        </w:tc>
      </w:tr>
      <w:tr w:rsidR="00F22C7E" w:rsidRPr="00F22C7E" w14:paraId="7AC8C48D"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45F49B7B"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53FD898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70-74</w:t>
            </w:r>
          </w:p>
        </w:tc>
        <w:tc>
          <w:tcPr>
            <w:tcW w:w="2555" w:type="dxa"/>
            <w:tcBorders>
              <w:top w:val="nil"/>
              <w:left w:val="nil"/>
              <w:bottom w:val="nil"/>
              <w:right w:val="nil"/>
            </w:tcBorders>
            <w:shd w:val="clear" w:color="auto" w:fill="auto"/>
            <w:vAlign w:val="center"/>
            <w:hideMark/>
          </w:tcPr>
          <w:p w14:paraId="4091398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1.319 (1.241 - 1.400)</w:t>
            </w:r>
          </w:p>
        </w:tc>
        <w:tc>
          <w:tcPr>
            <w:tcW w:w="2556" w:type="dxa"/>
            <w:tcBorders>
              <w:top w:val="nil"/>
              <w:left w:val="nil"/>
              <w:bottom w:val="nil"/>
              <w:right w:val="nil"/>
            </w:tcBorders>
            <w:shd w:val="clear" w:color="auto" w:fill="auto"/>
            <w:vAlign w:val="center"/>
            <w:hideMark/>
          </w:tcPr>
          <w:p w14:paraId="1E59198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1.323 (1.238 - 1.411)</w:t>
            </w:r>
          </w:p>
        </w:tc>
        <w:tc>
          <w:tcPr>
            <w:tcW w:w="2556" w:type="dxa"/>
            <w:tcBorders>
              <w:top w:val="nil"/>
              <w:left w:val="nil"/>
              <w:bottom w:val="nil"/>
              <w:right w:val="nil"/>
            </w:tcBorders>
            <w:shd w:val="clear" w:color="auto" w:fill="auto"/>
            <w:vAlign w:val="center"/>
            <w:hideMark/>
          </w:tcPr>
          <w:p w14:paraId="5B354B4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1.896 (1.596 - 2.229)</w:t>
            </w:r>
          </w:p>
        </w:tc>
        <w:tc>
          <w:tcPr>
            <w:tcW w:w="3508" w:type="dxa"/>
            <w:tcBorders>
              <w:top w:val="nil"/>
              <w:left w:val="nil"/>
              <w:bottom w:val="nil"/>
              <w:right w:val="single" w:sz="8" w:space="0" w:color="auto"/>
            </w:tcBorders>
            <w:shd w:val="clear" w:color="auto" w:fill="auto"/>
            <w:vAlign w:val="center"/>
            <w:hideMark/>
          </w:tcPr>
          <w:p w14:paraId="26969B1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1.558 (1.301 - 1.883)</w:t>
            </w:r>
          </w:p>
        </w:tc>
      </w:tr>
      <w:tr w:rsidR="00F22C7E" w:rsidRPr="00F22C7E" w14:paraId="3D9A624F"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03295774"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640CA4C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75-79</w:t>
            </w:r>
          </w:p>
        </w:tc>
        <w:tc>
          <w:tcPr>
            <w:tcW w:w="2555" w:type="dxa"/>
            <w:tcBorders>
              <w:top w:val="nil"/>
              <w:left w:val="nil"/>
              <w:bottom w:val="nil"/>
              <w:right w:val="nil"/>
            </w:tcBorders>
            <w:shd w:val="clear" w:color="auto" w:fill="auto"/>
            <w:vAlign w:val="center"/>
            <w:hideMark/>
          </w:tcPr>
          <w:p w14:paraId="541A438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1.274 (1.187 - 1.365)</w:t>
            </w:r>
          </w:p>
        </w:tc>
        <w:tc>
          <w:tcPr>
            <w:tcW w:w="2556" w:type="dxa"/>
            <w:tcBorders>
              <w:top w:val="nil"/>
              <w:left w:val="nil"/>
              <w:bottom w:val="nil"/>
              <w:right w:val="nil"/>
            </w:tcBorders>
            <w:shd w:val="clear" w:color="auto" w:fill="auto"/>
            <w:vAlign w:val="center"/>
            <w:hideMark/>
          </w:tcPr>
          <w:p w14:paraId="0E9C9B3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1.239 (1.160 - 1.328)</w:t>
            </w:r>
          </w:p>
        </w:tc>
        <w:tc>
          <w:tcPr>
            <w:tcW w:w="2556" w:type="dxa"/>
            <w:tcBorders>
              <w:top w:val="nil"/>
              <w:left w:val="nil"/>
              <w:bottom w:val="nil"/>
              <w:right w:val="nil"/>
            </w:tcBorders>
            <w:shd w:val="clear" w:color="auto" w:fill="auto"/>
            <w:vAlign w:val="center"/>
            <w:hideMark/>
          </w:tcPr>
          <w:p w14:paraId="28FB16F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1.740 (1.445 - 2.087)</w:t>
            </w:r>
          </w:p>
        </w:tc>
        <w:tc>
          <w:tcPr>
            <w:tcW w:w="3508" w:type="dxa"/>
            <w:tcBorders>
              <w:top w:val="nil"/>
              <w:left w:val="nil"/>
              <w:bottom w:val="nil"/>
              <w:right w:val="single" w:sz="8" w:space="0" w:color="auto"/>
            </w:tcBorders>
            <w:shd w:val="clear" w:color="auto" w:fill="auto"/>
            <w:vAlign w:val="center"/>
            <w:hideMark/>
          </w:tcPr>
          <w:p w14:paraId="43AC21D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1.558 (1.290 - 1.861)</w:t>
            </w:r>
          </w:p>
        </w:tc>
      </w:tr>
      <w:tr w:rsidR="00F22C7E" w:rsidRPr="00F22C7E" w14:paraId="6F30C66D" w14:textId="77777777" w:rsidTr="00036CFE">
        <w:trPr>
          <w:trHeight w:val="330"/>
        </w:trPr>
        <w:tc>
          <w:tcPr>
            <w:tcW w:w="908" w:type="dxa"/>
            <w:tcBorders>
              <w:top w:val="nil"/>
              <w:left w:val="single" w:sz="8" w:space="0" w:color="auto"/>
              <w:bottom w:val="single" w:sz="8" w:space="0" w:color="auto"/>
              <w:right w:val="nil"/>
            </w:tcBorders>
            <w:shd w:val="clear" w:color="auto" w:fill="auto"/>
            <w:noWrap/>
            <w:vAlign w:val="center"/>
            <w:hideMark/>
          </w:tcPr>
          <w:p w14:paraId="66BA558D"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single" w:sz="8" w:space="0" w:color="auto"/>
              <w:right w:val="single" w:sz="8" w:space="0" w:color="auto"/>
            </w:tcBorders>
            <w:shd w:val="clear" w:color="auto" w:fill="auto"/>
            <w:noWrap/>
            <w:vAlign w:val="center"/>
            <w:hideMark/>
          </w:tcPr>
          <w:p w14:paraId="1570EEC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80+</w:t>
            </w:r>
          </w:p>
        </w:tc>
        <w:tc>
          <w:tcPr>
            <w:tcW w:w="2555" w:type="dxa"/>
            <w:tcBorders>
              <w:top w:val="nil"/>
              <w:left w:val="nil"/>
              <w:bottom w:val="single" w:sz="8" w:space="0" w:color="auto"/>
              <w:right w:val="nil"/>
            </w:tcBorders>
            <w:shd w:val="clear" w:color="auto" w:fill="auto"/>
            <w:vAlign w:val="center"/>
            <w:hideMark/>
          </w:tcPr>
          <w:p w14:paraId="2885C32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1.170 (1.090 - 1.252)</w:t>
            </w:r>
          </w:p>
        </w:tc>
        <w:tc>
          <w:tcPr>
            <w:tcW w:w="2556" w:type="dxa"/>
            <w:tcBorders>
              <w:top w:val="nil"/>
              <w:left w:val="nil"/>
              <w:bottom w:val="single" w:sz="8" w:space="0" w:color="auto"/>
              <w:right w:val="nil"/>
            </w:tcBorders>
            <w:shd w:val="clear" w:color="auto" w:fill="auto"/>
            <w:vAlign w:val="center"/>
            <w:hideMark/>
          </w:tcPr>
          <w:p w14:paraId="2E9C8E1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1.069 (1.000 - 1.157)</w:t>
            </w:r>
          </w:p>
        </w:tc>
        <w:tc>
          <w:tcPr>
            <w:tcW w:w="2556" w:type="dxa"/>
            <w:tcBorders>
              <w:top w:val="nil"/>
              <w:left w:val="nil"/>
              <w:bottom w:val="single" w:sz="8" w:space="0" w:color="auto"/>
              <w:right w:val="nil"/>
            </w:tcBorders>
            <w:shd w:val="clear" w:color="auto" w:fill="auto"/>
            <w:vAlign w:val="center"/>
            <w:hideMark/>
          </w:tcPr>
          <w:p w14:paraId="47045A9B"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1.461 (1.207 - 1.762)</w:t>
            </w:r>
          </w:p>
        </w:tc>
        <w:tc>
          <w:tcPr>
            <w:tcW w:w="3508" w:type="dxa"/>
            <w:tcBorders>
              <w:top w:val="nil"/>
              <w:left w:val="nil"/>
              <w:bottom w:val="single" w:sz="8" w:space="0" w:color="auto"/>
              <w:right w:val="single" w:sz="8" w:space="0" w:color="auto"/>
            </w:tcBorders>
            <w:shd w:val="clear" w:color="auto" w:fill="auto"/>
            <w:vAlign w:val="center"/>
            <w:hideMark/>
          </w:tcPr>
          <w:p w14:paraId="0D14BA0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1.588 (1.320 - 1.925)</w:t>
            </w:r>
          </w:p>
        </w:tc>
      </w:tr>
      <w:tr w:rsidR="00F22C7E" w:rsidRPr="00F22C7E" w14:paraId="0A1E49FC"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3D392C6C"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Female</w:t>
            </w:r>
          </w:p>
        </w:tc>
        <w:tc>
          <w:tcPr>
            <w:tcW w:w="968" w:type="dxa"/>
            <w:tcBorders>
              <w:top w:val="nil"/>
              <w:left w:val="nil"/>
              <w:bottom w:val="nil"/>
              <w:right w:val="single" w:sz="8" w:space="0" w:color="auto"/>
            </w:tcBorders>
            <w:shd w:val="clear" w:color="auto" w:fill="auto"/>
            <w:noWrap/>
            <w:vAlign w:val="center"/>
            <w:hideMark/>
          </w:tcPr>
          <w:p w14:paraId="556A099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25-29</w:t>
            </w:r>
          </w:p>
        </w:tc>
        <w:tc>
          <w:tcPr>
            <w:tcW w:w="2555" w:type="dxa"/>
            <w:tcBorders>
              <w:top w:val="nil"/>
              <w:left w:val="nil"/>
              <w:bottom w:val="nil"/>
              <w:right w:val="nil"/>
            </w:tcBorders>
            <w:shd w:val="clear" w:color="auto" w:fill="auto"/>
            <w:vAlign w:val="center"/>
            <w:hideMark/>
          </w:tcPr>
          <w:p w14:paraId="5FFDF3D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2.274 (1.252 - 3.686)</w:t>
            </w:r>
          </w:p>
        </w:tc>
        <w:tc>
          <w:tcPr>
            <w:tcW w:w="2556" w:type="dxa"/>
            <w:tcBorders>
              <w:top w:val="nil"/>
              <w:left w:val="nil"/>
              <w:bottom w:val="nil"/>
              <w:right w:val="nil"/>
            </w:tcBorders>
            <w:shd w:val="clear" w:color="auto" w:fill="auto"/>
            <w:vAlign w:val="center"/>
            <w:hideMark/>
          </w:tcPr>
          <w:p w14:paraId="2C7F613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2.717 (1.543 - 4.538)</w:t>
            </w:r>
          </w:p>
        </w:tc>
        <w:tc>
          <w:tcPr>
            <w:tcW w:w="2556" w:type="dxa"/>
            <w:tcBorders>
              <w:top w:val="nil"/>
              <w:left w:val="nil"/>
              <w:bottom w:val="nil"/>
              <w:right w:val="nil"/>
            </w:tcBorders>
            <w:shd w:val="clear" w:color="auto" w:fill="auto"/>
            <w:vAlign w:val="center"/>
            <w:hideMark/>
          </w:tcPr>
          <w:p w14:paraId="2DC1F92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3.546 (2.300 - 5.227)</w:t>
            </w:r>
          </w:p>
        </w:tc>
        <w:tc>
          <w:tcPr>
            <w:tcW w:w="3508" w:type="dxa"/>
            <w:tcBorders>
              <w:top w:val="nil"/>
              <w:left w:val="nil"/>
              <w:bottom w:val="nil"/>
              <w:right w:val="single" w:sz="8" w:space="0" w:color="auto"/>
            </w:tcBorders>
            <w:shd w:val="clear" w:color="auto" w:fill="auto"/>
            <w:vAlign w:val="center"/>
            <w:hideMark/>
          </w:tcPr>
          <w:p w14:paraId="057F925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1.496 (1.285 - 1.748)</w:t>
            </w:r>
          </w:p>
        </w:tc>
      </w:tr>
      <w:tr w:rsidR="00F22C7E" w:rsidRPr="00F22C7E" w14:paraId="024CEDAA"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4709005E"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3F5FFC5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30-34</w:t>
            </w:r>
          </w:p>
        </w:tc>
        <w:tc>
          <w:tcPr>
            <w:tcW w:w="2555" w:type="dxa"/>
            <w:tcBorders>
              <w:top w:val="nil"/>
              <w:left w:val="nil"/>
              <w:bottom w:val="nil"/>
              <w:right w:val="nil"/>
            </w:tcBorders>
            <w:shd w:val="clear" w:color="auto" w:fill="auto"/>
            <w:vAlign w:val="center"/>
            <w:hideMark/>
          </w:tcPr>
          <w:p w14:paraId="6060D93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2.018 (1.291 - 3.107)</w:t>
            </w:r>
          </w:p>
        </w:tc>
        <w:tc>
          <w:tcPr>
            <w:tcW w:w="2556" w:type="dxa"/>
            <w:tcBorders>
              <w:top w:val="nil"/>
              <w:left w:val="nil"/>
              <w:bottom w:val="nil"/>
              <w:right w:val="nil"/>
            </w:tcBorders>
            <w:shd w:val="clear" w:color="auto" w:fill="auto"/>
            <w:vAlign w:val="center"/>
            <w:hideMark/>
          </w:tcPr>
          <w:p w14:paraId="7E7B037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2.514 (1.614 - 3.772)</w:t>
            </w:r>
          </w:p>
        </w:tc>
        <w:tc>
          <w:tcPr>
            <w:tcW w:w="2556" w:type="dxa"/>
            <w:tcBorders>
              <w:top w:val="nil"/>
              <w:left w:val="nil"/>
              <w:bottom w:val="nil"/>
              <w:right w:val="nil"/>
            </w:tcBorders>
            <w:shd w:val="clear" w:color="auto" w:fill="auto"/>
            <w:vAlign w:val="center"/>
            <w:hideMark/>
          </w:tcPr>
          <w:p w14:paraId="504144F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3.455 (2.500 - 4.692)</w:t>
            </w:r>
          </w:p>
        </w:tc>
        <w:tc>
          <w:tcPr>
            <w:tcW w:w="3508" w:type="dxa"/>
            <w:tcBorders>
              <w:top w:val="nil"/>
              <w:left w:val="nil"/>
              <w:bottom w:val="nil"/>
              <w:right w:val="single" w:sz="8" w:space="0" w:color="auto"/>
            </w:tcBorders>
            <w:shd w:val="clear" w:color="auto" w:fill="auto"/>
            <w:vAlign w:val="center"/>
            <w:hideMark/>
          </w:tcPr>
          <w:p w14:paraId="7300D734"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1.466 (1.251 - 1.722)</w:t>
            </w:r>
          </w:p>
        </w:tc>
      </w:tr>
      <w:tr w:rsidR="00F22C7E" w:rsidRPr="00F22C7E" w14:paraId="3951F4E4"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5C464B54"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0FC4B4A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35-39</w:t>
            </w:r>
          </w:p>
        </w:tc>
        <w:tc>
          <w:tcPr>
            <w:tcW w:w="2555" w:type="dxa"/>
            <w:tcBorders>
              <w:top w:val="nil"/>
              <w:left w:val="nil"/>
              <w:bottom w:val="nil"/>
              <w:right w:val="nil"/>
            </w:tcBorders>
            <w:shd w:val="clear" w:color="auto" w:fill="auto"/>
            <w:vAlign w:val="center"/>
            <w:hideMark/>
          </w:tcPr>
          <w:p w14:paraId="0854358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1.724 (1.531 - 1.934)</w:t>
            </w:r>
          </w:p>
        </w:tc>
        <w:tc>
          <w:tcPr>
            <w:tcW w:w="2556" w:type="dxa"/>
            <w:tcBorders>
              <w:top w:val="nil"/>
              <w:left w:val="nil"/>
              <w:bottom w:val="nil"/>
              <w:right w:val="nil"/>
            </w:tcBorders>
            <w:shd w:val="clear" w:color="auto" w:fill="auto"/>
            <w:vAlign w:val="center"/>
            <w:hideMark/>
          </w:tcPr>
          <w:p w14:paraId="219740D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2.234 (1.806 - 2.754)</w:t>
            </w:r>
          </w:p>
        </w:tc>
        <w:tc>
          <w:tcPr>
            <w:tcW w:w="2556" w:type="dxa"/>
            <w:tcBorders>
              <w:top w:val="nil"/>
              <w:left w:val="nil"/>
              <w:bottom w:val="nil"/>
              <w:right w:val="nil"/>
            </w:tcBorders>
            <w:shd w:val="clear" w:color="auto" w:fill="auto"/>
            <w:vAlign w:val="center"/>
            <w:hideMark/>
          </w:tcPr>
          <w:p w14:paraId="429FFB35"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3.349 (2.801 - 3.918)</w:t>
            </w:r>
          </w:p>
        </w:tc>
        <w:tc>
          <w:tcPr>
            <w:tcW w:w="3508" w:type="dxa"/>
            <w:tcBorders>
              <w:top w:val="nil"/>
              <w:left w:val="nil"/>
              <w:bottom w:val="nil"/>
              <w:right w:val="single" w:sz="8" w:space="0" w:color="auto"/>
            </w:tcBorders>
            <w:shd w:val="clear" w:color="auto" w:fill="auto"/>
            <w:vAlign w:val="center"/>
            <w:hideMark/>
          </w:tcPr>
          <w:p w14:paraId="0E74FE7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1.460 (1.255 - 1.712)</w:t>
            </w:r>
          </w:p>
        </w:tc>
      </w:tr>
      <w:tr w:rsidR="00F22C7E" w:rsidRPr="00F22C7E" w14:paraId="56755A3A"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182C9F61"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02EB09D5"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40-44</w:t>
            </w:r>
          </w:p>
        </w:tc>
        <w:tc>
          <w:tcPr>
            <w:tcW w:w="2555" w:type="dxa"/>
            <w:tcBorders>
              <w:top w:val="nil"/>
              <w:left w:val="nil"/>
              <w:bottom w:val="nil"/>
              <w:right w:val="nil"/>
            </w:tcBorders>
            <w:shd w:val="clear" w:color="auto" w:fill="auto"/>
            <w:vAlign w:val="center"/>
            <w:hideMark/>
          </w:tcPr>
          <w:p w14:paraId="0DE4EFB2"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1.599 (1.417 - 1.785)</w:t>
            </w:r>
          </w:p>
        </w:tc>
        <w:tc>
          <w:tcPr>
            <w:tcW w:w="2556" w:type="dxa"/>
            <w:tcBorders>
              <w:top w:val="nil"/>
              <w:left w:val="nil"/>
              <w:bottom w:val="nil"/>
              <w:right w:val="nil"/>
            </w:tcBorders>
            <w:shd w:val="clear" w:color="auto" w:fill="auto"/>
            <w:vAlign w:val="center"/>
            <w:hideMark/>
          </w:tcPr>
          <w:p w14:paraId="22CC45C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2.035 (1.699 - 2.419)</w:t>
            </w:r>
          </w:p>
        </w:tc>
        <w:tc>
          <w:tcPr>
            <w:tcW w:w="2556" w:type="dxa"/>
            <w:tcBorders>
              <w:top w:val="nil"/>
              <w:left w:val="nil"/>
              <w:bottom w:val="nil"/>
              <w:right w:val="nil"/>
            </w:tcBorders>
            <w:shd w:val="clear" w:color="auto" w:fill="auto"/>
            <w:vAlign w:val="center"/>
            <w:hideMark/>
          </w:tcPr>
          <w:p w14:paraId="119E948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3.160 (2.689 - 3.700)</w:t>
            </w:r>
          </w:p>
        </w:tc>
        <w:tc>
          <w:tcPr>
            <w:tcW w:w="3508" w:type="dxa"/>
            <w:tcBorders>
              <w:top w:val="nil"/>
              <w:left w:val="nil"/>
              <w:bottom w:val="nil"/>
              <w:right w:val="single" w:sz="8" w:space="0" w:color="auto"/>
            </w:tcBorders>
            <w:shd w:val="clear" w:color="auto" w:fill="auto"/>
            <w:vAlign w:val="center"/>
            <w:hideMark/>
          </w:tcPr>
          <w:p w14:paraId="0BB5BF3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1.501 (1.272 - 1.761)</w:t>
            </w:r>
          </w:p>
        </w:tc>
      </w:tr>
      <w:tr w:rsidR="00F22C7E" w:rsidRPr="00F22C7E" w14:paraId="31D73915"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6F133437"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4EC7175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45-49</w:t>
            </w:r>
          </w:p>
        </w:tc>
        <w:tc>
          <w:tcPr>
            <w:tcW w:w="2555" w:type="dxa"/>
            <w:tcBorders>
              <w:top w:val="nil"/>
              <w:left w:val="nil"/>
              <w:bottom w:val="nil"/>
              <w:right w:val="nil"/>
            </w:tcBorders>
            <w:shd w:val="clear" w:color="auto" w:fill="auto"/>
            <w:vAlign w:val="center"/>
            <w:hideMark/>
          </w:tcPr>
          <w:p w14:paraId="46D6698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1.567 (1.455 - 1.681)</w:t>
            </w:r>
          </w:p>
        </w:tc>
        <w:tc>
          <w:tcPr>
            <w:tcW w:w="2556" w:type="dxa"/>
            <w:tcBorders>
              <w:top w:val="nil"/>
              <w:left w:val="nil"/>
              <w:bottom w:val="nil"/>
              <w:right w:val="nil"/>
            </w:tcBorders>
            <w:shd w:val="clear" w:color="auto" w:fill="auto"/>
            <w:vAlign w:val="center"/>
            <w:hideMark/>
          </w:tcPr>
          <w:p w14:paraId="2A9A1CA2"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1.837 (1.633 - 2.072)</w:t>
            </w:r>
          </w:p>
        </w:tc>
        <w:tc>
          <w:tcPr>
            <w:tcW w:w="2556" w:type="dxa"/>
            <w:tcBorders>
              <w:top w:val="nil"/>
              <w:left w:val="nil"/>
              <w:bottom w:val="nil"/>
              <w:right w:val="nil"/>
            </w:tcBorders>
            <w:shd w:val="clear" w:color="auto" w:fill="auto"/>
            <w:vAlign w:val="center"/>
            <w:hideMark/>
          </w:tcPr>
          <w:p w14:paraId="7549311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2.864 (2.450 - 3.318)</w:t>
            </w:r>
          </w:p>
        </w:tc>
        <w:tc>
          <w:tcPr>
            <w:tcW w:w="3508" w:type="dxa"/>
            <w:tcBorders>
              <w:top w:val="nil"/>
              <w:left w:val="nil"/>
              <w:bottom w:val="nil"/>
              <w:right w:val="single" w:sz="8" w:space="0" w:color="auto"/>
            </w:tcBorders>
            <w:shd w:val="clear" w:color="auto" w:fill="auto"/>
            <w:vAlign w:val="center"/>
            <w:hideMark/>
          </w:tcPr>
          <w:p w14:paraId="13EE239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1.496 (1.268 - 1.776)</w:t>
            </w:r>
          </w:p>
        </w:tc>
      </w:tr>
      <w:tr w:rsidR="00F22C7E" w:rsidRPr="00F22C7E" w14:paraId="25D6F027"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28B5B871"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5E718A6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50-54</w:t>
            </w:r>
          </w:p>
        </w:tc>
        <w:tc>
          <w:tcPr>
            <w:tcW w:w="2555" w:type="dxa"/>
            <w:tcBorders>
              <w:top w:val="nil"/>
              <w:left w:val="nil"/>
              <w:bottom w:val="nil"/>
              <w:right w:val="nil"/>
            </w:tcBorders>
            <w:shd w:val="clear" w:color="auto" w:fill="auto"/>
            <w:vAlign w:val="center"/>
            <w:hideMark/>
          </w:tcPr>
          <w:p w14:paraId="44D7C34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1.520 (1.416 - 1.631)</w:t>
            </w:r>
          </w:p>
        </w:tc>
        <w:tc>
          <w:tcPr>
            <w:tcW w:w="2556" w:type="dxa"/>
            <w:tcBorders>
              <w:top w:val="nil"/>
              <w:left w:val="nil"/>
              <w:bottom w:val="nil"/>
              <w:right w:val="nil"/>
            </w:tcBorders>
            <w:shd w:val="clear" w:color="auto" w:fill="auto"/>
            <w:vAlign w:val="center"/>
            <w:hideMark/>
          </w:tcPr>
          <w:p w14:paraId="246C1CB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1.761 (1.530 - 2.015)</w:t>
            </w:r>
          </w:p>
        </w:tc>
        <w:tc>
          <w:tcPr>
            <w:tcW w:w="2556" w:type="dxa"/>
            <w:tcBorders>
              <w:top w:val="nil"/>
              <w:left w:val="nil"/>
              <w:bottom w:val="nil"/>
              <w:right w:val="nil"/>
            </w:tcBorders>
            <w:shd w:val="clear" w:color="auto" w:fill="auto"/>
            <w:vAlign w:val="center"/>
            <w:hideMark/>
          </w:tcPr>
          <w:p w14:paraId="6295833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2.624 (2.222 - 3.038)</w:t>
            </w:r>
          </w:p>
        </w:tc>
        <w:tc>
          <w:tcPr>
            <w:tcW w:w="3508" w:type="dxa"/>
            <w:tcBorders>
              <w:top w:val="nil"/>
              <w:left w:val="nil"/>
              <w:bottom w:val="nil"/>
              <w:right w:val="single" w:sz="8" w:space="0" w:color="auto"/>
            </w:tcBorders>
            <w:shd w:val="clear" w:color="auto" w:fill="auto"/>
            <w:vAlign w:val="center"/>
            <w:hideMark/>
          </w:tcPr>
          <w:p w14:paraId="1CD80224"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1.541 (1.284 - 1.856)</w:t>
            </w:r>
          </w:p>
        </w:tc>
      </w:tr>
      <w:tr w:rsidR="00F22C7E" w:rsidRPr="00F22C7E" w14:paraId="15B915AF"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41C7D02D"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298A172E"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55-59</w:t>
            </w:r>
          </w:p>
        </w:tc>
        <w:tc>
          <w:tcPr>
            <w:tcW w:w="2555" w:type="dxa"/>
            <w:tcBorders>
              <w:top w:val="nil"/>
              <w:left w:val="nil"/>
              <w:bottom w:val="nil"/>
              <w:right w:val="nil"/>
            </w:tcBorders>
            <w:shd w:val="clear" w:color="auto" w:fill="auto"/>
            <w:vAlign w:val="center"/>
            <w:hideMark/>
          </w:tcPr>
          <w:p w14:paraId="31A8087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1.466 (1.372 - 1.558)</w:t>
            </w:r>
          </w:p>
        </w:tc>
        <w:tc>
          <w:tcPr>
            <w:tcW w:w="2556" w:type="dxa"/>
            <w:tcBorders>
              <w:top w:val="nil"/>
              <w:left w:val="nil"/>
              <w:bottom w:val="nil"/>
              <w:right w:val="nil"/>
            </w:tcBorders>
            <w:shd w:val="clear" w:color="auto" w:fill="auto"/>
            <w:vAlign w:val="center"/>
            <w:hideMark/>
          </w:tcPr>
          <w:p w14:paraId="1659A562"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1.621 (1.480 - 1.775)</w:t>
            </w:r>
          </w:p>
        </w:tc>
        <w:tc>
          <w:tcPr>
            <w:tcW w:w="2556" w:type="dxa"/>
            <w:tcBorders>
              <w:top w:val="nil"/>
              <w:left w:val="nil"/>
              <w:bottom w:val="nil"/>
              <w:right w:val="nil"/>
            </w:tcBorders>
            <w:shd w:val="clear" w:color="auto" w:fill="auto"/>
            <w:vAlign w:val="center"/>
            <w:hideMark/>
          </w:tcPr>
          <w:p w14:paraId="082A6683"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2.417 (2.084 - 2.781)</w:t>
            </w:r>
          </w:p>
        </w:tc>
        <w:tc>
          <w:tcPr>
            <w:tcW w:w="3508" w:type="dxa"/>
            <w:tcBorders>
              <w:top w:val="nil"/>
              <w:left w:val="nil"/>
              <w:bottom w:val="nil"/>
              <w:right w:val="single" w:sz="8" w:space="0" w:color="auto"/>
            </w:tcBorders>
            <w:shd w:val="clear" w:color="auto" w:fill="auto"/>
            <w:vAlign w:val="center"/>
            <w:hideMark/>
          </w:tcPr>
          <w:p w14:paraId="5DAB751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1.566 (1.313 - 1.886)</w:t>
            </w:r>
          </w:p>
        </w:tc>
      </w:tr>
      <w:tr w:rsidR="00F22C7E" w:rsidRPr="00F22C7E" w14:paraId="686896C2"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788191DE"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1DC5F3CD"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60-64</w:t>
            </w:r>
          </w:p>
        </w:tc>
        <w:tc>
          <w:tcPr>
            <w:tcW w:w="2555" w:type="dxa"/>
            <w:tcBorders>
              <w:top w:val="nil"/>
              <w:left w:val="nil"/>
              <w:bottom w:val="nil"/>
              <w:right w:val="nil"/>
            </w:tcBorders>
            <w:shd w:val="clear" w:color="auto" w:fill="auto"/>
            <w:vAlign w:val="center"/>
            <w:hideMark/>
          </w:tcPr>
          <w:p w14:paraId="4E26C694"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1.414 (1.324 - 1.505)</w:t>
            </w:r>
          </w:p>
        </w:tc>
        <w:tc>
          <w:tcPr>
            <w:tcW w:w="2556" w:type="dxa"/>
            <w:tcBorders>
              <w:top w:val="nil"/>
              <w:left w:val="nil"/>
              <w:bottom w:val="nil"/>
              <w:right w:val="nil"/>
            </w:tcBorders>
            <w:shd w:val="clear" w:color="auto" w:fill="auto"/>
            <w:vAlign w:val="center"/>
            <w:hideMark/>
          </w:tcPr>
          <w:p w14:paraId="409D041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1.502 (1.366 - 1.649)</w:t>
            </w:r>
          </w:p>
        </w:tc>
        <w:tc>
          <w:tcPr>
            <w:tcW w:w="2556" w:type="dxa"/>
            <w:tcBorders>
              <w:top w:val="nil"/>
              <w:left w:val="nil"/>
              <w:bottom w:val="nil"/>
              <w:right w:val="nil"/>
            </w:tcBorders>
            <w:shd w:val="clear" w:color="auto" w:fill="auto"/>
            <w:vAlign w:val="center"/>
            <w:hideMark/>
          </w:tcPr>
          <w:p w14:paraId="62B1D405"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2.215 (1.866 - 2.611)</w:t>
            </w:r>
          </w:p>
        </w:tc>
        <w:tc>
          <w:tcPr>
            <w:tcW w:w="3508" w:type="dxa"/>
            <w:tcBorders>
              <w:top w:val="nil"/>
              <w:left w:val="nil"/>
              <w:bottom w:val="nil"/>
              <w:right w:val="single" w:sz="8" w:space="0" w:color="auto"/>
            </w:tcBorders>
            <w:shd w:val="clear" w:color="auto" w:fill="auto"/>
            <w:vAlign w:val="center"/>
            <w:hideMark/>
          </w:tcPr>
          <w:p w14:paraId="5B1FA77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1.565 (1.306 - 1.865)</w:t>
            </w:r>
          </w:p>
        </w:tc>
      </w:tr>
      <w:tr w:rsidR="00F22C7E" w:rsidRPr="00F22C7E" w14:paraId="772AAC7C"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0F6C8D76"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527B9A7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65-69</w:t>
            </w:r>
          </w:p>
        </w:tc>
        <w:tc>
          <w:tcPr>
            <w:tcW w:w="2555" w:type="dxa"/>
            <w:tcBorders>
              <w:top w:val="nil"/>
              <w:left w:val="nil"/>
              <w:bottom w:val="nil"/>
              <w:right w:val="nil"/>
            </w:tcBorders>
            <w:shd w:val="clear" w:color="auto" w:fill="auto"/>
            <w:vAlign w:val="center"/>
            <w:hideMark/>
          </w:tcPr>
          <w:p w14:paraId="6AE0D23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1.364 (1.286 - 1.448)</w:t>
            </w:r>
          </w:p>
        </w:tc>
        <w:tc>
          <w:tcPr>
            <w:tcW w:w="2556" w:type="dxa"/>
            <w:tcBorders>
              <w:top w:val="nil"/>
              <w:left w:val="nil"/>
              <w:bottom w:val="nil"/>
              <w:right w:val="nil"/>
            </w:tcBorders>
            <w:shd w:val="clear" w:color="auto" w:fill="auto"/>
            <w:vAlign w:val="center"/>
            <w:hideMark/>
          </w:tcPr>
          <w:p w14:paraId="4DEC864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1.411 (1.323 - 1.507)</w:t>
            </w:r>
          </w:p>
        </w:tc>
        <w:tc>
          <w:tcPr>
            <w:tcW w:w="2556" w:type="dxa"/>
            <w:tcBorders>
              <w:top w:val="nil"/>
              <w:left w:val="nil"/>
              <w:bottom w:val="nil"/>
              <w:right w:val="nil"/>
            </w:tcBorders>
            <w:shd w:val="clear" w:color="auto" w:fill="auto"/>
            <w:vAlign w:val="center"/>
            <w:hideMark/>
          </w:tcPr>
          <w:p w14:paraId="05E841F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2.046 (1.724 - 2.388)</w:t>
            </w:r>
          </w:p>
        </w:tc>
        <w:tc>
          <w:tcPr>
            <w:tcW w:w="3508" w:type="dxa"/>
            <w:tcBorders>
              <w:top w:val="nil"/>
              <w:left w:val="nil"/>
              <w:bottom w:val="nil"/>
              <w:right w:val="single" w:sz="8" w:space="0" w:color="auto"/>
            </w:tcBorders>
            <w:shd w:val="clear" w:color="auto" w:fill="auto"/>
            <w:vAlign w:val="center"/>
            <w:hideMark/>
          </w:tcPr>
          <w:p w14:paraId="3A3750F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1.575 (1.304 - 1.892)</w:t>
            </w:r>
          </w:p>
        </w:tc>
      </w:tr>
      <w:tr w:rsidR="00F22C7E" w:rsidRPr="00F22C7E" w14:paraId="53B5D873"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3B280230"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08E8CFE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70-74</w:t>
            </w:r>
          </w:p>
        </w:tc>
        <w:tc>
          <w:tcPr>
            <w:tcW w:w="2555" w:type="dxa"/>
            <w:tcBorders>
              <w:top w:val="nil"/>
              <w:left w:val="nil"/>
              <w:bottom w:val="nil"/>
              <w:right w:val="nil"/>
            </w:tcBorders>
            <w:shd w:val="clear" w:color="auto" w:fill="auto"/>
            <w:vAlign w:val="center"/>
            <w:hideMark/>
          </w:tcPr>
          <w:p w14:paraId="667D341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1.319 (1.241 - 1.400)</w:t>
            </w:r>
          </w:p>
        </w:tc>
        <w:tc>
          <w:tcPr>
            <w:tcW w:w="2556" w:type="dxa"/>
            <w:tcBorders>
              <w:top w:val="nil"/>
              <w:left w:val="nil"/>
              <w:bottom w:val="nil"/>
              <w:right w:val="nil"/>
            </w:tcBorders>
            <w:shd w:val="clear" w:color="auto" w:fill="auto"/>
            <w:vAlign w:val="center"/>
            <w:hideMark/>
          </w:tcPr>
          <w:p w14:paraId="6C44991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1.323 (1.238 - 1.413)</w:t>
            </w:r>
          </w:p>
        </w:tc>
        <w:tc>
          <w:tcPr>
            <w:tcW w:w="2556" w:type="dxa"/>
            <w:tcBorders>
              <w:top w:val="nil"/>
              <w:left w:val="nil"/>
              <w:bottom w:val="nil"/>
              <w:right w:val="nil"/>
            </w:tcBorders>
            <w:shd w:val="clear" w:color="auto" w:fill="auto"/>
            <w:vAlign w:val="center"/>
            <w:hideMark/>
          </w:tcPr>
          <w:p w14:paraId="1EB20AC8"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1.896 (1.596 - 2.229)</w:t>
            </w:r>
          </w:p>
        </w:tc>
        <w:tc>
          <w:tcPr>
            <w:tcW w:w="3508" w:type="dxa"/>
            <w:tcBorders>
              <w:top w:val="nil"/>
              <w:left w:val="nil"/>
              <w:bottom w:val="nil"/>
              <w:right w:val="single" w:sz="8" w:space="0" w:color="auto"/>
            </w:tcBorders>
            <w:shd w:val="clear" w:color="auto" w:fill="auto"/>
            <w:vAlign w:val="center"/>
            <w:hideMark/>
          </w:tcPr>
          <w:p w14:paraId="2F54651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1.562 (1.303 - 1.889)</w:t>
            </w:r>
          </w:p>
        </w:tc>
      </w:tr>
      <w:tr w:rsidR="00F22C7E" w:rsidRPr="00F22C7E" w14:paraId="2F5D7431" w14:textId="77777777" w:rsidTr="00036CFE">
        <w:trPr>
          <w:trHeight w:val="315"/>
        </w:trPr>
        <w:tc>
          <w:tcPr>
            <w:tcW w:w="908" w:type="dxa"/>
            <w:tcBorders>
              <w:top w:val="nil"/>
              <w:left w:val="single" w:sz="8" w:space="0" w:color="auto"/>
              <w:bottom w:val="nil"/>
              <w:right w:val="nil"/>
            </w:tcBorders>
            <w:shd w:val="clear" w:color="auto" w:fill="auto"/>
            <w:noWrap/>
            <w:vAlign w:val="center"/>
            <w:hideMark/>
          </w:tcPr>
          <w:p w14:paraId="023D921E"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nil"/>
              <w:right w:val="single" w:sz="8" w:space="0" w:color="auto"/>
            </w:tcBorders>
            <w:shd w:val="clear" w:color="auto" w:fill="auto"/>
            <w:noWrap/>
            <w:vAlign w:val="center"/>
            <w:hideMark/>
          </w:tcPr>
          <w:p w14:paraId="0F1B3050"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75-79</w:t>
            </w:r>
          </w:p>
        </w:tc>
        <w:tc>
          <w:tcPr>
            <w:tcW w:w="2555" w:type="dxa"/>
            <w:tcBorders>
              <w:top w:val="nil"/>
              <w:left w:val="nil"/>
              <w:bottom w:val="nil"/>
              <w:right w:val="nil"/>
            </w:tcBorders>
            <w:shd w:val="clear" w:color="auto" w:fill="auto"/>
            <w:vAlign w:val="center"/>
            <w:hideMark/>
          </w:tcPr>
          <w:p w14:paraId="2119355F"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1.274 (1.187 - 1.365)</w:t>
            </w:r>
          </w:p>
        </w:tc>
        <w:tc>
          <w:tcPr>
            <w:tcW w:w="2556" w:type="dxa"/>
            <w:tcBorders>
              <w:top w:val="nil"/>
              <w:left w:val="nil"/>
              <w:bottom w:val="nil"/>
              <w:right w:val="nil"/>
            </w:tcBorders>
            <w:shd w:val="clear" w:color="auto" w:fill="auto"/>
            <w:vAlign w:val="center"/>
            <w:hideMark/>
          </w:tcPr>
          <w:p w14:paraId="5F2152DA"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1.237 (1.159 - 1.322)</w:t>
            </w:r>
          </w:p>
        </w:tc>
        <w:tc>
          <w:tcPr>
            <w:tcW w:w="2556" w:type="dxa"/>
            <w:tcBorders>
              <w:top w:val="nil"/>
              <w:left w:val="nil"/>
              <w:bottom w:val="nil"/>
              <w:right w:val="nil"/>
            </w:tcBorders>
            <w:shd w:val="clear" w:color="auto" w:fill="auto"/>
            <w:vAlign w:val="center"/>
            <w:hideMark/>
          </w:tcPr>
          <w:p w14:paraId="1C74712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1.740 (1.445 - 2.087)</w:t>
            </w:r>
          </w:p>
        </w:tc>
        <w:tc>
          <w:tcPr>
            <w:tcW w:w="3508" w:type="dxa"/>
            <w:tcBorders>
              <w:top w:val="nil"/>
              <w:left w:val="nil"/>
              <w:bottom w:val="nil"/>
              <w:right w:val="single" w:sz="8" w:space="0" w:color="auto"/>
            </w:tcBorders>
            <w:shd w:val="clear" w:color="auto" w:fill="auto"/>
            <w:vAlign w:val="center"/>
            <w:hideMark/>
          </w:tcPr>
          <w:p w14:paraId="3A24C319"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1.555 (1.288 - 1.856)</w:t>
            </w:r>
          </w:p>
        </w:tc>
      </w:tr>
      <w:tr w:rsidR="00F22C7E" w:rsidRPr="00F22C7E" w14:paraId="0AA49055" w14:textId="77777777" w:rsidTr="00036CFE">
        <w:trPr>
          <w:trHeight w:val="330"/>
        </w:trPr>
        <w:tc>
          <w:tcPr>
            <w:tcW w:w="908" w:type="dxa"/>
            <w:tcBorders>
              <w:top w:val="nil"/>
              <w:left w:val="single" w:sz="8" w:space="0" w:color="auto"/>
              <w:bottom w:val="single" w:sz="8" w:space="0" w:color="auto"/>
              <w:right w:val="nil"/>
            </w:tcBorders>
            <w:shd w:val="clear" w:color="auto" w:fill="auto"/>
            <w:noWrap/>
            <w:vAlign w:val="center"/>
            <w:hideMark/>
          </w:tcPr>
          <w:p w14:paraId="2F3F5B09" w14:textId="77777777" w:rsidR="00F22C7E" w:rsidRPr="00F22C7E" w:rsidRDefault="00F22C7E" w:rsidP="00C500BF">
            <w:pPr>
              <w:spacing w:after="0" w:line="240" w:lineRule="auto"/>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 </w:t>
            </w:r>
          </w:p>
        </w:tc>
        <w:tc>
          <w:tcPr>
            <w:tcW w:w="968" w:type="dxa"/>
            <w:tcBorders>
              <w:top w:val="nil"/>
              <w:left w:val="nil"/>
              <w:bottom w:val="single" w:sz="8" w:space="0" w:color="auto"/>
              <w:right w:val="single" w:sz="8" w:space="0" w:color="auto"/>
            </w:tcBorders>
            <w:shd w:val="clear" w:color="auto" w:fill="auto"/>
            <w:noWrap/>
            <w:vAlign w:val="center"/>
            <w:hideMark/>
          </w:tcPr>
          <w:p w14:paraId="2C943CF1"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80+</w:t>
            </w:r>
          </w:p>
        </w:tc>
        <w:tc>
          <w:tcPr>
            <w:tcW w:w="2555" w:type="dxa"/>
            <w:tcBorders>
              <w:top w:val="nil"/>
              <w:left w:val="nil"/>
              <w:bottom w:val="single" w:sz="8" w:space="0" w:color="auto"/>
              <w:right w:val="nil"/>
            </w:tcBorders>
            <w:shd w:val="clear" w:color="auto" w:fill="auto"/>
            <w:vAlign w:val="center"/>
            <w:hideMark/>
          </w:tcPr>
          <w:p w14:paraId="4DF2A6C4"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1.170 (1.090 - 1.252)</w:t>
            </w:r>
          </w:p>
        </w:tc>
        <w:tc>
          <w:tcPr>
            <w:tcW w:w="2556" w:type="dxa"/>
            <w:tcBorders>
              <w:top w:val="nil"/>
              <w:left w:val="nil"/>
              <w:bottom w:val="single" w:sz="8" w:space="0" w:color="auto"/>
              <w:right w:val="nil"/>
            </w:tcBorders>
            <w:shd w:val="clear" w:color="auto" w:fill="auto"/>
            <w:vAlign w:val="center"/>
            <w:hideMark/>
          </w:tcPr>
          <w:p w14:paraId="70F49666"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1.069 (1.000 - 1.160)</w:t>
            </w:r>
          </w:p>
        </w:tc>
        <w:tc>
          <w:tcPr>
            <w:tcW w:w="2556" w:type="dxa"/>
            <w:tcBorders>
              <w:top w:val="nil"/>
              <w:left w:val="nil"/>
              <w:bottom w:val="single" w:sz="8" w:space="0" w:color="auto"/>
              <w:right w:val="nil"/>
            </w:tcBorders>
            <w:shd w:val="clear" w:color="auto" w:fill="auto"/>
            <w:vAlign w:val="center"/>
            <w:hideMark/>
          </w:tcPr>
          <w:p w14:paraId="723AC827"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1.461 (1.207 - 1.762)</w:t>
            </w:r>
          </w:p>
        </w:tc>
        <w:tc>
          <w:tcPr>
            <w:tcW w:w="3508" w:type="dxa"/>
            <w:tcBorders>
              <w:top w:val="nil"/>
              <w:left w:val="nil"/>
              <w:bottom w:val="single" w:sz="8" w:space="0" w:color="auto"/>
              <w:right w:val="single" w:sz="8" w:space="0" w:color="auto"/>
            </w:tcBorders>
            <w:shd w:val="clear" w:color="auto" w:fill="auto"/>
            <w:vAlign w:val="center"/>
            <w:hideMark/>
          </w:tcPr>
          <w:p w14:paraId="541D7F2C" w14:textId="77777777" w:rsidR="00F22C7E" w:rsidRPr="00F22C7E" w:rsidRDefault="00F22C7E" w:rsidP="00C500BF">
            <w:pPr>
              <w:spacing w:after="0" w:line="240" w:lineRule="auto"/>
              <w:jc w:val="center"/>
              <w:rPr>
                <w:rFonts w:ascii="Times New Roman" w:eastAsia="Times New Roman" w:hAnsi="Times New Roman" w:cs="Times New Roman"/>
                <w:sz w:val="20"/>
                <w:szCs w:val="20"/>
                <w:lang w:eastAsia="en-NZ"/>
              </w:rPr>
            </w:pPr>
            <w:r w:rsidRPr="00F22C7E">
              <w:rPr>
                <w:rFonts w:ascii="Times New Roman" w:eastAsia="Times New Roman" w:hAnsi="Times New Roman" w:cs="Times New Roman"/>
                <w:sz w:val="20"/>
                <w:szCs w:val="20"/>
                <w:lang w:eastAsia="en-NZ"/>
              </w:rPr>
              <w:t>1.562 (1.305 - 1.882)</w:t>
            </w:r>
          </w:p>
        </w:tc>
      </w:tr>
    </w:tbl>
    <w:p w14:paraId="0FF921CA" w14:textId="77777777" w:rsidR="0008139A" w:rsidRPr="00141217" w:rsidRDefault="0008139A" w:rsidP="0008139A">
      <w:pPr>
        <w:rPr>
          <w:rFonts w:ascii="Times New Roman" w:hAnsi="Times New Roman" w:cs="Times New Roman"/>
        </w:rPr>
      </w:pPr>
    </w:p>
    <w:p w14:paraId="639200DF" w14:textId="378B4EFF" w:rsidR="0008139A" w:rsidRPr="00141217" w:rsidRDefault="0059693E" w:rsidP="005F4DCE">
      <w:pPr>
        <w:pStyle w:val="Caption"/>
      </w:pPr>
      <w:r w:rsidRPr="0059693E">
        <w:t>Supplemental Table S</w:t>
      </w:r>
      <w:r>
        <w:t>4</w:t>
      </w:r>
      <w:r w:rsidR="00141217" w:rsidRPr="00141217">
        <w:t xml:space="preserve"> </w:t>
      </w:r>
      <w:r w:rsidR="0008139A" w:rsidRPr="00141217">
        <w:t>Relative risks of BMI-related cancers fro</w:t>
      </w:r>
      <w:r w:rsidR="005F4DCE">
        <w:t>m the Global Burden of Disease S</w:t>
      </w:r>
      <w:r w:rsidR="0008139A" w:rsidRPr="00141217">
        <w:t xml:space="preserve">tudy (per 5 BMI units) </w:t>
      </w:r>
      <w:r w:rsidR="0008139A" w:rsidRPr="00141217">
        <w:fldChar w:fldCharType="begin"/>
      </w:r>
      <w:r w:rsidR="00872436">
        <w:instrText xml:space="preserve"> ADDIN EN.CITE &lt;EndNote&gt;&lt;Cite&gt;&lt;Author&gt;Forouzanfar&lt;/Author&gt;&lt;Year&gt;2015&lt;/Year&gt;&lt;RecNum&gt;141&lt;/RecNum&gt;&lt;DisplayText&gt;&lt;style face="superscript"&gt;(1)&lt;/style&gt;&lt;/DisplayText&gt;&lt;record&gt;&lt;rec-number&gt;141&lt;/rec-number&gt;&lt;foreign-keys&gt;&lt;key app="EN" db-id="st99e9vfkvwxdkeadax55ap9fsd2vzwwfsfz" timestamp="1459986414"&gt;141&lt;/key&gt;&lt;/foreign-keys&gt;&lt;ref-type name="Journal Article"&gt;17&lt;/ref-type&gt;&lt;contributors&gt;&lt;authors&gt;&lt;author&gt;Forouzanfar, Mohammad H&lt;/author&gt;&lt;author&gt;Alexander, Lily&lt;/author&gt;&lt;author&gt;Anderson, H Ross&lt;/author&gt;&lt;author&gt;Bachman, Victoria F&lt;/author&gt;&lt;author&gt;Biryukov, Stan&lt;/author&gt;&lt;author&gt;Brauer, Michael&lt;/author&gt;&lt;author&gt;Burnett, Richard&lt;/author&gt;&lt;author&gt;Casey, Daniel&lt;/author&gt;&lt;author&gt;Coates, Matthew M&lt;/author&gt;&lt;author&gt;Cohen, Aaron&lt;/author&gt;&lt;/authors&gt;&lt;/contributors&gt;&lt;titles&gt;&lt;title&gt;Global, regional, and national comparative risk assessment of 79 behavioural, environmental and occupational, and metabolic risks or clusters of risks in 188 countries, 1990–2013: a systematic analysis for the Global Burden of Disease Study 2013&lt;/title&gt;&lt;secondary-title&gt;The Lancet&lt;/secondary-title&gt;&lt;/titles&gt;&lt;periodical&gt;&lt;full-title&gt;The Lancet&lt;/full-title&gt;&lt;/periodical&gt;&lt;pages&gt;2287-2323&lt;/pages&gt;&lt;volume&gt;386&lt;/volume&gt;&lt;number&gt;10010&lt;/number&gt;&lt;dates&gt;&lt;year&gt;2015&lt;/year&gt;&lt;/dates&gt;&lt;isbn&gt;0140-6736&lt;/isbn&gt;&lt;urls&gt;&lt;/urls&gt;&lt;/record&gt;&lt;/Cite&gt;&lt;/EndNote&gt;</w:instrText>
      </w:r>
      <w:r w:rsidR="0008139A" w:rsidRPr="00141217">
        <w:fldChar w:fldCharType="separate"/>
      </w:r>
      <w:r w:rsidR="00872436" w:rsidRPr="00872436">
        <w:rPr>
          <w:noProof/>
          <w:vertAlign w:val="superscript"/>
        </w:rPr>
        <w:t>(1)</w:t>
      </w:r>
      <w:r w:rsidR="0008139A" w:rsidRPr="00141217">
        <w:fldChar w:fldCharType="end"/>
      </w:r>
    </w:p>
    <w:tbl>
      <w:tblPr>
        <w:tblW w:w="13620" w:type="dxa"/>
        <w:tblInd w:w="93" w:type="dxa"/>
        <w:tblLayout w:type="fixed"/>
        <w:tblLook w:val="04A0" w:firstRow="1" w:lastRow="0" w:firstColumn="1" w:lastColumn="0" w:noHBand="0" w:noVBand="1"/>
      </w:tblPr>
      <w:tblGrid>
        <w:gridCol w:w="883"/>
        <w:gridCol w:w="692"/>
        <w:gridCol w:w="1134"/>
        <w:gridCol w:w="1145"/>
        <w:gridCol w:w="1459"/>
        <w:gridCol w:w="1190"/>
        <w:gridCol w:w="1167"/>
        <w:gridCol w:w="1134"/>
        <w:gridCol w:w="1122"/>
        <w:gridCol w:w="1294"/>
        <w:gridCol w:w="1200"/>
        <w:gridCol w:w="1200"/>
      </w:tblGrid>
      <w:tr w:rsidR="00DF16BD" w:rsidRPr="00141217" w14:paraId="4FE127BD" w14:textId="77777777" w:rsidTr="00DF16BD">
        <w:trPr>
          <w:trHeight w:val="480"/>
        </w:trPr>
        <w:tc>
          <w:tcPr>
            <w:tcW w:w="883" w:type="dxa"/>
            <w:tcBorders>
              <w:top w:val="single" w:sz="8" w:space="0" w:color="auto"/>
              <w:left w:val="single" w:sz="8" w:space="0" w:color="auto"/>
              <w:bottom w:val="single" w:sz="8" w:space="0" w:color="auto"/>
              <w:right w:val="nil"/>
            </w:tcBorders>
            <w:shd w:val="clear" w:color="auto" w:fill="auto"/>
            <w:noWrap/>
            <w:vAlign w:val="bottom"/>
            <w:hideMark/>
          </w:tcPr>
          <w:p w14:paraId="73385794"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p>
        </w:tc>
        <w:tc>
          <w:tcPr>
            <w:tcW w:w="692" w:type="dxa"/>
            <w:tcBorders>
              <w:top w:val="single" w:sz="8" w:space="0" w:color="auto"/>
              <w:left w:val="nil"/>
              <w:bottom w:val="single" w:sz="8" w:space="0" w:color="auto"/>
              <w:right w:val="nil"/>
            </w:tcBorders>
            <w:shd w:val="clear" w:color="auto" w:fill="auto"/>
            <w:noWrap/>
            <w:vAlign w:val="bottom"/>
            <w:hideMark/>
          </w:tcPr>
          <w:p w14:paraId="5384D089"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p>
        </w:tc>
        <w:tc>
          <w:tcPr>
            <w:tcW w:w="1134" w:type="dxa"/>
            <w:tcBorders>
              <w:top w:val="single" w:sz="8" w:space="0" w:color="auto"/>
              <w:left w:val="nil"/>
              <w:bottom w:val="single" w:sz="8" w:space="0" w:color="auto"/>
              <w:right w:val="nil"/>
            </w:tcBorders>
            <w:shd w:val="clear" w:color="auto" w:fill="auto"/>
            <w:vAlign w:val="bottom"/>
            <w:hideMark/>
          </w:tcPr>
          <w:p w14:paraId="2940F6B5" w14:textId="77777777"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Kidney cancer</w:t>
            </w:r>
          </w:p>
        </w:tc>
        <w:tc>
          <w:tcPr>
            <w:tcW w:w="1145" w:type="dxa"/>
            <w:tcBorders>
              <w:top w:val="single" w:sz="8" w:space="0" w:color="auto"/>
              <w:left w:val="nil"/>
              <w:bottom w:val="single" w:sz="8" w:space="0" w:color="auto"/>
              <w:right w:val="nil"/>
            </w:tcBorders>
            <w:shd w:val="clear" w:color="auto" w:fill="auto"/>
            <w:vAlign w:val="bottom"/>
            <w:hideMark/>
          </w:tcPr>
          <w:p w14:paraId="3C45368D" w14:textId="77777777"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Liver cancer</w:t>
            </w:r>
          </w:p>
        </w:tc>
        <w:tc>
          <w:tcPr>
            <w:tcW w:w="1459" w:type="dxa"/>
            <w:tcBorders>
              <w:top w:val="single" w:sz="8" w:space="0" w:color="auto"/>
              <w:left w:val="nil"/>
              <w:bottom w:val="single" w:sz="8" w:space="0" w:color="auto"/>
              <w:right w:val="nil"/>
            </w:tcBorders>
            <w:shd w:val="clear" w:color="auto" w:fill="auto"/>
            <w:vAlign w:val="bottom"/>
            <w:hideMark/>
          </w:tcPr>
          <w:p w14:paraId="464A8CEC" w14:textId="6853A06F"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Oesophag</w:t>
            </w:r>
            <w:r>
              <w:rPr>
                <w:rFonts w:ascii="Times New Roman" w:eastAsia="Times New Roman" w:hAnsi="Times New Roman" w:cs="Times New Roman"/>
                <w:b/>
                <w:bCs/>
                <w:color w:val="000000"/>
                <w:sz w:val="20"/>
                <w:szCs w:val="20"/>
                <w:lang w:val="en-GB" w:eastAsia="en-GB"/>
              </w:rPr>
              <w:t>eal</w:t>
            </w:r>
            <w:r w:rsidRPr="00141217">
              <w:rPr>
                <w:rFonts w:ascii="Times New Roman" w:eastAsia="Times New Roman" w:hAnsi="Times New Roman" w:cs="Times New Roman"/>
                <w:b/>
                <w:bCs/>
                <w:color w:val="000000"/>
                <w:sz w:val="20"/>
                <w:szCs w:val="20"/>
                <w:lang w:val="en-GB" w:eastAsia="en-GB"/>
              </w:rPr>
              <w:t xml:space="preserve"> cancer</w:t>
            </w:r>
          </w:p>
        </w:tc>
        <w:tc>
          <w:tcPr>
            <w:tcW w:w="1190" w:type="dxa"/>
            <w:tcBorders>
              <w:top w:val="single" w:sz="8" w:space="0" w:color="auto"/>
              <w:left w:val="nil"/>
              <w:bottom w:val="single" w:sz="8" w:space="0" w:color="auto"/>
              <w:right w:val="nil"/>
            </w:tcBorders>
            <w:shd w:val="clear" w:color="auto" w:fill="auto"/>
            <w:vAlign w:val="bottom"/>
            <w:hideMark/>
          </w:tcPr>
          <w:p w14:paraId="350D2170" w14:textId="6B3EB689"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Pancrea</w:t>
            </w:r>
            <w:r>
              <w:rPr>
                <w:rFonts w:ascii="Times New Roman" w:eastAsia="Times New Roman" w:hAnsi="Times New Roman" w:cs="Times New Roman"/>
                <w:b/>
                <w:bCs/>
                <w:color w:val="000000"/>
                <w:sz w:val="20"/>
                <w:szCs w:val="20"/>
                <w:lang w:val="en-GB" w:eastAsia="en-GB"/>
              </w:rPr>
              <w:t>tic</w:t>
            </w:r>
            <w:r w:rsidRPr="00141217">
              <w:rPr>
                <w:rFonts w:ascii="Times New Roman" w:eastAsia="Times New Roman" w:hAnsi="Times New Roman" w:cs="Times New Roman"/>
                <w:b/>
                <w:bCs/>
                <w:color w:val="000000"/>
                <w:sz w:val="20"/>
                <w:szCs w:val="20"/>
                <w:lang w:val="en-GB" w:eastAsia="en-GB"/>
              </w:rPr>
              <w:t xml:space="preserve"> cancer</w:t>
            </w:r>
          </w:p>
        </w:tc>
        <w:tc>
          <w:tcPr>
            <w:tcW w:w="1167" w:type="dxa"/>
            <w:tcBorders>
              <w:top w:val="single" w:sz="8" w:space="0" w:color="auto"/>
              <w:left w:val="nil"/>
              <w:bottom w:val="single" w:sz="8" w:space="0" w:color="auto"/>
              <w:right w:val="nil"/>
            </w:tcBorders>
            <w:shd w:val="clear" w:color="auto" w:fill="auto"/>
            <w:vAlign w:val="bottom"/>
            <w:hideMark/>
          </w:tcPr>
          <w:p w14:paraId="53C88826" w14:textId="77777777"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Thyroid cancer</w:t>
            </w:r>
          </w:p>
        </w:tc>
        <w:tc>
          <w:tcPr>
            <w:tcW w:w="1134" w:type="dxa"/>
            <w:tcBorders>
              <w:top w:val="single" w:sz="8" w:space="0" w:color="auto"/>
              <w:left w:val="nil"/>
              <w:bottom w:val="single" w:sz="8" w:space="0" w:color="auto"/>
              <w:right w:val="nil"/>
            </w:tcBorders>
            <w:shd w:val="clear" w:color="auto" w:fill="auto"/>
            <w:vAlign w:val="bottom"/>
            <w:hideMark/>
          </w:tcPr>
          <w:p w14:paraId="4F1BF810" w14:textId="77777777" w:rsidR="004630C5" w:rsidRPr="00141217" w:rsidRDefault="004630C5" w:rsidP="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Colorectal cancer</w:t>
            </w:r>
          </w:p>
        </w:tc>
        <w:tc>
          <w:tcPr>
            <w:tcW w:w="1122" w:type="dxa"/>
            <w:tcBorders>
              <w:top w:val="single" w:sz="8" w:space="0" w:color="auto"/>
              <w:left w:val="nil"/>
              <w:bottom w:val="single" w:sz="8" w:space="0" w:color="auto"/>
              <w:right w:val="nil"/>
            </w:tcBorders>
            <w:shd w:val="clear" w:color="auto" w:fill="auto"/>
            <w:vAlign w:val="bottom"/>
            <w:hideMark/>
          </w:tcPr>
          <w:p w14:paraId="7F086AFB" w14:textId="77777777" w:rsidR="004630C5" w:rsidRPr="00141217" w:rsidRDefault="004630C5">
            <w:pPr>
              <w:spacing w:after="0" w:line="240" w:lineRule="auto"/>
              <w:jc w:val="center"/>
              <w:rPr>
                <w:rFonts w:ascii="Times New Roman" w:eastAsia="Times New Roman" w:hAnsi="Times New Roman" w:cs="Times New Roman"/>
                <w:b/>
                <w:bCs/>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Gallbladder cancer</w:t>
            </w:r>
          </w:p>
        </w:tc>
        <w:tc>
          <w:tcPr>
            <w:tcW w:w="1294" w:type="dxa"/>
            <w:tcBorders>
              <w:top w:val="single" w:sz="8" w:space="0" w:color="auto"/>
              <w:left w:val="nil"/>
              <w:bottom w:val="single" w:sz="8" w:space="0" w:color="auto"/>
              <w:right w:val="nil"/>
            </w:tcBorders>
            <w:shd w:val="clear" w:color="auto" w:fill="auto"/>
            <w:noWrap/>
            <w:vAlign w:val="bottom"/>
            <w:hideMark/>
          </w:tcPr>
          <w:p w14:paraId="00FD11FA"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Endometrial Cancer</w:t>
            </w:r>
          </w:p>
        </w:tc>
        <w:tc>
          <w:tcPr>
            <w:tcW w:w="1200" w:type="dxa"/>
            <w:tcBorders>
              <w:top w:val="single" w:sz="8" w:space="0" w:color="auto"/>
              <w:left w:val="nil"/>
              <w:bottom w:val="single" w:sz="8" w:space="0" w:color="auto"/>
              <w:right w:val="nil"/>
            </w:tcBorders>
            <w:shd w:val="clear" w:color="auto" w:fill="auto"/>
            <w:noWrap/>
            <w:vAlign w:val="bottom"/>
            <w:hideMark/>
          </w:tcPr>
          <w:p w14:paraId="07A761CA"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Breast cancer</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3B5F3E2D"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b/>
                <w:bCs/>
                <w:color w:val="000000"/>
                <w:sz w:val="20"/>
                <w:szCs w:val="20"/>
                <w:lang w:val="en-GB" w:eastAsia="en-GB"/>
              </w:rPr>
              <w:t>Ovarian cancer</w:t>
            </w:r>
          </w:p>
        </w:tc>
      </w:tr>
      <w:tr w:rsidR="00DF16BD" w:rsidRPr="00141217" w14:paraId="1967F829" w14:textId="77777777" w:rsidTr="00DF16BD">
        <w:trPr>
          <w:trHeight w:val="645"/>
        </w:trPr>
        <w:tc>
          <w:tcPr>
            <w:tcW w:w="883" w:type="dxa"/>
            <w:tcBorders>
              <w:top w:val="nil"/>
              <w:left w:val="single" w:sz="8" w:space="0" w:color="auto"/>
              <w:bottom w:val="single" w:sz="4" w:space="0" w:color="auto"/>
              <w:right w:val="nil"/>
            </w:tcBorders>
            <w:shd w:val="clear" w:color="auto" w:fill="auto"/>
            <w:noWrap/>
            <w:vAlign w:val="center"/>
            <w:hideMark/>
          </w:tcPr>
          <w:p w14:paraId="0BBE68A9"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Males</w:t>
            </w:r>
          </w:p>
        </w:tc>
        <w:tc>
          <w:tcPr>
            <w:tcW w:w="692" w:type="dxa"/>
            <w:tcBorders>
              <w:top w:val="nil"/>
              <w:left w:val="nil"/>
              <w:bottom w:val="single" w:sz="4" w:space="0" w:color="auto"/>
              <w:right w:val="nil"/>
            </w:tcBorders>
            <w:shd w:val="clear" w:color="auto" w:fill="auto"/>
            <w:noWrap/>
            <w:vAlign w:val="center"/>
            <w:hideMark/>
          </w:tcPr>
          <w:p w14:paraId="22C1DD8F"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All ages</w:t>
            </w:r>
          </w:p>
        </w:tc>
        <w:tc>
          <w:tcPr>
            <w:tcW w:w="1134" w:type="dxa"/>
            <w:tcBorders>
              <w:top w:val="nil"/>
              <w:left w:val="nil"/>
              <w:bottom w:val="single" w:sz="4" w:space="0" w:color="auto"/>
              <w:right w:val="nil"/>
            </w:tcBorders>
            <w:shd w:val="clear" w:color="auto" w:fill="auto"/>
            <w:vAlign w:val="center"/>
            <w:hideMark/>
          </w:tcPr>
          <w:p w14:paraId="025D7957"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1.24 (1.17 - 1.31)</w:t>
            </w:r>
          </w:p>
        </w:tc>
        <w:tc>
          <w:tcPr>
            <w:tcW w:w="1145" w:type="dxa"/>
            <w:tcBorders>
              <w:top w:val="nil"/>
              <w:left w:val="nil"/>
              <w:bottom w:val="single" w:sz="4" w:space="0" w:color="auto"/>
              <w:right w:val="nil"/>
            </w:tcBorders>
            <w:shd w:val="clear" w:color="auto" w:fill="auto"/>
            <w:vAlign w:val="center"/>
            <w:hideMark/>
          </w:tcPr>
          <w:p w14:paraId="5704AF88"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1.29 (1.11 - 1.49)</w:t>
            </w:r>
          </w:p>
        </w:tc>
        <w:tc>
          <w:tcPr>
            <w:tcW w:w="1459" w:type="dxa"/>
            <w:tcBorders>
              <w:top w:val="nil"/>
              <w:left w:val="nil"/>
              <w:bottom w:val="single" w:sz="4" w:space="0" w:color="auto"/>
              <w:right w:val="nil"/>
            </w:tcBorders>
            <w:shd w:val="clear" w:color="auto" w:fill="auto"/>
            <w:vAlign w:val="center"/>
            <w:hideMark/>
          </w:tcPr>
          <w:p w14:paraId="69CEE5B3"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1.39 (1.08 - 1.76)</w:t>
            </w:r>
          </w:p>
        </w:tc>
        <w:tc>
          <w:tcPr>
            <w:tcW w:w="1190" w:type="dxa"/>
            <w:tcBorders>
              <w:top w:val="nil"/>
              <w:left w:val="nil"/>
              <w:bottom w:val="single" w:sz="4" w:space="0" w:color="auto"/>
              <w:right w:val="nil"/>
            </w:tcBorders>
            <w:shd w:val="clear" w:color="auto" w:fill="auto"/>
            <w:vAlign w:val="center"/>
            <w:hideMark/>
          </w:tcPr>
          <w:p w14:paraId="414EE715"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1.07 (1.00 - 1.15)</w:t>
            </w:r>
          </w:p>
        </w:tc>
        <w:tc>
          <w:tcPr>
            <w:tcW w:w="1167" w:type="dxa"/>
            <w:tcBorders>
              <w:top w:val="nil"/>
              <w:left w:val="nil"/>
              <w:bottom w:val="single" w:sz="4" w:space="0" w:color="auto"/>
              <w:right w:val="nil"/>
            </w:tcBorders>
            <w:shd w:val="clear" w:color="auto" w:fill="auto"/>
            <w:vAlign w:val="center"/>
            <w:hideMark/>
          </w:tcPr>
          <w:p w14:paraId="0B03EF6B"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1.22 (1.07 - 1.38)</w:t>
            </w:r>
          </w:p>
        </w:tc>
        <w:tc>
          <w:tcPr>
            <w:tcW w:w="1134" w:type="dxa"/>
            <w:tcBorders>
              <w:top w:val="nil"/>
              <w:left w:val="nil"/>
              <w:bottom w:val="single" w:sz="4" w:space="0" w:color="auto"/>
              <w:right w:val="nil"/>
            </w:tcBorders>
            <w:shd w:val="clear" w:color="auto" w:fill="auto"/>
            <w:vAlign w:val="center"/>
            <w:hideMark/>
          </w:tcPr>
          <w:p w14:paraId="310486BB"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1.18 (1.15 - 1.21)</w:t>
            </w:r>
          </w:p>
        </w:tc>
        <w:tc>
          <w:tcPr>
            <w:tcW w:w="1122" w:type="dxa"/>
            <w:tcBorders>
              <w:top w:val="nil"/>
              <w:left w:val="nil"/>
              <w:bottom w:val="single" w:sz="4" w:space="0" w:color="auto"/>
              <w:right w:val="nil"/>
            </w:tcBorders>
            <w:shd w:val="clear" w:color="auto" w:fill="auto"/>
            <w:vAlign w:val="center"/>
            <w:hideMark/>
          </w:tcPr>
          <w:p w14:paraId="15B189E1"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1.16 (1.03 - 1.28)</w:t>
            </w:r>
          </w:p>
        </w:tc>
        <w:tc>
          <w:tcPr>
            <w:tcW w:w="1294" w:type="dxa"/>
            <w:tcBorders>
              <w:top w:val="nil"/>
              <w:left w:val="nil"/>
              <w:bottom w:val="single" w:sz="4" w:space="0" w:color="auto"/>
              <w:right w:val="nil"/>
            </w:tcBorders>
            <w:shd w:val="clear" w:color="auto" w:fill="auto"/>
            <w:noWrap/>
            <w:vAlign w:val="center"/>
            <w:hideMark/>
          </w:tcPr>
          <w:p w14:paraId="57033D53" w14:textId="77777777" w:rsidR="004630C5" w:rsidRPr="00DF16BD"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r w:rsidRPr="00DF16BD">
              <w:rPr>
                <w:rFonts w:ascii="Times New Roman" w:eastAsia="Times New Roman" w:hAnsi="Times New Roman" w:cs="Times New Roman"/>
                <w:color w:val="000000"/>
                <w:sz w:val="20"/>
                <w:szCs w:val="20"/>
                <w:lang w:val="en-GB" w:eastAsia="en-GB"/>
              </w:rPr>
              <w:t>NA</w:t>
            </w:r>
          </w:p>
        </w:tc>
        <w:tc>
          <w:tcPr>
            <w:tcW w:w="1200" w:type="dxa"/>
            <w:tcBorders>
              <w:top w:val="nil"/>
              <w:left w:val="nil"/>
              <w:bottom w:val="single" w:sz="4" w:space="0" w:color="auto"/>
              <w:right w:val="nil"/>
            </w:tcBorders>
            <w:shd w:val="clear" w:color="auto" w:fill="auto"/>
            <w:noWrap/>
            <w:vAlign w:val="center"/>
            <w:hideMark/>
          </w:tcPr>
          <w:p w14:paraId="32548905" w14:textId="77777777" w:rsidR="004630C5" w:rsidRPr="00141217" w:rsidRDefault="004630C5" w:rsidP="00DF16BD">
            <w:pPr>
              <w:spacing w:after="0" w:line="240" w:lineRule="auto"/>
              <w:jc w:val="center"/>
              <w:rPr>
                <w:rFonts w:ascii="Times New Roman" w:eastAsia="Times New Roman" w:hAnsi="Times New Roman" w:cs="Times New Roman"/>
                <w:color w:val="000000"/>
                <w:lang w:val="en-GB" w:eastAsia="en-GB"/>
              </w:rPr>
            </w:pPr>
            <w:r w:rsidRPr="00587FC3">
              <w:rPr>
                <w:rFonts w:ascii="Times New Roman" w:eastAsia="Times New Roman" w:hAnsi="Times New Roman" w:cs="Times New Roman"/>
                <w:color w:val="000000"/>
                <w:sz w:val="20"/>
                <w:szCs w:val="20"/>
                <w:lang w:val="en-GB" w:eastAsia="en-GB"/>
              </w:rPr>
              <w:t>NA</w:t>
            </w:r>
          </w:p>
        </w:tc>
        <w:tc>
          <w:tcPr>
            <w:tcW w:w="1200" w:type="dxa"/>
            <w:tcBorders>
              <w:top w:val="nil"/>
              <w:left w:val="nil"/>
              <w:bottom w:val="single" w:sz="4" w:space="0" w:color="auto"/>
              <w:right w:val="single" w:sz="8" w:space="0" w:color="auto"/>
            </w:tcBorders>
            <w:shd w:val="clear" w:color="auto" w:fill="auto"/>
            <w:noWrap/>
            <w:vAlign w:val="center"/>
            <w:hideMark/>
          </w:tcPr>
          <w:p w14:paraId="701965EC" w14:textId="77777777" w:rsidR="004630C5" w:rsidRPr="00141217" w:rsidRDefault="004630C5" w:rsidP="00DF16BD">
            <w:pPr>
              <w:spacing w:after="0" w:line="240" w:lineRule="auto"/>
              <w:jc w:val="center"/>
              <w:rPr>
                <w:rFonts w:ascii="Times New Roman" w:eastAsia="Times New Roman" w:hAnsi="Times New Roman" w:cs="Times New Roman"/>
                <w:color w:val="000000"/>
                <w:sz w:val="20"/>
                <w:szCs w:val="20"/>
                <w:lang w:val="en-GB" w:eastAsia="en-GB"/>
              </w:rPr>
            </w:pPr>
            <w:r w:rsidRPr="00587FC3">
              <w:rPr>
                <w:rFonts w:ascii="Times New Roman" w:eastAsia="Times New Roman" w:hAnsi="Times New Roman" w:cs="Times New Roman"/>
                <w:color w:val="000000"/>
                <w:sz w:val="20"/>
                <w:szCs w:val="20"/>
                <w:lang w:val="en-GB" w:eastAsia="en-GB"/>
              </w:rPr>
              <w:t>NA</w:t>
            </w:r>
          </w:p>
        </w:tc>
      </w:tr>
      <w:tr w:rsidR="004630C5" w:rsidRPr="00141217" w14:paraId="11EB2AD0" w14:textId="77777777" w:rsidTr="00DF16BD">
        <w:trPr>
          <w:trHeight w:val="525"/>
        </w:trPr>
        <w:tc>
          <w:tcPr>
            <w:tcW w:w="883" w:type="dxa"/>
            <w:tcBorders>
              <w:top w:val="single" w:sz="4" w:space="0" w:color="auto"/>
              <w:left w:val="single" w:sz="8" w:space="0" w:color="auto"/>
              <w:bottom w:val="single" w:sz="8" w:space="0" w:color="auto"/>
              <w:right w:val="nil"/>
            </w:tcBorders>
            <w:shd w:val="clear" w:color="auto" w:fill="auto"/>
            <w:noWrap/>
            <w:vAlign w:val="center"/>
            <w:hideMark/>
          </w:tcPr>
          <w:p w14:paraId="7C905A79"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Females</w:t>
            </w:r>
          </w:p>
        </w:tc>
        <w:tc>
          <w:tcPr>
            <w:tcW w:w="692" w:type="dxa"/>
            <w:tcBorders>
              <w:top w:val="single" w:sz="4" w:space="0" w:color="auto"/>
              <w:left w:val="nil"/>
              <w:bottom w:val="single" w:sz="8" w:space="0" w:color="auto"/>
              <w:right w:val="nil"/>
            </w:tcBorders>
            <w:shd w:val="clear" w:color="auto" w:fill="auto"/>
            <w:noWrap/>
            <w:vAlign w:val="center"/>
            <w:hideMark/>
          </w:tcPr>
          <w:p w14:paraId="48EBCE2A"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All ages</w:t>
            </w:r>
          </w:p>
        </w:tc>
        <w:tc>
          <w:tcPr>
            <w:tcW w:w="1134" w:type="dxa"/>
            <w:tcBorders>
              <w:top w:val="single" w:sz="4" w:space="0" w:color="auto"/>
              <w:left w:val="nil"/>
              <w:bottom w:val="single" w:sz="8" w:space="0" w:color="auto"/>
              <w:right w:val="nil"/>
            </w:tcBorders>
            <w:shd w:val="clear" w:color="auto" w:fill="auto"/>
            <w:vAlign w:val="center"/>
            <w:hideMark/>
          </w:tcPr>
          <w:p w14:paraId="195104FD"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1.32 (1.25 - 1.40)</w:t>
            </w:r>
          </w:p>
        </w:tc>
        <w:tc>
          <w:tcPr>
            <w:tcW w:w="1145" w:type="dxa"/>
            <w:tcBorders>
              <w:top w:val="single" w:sz="4" w:space="0" w:color="auto"/>
              <w:left w:val="nil"/>
              <w:bottom w:val="single" w:sz="8" w:space="0" w:color="auto"/>
              <w:right w:val="nil"/>
            </w:tcBorders>
            <w:shd w:val="clear" w:color="auto" w:fill="auto"/>
            <w:vAlign w:val="center"/>
            <w:hideMark/>
          </w:tcPr>
          <w:p w14:paraId="54392EAF"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1.18 (1.03 - 1.34)</w:t>
            </w:r>
          </w:p>
        </w:tc>
        <w:tc>
          <w:tcPr>
            <w:tcW w:w="1459" w:type="dxa"/>
            <w:tcBorders>
              <w:top w:val="single" w:sz="4" w:space="0" w:color="auto"/>
              <w:left w:val="nil"/>
              <w:bottom w:val="single" w:sz="8" w:space="0" w:color="auto"/>
              <w:right w:val="nil"/>
            </w:tcBorders>
            <w:shd w:val="clear" w:color="auto" w:fill="auto"/>
            <w:vAlign w:val="center"/>
            <w:hideMark/>
          </w:tcPr>
          <w:p w14:paraId="30C0C212"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1.35 (1.01 - 1.75)</w:t>
            </w:r>
          </w:p>
        </w:tc>
        <w:tc>
          <w:tcPr>
            <w:tcW w:w="1190" w:type="dxa"/>
            <w:tcBorders>
              <w:top w:val="single" w:sz="4" w:space="0" w:color="auto"/>
              <w:left w:val="nil"/>
              <w:bottom w:val="single" w:sz="8" w:space="0" w:color="auto"/>
              <w:right w:val="nil"/>
            </w:tcBorders>
            <w:shd w:val="clear" w:color="auto" w:fill="auto"/>
            <w:vAlign w:val="center"/>
            <w:hideMark/>
          </w:tcPr>
          <w:p w14:paraId="6DE205DA"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1.09 (1.04 - 1.14)</w:t>
            </w:r>
          </w:p>
        </w:tc>
        <w:tc>
          <w:tcPr>
            <w:tcW w:w="1167" w:type="dxa"/>
            <w:tcBorders>
              <w:top w:val="single" w:sz="4" w:space="0" w:color="auto"/>
              <w:left w:val="nil"/>
              <w:bottom w:val="single" w:sz="8" w:space="0" w:color="auto"/>
              <w:right w:val="nil"/>
            </w:tcBorders>
            <w:shd w:val="clear" w:color="auto" w:fill="auto"/>
            <w:vAlign w:val="center"/>
            <w:hideMark/>
          </w:tcPr>
          <w:p w14:paraId="130769D2"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1.14 (1.09 - 1.18)</w:t>
            </w:r>
          </w:p>
        </w:tc>
        <w:tc>
          <w:tcPr>
            <w:tcW w:w="1134" w:type="dxa"/>
            <w:tcBorders>
              <w:top w:val="single" w:sz="4" w:space="0" w:color="auto"/>
              <w:left w:val="nil"/>
              <w:bottom w:val="single" w:sz="8" w:space="0" w:color="auto"/>
              <w:right w:val="nil"/>
            </w:tcBorders>
            <w:shd w:val="clear" w:color="auto" w:fill="auto"/>
            <w:vAlign w:val="center"/>
            <w:hideMark/>
          </w:tcPr>
          <w:p w14:paraId="1E7346E0"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1.06 (1.03 - 1.08)</w:t>
            </w:r>
          </w:p>
        </w:tc>
        <w:tc>
          <w:tcPr>
            <w:tcW w:w="1122" w:type="dxa"/>
            <w:tcBorders>
              <w:top w:val="single" w:sz="4" w:space="0" w:color="auto"/>
              <w:left w:val="nil"/>
              <w:bottom w:val="single" w:sz="8" w:space="0" w:color="auto"/>
              <w:right w:val="nil"/>
            </w:tcBorders>
            <w:shd w:val="clear" w:color="auto" w:fill="auto"/>
            <w:vAlign w:val="center"/>
            <w:hideMark/>
          </w:tcPr>
          <w:p w14:paraId="4772D1F2"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1.34 (1.22 - 1.48)</w:t>
            </w:r>
          </w:p>
        </w:tc>
        <w:tc>
          <w:tcPr>
            <w:tcW w:w="1294" w:type="dxa"/>
            <w:tcBorders>
              <w:top w:val="single" w:sz="4" w:space="0" w:color="auto"/>
              <w:left w:val="nil"/>
              <w:bottom w:val="single" w:sz="8" w:space="0" w:color="auto"/>
              <w:right w:val="nil"/>
            </w:tcBorders>
            <w:shd w:val="clear" w:color="auto" w:fill="auto"/>
            <w:vAlign w:val="center"/>
            <w:hideMark/>
          </w:tcPr>
          <w:p w14:paraId="1AED1133"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1.61 (1.54 - 1.68)</w:t>
            </w:r>
          </w:p>
        </w:tc>
        <w:tc>
          <w:tcPr>
            <w:tcW w:w="1200" w:type="dxa"/>
            <w:tcBorders>
              <w:top w:val="single" w:sz="4" w:space="0" w:color="auto"/>
              <w:left w:val="nil"/>
              <w:bottom w:val="single" w:sz="8" w:space="0" w:color="auto"/>
              <w:right w:val="nil"/>
            </w:tcBorders>
            <w:shd w:val="clear" w:color="auto" w:fill="auto"/>
            <w:vAlign w:val="center"/>
            <w:hideMark/>
          </w:tcPr>
          <w:p w14:paraId="13B994AB"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1.02 (1.02 - 1.03)</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51890E01" w14:textId="77777777" w:rsidR="004630C5" w:rsidRPr="00141217" w:rsidRDefault="004630C5" w:rsidP="004630C5">
            <w:pPr>
              <w:spacing w:after="0" w:line="240" w:lineRule="auto"/>
              <w:jc w:val="center"/>
              <w:rPr>
                <w:rFonts w:ascii="Times New Roman" w:eastAsia="Times New Roman" w:hAnsi="Times New Roman" w:cs="Times New Roman"/>
                <w:color w:val="000000"/>
                <w:sz w:val="20"/>
                <w:szCs w:val="20"/>
                <w:lang w:val="en-GB" w:eastAsia="en-GB"/>
              </w:rPr>
            </w:pPr>
            <w:r w:rsidRPr="00141217">
              <w:rPr>
                <w:rFonts w:ascii="Times New Roman" w:eastAsia="Times New Roman" w:hAnsi="Times New Roman" w:cs="Times New Roman"/>
                <w:color w:val="000000"/>
                <w:sz w:val="20"/>
                <w:szCs w:val="20"/>
                <w:lang w:val="en-GB" w:eastAsia="en-GB"/>
              </w:rPr>
              <w:t>1.04 (1.00 - 1.08)</w:t>
            </w:r>
          </w:p>
        </w:tc>
      </w:tr>
    </w:tbl>
    <w:p w14:paraId="05D61700" w14:textId="77777777" w:rsidR="007E532A" w:rsidRDefault="007E532A">
      <w:pPr>
        <w:rPr>
          <w:rFonts w:ascii="Times New Roman" w:hAnsi="Times New Roman" w:cs="Times New Roman"/>
        </w:rPr>
      </w:pPr>
    </w:p>
    <w:p w14:paraId="0BDAD431" w14:textId="77777777" w:rsidR="00DA5E77" w:rsidRDefault="00DA5E77">
      <w:pPr>
        <w:rPr>
          <w:rFonts w:ascii="Times New Roman" w:hAnsi="Times New Roman" w:cs="Times New Roman"/>
        </w:rPr>
      </w:pPr>
    </w:p>
    <w:p w14:paraId="0AFD8D6C" w14:textId="77777777" w:rsidR="004437F3" w:rsidRDefault="004437F3" w:rsidP="005F4DCE">
      <w:pPr>
        <w:pStyle w:val="Caption"/>
        <w:rPr>
          <w:highlight w:val="cyan"/>
        </w:rPr>
      </w:pPr>
      <w:r>
        <w:rPr>
          <w:noProof/>
          <w:lang w:eastAsia="en-NZ"/>
        </w:rPr>
        <w:lastRenderedPageBreak/>
        <w:drawing>
          <wp:inline distT="0" distB="0" distL="0" distR="0" wp14:anchorId="43F07637" wp14:editId="5D1E9813">
            <wp:extent cx="8718698" cy="4965405"/>
            <wp:effectExtent l="0" t="0" r="25400" b="26035"/>
            <wp:docPr id="1" name="Chart 1">
              <a:extLst xmlns:a="http://schemas.openxmlformats.org/drawingml/2006/main">
                <a:ext uri="{FF2B5EF4-FFF2-40B4-BE49-F238E27FC236}">
                  <a16:creationId xmlns:a16="http://schemas.microsoft.com/office/drawing/2014/main" id="{00000000-0008-0000-1D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B624D1" w14:textId="07E0157A" w:rsidR="00DA5E77" w:rsidRPr="00DA5E77" w:rsidRDefault="0059693E" w:rsidP="005F4DCE">
      <w:pPr>
        <w:pStyle w:val="Caption"/>
      </w:pPr>
      <w:r w:rsidRPr="0059693E">
        <w:t>Supplemental Fig. S1</w:t>
      </w:r>
      <w:r w:rsidR="00CE25CF">
        <w:t xml:space="preserve"> </w:t>
      </w:r>
      <w:bookmarkStart w:id="1" w:name="_GoBack"/>
      <w:bookmarkEnd w:id="1"/>
      <w:r w:rsidR="005F4DCE" w:rsidRPr="005F4DCE">
        <w:t>Tornado plot showing the major drivers of uncertainty in the health gain (in QALYs) for the population as a result of individual dietary counselling (</w:t>
      </w:r>
      <w:proofErr w:type="spellStart"/>
      <w:r w:rsidR="005F4DCE" w:rsidRPr="005F4DCE">
        <w:t>inc</w:t>
      </w:r>
      <w:proofErr w:type="spellEnd"/>
      <w:r w:rsidR="005F4DCE" w:rsidRPr="005F4DCE">
        <w:t>: incidence, CF: case fatality, rem: remission, TMREL: theoretical minimum risk exposure level)</w:t>
      </w:r>
    </w:p>
    <w:p w14:paraId="59E53BA9" w14:textId="77777777" w:rsidR="004437F3" w:rsidRDefault="004437F3" w:rsidP="005F4DCE">
      <w:pPr>
        <w:pStyle w:val="Caption"/>
        <w:rPr>
          <w:highlight w:val="cyan"/>
        </w:rPr>
      </w:pPr>
      <w:r>
        <w:rPr>
          <w:noProof/>
          <w:lang w:eastAsia="en-NZ"/>
        </w:rPr>
        <w:lastRenderedPageBreak/>
        <w:drawing>
          <wp:inline distT="0" distB="0" distL="0" distR="0" wp14:anchorId="4DB54970" wp14:editId="2039F5C5">
            <wp:extent cx="8963247" cy="5018567"/>
            <wp:effectExtent l="0" t="0" r="9525" b="10795"/>
            <wp:docPr id="2" name="Chart 2">
              <a:extLst xmlns:a="http://schemas.openxmlformats.org/drawingml/2006/main">
                <a:ext uri="{FF2B5EF4-FFF2-40B4-BE49-F238E27FC236}">
                  <a16:creationId xmlns:a16="http://schemas.microsoft.com/office/drawing/2014/main" id="{00000000-0008-0000-1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D8F7CC" w14:textId="1BF25057" w:rsidR="00872436" w:rsidRPr="005F4DCE" w:rsidRDefault="0059693E" w:rsidP="005F4DCE">
      <w:pPr>
        <w:pStyle w:val="Caption"/>
      </w:pPr>
      <w:r>
        <w:t>Supplemental Fig. S2</w:t>
      </w:r>
      <w:r w:rsidR="00DA5E77" w:rsidRPr="005F4DCE">
        <w:t xml:space="preserve"> </w:t>
      </w:r>
      <w:r w:rsidR="005F4DCE" w:rsidRPr="005F4DCE">
        <w:t>Tornado plot showing the major drivers of uncertainty in the health system costs (in 2011 NZ$ in millions) for the population as a result of individual dietary counselling (</w:t>
      </w:r>
      <w:proofErr w:type="spellStart"/>
      <w:r w:rsidR="005F4DCE" w:rsidRPr="005F4DCE">
        <w:t>inc</w:t>
      </w:r>
      <w:proofErr w:type="spellEnd"/>
      <w:r w:rsidR="005F4DCE" w:rsidRPr="005F4DCE">
        <w:t>: incidence, CF: case fatality, rem: remission, TMREL: theoretical minimum risk exposure level)</w:t>
      </w:r>
      <w:r w:rsidR="00872436" w:rsidRPr="005F4DCE">
        <w:br w:type="page"/>
      </w:r>
    </w:p>
    <w:p w14:paraId="20F37261" w14:textId="7E26E2D5" w:rsidR="00141217" w:rsidRPr="00141217" w:rsidRDefault="00141217">
      <w:pPr>
        <w:rPr>
          <w:rFonts w:ascii="Times New Roman" w:hAnsi="Times New Roman" w:cs="Times New Roman"/>
          <w:b/>
          <w:sz w:val="28"/>
          <w:szCs w:val="28"/>
        </w:rPr>
      </w:pPr>
      <w:r w:rsidRPr="00141217">
        <w:rPr>
          <w:rFonts w:ascii="Times New Roman" w:hAnsi="Times New Roman" w:cs="Times New Roman"/>
          <w:b/>
          <w:sz w:val="28"/>
          <w:szCs w:val="28"/>
        </w:rPr>
        <w:lastRenderedPageBreak/>
        <w:t>References</w:t>
      </w:r>
    </w:p>
    <w:p w14:paraId="3677B5A0" w14:textId="77777777" w:rsidR="00141217" w:rsidRPr="00141217" w:rsidRDefault="00141217" w:rsidP="00DF16BD">
      <w:pPr>
        <w:ind w:left="720" w:hanging="720"/>
        <w:rPr>
          <w:rFonts w:ascii="Times New Roman" w:hAnsi="Times New Roman" w:cs="Times New Roman"/>
        </w:rPr>
      </w:pPr>
    </w:p>
    <w:p w14:paraId="2CDADF15" w14:textId="77777777" w:rsidR="00DA5E77" w:rsidRPr="00F22C7E" w:rsidRDefault="00141217" w:rsidP="00DA5E77">
      <w:pPr>
        <w:pStyle w:val="EndNoteBibliography"/>
        <w:spacing w:after="0"/>
        <w:rPr>
          <w:rFonts w:ascii="Times New Roman" w:hAnsi="Times New Roman" w:cs="Times New Roman"/>
        </w:rPr>
      </w:pPr>
      <w:r w:rsidRPr="00F22C7E">
        <w:rPr>
          <w:rFonts w:ascii="Times New Roman" w:hAnsi="Times New Roman" w:cs="Times New Roman"/>
        </w:rPr>
        <w:fldChar w:fldCharType="begin"/>
      </w:r>
      <w:r w:rsidRPr="00F22C7E">
        <w:rPr>
          <w:rFonts w:ascii="Times New Roman" w:hAnsi="Times New Roman" w:cs="Times New Roman"/>
        </w:rPr>
        <w:instrText xml:space="preserve"> ADDIN EN.REFLIST </w:instrText>
      </w:r>
      <w:r w:rsidRPr="00F22C7E">
        <w:rPr>
          <w:rFonts w:ascii="Times New Roman" w:hAnsi="Times New Roman" w:cs="Times New Roman"/>
        </w:rPr>
        <w:fldChar w:fldCharType="separate"/>
      </w:r>
      <w:r w:rsidR="00DA5E77" w:rsidRPr="00F22C7E">
        <w:rPr>
          <w:rFonts w:ascii="Times New Roman" w:hAnsi="Times New Roman" w:cs="Times New Roman"/>
        </w:rPr>
        <w:t>1. Forouzanfar MH, Alexander L, Anderson HR</w:t>
      </w:r>
      <w:r w:rsidR="00DA5E77" w:rsidRPr="00F22C7E">
        <w:rPr>
          <w:rFonts w:ascii="Times New Roman" w:hAnsi="Times New Roman" w:cs="Times New Roman"/>
          <w:i/>
        </w:rPr>
        <w:t xml:space="preserve"> et al. </w:t>
      </w:r>
      <w:r w:rsidR="00DA5E77" w:rsidRPr="00F22C7E">
        <w:rPr>
          <w:rFonts w:ascii="Times New Roman" w:hAnsi="Times New Roman" w:cs="Times New Roman"/>
        </w:rPr>
        <w:t xml:space="preserve">(2015) Global, regional, and national comparative risk assessment of 79 behavioural, environmental and occupational, and metabolic risks or clusters of risks in 188 countries, 1990–2013: a systematic analysis for the Global Burden of Disease Study 2013. </w:t>
      </w:r>
      <w:r w:rsidR="00DA5E77" w:rsidRPr="00F22C7E">
        <w:rPr>
          <w:rFonts w:ascii="Times New Roman" w:hAnsi="Times New Roman" w:cs="Times New Roman"/>
          <w:i/>
        </w:rPr>
        <w:t>The Lancet</w:t>
      </w:r>
      <w:r w:rsidR="00DA5E77" w:rsidRPr="00F22C7E">
        <w:rPr>
          <w:rFonts w:ascii="Times New Roman" w:hAnsi="Times New Roman" w:cs="Times New Roman"/>
        </w:rPr>
        <w:t xml:space="preserve"> </w:t>
      </w:r>
      <w:r w:rsidR="00DA5E77" w:rsidRPr="00F22C7E">
        <w:rPr>
          <w:rFonts w:ascii="Times New Roman" w:hAnsi="Times New Roman" w:cs="Times New Roman"/>
          <w:b/>
        </w:rPr>
        <w:t>386</w:t>
      </w:r>
      <w:r w:rsidR="00DA5E77" w:rsidRPr="00F22C7E">
        <w:rPr>
          <w:rFonts w:ascii="Times New Roman" w:hAnsi="Times New Roman" w:cs="Times New Roman"/>
        </w:rPr>
        <w:t>, 2287-2323.</w:t>
      </w:r>
    </w:p>
    <w:p w14:paraId="7E5E919C" w14:textId="77777777" w:rsidR="00DA5E77" w:rsidRPr="00F22C7E" w:rsidRDefault="00DA5E77" w:rsidP="00DA5E77">
      <w:pPr>
        <w:pStyle w:val="EndNoteBibliography"/>
        <w:spacing w:after="0"/>
        <w:rPr>
          <w:rFonts w:ascii="Times New Roman" w:hAnsi="Times New Roman" w:cs="Times New Roman"/>
        </w:rPr>
      </w:pPr>
      <w:r w:rsidRPr="00F22C7E">
        <w:rPr>
          <w:rFonts w:ascii="Times New Roman" w:hAnsi="Times New Roman" w:cs="Times New Roman"/>
        </w:rPr>
        <w:t xml:space="preserve">2. University of Otago, Ministry of Health (2011) </w:t>
      </w:r>
      <w:r w:rsidRPr="00F22C7E">
        <w:rPr>
          <w:rFonts w:ascii="Times New Roman" w:hAnsi="Times New Roman" w:cs="Times New Roman"/>
          <w:i/>
        </w:rPr>
        <w:t xml:space="preserve">A Focus on Nutrition: Key findings of the 2008/09 New Zealand Adult Nutrition Survey. </w:t>
      </w:r>
      <w:r w:rsidRPr="00F22C7E">
        <w:rPr>
          <w:rFonts w:ascii="Times New Roman" w:hAnsi="Times New Roman" w:cs="Times New Roman"/>
        </w:rPr>
        <w:t>. Wellington Ministry of Health.</w:t>
      </w:r>
    </w:p>
    <w:p w14:paraId="55512D04" w14:textId="77777777" w:rsidR="00DA5E77" w:rsidRPr="00F22C7E" w:rsidRDefault="00DA5E77" w:rsidP="00DA5E77">
      <w:pPr>
        <w:pStyle w:val="EndNoteBibliography"/>
        <w:spacing w:after="0"/>
        <w:rPr>
          <w:rFonts w:ascii="Times New Roman" w:hAnsi="Times New Roman" w:cs="Times New Roman"/>
        </w:rPr>
      </w:pPr>
      <w:r w:rsidRPr="00F22C7E">
        <w:rPr>
          <w:rFonts w:ascii="Times New Roman" w:hAnsi="Times New Roman" w:cs="Times New Roman"/>
        </w:rPr>
        <w:t>3. Hartmann-Boyce J, Johns DJ, Jebb SA</w:t>
      </w:r>
      <w:r w:rsidRPr="00F22C7E">
        <w:rPr>
          <w:rFonts w:ascii="Times New Roman" w:hAnsi="Times New Roman" w:cs="Times New Roman"/>
          <w:i/>
        </w:rPr>
        <w:t xml:space="preserve"> et al. </w:t>
      </w:r>
      <w:r w:rsidRPr="00F22C7E">
        <w:rPr>
          <w:rFonts w:ascii="Times New Roman" w:hAnsi="Times New Roman" w:cs="Times New Roman"/>
        </w:rPr>
        <w:t xml:space="preserve">(2014) Behavioural weight management programmes for adults assessed by trials conducted in everyday contexts: systematic review and meta-analysis. </w:t>
      </w:r>
      <w:r w:rsidRPr="00F22C7E">
        <w:rPr>
          <w:rFonts w:ascii="Times New Roman" w:hAnsi="Times New Roman" w:cs="Times New Roman"/>
          <w:i/>
        </w:rPr>
        <w:t>Obes Rev</w:t>
      </w:r>
      <w:r w:rsidRPr="00F22C7E">
        <w:rPr>
          <w:rFonts w:ascii="Times New Roman" w:hAnsi="Times New Roman" w:cs="Times New Roman"/>
        </w:rPr>
        <w:t xml:space="preserve"> </w:t>
      </w:r>
      <w:r w:rsidRPr="00F22C7E">
        <w:rPr>
          <w:rFonts w:ascii="Times New Roman" w:hAnsi="Times New Roman" w:cs="Times New Roman"/>
          <w:b/>
        </w:rPr>
        <w:t>15</w:t>
      </w:r>
      <w:r w:rsidRPr="00F22C7E">
        <w:rPr>
          <w:rFonts w:ascii="Times New Roman" w:hAnsi="Times New Roman" w:cs="Times New Roman"/>
        </w:rPr>
        <w:t>, 920-932.</w:t>
      </w:r>
    </w:p>
    <w:p w14:paraId="709F36C5" w14:textId="77777777" w:rsidR="00DA5E77" w:rsidRPr="00F22C7E" w:rsidRDefault="00DA5E77" w:rsidP="00DA5E77">
      <w:pPr>
        <w:pStyle w:val="EndNoteBibliography"/>
        <w:spacing w:after="0"/>
        <w:rPr>
          <w:rFonts w:ascii="Times New Roman" w:hAnsi="Times New Roman" w:cs="Times New Roman"/>
        </w:rPr>
      </w:pPr>
      <w:r w:rsidRPr="00F22C7E">
        <w:rPr>
          <w:rFonts w:ascii="Times New Roman" w:hAnsi="Times New Roman" w:cs="Times New Roman"/>
        </w:rPr>
        <w:t>4. Dansinger ML, Tatsioni A, Wong JB</w:t>
      </w:r>
      <w:r w:rsidRPr="00F22C7E">
        <w:rPr>
          <w:rFonts w:ascii="Times New Roman" w:hAnsi="Times New Roman" w:cs="Times New Roman"/>
          <w:i/>
        </w:rPr>
        <w:t xml:space="preserve"> et al. </w:t>
      </w:r>
      <w:r w:rsidRPr="00F22C7E">
        <w:rPr>
          <w:rFonts w:ascii="Times New Roman" w:hAnsi="Times New Roman" w:cs="Times New Roman"/>
        </w:rPr>
        <w:t xml:space="preserve">(2007) Meta-analysis: the effect of dietary counseling for weight loss. </w:t>
      </w:r>
      <w:r w:rsidRPr="00F22C7E">
        <w:rPr>
          <w:rFonts w:ascii="Times New Roman" w:hAnsi="Times New Roman" w:cs="Times New Roman"/>
          <w:i/>
        </w:rPr>
        <w:t>Annals of internal medicine</w:t>
      </w:r>
      <w:r w:rsidRPr="00F22C7E">
        <w:rPr>
          <w:rFonts w:ascii="Times New Roman" w:hAnsi="Times New Roman" w:cs="Times New Roman"/>
        </w:rPr>
        <w:t xml:space="preserve"> </w:t>
      </w:r>
      <w:r w:rsidRPr="00F22C7E">
        <w:rPr>
          <w:rFonts w:ascii="Times New Roman" w:hAnsi="Times New Roman" w:cs="Times New Roman"/>
          <w:b/>
        </w:rPr>
        <w:t>147</w:t>
      </w:r>
      <w:r w:rsidRPr="00F22C7E">
        <w:rPr>
          <w:rFonts w:ascii="Times New Roman" w:hAnsi="Times New Roman" w:cs="Times New Roman"/>
        </w:rPr>
        <w:t>, 41-50.</w:t>
      </w:r>
    </w:p>
    <w:p w14:paraId="307E5C40" w14:textId="09CD5DA2" w:rsidR="00DA5E77" w:rsidRPr="00F22C7E" w:rsidRDefault="00DA5E77" w:rsidP="00DA5E77">
      <w:pPr>
        <w:pStyle w:val="EndNoteBibliography"/>
        <w:spacing w:after="0"/>
        <w:rPr>
          <w:rFonts w:ascii="Times New Roman" w:hAnsi="Times New Roman" w:cs="Times New Roman"/>
        </w:rPr>
      </w:pPr>
      <w:r w:rsidRPr="00F22C7E">
        <w:rPr>
          <w:rFonts w:ascii="Times New Roman" w:hAnsi="Times New Roman" w:cs="Times New Roman"/>
        </w:rPr>
        <w:t xml:space="preserve">5. New Zealand Ministry of Health (2016) Health targets – 2015/16 quarter 1 – results summary. </w:t>
      </w:r>
      <w:hyperlink r:id="rId8" w:history="1">
        <w:r w:rsidRPr="00F22C7E">
          <w:rPr>
            <w:rStyle w:val="Hyperlink"/>
            <w:rFonts w:ascii="Times New Roman" w:hAnsi="Times New Roman" w:cs="Times New Roman"/>
          </w:rPr>
          <w:t>http://www.health.govt.nz/new-zealand-health-system/health-targets/how-my-dhb-performing/how-my-dhb-performing-2015-16/health-targets-2015-16-quarter-1-results-summary</w:t>
        </w:r>
      </w:hyperlink>
      <w:r w:rsidRPr="00F22C7E">
        <w:rPr>
          <w:rFonts w:ascii="Times New Roman" w:hAnsi="Times New Roman" w:cs="Times New Roman"/>
        </w:rPr>
        <w:t xml:space="preserve"> (accessed 22nd May 2017 2017)</w:t>
      </w:r>
    </w:p>
    <w:p w14:paraId="2B226E1D" w14:textId="77777777" w:rsidR="00DA5E77" w:rsidRPr="00F22C7E" w:rsidRDefault="00DA5E77" w:rsidP="00DA5E77">
      <w:pPr>
        <w:pStyle w:val="EndNoteBibliography"/>
        <w:spacing w:after="0"/>
        <w:rPr>
          <w:rFonts w:ascii="Times New Roman" w:hAnsi="Times New Roman" w:cs="Times New Roman"/>
        </w:rPr>
      </w:pPr>
      <w:r w:rsidRPr="00F22C7E">
        <w:rPr>
          <w:rFonts w:ascii="Times New Roman" w:hAnsi="Times New Roman" w:cs="Times New Roman"/>
        </w:rPr>
        <w:t>6. Brotons C, Ciurana R, Piñeiro R</w:t>
      </w:r>
      <w:r w:rsidRPr="00F22C7E">
        <w:rPr>
          <w:rFonts w:ascii="Times New Roman" w:hAnsi="Times New Roman" w:cs="Times New Roman"/>
          <w:i/>
        </w:rPr>
        <w:t xml:space="preserve"> et al. </w:t>
      </w:r>
      <w:r w:rsidRPr="00F22C7E">
        <w:rPr>
          <w:rFonts w:ascii="Times New Roman" w:hAnsi="Times New Roman" w:cs="Times New Roman"/>
        </w:rPr>
        <w:t xml:space="preserve">(2003) Dietary advice in clinical practice: the views of general practitioners in Europe. </w:t>
      </w:r>
      <w:r w:rsidRPr="00F22C7E">
        <w:rPr>
          <w:rFonts w:ascii="Times New Roman" w:hAnsi="Times New Roman" w:cs="Times New Roman"/>
          <w:i/>
        </w:rPr>
        <w:t>The American journal of clinical nutrition</w:t>
      </w:r>
      <w:r w:rsidRPr="00F22C7E">
        <w:rPr>
          <w:rFonts w:ascii="Times New Roman" w:hAnsi="Times New Roman" w:cs="Times New Roman"/>
        </w:rPr>
        <w:t xml:space="preserve"> </w:t>
      </w:r>
      <w:r w:rsidRPr="00F22C7E">
        <w:rPr>
          <w:rFonts w:ascii="Times New Roman" w:hAnsi="Times New Roman" w:cs="Times New Roman"/>
          <w:b/>
        </w:rPr>
        <w:t>77</w:t>
      </w:r>
      <w:r w:rsidRPr="00F22C7E">
        <w:rPr>
          <w:rFonts w:ascii="Times New Roman" w:hAnsi="Times New Roman" w:cs="Times New Roman"/>
        </w:rPr>
        <w:t>, 1048S-1051S.</w:t>
      </w:r>
    </w:p>
    <w:p w14:paraId="56DFB53F" w14:textId="77777777" w:rsidR="00DA5E77" w:rsidRPr="00F22C7E" w:rsidRDefault="00DA5E77" w:rsidP="00DA5E77">
      <w:pPr>
        <w:pStyle w:val="EndNoteBibliography"/>
        <w:rPr>
          <w:rFonts w:ascii="Times New Roman" w:hAnsi="Times New Roman" w:cs="Times New Roman"/>
        </w:rPr>
      </w:pPr>
      <w:r w:rsidRPr="00F22C7E">
        <w:rPr>
          <w:rFonts w:ascii="Times New Roman" w:hAnsi="Times New Roman" w:cs="Times New Roman"/>
        </w:rPr>
        <w:t xml:space="preserve">7. Wee CC, Davis RB, Phillips RS (2005) Stage of readiness to control weight and adopt weight control behaviors in primary care. </w:t>
      </w:r>
      <w:r w:rsidRPr="00F22C7E">
        <w:rPr>
          <w:rFonts w:ascii="Times New Roman" w:hAnsi="Times New Roman" w:cs="Times New Roman"/>
          <w:i/>
        </w:rPr>
        <w:t>J Gen Intern Med</w:t>
      </w:r>
      <w:r w:rsidRPr="00F22C7E">
        <w:rPr>
          <w:rFonts w:ascii="Times New Roman" w:hAnsi="Times New Roman" w:cs="Times New Roman"/>
        </w:rPr>
        <w:t xml:space="preserve"> </w:t>
      </w:r>
      <w:r w:rsidRPr="00F22C7E">
        <w:rPr>
          <w:rFonts w:ascii="Times New Roman" w:hAnsi="Times New Roman" w:cs="Times New Roman"/>
          <w:b/>
        </w:rPr>
        <w:t>20</w:t>
      </w:r>
      <w:r w:rsidRPr="00F22C7E">
        <w:rPr>
          <w:rFonts w:ascii="Times New Roman" w:hAnsi="Times New Roman" w:cs="Times New Roman"/>
        </w:rPr>
        <w:t>, 410-415.</w:t>
      </w:r>
    </w:p>
    <w:p w14:paraId="323B370F" w14:textId="0F878729" w:rsidR="00B5775C" w:rsidRPr="00141217" w:rsidRDefault="00141217" w:rsidP="00DF16BD">
      <w:pPr>
        <w:ind w:left="720" w:hanging="720"/>
        <w:rPr>
          <w:rFonts w:ascii="Times New Roman" w:hAnsi="Times New Roman" w:cs="Times New Roman"/>
        </w:rPr>
      </w:pPr>
      <w:r w:rsidRPr="00F22C7E">
        <w:rPr>
          <w:rFonts w:ascii="Times New Roman" w:hAnsi="Times New Roman" w:cs="Times New Roman"/>
        </w:rPr>
        <w:fldChar w:fldCharType="end"/>
      </w:r>
    </w:p>
    <w:sectPr w:rsidR="00B5775C" w:rsidRPr="00141217" w:rsidSect="000813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SSymbol-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017F1"/>
    <w:multiLevelType w:val="multilevel"/>
    <w:tmpl w:val="47BC4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99e9vfkvwxdkeadax55ap9fsd2vzwwfsfz&quot;&gt;Diet references&lt;record-ids&gt;&lt;item&gt;93&lt;/item&gt;&lt;item&gt;101&lt;/item&gt;&lt;item&gt;124&lt;/item&gt;&lt;item&gt;141&lt;/item&gt;&lt;item&gt;162&lt;/item&gt;&lt;item&gt;163&lt;/item&gt;&lt;item&gt;278&lt;/item&gt;&lt;/record-ids&gt;&lt;/item&gt;&lt;/Libraries&gt;"/>
  </w:docVars>
  <w:rsids>
    <w:rsidRoot w:val="0008139A"/>
    <w:rsid w:val="00036CFE"/>
    <w:rsid w:val="0008139A"/>
    <w:rsid w:val="000B7661"/>
    <w:rsid w:val="000D6225"/>
    <w:rsid w:val="00141217"/>
    <w:rsid w:val="00162F91"/>
    <w:rsid w:val="00265708"/>
    <w:rsid w:val="004274C8"/>
    <w:rsid w:val="004437F3"/>
    <w:rsid w:val="00457CD4"/>
    <w:rsid w:val="004630C5"/>
    <w:rsid w:val="004F7522"/>
    <w:rsid w:val="005173C5"/>
    <w:rsid w:val="00550710"/>
    <w:rsid w:val="0059693E"/>
    <w:rsid w:val="005F4DCE"/>
    <w:rsid w:val="006415B6"/>
    <w:rsid w:val="006A3B99"/>
    <w:rsid w:val="00746833"/>
    <w:rsid w:val="007D32D9"/>
    <w:rsid w:val="007E532A"/>
    <w:rsid w:val="008267EF"/>
    <w:rsid w:val="00872436"/>
    <w:rsid w:val="008E1385"/>
    <w:rsid w:val="00B068B1"/>
    <w:rsid w:val="00B3092E"/>
    <w:rsid w:val="00B54FF2"/>
    <w:rsid w:val="00B5775C"/>
    <w:rsid w:val="00B66F31"/>
    <w:rsid w:val="00B97659"/>
    <w:rsid w:val="00BB5AF4"/>
    <w:rsid w:val="00CE25CF"/>
    <w:rsid w:val="00CE74B3"/>
    <w:rsid w:val="00D42439"/>
    <w:rsid w:val="00D54E96"/>
    <w:rsid w:val="00DA5E77"/>
    <w:rsid w:val="00DC7A9F"/>
    <w:rsid w:val="00DF16BD"/>
    <w:rsid w:val="00E0692A"/>
    <w:rsid w:val="00E855DF"/>
    <w:rsid w:val="00F14D8A"/>
    <w:rsid w:val="00F2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A468"/>
  <w15:docId w15:val="{C635B415-1934-4007-80B3-F3788EA0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39A"/>
    <w:rPr>
      <w:rFonts w:ascii="Calibri" w:eastAsia="MS Mincho" w:hAnsi="Calibri" w:cs="Calibr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8139A"/>
    <w:rPr>
      <w:sz w:val="16"/>
      <w:szCs w:val="16"/>
    </w:rPr>
  </w:style>
  <w:style w:type="paragraph" w:styleId="CommentText">
    <w:name w:val="annotation text"/>
    <w:basedOn w:val="Normal"/>
    <w:link w:val="CommentTextChar"/>
    <w:uiPriority w:val="99"/>
    <w:rsid w:val="0008139A"/>
    <w:pPr>
      <w:spacing w:line="240" w:lineRule="auto"/>
    </w:pPr>
    <w:rPr>
      <w:sz w:val="20"/>
      <w:szCs w:val="20"/>
      <w:lang w:eastAsia="ja-JP"/>
    </w:rPr>
  </w:style>
  <w:style w:type="character" w:customStyle="1" w:styleId="CommentTextChar">
    <w:name w:val="Comment Text Char"/>
    <w:basedOn w:val="DefaultParagraphFont"/>
    <w:link w:val="CommentText"/>
    <w:uiPriority w:val="99"/>
    <w:rsid w:val="0008139A"/>
    <w:rPr>
      <w:rFonts w:ascii="Calibri" w:eastAsia="MS Mincho" w:hAnsi="Calibri" w:cs="Calibri"/>
      <w:sz w:val="20"/>
      <w:szCs w:val="20"/>
      <w:lang w:val="en-NZ" w:eastAsia="ja-JP"/>
    </w:rPr>
  </w:style>
  <w:style w:type="paragraph" w:styleId="Caption">
    <w:name w:val="caption"/>
    <w:basedOn w:val="Normal"/>
    <w:next w:val="Normal"/>
    <w:link w:val="CaptionChar"/>
    <w:autoRedefine/>
    <w:uiPriority w:val="99"/>
    <w:qFormat/>
    <w:rsid w:val="005F4DCE"/>
    <w:pPr>
      <w:keepNext/>
      <w:spacing w:after="120" w:line="240" w:lineRule="auto"/>
    </w:pPr>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08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9A"/>
    <w:rPr>
      <w:rFonts w:ascii="Tahoma" w:eastAsia="MS Mincho" w:hAnsi="Tahoma" w:cs="Tahoma"/>
      <w:sz w:val="16"/>
      <w:szCs w:val="16"/>
      <w:lang w:val="en-NZ"/>
    </w:rPr>
  </w:style>
  <w:style w:type="table" w:styleId="TableGrid">
    <w:name w:val="Table Grid"/>
    <w:basedOn w:val="TableNormal"/>
    <w:rsid w:val="00B068B1"/>
    <w:pPr>
      <w:spacing w:after="0" w:line="240" w:lineRule="auto"/>
    </w:pPr>
    <w:rPr>
      <w:rFonts w:ascii="Calibri" w:eastAsia="MS Mincho" w:hAnsi="Calibri" w:cs="Calibri"/>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68B1"/>
    <w:pPr>
      <w:spacing w:before="100" w:beforeAutospacing="1" w:after="100" w:afterAutospacing="1" w:line="240" w:lineRule="auto"/>
    </w:pPr>
    <w:rPr>
      <w:rFonts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B068B1"/>
    <w:rPr>
      <w:b/>
      <w:bCs/>
      <w:lang w:eastAsia="en-US"/>
    </w:rPr>
  </w:style>
  <w:style w:type="character" w:customStyle="1" w:styleId="CommentSubjectChar">
    <w:name w:val="Comment Subject Char"/>
    <w:basedOn w:val="CommentTextChar"/>
    <w:link w:val="CommentSubject"/>
    <w:uiPriority w:val="99"/>
    <w:semiHidden/>
    <w:rsid w:val="00B068B1"/>
    <w:rPr>
      <w:rFonts w:ascii="Calibri" w:eastAsia="MS Mincho" w:hAnsi="Calibri" w:cs="Calibri"/>
      <w:b/>
      <w:bCs/>
      <w:sz w:val="20"/>
      <w:szCs w:val="20"/>
      <w:lang w:val="en-NZ" w:eastAsia="ja-JP"/>
    </w:rPr>
  </w:style>
  <w:style w:type="paragraph" w:customStyle="1" w:styleId="EndNoteBibliographyTitle">
    <w:name w:val="EndNote Bibliography Title"/>
    <w:basedOn w:val="Normal"/>
    <w:link w:val="EndNoteBibliographyTitleChar"/>
    <w:rsid w:val="00141217"/>
    <w:pPr>
      <w:spacing w:after="0"/>
      <w:jc w:val="center"/>
    </w:pPr>
    <w:rPr>
      <w:noProof/>
      <w:lang w:val="en-US"/>
    </w:rPr>
  </w:style>
  <w:style w:type="character" w:customStyle="1" w:styleId="CaptionChar">
    <w:name w:val="Caption Char"/>
    <w:basedOn w:val="DefaultParagraphFont"/>
    <w:link w:val="Caption"/>
    <w:uiPriority w:val="99"/>
    <w:rsid w:val="005F4DCE"/>
    <w:rPr>
      <w:rFonts w:ascii="Times New Roman" w:eastAsia="MS Mincho" w:hAnsi="Times New Roman" w:cs="Times New Roman"/>
      <w:b/>
      <w:bCs/>
      <w:sz w:val="24"/>
      <w:szCs w:val="24"/>
      <w:lang w:val="en-NZ"/>
    </w:rPr>
  </w:style>
  <w:style w:type="character" w:customStyle="1" w:styleId="EndNoteBibliographyTitleChar">
    <w:name w:val="EndNote Bibliography Title Char"/>
    <w:basedOn w:val="CaptionChar"/>
    <w:link w:val="EndNoteBibliographyTitle"/>
    <w:rsid w:val="00141217"/>
    <w:rPr>
      <w:rFonts w:ascii="Calibri" w:eastAsia="MS Mincho" w:hAnsi="Calibri" w:cs="Calibri"/>
      <w:b w:val="0"/>
      <w:bCs w:val="0"/>
      <w:noProof/>
      <w:sz w:val="24"/>
      <w:szCs w:val="20"/>
      <w:lang w:val="en-US"/>
    </w:rPr>
  </w:style>
  <w:style w:type="paragraph" w:customStyle="1" w:styleId="EndNoteBibliography">
    <w:name w:val="EndNote Bibliography"/>
    <w:basedOn w:val="Normal"/>
    <w:link w:val="EndNoteBibliographyChar"/>
    <w:rsid w:val="00141217"/>
    <w:pPr>
      <w:spacing w:line="240" w:lineRule="auto"/>
    </w:pPr>
    <w:rPr>
      <w:noProof/>
      <w:lang w:val="en-US"/>
    </w:rPr>
  </w:style>
  <w:style w:type="character" w:customStyle="1" w:styleId="EndNoteBibliographyChar">
    <w:name w:val="EndNote Bibliography Char"/>
    <w:basedOn w:val="CaptionChar"/>
    <w:link w:val="EndNoteBibliography"/>
    <w:rsid w:val="00141217"/>
    <w:rPr>
      <w:rFonts w:ascii="Calibri" w:eastAsia="MS Mincho" w:hAnsi="Calibri" w:cs="Calibri"/>
      <w:b w:val="0"/>
      <w:bCs w:val="0"/>
      <w:noProof/>
      <w:sz w:val="24"/>
      <w:szCs w:val="20"/>
      <w:lang w:val="en-US"/>
    </w:rPr>
  </w:style>
  <w:style w:type="character" w:styleId="Hyperlink">
    <w:name w:val="Hyperlink"/>
    <w:basedOn w:val="DefaultParagraphFont"/>
    <w:uiPriority w:val="99"/>
    <w:unhideWhenUsed/>
    <w:rsid w:val="00141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493">
      <w:bodyDiv w:val="1"/>
      <w:marLeft w:val="0"/>
      <w:marRight w:val="0"/>
      <w:marTop w:val="0"/>
      <w:marBottom w:val="0"/>
      <w:divBdr>
        <w:top w:val="none" w:sz="0" w:space="0" w:color="auto"/>
        <w:left w:val="none" w:sz="0" w:space="0" w:color="auto"/>
        <w:bottom w:val="none" w:sz="0" w:space="0" w:color="auto"/>
        <w:right w:val="none" w:sz="0" w:space="0" w:color="auto"/>
      </w:divBdr>
    </w:div>
    <w:div w:id="704525387">
      <w:bodyDiv w:val="1"/>
      <w:marLeft w:val="0"/>
      <w:marRight w:val="0"/>
      <w:marTop w:val="0"/>
      <w:marBottom w:val="0"/>
      <w:divBdr>
        <w:top w:val="none" w:sz="0" w:space="0" w:color="auto"/>
        <w:left w:val="none" w:sz="0" w:space="0" w:color="auto"/>
        <w:bottom w:val="none" w:sz="0" w:space="0" w:color="auto"/>
        <w:right w:val="none" w:sz="0" w:space="0" w:color="auto"/>
      </w:divBdr>
    </w:div>
    <w:div w:id="1156534972">
      <w:bodyDiv w:val="1"/>
      <w:marLeft w:val="0"/>
      <w:marRight w:val="0"/>
      <w:marTop w:val="0"/>
      <w:marBottom w:val="0"/>
      <w:divBdr>
        <w:top w:val="none" w:sz="0" w:space="0" w:color="auto"/>
        <w:left w:val="none" w:sz="0" w:space="0" w:color="auto"/>
        <w:bottom w:val="none" w:sz="0" w:space="0" w:color="auto"/>
        <w:right w:val="none" w:sz="0" w:space="0" w:color="auto"/>
      </w:divBdr>
    </w:div>
    <w:div w:id="1174615830">
      <w:bodyDiv w:val="1"/>
      <w:marLeft w:val="0"/>
      <w:marRight w:val="0"/>
      <w:marTop w:val="0"/>
      <w:marBottom w:val="0"/>
      <w:divBdr>
        <w:top w:val="none" w:sz="0" w:space="0" w:color="auto"/>
        <w:left w:val="none" w:sz="0" w:space="0" w:color="auto"/>
        <w:bottom w:val="none" w:sz="0" w:space="0" w:color="auto"/>
        <w:right w:val="none" w:sz="0" w:space="0" w:color="auto"/>
      </w:divBdr>
    </w:div>
    <w:div w:id="15122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new-zealand-health-system/health-targets/how-my-dhb-performing/how-my-dhb-performing-2015-16/health-targets-2015-16-quarter-1-results-summary"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clegh\Desktop\dietary%20counselling%20paper%2031%2005%2019\Manual%20results%20for%20diet%20counsel%20tornado%20plot%2031%2005%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clegh\Desktop\dietary%20counselling%20paper%2031%2005%2019\Manual%20results%20for%20diet%20counsel%20tornado%20plot%2031%2005%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776575123885803"/>
          <c:y val="0.12276060977118648"/>
          <c:w val="0.86712985399305487"/>
          <c:h val="0.76934735529654696"/>
        </c:manualLayout>
      </c:layout>
      <c:barChart>
        <c:barDir val="bar"/>
        <c:grouping val="clustered"/>
        <c:varyColors val="0"/>
        <c:ser>
          <c:idx val="0"/>
          <c:order val="0"/>
          <c:tx>
            <c:strRef>
              <c:f>'ind diet couns per pop'!$I$50</c:f>
              <c:strCache>
                <c:ptCount val="1"/>
                <c:pt idx="0">
                  <c:v>Incremental QALYs for 2.5th percentile of input parameter (low)</c:v>
                </c:pt>
              </c:strCache>
            </c:strRef>
          </c:tx>
          <c:spPr>
            <a:pattFill prst="pct80">
              <a:fgClr>
                <a:srgbClr val="0070C0"/>
              </a:fgClr>
              <a:bgClr>
                <a:schemeClr val="bg1"/>
              </a:bgClr>
            </a:pattFill>
          </c:spPr>
          <c:invertIfNegative val="0"/>
          <c:cat>
            <c:strRef>
              <c:f>'ind diet couns per pop'!$G$71:$G$82</c:f>
              <c:strCache>
                <c:ptCount val="12"/>
                <c:pt idx="0">
                  <c:v>Effect size</c:v>
                </c:pt>
                <c:pt idx="1">
                  <c:v>Referred to the intervention</c:v>
                </c:pt>
                <c:pt idx="2">
                  <c:v>Relative risks for BMI-incidence</c:v>
                </c:pt>
                <c:pt idx="3">
                  <c:v>Exposed to the  intervention</c:v>
                </c:pt>
                <c:pt idx="4">
                  <c:v>Height of NZ population</c:v>
                </c:pt>
                <c:pt idx="5">
                  <c:v>Disease-specific inc., CF, rem rates </c:v>
                </c:pt>
                <c:pt idx="6">
                  <c:v>Targeted by diabetes &amp; CVD checks</c:v>
                </c:pt>
                <c:pt idx="7">
                  <c:v>Total and disease morbidity per capita</c:v>
                </c:pt>
                <c:pt idx="8">
                  <c:v>Timelags</c:v>
                </c:pt>
                <c:pt idx="9">
                  <c:v>BMI TMREL</c:v>
                </c:pt>
                <c:pt idx="10">
                  <c:v>Disease trends</c:v>
                </c:pt>
                <c:pt idx="11">
                  <c:v>BMI decay</c:v>
                </c:pt>
              </c:strCache>
            </c:strRef>
          </c:cat>
          <c:val>
            <c:numRef>
              <c:f>'ind diet couns per pop'!$I$71:$I$82</c:f>
              <c:numCache>
                <c:formatCode>0</c:formatCode>
                <c:ptCount val="12"/>
                <c:pt idx="0">
                  <c:v>-258.18168816900459</c:v>
                </c:pt>
                <c:pt idx="1">
                  <c:v>153.70284523425084</c:v>
                </c:pt>
                <c:pt idx="2">
                  <c:v>190.6889018067607</c:v>
                </c:pt>
                <c:pt idx="3">
                  <c:v>202.49095189569141</c:v>
                </c:pt>
                <c:pt idx="4">
                  <c:v>299.75659355844897</c:v>
                </c:pt>
                <c:pt idx="5">
                  <c:v>230.22914504714629</c:v>
                </c:pt>
                <c:pt idx="6">
                  <c:v>224.14936002013843</c:v>
                </c:pt>
                <c:pt idx="7">
                  <c:v>231.92480974742315</c:v>
                </c:pt>
                <c:pt idx="8">
                  <c:v>227.73275230010788</c:v>
                </c:pt>
                <c:pt idx="9">
                  <c:v>253.01961551747877</c:v>
                </c:pt>
                <c:pt idx="10">
                  <c:v>253.73631595797448</c:v>
                </c:pt>
                <c:pt idx="11">
                  <c:v>252.87167252219987</c:v>
                </c:pt>
              </c:numCache>
            </c:numRef>
          </c:val>
          <c:extLst>
            <c:ext xmlns:c16="http://schemas.microsoft.com/office/drawing/2014/chart" uri="{C3380CC4-5D6E-409C-BE32-E72D297353CC}">
              <c16:uniqueId val="{00000000-538D-4420-AA6D-A8EFB7C677B2}"/>
            </c:ext>
          </c:extLst>
        </c:ser>
        <c:ser>
          <c:idx val="1"/>
          <c:order val="1"/>
          <c:tx>
            <c:strRef>
              <c:f>'ind diet couns per pop'!$H$50</c:f>
              <c:strCache>
                <c:ptCount val="1"/>
                <c:pt idx="0">
                  <c:v>Incremental QALYs for 97.5th percentile of input parameter  (high)</c:v>
                </c:pt>
              </c:strCache>
            </c:strRef>
          </c:tx>
          <c:spPr>
            <a:solidFill>
              <a:schemeClr val="accent6">
                <a:lumMod val="75000"/>
              </a:schemeClr>
            </a:solidFill>
          </c:spPr>
          <c:invertIfNegative val="0"/>
          <c:cat>
            <c:strRef>
              <c:f>'ind diet couns per pop'!$G$71:$G$82</c:f>
              <c:strCache>
                <c:ptCount val="12"/>
                <c:pt idx="0">
                  <c:v>Effect size</c:v>
                </c:pt>
                <c:pt idx="1">
                  <c:v>Referred to the intervention</c:v>
                </c:pt>
                <c:pt idx="2">
                  <c:v>Relative risks for BMI-incidence</c:v>
                </c:pt>
                <c:pt idx="3">
                  <c:v>Exposed to the  intervention</c:v>
                </c:pt>
                <c:pt idx="4">
                  <c:v>Height of NZ population</c:v>
                </c:pt>
                <c:pt idx="5">
                  <c:v>Disease-specific inc., CF, rem rates </c:v>
                </c:pt>
                <c:pt idx="6">
                  <c:v>Targeted by diabetes &amp; CVD checks</c:v>
                </c:pt>
                <c:pt idx="7">
                  <c:v>Total and disease morbidity per capita</c:v>
                </c:pt>
                <c:pt idx="8">
                  <c:v>Timelags</c:v>
                </c:pt>
                <c:pt idx="9">
                  <c:v>BMI TMREL</c:v>
                </c:pt>
                <c:pt idx="10">
                  <c:v>Disease trends</c:v>
                </c:pt>
                <c:pt idx="11">
                  <c:v>BMI decay</c:v>
                </c:pt>
              </c:strCache>
            </c:strRef>
          </c:cat>
          <c:val>
            <c:numRef>
              <c:f>'ind diet couns per pop'!$H$71:$H$82</c:f>
              <c:numCache>
                <c:formatCode>0</c:formatCode>
                <c:ptCount val="12"/>
                <c:pt idx="0">
                  <c:v>749.8259534816757</c:v>
                </c:pt>
                <c:pt idx="1">
                  <c:v>337.94606717543888</c:v>
                </c:pt>
                <c:pt idx="2">
                  <c:v>340.00533126504155</c:v>
                </c:pt>
                <c:pt idx="3">
                  <c:v>302.14171469113586</c:v>
                </c:pt>
                <c:pt idx="4">
                  <c:v>215.622218015089</c:v>
                </c:pt>
                <c:pt idx="5">
                  <c:v>278.82391459394461</c:v>
                </c:pt>
                <c:pt idx="6">
                  <c:v>272.22321999231224</c:v>
                </c:pt>
                <c:pt idx="7">
                  <c:v>275.9369771772441</c:v>
                </c:pt>
                <c:pt idx="8">
                  <c:v>258.99982575469818</c:v>
                </c:pt>
                <c:pt idx="9">
                  <c:v>231.48791673604634</c:v>
                </c:pt>
                <c:pt idx="10">
                  <c:v>251.08795703787129</c:v>
                </c:pt>
                <c:pt idx="11">
                  <c:v>252.87167252219987</c:v>
                </c:pt>
              </c:numCache>
            </c:numRef>
          </c:val>
          <c:extLst>
            <c:ext xmlns:c16="http://schemas.microsoft.com/office/drawing/2014/chart" uri="{C3380CC4-5D6E-409C-BE32-E72D297353CC}">
              <c16:uniqueId val="{00000001-538D-4420-AA6D-A8EFB7C677B2}"/>
            </c:ext>
          </c:extLst>
        </c:ser>
        <c:dLbls>
          <c:showLegendKey val="0"/>
          <c:showVal val="0"/>
          <c:showCatName val="0"/>
          <c:showSerName val="0"/>
          <c:showPercent val="0"/>
          <c:showBubbleSize val="0"/>
        </c:dLbls>
        <c:gapWidth val="150"/>
        <c:overlap val="100"/>
        <c:axId val="463948800"/>
        <c:axId val="159138560"/>
      </c:barChart>
      <c:catAx>
        <c:axId val="463948800"/>
        <c:scaling>
          <c:orientation val="maxMin"/>
        </c:scaling>
        <c:delete val="0"/>
        <c:axPos val="l"/>
        <c:numFmt formatCode="General" sourceLinked="0"/>
        <c:majorTickMark val="out"/>
        <c:minorTickMark val="none"/>
        <c:tickLblPos val="low"/>
        <c:crossAx val="159138560"/>
        <c:crossesAt val="253"/>
        <c:auto val="1"/>
        <c:lblAlgn val="ctr"/>
        <c:lblOffset val="100"/>
        <c:noMultiLvlLbl val="0"/>
      </c:catAx>
      <c:valAx>
        <c:axId val="159138560"/>
        <c:scaling>
          <c:orientation val="minMax"/>
          <c:max val="800"/>
          <c:min val="-270"/>
        </c:scaling>
        <c:delete val="0"/>
        <c:axPos val="t"/>
        <c:majorGridlines>
          <c:spPr>
            <a:ln w="6350">
              <a:prstDash val="dashDot"/>
            </a:ln>
          </c:spPr>
        </c:majorGridlines>
        <c:title>
          <c:tx>
            <c:rich>
              <a:bodyPr/>
              <a:lstStyle/>
              <a:p>
                <a:pPr>
                  <a:defRPr/>
                </a:pPr>
                <a:r>
                  <a:rPr lang="en-US"/>
                  <a:t>QALYs gained </a:t>
                </a:r>
                <a:endParaRPr lang="en-NZ"/>
              </a:p>
            </c:rich>
          </c:tx>
          <c:overlay val="0"/>
        </c:title>
        <c:numFmt formatCode="#,##0" sourceLinked="0"/>
        <c:majorTickMark val="out"/>
        <c:minorTickMark val="none"/>
        <c:tickLblPos val="nextTo"/>
        <c:crossAx val="463948800"/>
        <c:crosses val="autoZero"/>
        <c:crossBetween val="between"/>
      </c:valAx>
    </c:plotArea>
    <c:legend>
      <c:legendPos val="r"/>
      <c:layout>
        <c:manualLayout>
          <c:xMode val="edge"/>
          <c:yMode val="edge"/>
          <c:x val="0.6961368995111189"/>
          <c:y val="0.62258455303549165"/>
          <c:w val="0.27747963933485037"/>
          <c:h val="0.27104681101394879"/>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18705100129808"/>
          <c:y val="0.19928490940558932"/>
          <c:w val="0.86712985399305487"/>
          <c:h val="0.63100456471615463"/>
        </c:manualLayout>
      </c:layout>
      <c:barChart>
        <c:barDir val="bar"/>
        <c:grouping val="clustered"/>
        <c:varyColors val="0"/>
        <c:ser>
          <c:idx val="0"/>
          <c:order val="0"/>
          <c:tx>
            <c:strRef>
              <c:f>'ind diet couns per pop'!$D$50</c:f>
              <c:strCache>
                <c:ptCount val="1"/>
                <c:pt idx="0">
                  <c:v>Incremental cost for 2.5th percentile of input parameter (low)</c:v>
                </c:pt>
              </c:strCache>
            </c:strRef>
          </c:tx>
          <c:spPr>
            <a:pattFill prst="pct80">
              <a:fgClr>
                <a:schemeClr val="accent1"/>
              </a:fgClr>
              <a:bgClr>
                <a:schemeClr val="bg1"/>
              </a:bgClr>
            </a:pattFill>
          </c:spPr>
          <c:invertIfNegative val="0"/>
          <c:cat>
            <c:strRef>
              <c:f>'ind diet couns per pop'!$B$90:$B$101</c:f>
              <c:strCache>
                <c:ptCount val="12"/>
                <c:pt idx="0">
                  <c:v>Effect size</c:v>
                </c:pt>
                <c:pt idx="1">
                  <c:v>Intervention costs</c:v>
                </c:pt>
                <c:pt idx="2">
                  <c:v>Referred to the intervention</c:v>
                </c:pt>
                <c:pt idx="3">
                  <c:v>Relative risks for BMI-incidence</c:v>
                </c:pt>
                <c:pt idx="4">
                  <c:v>Health system costs</c:v>
                </c:pt>
                <c:pt idx="5">
                  <c:v>Exposed to the  intervention</c:v>
                </c:pt>
                <c:pt idx="6">
                  <c:v>Height of NZ population</c:v>
                </c:pt>
                <c:pt idx="7">
                  <c:v>Targeted by diabetes &amp; CVD checks</c:v>
                </c:pt>
                <c:pt idx="8">
                  <c:v>Timelags</c:v>
                </c:pt>
                <c:pt idx="9">
                  <c:v>Disease-specific inc., CF, rem rates </c:v>
                </c:pt>
                <c:pt idx="10">
                  <c:v>BMI TMREL</c:v>
                </c:pt>
                <c:pt idx="11">
                  <c:v>Disease trends</c:v>
                </c:pt>
              </c:strCache>
            </c:strRef>
          </c:cat>
          <c:val>
            <c:numRef>
              <c:f>'ind diet couns per pop'!$D$90:$D$102</c:f>
              <c:numCache>
                <c:formatCode>_("$"* #,##0.00_);_("$"* \(#,##0.00\);_("$"* "-"??_);_(@_)</c:formatCode>
                <c:ptCount val="13"/>
                <c:pt idx="0">
                  <c:v>42.950714648893808</c:v>
                </c:pt>
                <c:pt idx="1">
                  <c:v>26.268373798697294</c:v>
                </c:pt>
                <c:pt idx="2">
                  <c:v>35.520452722574731</c:v>
                </c:pt>
                <c:pt idx="3">
                  <c:v>34.801360673449274</c:v>
                </c:pt>
                <c:pt idx="4">
                  <c:v>34.566583387007306</c:v>
                </c:pt>
                <c:pt idx="5">
                  <c:v>34.639789089531845</c:v>
                </c:pt>
                <c:pt idx="6">
                  <c:v>32.885282454015645</c:v>
                </c:pt>
                <c:pt idx="7">
                  <c:v>34.24871004844654</c:v>
                </c:pt>
                <c:pt idx="8">
                  <c:v>34.192065887547756</c:v>
                </c:pt>
                <c:pt idx="9">
                  <c:v>33.920303355661723</c:v>
                </c:pt>
                <c:pt idx="10">
                  <c:v>33.728247180087152</c:v>
                </c:pt>
                <c:pt idx="11">
                  <c:v>33.73803883499442</c:v>
                </c:pt>
                <c:pt idx="12">
                  <c:v>33.730959766379193</c:v>
                </c:pt>
              </c:numCache>
            </c:numRef>
          </c:val>
          <c:extLst>
            <c:ext xmlns:c16="http://schemas.microsoft.com/office/drawing/2014/chart" uri="{C3380CC4-5D6E-409C-BE32-E72D297353CC}">
              <c16:uniqueId val="{00000000-2B37-479D-A319-CB1B6C78F1D9}"/>
            </c:ext>
          </c:extLst>
        </c:ser>
        <c:ser>
          <c:idx val="1"/>
          <c:order val="1"/>
          <c:tx>
            <c:strRef>
              <c:f>'ind diet couns per pop'!$C$50</c:f>
              <c:strCache>
                <c:ptCount val="1"/>
                <c:pt idx="0">
                  <c:v>Incremental cost for 97.5th percentile of input parameter (high)</c:v>
                </c:pt>
              </c:strCache>
            </c:strRef>
          </c:tx>
          <c:spPr>
            <a:solidFill>
              <a:schemeClr val="accent6">
                <a:lumMod val="75000"/>
              </a:schemeClr>
            </a:solidFill>
          </c:spPr>
          <c:invertIfNegative val="0"/>
          <c:cat>
            <c:strRef>
              <c:f>'ind diet couns per pop'!$B$90:$B$101</c:f>
              <c:strCache>
                <c:ptCount val="12"/>
                <c:pt idx="0">
                  <c:v>Effect size</c:v>
                </c:pt>
                <c:pt idx="1">
                  <c:v>Intervention costs</c:v>
                </c:pt>
                <c:pt idx="2">
                  <c:v>Referred to the intervention</c:v>
                </c:pt>
                <c:pt idx="3">
                  <c:v>Relative risks for BMI-incidence</c:v>
                </c:pt>
                <c:pt idx="4">
                  <c:v>Health system costs</c:v>
                </c:pt>
                <c:pt idx="5">
                  <c:v>Exposed to the  intervention</c:v>
                </c:pt>
                <c:pt idx="6">
                  <c:v>Height of NZ population</c:v>
                </c:pt>
                <c:pt idx="7">
                  <c:v>Targeted by diabetes &amp; CVD checks</c:v>
                </c:pt>
                <c:pt idx="8">
                  <c:v>Timelags</c:v>
                </c:pt>
                <c:pt idx="9">
                  <c:v>Disease-specific inc., CF, rem rates </c:v>
                </c:pt>
                <c:pt idx="10">
                  <c:v>BMI TMREL</c:v>
                </c:pt>
                <c:pt idx="11">
                  <c:v>Disease trends</c:v>
                </c:pt>
              </c:strCache>
            </c:strRef>
          </c:cat>
          <c:val>
            <c:numRef>
              <c:f>'ind diet couns per pop'!$C$90:$C$101</c:f>
              <c:numCache>
                <c:formatCode>_("$"* #,##0.00_);_("$"* \(#,##0.00\);_("$"* "-"??_);_(@_)</c:formatCode>
                <c:ptCount val="12"/>
                <c:pt idx="0">
                  <c:v>24.77798652428995</c:v>
                </c:pt>
                <c:pt idx="1">
                  <c:v>41.829858376338997</c:v>
                </c:pt>
                <c:pt idx="2">
                  <c:v>32.191389657755145</c:v>
                </c:pt>
                <c:pt idx="3">
                  <c:v>32.287274927427084</c:v>
                </c:pt>
                <c:pt idx="4">
                  <c:v>32.757697295974481</c:v>
                </c:pt>
                <c:pt idx="5">
                  <c:v>32.842883436201333</c:v>
                </c:pt>
                <c:pt idx="6">
                  <c:v>34.403027144778761</c:v>
                </c:pt>
                <c:pt idx="7">
                  <c:v>33.382015798338024</c:v>
                </c:pt>
                <c:pt idx="8">
                  <c:v>33.582651127810045</c:v>
                </c:pt>
                <c:pt idx="9">
                  <c:v>33.546560848864559</c:v>
                </c:pt>
                <c:pt idx="10">
                  <c:v>34.066220397024992</c:v>
                </c:pt>
                <c:pt idx="11">
                  <c:v>33.749421899584824</c:v>
                </c:pt>
              </c:numCache>
            </c:numRef>
          </c:val>
          <c:extLst>
            <c:ext xmlns:c16="http://schemas.microsoft.com/office/drawing/2014/chart" uri="{C3380CC4-5D6E-409C-BE32-E72D297353CC}">
              <c16:uniqueId val="{00000001-2B37-479D-A319-CB1B6C78F1D9}"/>
            </c:ext>
          </c:extLst>
        </c:ser>
        <c:dLbls>
          <c:showLegendKey val="0"/>
          <c:showVal val="0"/>
          <c:showCatName val="0"/>
          <c:showSerName val="0"/>
          <c:showPercent val="0"/>
          <c:showBubbleSize val="0"/>
        </c:dLbls>
        <c:gapWidth val="150"/>
        <c:overlap val="100"/>
        <c:axId val="159148288"/>
        <c:axId val="159154176"/>
      </c:barChart>
      <c:catAx>
        <c:axId val="159148288"/>
        <c:scaling>
          <c:orientation val="maxMin"/>
        </c:scaling>
        <c:delete val="0"/>
        <c:axPos val="l"/>
        <c:numFmt formatCode="General" sourceLinked="1"/>
        <c:majorTickMark val="out"/>
        <c:minorTickMark val="none"/>
        <c:tickLblPos val="low"/>
        <c:txPr>
          <a:bodyPr/>
          <a:lstStyle/>
          <a:p>
            <a:pPr>
              <a:defRPr>
                <a:latin typeface="Times New Roman" panose="02020603050405020304" pitchFamily="18" charset="0"/>
                <a:cs typeface="Times New Roman" panose="02020603050405020304" pitchFamily="18" charset="0"/>
              </a:defRPr>
            </a:pPr>
            <a:endParaRPr lang="en-US"/>
          </a:p>
        </c:txPr>
        <c:crossAx val="159154176"/>
        <c:crossesAt val="33.730000000000004"/>
        <c:auto val="1"/>
        <c:lblAlgn val="ctr"/>
        <c:lblOffset val="100"/>
        <c:noMultiLvlLbl val="0"/>
      </c:catAx>
      <c:valAx>
        <c:axId val="159154176"/>
        <c:scaling>
          <c:orientation val="minMax"/>
          <c:max val="43.949999999999996"/>
          <c:min val="23.779999999999998"/>
        </c:scaling>
        <c:delete val="0"/>
        <c:axPos val="t"/>
        <c:majorGridlines>
          <c:spPr>
            <a:ln w="6350">
              <a:solidFill>
                <a:schemeClr val="bg1">
                  <a:lumMod val="75000"/>
                </a:schemeClr>
              </a:solidFill>
              <a:prstDash val="dashDot"/>
            </a:ln>
          </c:spPr>
        </c:majorGridlines>
        <c:title>
          <c:tx>
            <c:rich>
              <a:bodyPr/>
              <a:lstStyle/>
              <a:p>
                <a:pPr>
                  <a:defRPr sz="1200">
                    <a:latin typeface="Times New Roman" panose="02020603050405020304" pitchFamily="18" charset="0"/>
                    <a:cs typeface="Times New Roman" panose="02020603050405020304" pitchFamily="18" charset="0"/>
                  </a:defRPr>
                </a:pPr>
                <a:r>
                  <a:rPr lang="en-NZ" sz="1200" b="1" i="0" baseline="0">
                    <a:effectLst/>
                    <a:latin typeface="Times New Roman" panose="02020603050405020304" pitchFamily="18" charset="0"/>
                    <a:cs typeface="Times New Roman" panose="02020603050405020304" pitchFamily="18" charset="0"/>
                  </a:rPr>
                  <a:t>Incremental cost (2011 NZ$ million)</a:t>
                </a:r>
                <a:endParaRPr lang="en-NZ" sz="1200">
                  <a:effectLst/>
                  <a:latin typeface="Times New Roman" panose="02020603050405020304" pitchFamily="18" charset="0"/>
                  <a:cs typeface="Times New Roman" panose="02020603050405020304" pitchFamily="18" charset="0"/>
                </a:endParaRPr>
              </a:p>
            </c:rich>
          </c:tx>
          <c:layout>
            <c:manualLayout>
              <c:xMode val="edge"/>
              <c:yMode val="edge"/>
              <c:x val="0.51400543775431062"/>
              <c:y val="3.7623376323866975E-2"/>
            </c:manualLayout>
          </c:layout>
          <c:overlay val="0"/>
        </c:title>
        <c:numFmt formatCode="&quot;$&quot;#,##0.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59148288"/>
        <c:crosses val="autoZero"/>
        <c:crossBetween val="between"/>
      </c:valAx>
    </c:plotArea>
    <c:legend>
      <c:legendPos val="r"/>
      <c:layout>
        <c:manualLayout>
          <c:xMode val="edge"/>
          <c:yMode val="edge"/>
          <c:x val="0.71745855217499332"/>
          <c:y val="0.56289665055706051"/>
          <c:w val="0.25982127098095326"/>
          <c:h val="0.19489128295286881"/>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589F-858B-480B-B0D9-4F6F5987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Cleghorn</dc:creator>
  <cp:lastModifiedBy>Gillian</cp:lastModifiedBy>
  <cp:revision>2</cp:revision>
  <dcterms:created xsi:type="dcterms:W3CDTF">2019-10-07T13:18:00Z</dcterms:created>
  <dcterms:modified xsi:type="dcterms:W3CDTF">2019-10-07T13:18:00Z</dcterms:modified>
</cp:coreProperties>
</file>