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F3A3" w14:textId="77777777" w:rsidR="007A630C" w:rsidRPr="00D6350A" w:rsidRDefault="007A630C" w:rsidP="00904A8B">
      <w:pPr>
        <w:spacing w:line="360" w:lineRule="auto"/>
        <w:rPr>
          <w:b/>
          <w:bCs/>
          <w:szCs w:val="24"/>
          <w:lang w:eastAsia="sv-SE"/>
        </w:rPr>
      </w:pPr>
      <w:r w:rsidRPr="00D6350A">
        <w:rPr>
          <w:b/>
          <w:bCs/>
          <w:szCs w:val="24"/>
          <w:lang w:eastAsia="sv-SE"/>
        </w:rPr>
        <w:t>Supplementary Table 1. Greenhouse gas emissions expressed as kg carbon dioxide equivalents (CO</w:t>
      </w:r>
      <w:r w:rsidRPr="00D6350A">
        <w:rPr>
          <w:b/>
          <w:bCs/>
          <w:szCs w:val="24"/>
          <w:vertAlign w:val="subscript"/>
          <w:lang w:eastAsia="sv-SE"/>
        </w:rPr>
        <w:t>2</w:t>
      </w:r>
      <w:r w:rsidRPr="00D6350A">
        <w:rPr>
          <w:b/>
          <w:bCs/>
          <w:szCs w:val="24"/>
          <w:lang w:eastAsia="sv-SE"/>
        </w:rPr>
        <w:t>e) per kg edible food products.</w:t>
      </w:r>
    </w:p>
    <w:p w14:paraId="34F592C6" w14:textId="77777777" w:rsidR="007A630C" w:rsidRPr="00D6350A" w:rsidRDefault="007A630C" w:rsidP="00904A8B">
      <w:pPr>
        <w:spacing w:line="360" w:lineRule="auto"/>
        <w:rPr>
          <w:b/>
          <w:bCs/>
          <w:szCs w:val="24"/>
          <w:lang w:eastAsia="sv-SE"/>
        </w:rPr>
      </w:pPr>
    </w:p>
    <w:p w14:paraId="4C0C989C" w14:textId="77777777" w:rsidR="007A630C" w:rsidRPr="00D6350A" w:rsidRDefault="007A630C" w:rsidP="00904A8B">
      <w:pPr>
        <w:spacing w:line="360" w:lineRule="auto"/>
      </w:pPr>
      <w:r w:rsidRPr="00D6350A">
        <w:t>To calculate greenhouse gas emissions (GHGE) for diet, each food product was linked to data on emissions from life cycle assessment (LCA) studies. The climate impact fr</w:t>
      </w:r>
      <w:bookmarkStart w:id="0" w:name="_GoBack"/>
      <w:bookmarkEnd w:id="0"/>
      <w:r w:rsidRPr="00D6350A">
        <w:t>om the LCA studies is expressed as carbon dioxide equivalents (CO</w:t>
      </w:r>
      <w:r w:rsidRPr="00D6350A">
        <w:rPr>
          <w:vertAlign w:val="subscript"/>
        </w:rPr>
        <w:t>2</w:t>
      </w:r>
      <w:r w:rsidRPr="00D6350A">
        <w:t>e) as different greenhouse gases have different global warming potential (GWP). The GWP factors are used to create the common unit CO</w:t>
      </w:r>
      <w:r w:rsidRPr="00D6350A">
        <w:rPr>
          <w:vertAlign w:val="subscript"/>
        </w:rPr>
        <w:t>2</w:t>
      </w:r>
      <w:r w:rsidRPr="00D6350A">
        <w:t xml:space="preserve">e per kg food product and are based on a 100-year time horizon. For plant-based foods, except rice, GWP factors </w:t>
      </w:r>
      <w:r w:rsidRPr="00D6350A">
        <w:rPr>
          <w:lang w:val="en-GB"/>
        </w:rPr>
        <w:t>from the 4</w:t>
      </w:r>
      <w:r w:rsidRPr="00D6350A">
        <w:rPr>
          <w:vertAlign w:val="superscript"/>
          <w:lang w:val="en-GB"/>
        </w:rPr>
        <w:t>th</w:t>
      </w:r>
      <w:r w:rsidRPr="00D6350A">
        <w:rPr>
          <w:lang w:val="en-GB"/>
        </w:rPr>
        <w:t xml:space="preserve"> assessment report by the </w:t>
      </w:r>
      <w:r w:rsidRPr="00D6350A">
        <w:rPr>
          <w:bCs/>
        </w:rPr>
        <w:t>Intergovernmental Panel on Climate Change</w:t>
      </w:r>
      <w:r w:rsidRPr="00D6350A">
        <w:rPr>
          <w:lang w:val="en-GB"/>
        </w:rPr>
        <w:t xml:space="preserve"> (IPCC) </w:t>
      </w:r>
      <w:r w:rsidRPr="00D6350A">
        <w:rPr>
          <w:noProof/>
          <w:vertAlign w:val="superscript"/>
          <w:lang w:val="en-GB"/>
        </w:rPr>
        <w:t>(S1)</w:t>
      </w:r>
      <w:r w:rsidRPr="00D6350A">
        <w:rPr>
          <w:lang w:val="en-GB"/>
        </w:rPr>
        <w:t>, were used in this paper, i.e., 1</w:t>
      </w:r>
      <w:r w:rsidRPr="00D6350A">
        <w:t xml:space="preserve"> for carbon dioxide, 25 for methane, and 296 for nitrous oxide.</w:t>
      </w:r>
      <w:r w:rsidRPr="00D6350A">
        <w:rPr>
          <w:lang w:val="en-GB"/>
        </w:rPr>
        <w:t xml:space="preserve"> However, for animal-based foods and rice the updated GWP factor for methane, 34, from the 5</w:t>
      </w:r>
      <w:r w:rsidRPr="00D6350A">
        <w:rPr>
          <w:vertAlign w:val="superscript"/>
          <w:lang w:val="en-GB"/>
        </w:rPr>
        <w:t>th</w:t>
      </w:r>
      <w:r w:rsidRPr="00D6350A">
        <w:rPr>
          <w:lang w:val="en-GB"/>
        </w:rPr>
        <w:t xml:space="preserve"> assessment report (IPCC) </w:t>
      </w:r>
      <w:r w:rsidRPr="00D6350A">
        <w:rPr>
          <w:noProof/>
          <w:vertAlign w:val="superscript"/>
          <w:lang w:val="en-GB"/>
        </w:rPr>
        <w:t>(S2)</w:t>
      </w:r>
      <w:r w:rsidRPr="00D6350A">
        <w:rPr>
          <w:lang w:val="en-GB"/>
        </w:rPr>
        <w:t xml:space="preserve"> was used. </w:t>
      </w:r>
    </w:p>
    <w:p w14:paraId="1A477AFB" w14:textId="77777777" w:rsidR="007A630C" w:rsidRPr="00D6350A" w:rsidRDefault="007A630C" w:rsidP="00904A8B">
      <w:pPr>
        <w:spacing w:line="360" w:lineRule="auto"/>
      </w:pPr>
    </w:p>
    <w:p w14:paraId="4345AEA6" w14:textId="2B9EC0D1" w:rsidR="007A630C" w:rsidRPr="00D6350A" w:rsidRDefault="007A630C" w:rsidP="00904A8B">
      <w:pPr>
        <w:spacing w:line="360" w:lineRule="auto"/>
        <w:rPr>
          <w:lang w:val="en-GB"/>
        </w:rPr>
      </w:pPr>
      <w:r w:rsidRPr="00D6350A">
        <w:t xml:space="preserve">The system boundaries used in the present paper were primary production, i.e., including emissions from agriculture (including production of inputs as, e.g., fertilizers), up to and including retail phase. </w:t>
      </w:r>
      <w:r w:rsidR="007D2FEF" w:rsidRPr="00D6350A">
        <w:rPr>
          <w:lang w:eastAsia="sv-SE"/>
        </w:rPr>
        <w:t>Emissions after retail phase such as consumer transportation, storing, cooking, and waste management, were hence not included, nor were emissions related to land-use change.</w:t>
      </w:r>
      <w:r w:rsidR="007D2FEF" w:rsidRPr="00D6350A">
        <w:t xml:space="preserve"> </w:t>
      </w:r>
      <w:r w:rsidRPr="00D6350A">
        <w:t xml:space="preserve">A majority of the </w:t>
      </w:r>
      <w:r w:rsidR="00A62D7C" w:rsidRPr="00D6350A">
        <w:t xml:space="preserve">original </w:t>
      </w:r>
      <w:r w:rsidRPr="00D6350A">
        <w:t xml:space="preserve">LCA studies that were used </w:t>
      </w:r>
      <w:r w:rsidR="007D2FEF" w:rsidRPr="00D6350A">
        <w:t>reported</w:t>
      </w:r>
      <w:r w:rsidRPr="00D6350A">
        <w:t xml:space="preserve"> GHGE according to the selected system boundaries. In cases where </w:t>
      </w:r>
      <w:r w:rsidR="00A62D7C" w:rsidRPr="00D6350A">
        <w:t xml:space="preserve">original </w:t>
      </w:r>
      <w:r w:rsidRPr="00D6350A">
        <w:t xml:space="preserve">LCA studies did not </w:t>
      </w:r>
      <w:r w:rsidR="007D2FEF" w:rsidRPr="00D6350A">
        <w:t>use</w:t>
      </w:r>
      <w:r w:rsidRPr="00D6350A">
        <w:t xml:space="preserve"> the same system boundaries, emissions were harmonized by adding standard emissions </w:t>
      </w:r>
      <w:r w:rsidRPr="00D6350A">
        <w:rPr>
          <w:noProof/>
          <w:vertAlign w:val="superscript"/>
        </w:rPr>
        <w:t>(S3)</w:t>
      </w:r>
      <w:r w:rsidRPr="00D6350A">
        <w:t xml:space="preserve"> for </w:t>
      </w:r>
      <w:r w:rsidR="00A62D7C" w:rsidRPr="00D6350A">
        <w:t>the missing</w:t>
      </w:r>
      <w:r w:rsidR="005F185F" w:rsidRPr="00D6350A">
        <w:t xml:space="preserve"> </w:t>
      </w:r>
      <w:r w:rsidRPr="00D6350A">
        <w:t>stages in the food system, e.g. transportation</w:t>
      </w:r>
      <w:r w:rsidR="00A62D7C" w:rsidRPr="00D6350A">
        <w:t xml:space="preserve"> (between farm and retail) and</w:t>
      </w:r>
      <w:r w:rsidRPr="00D6350A">
        <w:t xml:space="preserve"> packaging</w:t>
      </w:r>
      <w:r w:rsidRPr="00D6350A">
        <w:rPr>
          <w:lang w:eastAsia="sv-SE"/>
        </w:rPr>
        <w:t xml:space="preserve">. </w:t>
      </w:r>
      <w:r w:rsidRPr="00D6350A">
        <w:t>In the present analyses, GHGE are calculated per kg edible food product, i.e., meat without bone, and</w:t>
      </w:r>
      <w:r w:rsidRPr="00D6350A">
        <w:rPr>
          <w:lang w:eastAsia="sv-SE"/>
        </w:rPr>
        <w:t xml:space="preserve"> emission values refer to food in prepared form. In cases where LCA studies presented the emission value of a raw food, re-calculations to adjust for cooking were made. Weight changes due to both hydration, i.e., cooking of rice, and dehydration, i.e., cooking of meat, were considered </w:t>
      </w:r>
      <w:r w:rsidRPr="00D6350A">
        <w:rPr>
          <w:noProof/>
          <w:vertAlign w:val="superscript"/>
          <w:lang w:eastAsia="sv-SE"/>
        </w:rPr>
        <w:t>(S3-S7)</w:t>
      </w:r>
      <w:r w:rsidRPr="00D6350A">
        <w:rPr>
          <w:lang w:eastAsia="sv-SE"/>
        </w:rPr>
        <w:t xml:space="preserve">. </w:t>
      </w:r>
      <w:r w:rsidRPr="00D6350A">
        <w:rPr>
          <w:lang w:val="en-GB"/>
        </w:rPr>
        <w:t xml:space="preserve">For all foods, emissions from unavoidable food waste (i.e. shell and bone), as well as avoidable food waste along the food chain, were included. In cases were LCA studies did not include waste, adjustments were made </w:t>
      </w:r>
      <w:r w:rsidRPr="00D6350A">
        <w:rPr>
          <w:noProof/>
          <w:vertAlign w:val="superscript"/>
          <w:lang w:val="en-GB"/>
        </w:rPr>
        <w:t>(S3)</w:t>
      </w:r>
      <w:r w:rsidRPr="00D6350A">
        <w:rPr>
          <w:lang w:val="en-GB"/>
        </w:rPr>
        <w:t xml:space="preserve">. </w:t>
      </w:r>
    </w:p>
    <w:p w14:paraId="6349EA5F" w14:textId="77777777" w:rsidR="007A630C" w:rsidRPr="00D6350A" w:rsidRDefault="007A630C" w:rsidP="00904A8B">
      <w:pPr>
        <w:spacing w:line="360" w:lineRule="auto"/>
        <w:rPr>
          <w:lang w:val="en-GB"/>
        </w:rPr>
      </w:pPr>
    </w:p>
    <w:p w14:paraId="25B13713" w14:textId="76C4A1FE" w:rsidR="007A630C" w:rsidRPr="00D6350A" w:rsidRDefault="007A630C" w:rsidP="00904A8B">
      <w:pPr>
        <w:spacing w:line="360" w:lineRule="auto"/>
        <w:rPr>
          <w:b/>
          <w:bCs/>
          <w:szCs w:val="24"/>
          <w:lang w:eastAsia="sv-SE"/>
        </w:rPr>
      </w:pPr>
      <w:r w:rsidRPr="00D6350A">
        <w:rPr>
          <w:lang w:val="en-GB"/>
        </w:rPr>
        <w:t xml:space="preserve">To capture variations in GHGE within a sub-group, emission values were based on weighted averages </w:t>
      </w:r>
      <w:r w:rsidR="00C42083" w:rsidRPr="00D6350A">
        <w:rPr>
          <w:lang w:val="en-GB"/>
        </w:rPr>
        <w:t>for some food groups</w:t>
      </w:r>
      <w:r w:rsidR="00C42083" w:rsidRPr="00D6350A">
        <w:t xml:space="preserve">. The weighted averages were used to </w:t>
      </w:r>
      <w:r w:rsidRPr="00D6350A">
        <w:rPr>
          <w:lang w:val="en-GB"/>
        </w:rPr>
        <w:t>reflect differences in emission values due to type of food</w:t>
      </w:r>
      <w:r w:rsidR="00C42083" w:rsidRPr="00D6350A">
        <w:rPr>
          <w:lang w:val="en-GB"/>
        </w:rPr>
        <w:t xml:space="preserve"> within the </w:t>
      </w:r>
      <w:r w:rsidR="001815BF" w:rsidRPr="00D6350A">
        <w:rPr>
          <w:lang w:val="en-GB"/>
        </w:rPr>
        <w:t xml:space="preserve">sub groups “meat”, “fat fish”, “smoked fish”, </w:t>
      </w:r>
      <w:r w:rsidR="001815BF" w:rsidRPr="00D6350A">
        <w:rPr>
          <w:lang w:val="en-GB"/>
        </w:rPr>
        <w:lastRenderedPageBreak/>
        <w:t xml:space="preserve">“sausage”, “cream, </w:t>
      </w:r>
      <w:r w:rsidR="001815BF" w:rsidRPr="00D6350A">
        <w:t>crème fraiche and sour cream”,</w:t>
      </w:r>
      <w:r w:rsidR="001815BF" w:rsidRPr="00D6350A">
        <w:rPr>
          <w:lang w:val="en-GB"/>
        </w:rPr>
        <w:t xml:space="preserve"> “fruits”</w:t>
      </w:r>
      <w:r w:rsidR="005F185F" w:rsidRPr="00D6350A">
        <w:rPr>
          <w:lang w:val="en-GB"/>
        </w:rPr>
        <w:t xml:space="preserve">, “berries” and “tomato and cucumber” </w:t>
      </w:r>
      <w:r w:rsidRPr="00D6350A">
        <w:rPr>
          <w:lang w:val="en-GB"/>
        </w:rPr>
        <w:t xml:space="preserve">(e.g. between beef, lamb, pork, and game in the sub-group </w:t>
      </w:r>
      <w:r w:rsidR="00C42083" w:rsidRPr="00D6350A">
        <w:rPr>
          <w:lang w:val="en-GB"/>
        </w:rPr>
        <w:t>“</w:t>
      </w:r>
      <w:r w:rsidRPr="00D6350A">
        <w:rPr>
          <w:lang w:val="en-GB"/>
        </w:rPr>
        <w:t>meat</w:t>
      </w:r>
      <w:r w:rsidR="00C42083" w:rsidRPr="00D6350A">
        <w:rPr>
          <w:lang w:val="en-GB"/>
        </w:rPr>
        <w:t>”</w:t>
      </w:r>
      <w:r w:rsidR="001815BF" w:rsidRPr="00D6350A">
        <w:rPr>
          <w:lang w:val="en-GB"/>
        </w:rPr>
        <w:t xml:space="preserve"> and between different % of fat in the sub group “cream, </w:t>
      </w:r>
      <w:r w:rsidR="001815BF" w:rsidRPr="00D6350A">
        <w:t>crème fraiche and sour cream”</w:t>
      </w:r>
      <w:r w:rsidRPr="00D6350A">
        <w:rPr>
          <w:lang w:val="en-GB"/>
        </w:rPr>
        <w:t>)</w:t>
      </w:r>
      <w:r w:rsidR="00BE4685" w:rsidRPr="00D6350A">
        <w:rPr>
          <w:lang w:val="en-GB"/>
        </w:rPr>
        <w:t xml:space="preserve">, and </w:t>
      </w:r>
      <w:r w:rsidR="001815BF" w:rsidRPr="00D6350A">
        <w:rPr>
          <w:lang w:val="en-GB"/>
        </w:rPr>
        <w:t xml:space="preserve">to distinguish between </w:t>
      </w:r>
      <w:r w:rsidR="00BE4685" w:rsidRPr="00D6350A">
        <w:rPr>
          <w:lang w:val="en-GB"/>
        </w:rPr>
        <w:t>production method</w:t>
      </w:r>
      <w:r w:rsidR="001815BF" w:rsidRPr="00D6350A">
        <w:rPr>
          <w:lang w:val="en-GB"/>
        </w:rPr>
        <w:t>s</w:t>
      </w:r>
      <w:r w:rsidR="00BE4685" w:rsidRPr="00D6350A">
        <w:rPr>
          <w:lang w:val="en-GB"/>
        </w:rPr>
        <w:t xml:space="preserve"> </w:t>
      </w:r>
      <w:r w:rsidR="001815BF" w:rsidRPr="00D6350A">
        <w:rPr>
          <w:lang w:val="en-GB"/>
        </w:rPr>
        <w:t xml:space="preserve">and origin in the sub groups </w:t>
      </w:r>
      <w:r w:rsidR="00A91D3E" w:rsidRPr="00D6350A">
        <w:rPr>
          <w:lang w:val="en-GB"/>
        </w:rPr>
        <w:t>“meat”, ”tomatoes</w:t>
      </w:r>
      <w:r w:rsidR="001815BF" w:rsidRPr="00D6350A">
        <w:rPr>
          <w:lang w:val="en-GB"/>
        </w:rPr>
        <w:t xml:space="preserve"> and cucumbers”, “fruits”</w:t>
      </w:r>
      <w:r w:rsidR="00A91D3E" w:rsidRPr="00D6350A">
        <w:rPr>
          <w:lang w:val="en-GB"/>
        </w:rPr>
        <w:t xml:space="preserve"> and</w:t>
      </w:r>
      <w:r w:rsidR="001815BF" w:rsidRPr="00D6350A">
        <w:rPr>
          <w:lang w:val="en-GB"/>
        </w:rPr>
        <w:t xml:space="preserve"> “berries”</w:t>
      </w:r>
      <w:r w:rsidR="00A91D3E" w:rsidRPr="00D6350A">
        <w:rPr>
          <w:lang w:val="en-GB"/>
        </w:rPr>
        <w:t xml:space="preserve"> </w:t>
      </w:r>
      <w:r w:rsidR="00BE4685" w:rsidRPr="00D6350A">
        <w:rPr>
          <w:lang w:val="en-GB"/>
        </w:rPr>
        <w:t>(e.g., between land-based production, unheated, and heated greenhouse production in the subgroup “Tomatoes and cucumbers”)</w:t>
      </w:r>
      <w:r w:rsidRPr="00D6350A">
        <w:rPr>
          <w:lang w:val="en-GB"/>
        </w:rPr>
        <w:t xml:space="preserve">. The </w:t>
      </w:r>
      <w:bookmarkStart w:id="1" w:name="_Hlk4441105"/>
      <w:r w:rsidRPr="00D6350A">
        <w:rPr>
          <w:lang w:val="en-GB"/>
        </w:rPr>
        <w:t xml:space="preserve">weighted average emission was based on national consumption shares </w:t>
      </w:r>
      <w:r w:rsidRPr="00D6350A">
        <w:rPr>
          <w:noProof/>
          <w:vertAlign w:val="superscript"/>
          <w:lang w:val="en-GB"/>
        </w:rPr>
        <w:t>(S8-S10)</w:t>
      </w:r>
      <w:r w:rsidRPr="00D6350A">
        <w:rPr>
          <w:vertAlign w:val="superscript"/>
          <w:lang w:val="en-GB"/>
        </w:rPr>
        <w:t xml:space="preserve"> </w:t>
      </w:r>
      <w:r w:rsidRPr="00D6350A">
        <w:rPr>
          <w:lang w:val="en-GB"/>
        </w:rPr>
        <w:t xml:space="preserve">and other sources </w:t>
      </w:r>
      <w:r w:rsidRPr="00D6350A">
        <w:rPr>
          <w:noProof/>
          <w:vertAlign w:val="superscript"/>
          <w:lang w:val="en-GB"/>
        </w:rPr>
        <w:t>(S4, S11)</w:t>
      </w:r>
      <w:r w:rsidRPr="00D6350A">
        <w:rPr>
          <w:lang w:val="en-GB"/>
        </w:rPr>
        <w:t xml:space="preserve"> reflecting the average Swedish consumption</w:t>
      </w:r>
      <w:bookmarkEnd w:id="1"/>
      <w:r w:rsidRPr="00D6350A">
        <w:rPr>
          <w:lang w:val="en-GB"/>
        </w:rPr>
        <w:t xml:space="preserve">. </w:t>
      </w:r>
      <w:r w:rsidRPr="00D6350A">
        <w:t xml:space="preserve">For composite dishes in the FFQ, all recipes used to define ingredients of the dish came from the national food composition database </w:t>
      </w:r>
      <w:r w:rsidRPr="00D6350A">
        <w:rPr>
          <w:noProof/>
          <w:vertAlign w:val="superscript"/>
        </w:rPr>
        <w:t>(S4)</w:t>
      </w:r>
      <w:r w:rsidRPr="00D6350A">
        <w:t xml:space="preserve"> from the Swedish National Food Administration. The GHGE for the dish was estimated by either the proportion of the ingredients with the greatest importance to the weight of the dish, or the climate impact. </w:t>
      </w:r>
      <w:r w:rsidRPr="00D6350A">
        <w:rPr>
          <w:szCs w:val="24"/>
        </w:rPr>
        <w:t xml:space="preserve">Examples of calculation of weighted average emission based on Swedish consumption statistics, and weighted average emission </w:t>
      </w:r>
      <w:r w:rsidRPr="00D6350A">
        <w:t>of a composite dish according to a recipe from the national food composition database,</w:t>
      </w:r>
      <w:r w:rsidRPr="00D6350A">
        <w:rPr>
          <w:szCs w:val="24"/>
        </w:rPr>
        <w:t xml:space="preserve"> can be found below the references for Supplementary Table 1.</w:t>
      </w:r>
    </w:p>
    <w:p w14:paraId="1A9A9159" w14:textId="77777777" w:rsidR="007A630C" w:rsidRPr="00D6350A" w:rsidRDefault="007A630C" w:rsidP="00904A8B">
      <w:pPr>
        <w:rPr>
          <w:rFonts w:eastAsia="Times New Roman"/>
          <w:lang w:eastAsia="sv-SE"/>
        </w:rPr>
      </w:pPr>
    </w:p>
    <w:tbl>
      <w:tblPr>
        <w:tblW w:w="13958" w:type="dxa"/>
        <w:tblCellMar>
          <w:top w:w="15" w:type="dxa"/>
          <w:left w:w="15" w:type="dxa"/>
          <w:bottom w:w="15" w:type="dxa"/>
          <w:right w:w="15" w:type="dxa"/>
        </w:tblCellMar>
        <w:tblLook w:val="04A0" w:firstRow="1" w:lastRow="0" w:firstColumn="1" w:lastColumn="0" w:noHBand="0" w:noVBand="1"/>
      </w:tblPr>
      <w:tblGrid>
        <w:gridCol w:w="3518"/>
        <w:gridCol w:w="3446"/>
        <w:gridCol w:w="64"/>
        <w:gridCol w:w="1899"/>
        <w:gridCol w:w="5031"/>
      </w:tblGrid>
      <w:tr w:rsidR="00D6350A" w:rsidRPr="00D6350A" w14:paraId="3BE55626" w14:textId="77777777" w:rsidTr="00904A8B">
        <w:tc>
          <w:tcPr>
            <w:tcW w:w="0" w:type="auto"/>
            <w:tcBorders>
              <w:top w:val="single" w:sz="4" w:space="0" w:color="auto"/>
              <w:bottom w:val="single" w:sz="4" w:space="0" w:color="auto"/>
            </w:tcBorders>
            <w:tcMar>
              <w:top w:w="100" w:type="dxa"/>
              <w:left w:w="100" w:type="dxa"/>
              <w:bottom w:w="100" w:type="dxa"/>
              <w:right w:w="100" w:type="dxa"/>
            </w:tcMar>
            <w:hideMark/>
          </w:tcPr>
          <w:p w14:paraId="36C6B4B6" w14:textId="77777777" w:rsidR="007A630C" w:rsidRPr="00D6350A" w:rsidRDefault="007A630C" w:rsidP="00904A8B">
            <w:pPr>
              <w:tabs>
                <w:tab w:val="left" w:pos="2580"/>
              </w:tabs>
              <w:rPr>
                <w:lang w:eastAsia="sv-SE"/>
              </w:rPr>
            </w:pPr>
            <w:r w:rsidRPr="00D6350A">
              <w:rPr>
                <w:b/>
                <w:bCs/>
                <w:lang w:eastAsia="sv-SE"/>
              </w:rPr>
              <w:t>Food groups</w:t>
            </w:r>
          </w:p>
        </w:tc>
        <w:tc>
          <w:tcPr>
            <w:tcW w:w="0" w:type="auto"/>
            <w:gridSpan w:val="2"/>
            <w:tcBorders>
              <w:top w:val="single" w:sz="4" w:space="0" w:color="auto"/>
              <w:left w:val="nil"/>
              <w:bottom w:val="single" w:sz="4" w:space="0" w:color="auto"/>
            </w:tcBorders>
            <w:tcMar>
              <w:top w:w="100" w:type="dxa"/>
              <w:left w:w="100" w:type="dxa"/>
              <w:bottom w:w="100" w:type="dxa"/>
              <w:right w:w="100" w:type="dxa"/>
            </w:tcMar>
            <w:hideMark/>
          </w:tcPr>
          <w:p w14:paraId="000F787F" w14:textId="77777777" w:rsidR="007A630C" w:rsidRPr="00D6350A" w:rsidRDefault="007A630C" w:rsidP="00904A8B">
            <w:pPr>
              <w:rPr>
                <w:lang w:eastAsia="sv-SE"/>
              </w:rPr>
            </w:pPr>
            <w:r w:rsidRPr="00D6350A">
              <w:rPr>
                <w:b/>
                <w:bCs/>
                <w:lang w:eastAsia="sv-SE"/>
              </w:rPr>
              <w:t>Food subgroups</w:t>
            </w:r>
          </w:p>
        </w:tc>
        <w:tc>
          <w:tcPr>
            <w:tcW w:w="0" w:type="auto"/>
            <w:tcBorders>
              <w:top w:val="single" w:sz="4" w:space="0" w:color="auto"/>
              <w:left w:val="nil"/>
              <w:bottom w:val="single" w:sz="4" w:space="0" w:color="auto"/>
            </w:tcBorders>
            <w:tcMar>
              <w:top w:w="100" w:type="dxa"/>
              <w:left w:w="100" w:type="dxa"/>
              <w:bottom w:w="100" w:type="dxa"/>
              <w:right w:w="100" w:type="dxa"/>
            </w:tcMar>
            <w:hideMark/>
          </w:tcPr>
          <w:p w14:paraId="6C8E5376" w14:textId="77777777" w:rsidR="007A630C" w:rsidRPr="00D6350A" w:rsidRDefault="007A630C" w:rsidP="00904A8B">
            <w:pPr>
              <w:rPr>
                <w:lang w:eastAsia="sv-SE"/>
              </w:rPr>
            </w:pPr>
            <w:r w:rsidRPr="00D6350A">
              <w:rPr>
                <w:b/>
                <w:bCs/>
                <w:lang w:eastAsia="sv-SE"/>
              </w:rPr>
              <w:t>Kg CO</w:t>
            </w:r>
            <w:r w:rsidRPr="00D6350A">
              <w:rPr>
                <w:b/>
                <w:bCs/>
                <w:sz w:val="14"/>
                <w:szCs w:val="14"/>
                <w:vertAlign w:val="subscript"/>
                <w:lang w:eastAsia="sv-SE"/>
              </w:rPr>
              <w:t>2</w:t>
            </w:r>
            <w:r w:rsidRPr="00D6350A">
              <w:rPr>
                <w:b/>
                <w:bCs/>
                <w:lang w:eastAsia="sv-SE"/>
              </w:rPr>
              <w:t>e/kg food</w:t>
            </w:r>
          </w:p>
        </w:tc>
        <w:tc>
          <w:tcPr>
            <w:tcW w:w="0" w:type="auto"/>
            <w:tcBorders>
              <w:top w:val="single" w:sz="4" w:space="0" w:color="auto"/>
              <w:left w:val="nil"/>
              <w:bottom w:val="single" w:sz="4" w:space="0" w:color="auto"/>
            </w:tcBorders>
            <w:tcMar>
              <w:top w:w="100" w:type="dxa"/>
              <w:left w:w="100" w:type="dxa"/>
              <w:bottom w:w="100" w:type="dxa"/>
              <w:right w:w="100" w:type="dxa"/>
            </w:tcMar>
            <w:hideMark/>
          </w:tcPr>
          <w:p w14:paraId="2B24BFF8" w14:textId="77777777" w:rsidR="007A630C" w:rsidRPr="00D6350A" w:rsidRDefault="007A630C" w:rsidP="00904A8B">
            <w:pPr>
              <w:rPr>
                <w:lang w:eastAsia="sv-SE"/>
              </w:rPr>
            </w:pPr>
            <w:r w:rsidRPr="00D6350A">
              <w:rPr>
                <w:b/>
                <w:bCs/>
                <w:lang w:eastAsia="sv-SE"/>
              </w:rPr>
              <w:t>Estimated from</w:t>
            </w:r>
          </w:p>
        </w:tc>
      </w:tr>
      <w:tr w:rsidR="00D6350A" w:rsidRPr="00D6350A" w14:paraId="144B393A" w14:textId="77777777" w:rsidTr="00904A8B">
        <w:tc>
          <w:tcPr>
            <w:tcW w:w="0" w:type="auto"/>
            <w:tcBorders>
              <w:top w:val="single" w:sz="4" w:space="0" w:color="auto"/>
            </w:tcBorders>
            <w:tcMar>
              <w:top w:w="100" w:type="dxa"/>
              <w:left w:w="100" w:type="dxa"/>
              <w:bottom w:w="100" w:type="dxa"/>
              <w:right w:w="100" w:type="dxa"/>
            </w:tcMar>
            <w:hideMark/>
          </w:tcPr>
          <w:p w14:paraId="6826CD77" w14:textId="77777777" w:rsidR="007A630C" w:rsidRPr="00D6350A" w:rsidRDefault="007A630C" w:rsidP="00904A8B">
            <w:pPr>
              <w:rPr>
                <w:lang w:eastAsia="sv-SE"/>
              </w:rPr>
            </w:pPr>
            <w:r w:rsidRPr="00D6350A">
              <w:rPr>
                <w:lang w:eastAsia="sv-SE"/>
              </w:rPr>
              <w:t>Fats</w:t>
            </w:r>
          </w:p>
        </w:tc>
        <w:tc>
          <w:tcPr>
            <w:tcW w:w="0" w:type="auto"/>
            <w:gridSpan w:val="2"/>
            <w:tcBorders>
              <w:top w:val="single" w:sz="4" w:space="0" w:color="auto"/>
            </w:tcBorders>
            <w:tcMar>
              <w:top w:w="100" w:type="dxa"/>
              <w:left w:w="100" w:type="dxa"/>
              <w:bottom w:w="100" w:type="dxa"/>
              <w:right w:w="100" w:type="dxa"/>
            </w:tcMar>
            <w:hideMark/>
          </w:tcPr>
          <w:p w14:paraId="33A52A05" w14:textId="77777777" w:rsidR="007A630C" w:rsidRPr="00D6350A" w:rsidRDefault="007A630C" w:rsidP="00904A8B">
            <w:pPr>
              <w:rPr>
                <w:lang w:eastAsia="sv-SE"/>
              </w:rPr>
            </w:pPr>
            <w:r w:rsidRPr="00D6350A">
              <w:rPr>
                <w:lang w:eastAsia="sv-SE"/>
              </w:rPr>
              <w:t>Butter blends</w:t>
            </w:r>
          </w:p>
        </w:tc>
        <w:tc>
          <w:tcPr>
            <w:tcW w:w="0" w:type="auto"/>
            <w:tcBorders>
              <w:top w:val="single" w:sz="4" w:space="0" w:color="auto"/>
            </w:tcBorders>
            <w:tcMar>
              <w:top w:w="100" w:type="dxa"/>
              <w:left w:w="100" w:type="dxa"/>
              <w:bottom w:w="100" w:type="dxa"/>
              <w:right w:w="100" w:type="dxa"/>
            </w:tcMar>
            <w:hideMark/>
          </w:tcPr>
          <w:p w14:paraId="6249C8D9" w14:textId="77777777" w:rsidR="007A630C" w:rsidRPr="00D6350A" w:rsidRDefault="007A630C" w:rsidP="00904A8B">
            <w:pPr>
              <w:rPr>
                <w:lang w:eastAsia="sv-SE"/>
              </w:rPr>
            </w:pPr>
            <w:r w:rsidRPr="00D6350A">
              <w:rPr>
                <w:lang w:eastAsia="sv-SE"/>
              </w:rPr>
              <w:t>8.3</w:t>
            </w:r>
          </w:p>
        </w:tc>
        <w:tc>
          <w:tcPr>
            <w:tcW w:w="0" w:type="auto"/>
            <w:tcBorders>
              <w:top w:val="single" w:sz="4" w:space="0" w:color="auto"/>
            </w:tcBorders>
            <w:tcMar>
              <w:top w:w="100" w:type="dxa"/>
              <w:left w:w="100" w:type="dxa"/>
              <w:bottom w:w="100" w:type="dxa"/>
              <w:right w:w="100" w:type="dxa"/>
            </w:tcMar>
            <w:hideMark/>
          </w:tcPr>
          <w:p w14:paraId="43AB0E2A" w14:textId="77777777"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58697E7D" w14:textId="77777777" w:rsidTr="00904A8B">
        <w:tc>
          <w:tcPr>
            <w:tcW w:w="0" w:type="auto"/>
            <w:tcMar>
              <w:top w:w="100" w:type="dxa"/>
              <w:left w:w="100" w:type="dxa"/>
              <w:bottom w:w="100" w:type="dxa"/>
              <w:right w:w="100" w:type="dxa"/>
            </w:tcMar>
            <w:hideMark/>
          </w:tcPr>
          <w:p w14:paraId="24DF22FD"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1F4E113D" w14:textId="77777777" w:rsidR="007A630C" w:rsidRPr="00D6350A" w:rsidRDefault="007A630C" w:rsidP="00904A8B">
            <w:pPr>
              <w:rPr>
                <w:lang w:eastAsia="sv-SE"/>
              </w:rPr>
            </w:pPr>
            <w:r w:rsidRPr="00D6350A">
              <w:rPr>
                <w:lang w:eastAsia="sv-SE"/>
              </w:rPr>
              <w:t>Butter</w:t>
            </w:r>
          </w:p>
        </w:tc>
        <w:tc>
          <w:tcPr>
            <w:tcW w:w="0" w:type="auto"/>
            <w:tcMar>
              <w:top w:w="100" w:type="dxa"/>
              <w:left w:w="100" w:type="dxa"/>
              <w:bottom w:w="100" w:type="dxa"/>
              <w:right w:w="100" w:type="dxa"/>
            </w:tcMar>
            <w:hideMark/>
          </w:tcPr>
          <w:p w14:paraId="10F81606" w14:textId="77777777" w:rsidR="007A630C" w:rsidRPr="00D6350A" w:rsidRDefault="007A630C" w:rsidP="00904A8B">
            <w:pPr>
              <w:rPr>
                <w:lang w:eastAsia="sv-SE"/>
              </w:rPr>
            </w:pPr>
            <w:r w:rsidRPr="00D6350A">
              <w:rPr>
                <w:lang w:eastAsia="sv-SE"/>
              </w:rPr>
              <w:t>13</w:t>
            </w:r>
          </w:p>
        </w:tc>
        <w:tc>
          <w:tcPr>
            <w:tcW w:w="0" w:type="auto"/>
            <w:tcMar>
              <w:top w:w="100" w:type="dxa"/>
              <w:left w:w="100" w:type="dxa"/>
              <w:bottom w:w="100" w:type="dxa"/>
              <w:right w:w="100" w:type="dxa"/>
            </w:tcMar>
            <w:hideMark/>
          </w:tcPr>
          <w:p w14:paraId="187194E3" w14:textId="77777777"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3A7151AE" w14:textId="77777777" w:rsidTr="00904A8B">
        <w:tc>
          <w:tcPr>
            <w:tcW w:w="0" w:type="auto"/>
            <w:tcBorders>
              <w:bottom w:val="single" w:sz="4" w:space="0" w:color="auto"/>
            </w:tcBorders>
            <w:tcMar>
              <w:top w:w="100" w:type="dxa"/>
              <w:left w:w="100" w:type="dxa"/>
              <w:bottom w:w="100" w:type="dxa"/>
              <w:right w:w="100" w:type="dxa"/>
            </w:tcMar>
            <w:hideMark/>
          </w:tcPr>
          <w:p w14:paraId="622659D3" w14:textId="77777777" w:rsidR="007A630C" w:rsidRPr="00D6350A" w:rsidRDefault="007A630C" w:rsidP="00904A8B">
            <w:pPr>
              <w:rPr>
                <w:rFonts w:eastAsia="Times New Roman"/>
                <w:lang w:val="sv-SE" w:eastAsia="sv-SE"/>
              </w:rPr>
            </w:pPr>
          </w:p>
        </w:tc>
        <w:tc>
          <w:tcPr>
            <w:tcW w:w="0" w:type="auto"/>
            <w:gridSpan w:val="2"/>
            <w:tcBorders>
              <w:bottom w:val="single" w:sz="4" w:space="0" w:color="auto"/>
            </w:tcBorders>
            <w:tcMar>
              <w:top w:w="100" w:type="dxa"/>
              <w:left w:w="100" w:type="dxa"/>
              <w:bottom w:w="100" w:type="dxa"/>
              <w:right w:w="100" w:type="dxa"/>
            </w:tcMar>
            <w:hideMark/>
          </w:tcPr>
          <w:p w14:paraId="7450DA60" w14:textId="77777777" w:rsidR="007A630C" w:rsidRPr="00D6350A" w:rsidRDefault="007A630C" w:rsidP="00904A8B">
            <w:pPr>
              <w:rPr>
                <w:lang w:eastAsia="sv-SE"/>
              </w:rPr>
            </w:pPr>
            <w:r w:rsidRPr="00D6350A">
              <w:rPr>
                <w:lang w:eastAsia="sv-SE"/>
              </w:rPr>
              <w:t>Vegetable oils and margarine</w:t>
            </w:r>
          </w:p>
        </w:tc>
        <w:tc>
          <w:tcPr>
            <w:tcW w:w="0" w:type="auto"/>
            <w:tcBorders>
              <w:bottom w:val="single" w:sz="4" w:space="0" w:color="auto"/>
            </w:tcBorders>
            <w:tcMar>
              <w:top w:w="100" w:type="dxa"/>
              <w:left w:w="100" w:type="dxa"/>
              <w:bottom w:w="100" w:type="dxa"/>
              <w:right w:w="100" w:type="dxa"/>
            </w:tcMar>
            <w:hideMark/>
          </w:tcPr>
          <w:p w14:paraId="5CD69633" w14:textId="77777777" w:rsidR="007A630C" w:rsidRPr="00D6350A" w:rsidRDefault="007A630C" w:rsidP="00904A8B">
            <w:pPr>
              <w:rPr>
                <w:lang w:eastAsia="sv-SE"/>
              </w:rPr>
            </w:pPr>
            <w:r w:rsidRPr="00D6350A">
              <w:rPr>
                <w:lang w:eastAsia="sv-SE"/>
              </w:rPr>
              <w:t>2.3</w:t>
            </w:r>
          </w:p>
        </w:tc>
        <w:tc>
          <w:tcPr>
            <w:tcW w:w="0" w:type="auto"/>
            <w:tcBorders>
              <w:bottom w:val="single" w:sz="4" w:space="0" w:color="auto"/>
            </w:tcBorders>
            <w:tcMar>
              <w:top w:w="100" w:type="dxa"/>
              <w:left w:w="100" w:type="dxa"/>
              <w:bottom w:w="100" w:type="dxa"/>
              <w:right w:w="100" w:type="dxa"/>
            </w:tcMar>
            <w:hideMark/>
          </w:tcPr>
          <w:p w14:paraId="2F4D1026" w14:textId="5644C161" w:rsidR="007A630C" w:rsidRPr="00D6350A" w:rsidRDefault="007A630C" w:rsidP="00904A8B">
            <w:pPr>
              <w:rPr>
                <w:noProof/>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49A03634" w14:textId="77777777" w:rsidTr="00904A8B">
        <w:tc>
          <w:tcPr>
            <w:tcW w:w="0" w:type="auto"/>
            <w:tcBorders>
              <w:top w:val="single" w:sz="4" w:space="0" w:color="auto"/>
            </w:tcBorders>
            <w:tcMar>
              <w:top w:w="100" w:type="dxa"/>
              <w:left w:w="100" w:type="dxa"/>
              <w:bottom w:w="100" w:type="dxa"/>
              <w:right w:w="100" w:type="dxa"/>
            </w:tcMar>
            <w:hideMark/>
          </w:tcPr>
          <w:p w14:paraId="28574BD1" w14:textId="77777777" w:rsidR="007A630C" w:rsidRPr="00D6350A" w:rsidRDefault="007A630C" w:rsidP="00904A8B">
            <w:pPr>
              <w:rPr>
                <w:lang w:eastAsia="sv-SE"/>
              </w:rPr>
            </w:pPr>
            <w:r w:rsidRPr="00D6350A">
              <w:rPr>
                <w:lang w:eastAsia="sv-SE"/>
              </w:rPr>
              <w:t>Cereals, rice and potato</w:t>
            </w:r>
          </w:p>
        </w:tc>
        <w:tc>
          <w:tcPr>
            <w:tcW w:w="0" w:type="auto"/>
            <w:gridSpan w:val="2"/>
            <w:tcBorders>
              <w:top w:val="single" w:sz="4" w:space="0" w:color="auto"/>
            </w:tcBorders>
            <w:tcMar>
              <w:top w:w="100" w:type="dxa"/>
              <w:left w:w="100" w:type="dxa"/>
              <w:bottom w:w="100" w:type="dxa"/>
              <w:right w:w="100" w:type="dxa"/>
            </w:tcMar>
            <w:hideMark/>
          </w:tcPr>
          <w:p w14:paraId="38044EF8" w14:textId="77777777" w:rsidR="007A630C" w:rsidRPr="00D6350A" w:rsidRDefault="007A630C" w:rsidP="00904A8B">
            <w:pPr>
              <w:rPr>
                <w:lang w:eastAsia="sv-SE"/>
              </w:rPr>
            </w:pPr>
            <w:r w:rsidRPr="00D6350A">
              <w:rPr>
                <w:lang w:eastAsia="sv-SE"/>
              </w:rPr>
              <w:t>Bread and crisp bread</w:t>
            </w:r>
          </w:p>
        </w:tc>
        <w:tc>
          <w:tcPr>
            <w:tcW w:w="0" w:type="auto"/>
            <w:tcBorders>
              <w:top w:val="single" w:sz="4" w:space="0" w:color="auto"/>
            </w:tcBorders>
            <w:tcMar>
              <w:top w:w="100" w:type="dxa"/>
              <w:left w:w="100" w:type="dxa"/>
              <w:bottom w:w="100" w:type="dxa"/>
              <w:right w:w="100" w:type="dxa"/>
            </w:tcMar>
            <w:hideMark/>
          </w:tcPr>
          <w:p w14:paraId="185642DC" w14:textId="77777777" w:rsidR="007A630C" w:rsidRPr="00D6350A" w:rsidRDefault="007A630C" w:rsidP="00904A8B">
            <w:pPr>
              <w:rPr>
                <w:lang w:eastAsia="sv-SE"/>
              </w:rPr>
            </w:pPr>
            <w:r w:rsidRPr="00D6350A">
              <w:rPr>
                <w:lang w:eastAsia="sv-SE"/>
              </w:rPr>
              <w:t>0.7</w:t>
            </w:r>
          </w:p>
        </w:tc>
        <w:tc>
          <w:tcPr>
            <w:tcW w:w="0" w:type="auto"/>
            <w:tcBorders>
              <w:top w:val="single" w:sz="4" w:space="0" w:color="auto"/>
            </w:tcBorders>
            <w:tcMar>
              <w:top w:w="100" w:type="dxa"/>
              <w:left w:w="100" w:type="dxa"/>
              <w:bottom w:w="100" w:type="dxa"/>
              <w:right w:w="100" w:type="dxa"/>
            </w:tcMar>
            <w:hideMark/>
          </w:tcPr>
          <w:p w14:paraId="404F9F54" w14:textId="036F4275"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6E6A42B1" w14:textId="77777777" w:rsidTr="00904A8B">
        <w:tc>
          <w:tcPr>
            <w:tcW w:w="0" w:type="auto"/>
            <w:tcMar>
              <w:top w:w="100" w:type="dxa"/>
              <w:left w:w="100" w:type="dxa"/>
              <w:bottom w:w="100" w:type="dxa"/>
              <w:right w:w="100" w:type="dxa"/>
            </w:tcMar>
            <w:hideMark/>
          </w:tcPr>
          <w:p w14:paraId="224C36D1"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60DFC62B" w14:textId="77777777" w:rsidR="007A630C" w:rsidRPr="00D6350A" w:rsidRDefault="007A630C" w:rsidP="00904A8B">
            <w:pPr>
              <w:rPr>
                <w:lang w:eastAsia="sv-SE"/>
              </w:rPr>
            </w:pPr>
            <w:r w:rsidRPr="00D6350A">
              <w:rPr>
                <w:lang w:eastAsia="sv-SE"/>
              </w:rPr>
              <w:t>Porridge</w:t>
            </w:r>
          </w:p>
        </w:tc>
        <w:tc>
          <w:tcPr>
            <w:tcW w:w="0" w:type="auto"/>
            <w:tcMar>
              <w:top w:w="100" w:type="dxa"/>
              <w:left w:w="100" w:type="dxa"/>
              <w:bottom w:w="100" w:type="dxa"/>
              <w:right w:w="100" w:type="dxa"/>
            </w:tcMar>
            <w:hideMark/>
          </w:tcPr>
          <w:p w14:paraId="03C23C16" w14:textId="77777777" w:rsidR="007A630C" w:rsidRPr="00D6350A" w:rsidRDefault="007A630C" w:rsidP="00904A8B">
            <w:pPr>
              <w:rPr>
                <w:lang w:eastAsia="sv-SE"/>
              </w:rPr>
            </w:pPr>
            <w:r w:rsidRPr="00D6350A">
              <w:rPr>
                <w:lang w:eastAsia="sv-SE"/>
              </w:rPr>
              <w:t>0.4</w:t>
            </w:r>
          </w:p>
        </w:tc>
        <w:tc>
          <w:tcPr>
            <w:tcW w:w="0" w:type="auto"/>
            <w:tcMar>
              <w:top w:w="100" w:type="dxa"/>
              <w:left w:w="100" w:type="dxa"/>
              <w:bottom w:w="100" w:type="dxa"/>
              <w:right w:w="100" w:type="dxa"/>
            </w:tcMar>
            <w:hideMark/>
          </w:tcPr>
          <w:p w14:paraId="4D87D103" w14:textId="77777777" w:rsidR="007A630C" w:rsidRPr="00D6350A" w:rsidRDefault="007A630C" w:rsidP="00904A8B">
            <w:pPr>
              <w:rPr>
                <w:lang w:eastAsia="sv-SE"/>
              </w:rPr>
            </w:pPr>
            <w:r w:rsidRPr="00D6350A">
              <w:rPr>
                <w:lang w:eastAsia="sv-SE"/>
              </w:rPr>
              <w:t xml:space="preserve">RISE </w:t>
            </w:r>
            <w:r w:rsidRPr="00D6350A">
              <w:rPr>
                <w:noProof/>
                <w:vertAlign w:val="superscript"/>
                <w:lang w:eastAsia="sv-SE"/>
              </w:rPr>
              <w:t>(S14)</w:t>
            </w:r>
          </w:p>
        </w:tc>
      </w:tr>
      <w:tr w:rsidR="00D6350A" w:rsidRPr="00D6350A" w14:paraId="6E51AC7C" w14:textId="77777777" w:rsidTr="00904A8B">
        <w:tc>
          <w:tcPr>
            <w:tcW w:w="0" w:type="auto"/>
            <w:tcMar>
              <w:top w:w="100" w:type="dxa"/>
              <w:left w:w="100" w:type="dxa"/>
              <w:bottom w:w="100" w:type="dxa"/>
              <w:right w:w="100" w:type="dxa"/>
            </w:tcMar>
            <w:hideMark/>
          </w:tcPr>
          <w:p w14:paraId="7D8D8200"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38C12406" w14:textId="77777777" w:rsidR="007A630C" w:rsidRPr="00D6350A" w:rsidRDefault="007A630C" w:rsidP="00904A8B">
            <w:pPr>
              <w:rPr>
                <w:lang w:eastAsia="sv-SE"/>
              </w:rPr>
            </w:pPr>
            <w:r w:rsidRPr="00D6350A">
              <w:rPr>
                <w:lang w:eastAsia="sv-SE"/>
              </w:rPr>
              <w:t>Muesli and cereals</w:t>
            </w:r>
          </w:p>
        </w:tc>
        <w:tc>
          <w:tcPr>
            <w:tcW w:w="0" w:type="auto"/>
            <w:tcMar>
              <w:top w:w="100" w:type="dxa"/>
              <w:left w:w="100" w:type="dxa"/>
              <w:bottom w:w="100" w:type="dxa"/>
              <w:right w:w="100" w:type="dxa"/>
            </w:tcMar>
            <w:hideMark/>
          </w:tcPr>
          <w:p w14:paraId="648FD4EA" w14:textId="77777777" w:rsidR="007A630C" w:rsidRPr="00D6350A" w:rsidRDefault="007A630C" w:rsidP="00904A8B">
            <w:pPr>
              <w:rPr>
                <w:lang w:eastAsia="sv-SE"/>
              </w:rPr>
            </w:pPr>
            <w:r w:rsidRPr="00D6350A">
              <w:rPr>
                <w:lang w:eastAsia="sv-SE"/>
              </w:rPr>
              <w:t>0.7</w:t>
            </w:r>
          </w:p>
        </w:tc>
        <w:tc>
          <w:tcPr>
            <w:tcW w:w="0" w:type="auto"/>
            <w:tcMar>
              <w:top w:w="100" w:type="dxa"/>
              <w:left w:w="100" w:type="dxa"/>
              <w:bottom w:w="100" w:type="dxa"/>
              <w:right w:w="100" w:type="dxa"/>
            </w:tcMar>
            <w:hideMark/>
          </w:tcPr>
          <w:p w14:paraId="7CE813EF" w14:textId="39557D0B"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5A535F77" w14:textId="77777777" w:rsidTr="00904A8B">
        <w:tc>
          <w:tcPr>
            <w:tcW w:w="0" w:type="auto"/>
            <w:tcMar>
              <w:top w:w="100" w:type="dxa"/>
              <w:left w:w="100" w:type="dxa"/>
              <w:bottom w:w="100" w:type="dxa"/>
              <w:right w:w="100" w:type="dxa"/>
            </w:tcMar>
            <w:hideMark/>
          </w:tcPr>
          <w:p w14:paraId="4E530A35"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62BB6227" w14:textId="77777777" w:rsidR="007A630C" w:rsidRPr="00D6350A" w:rsidRDefault="007A630C" w:rsidP="00904A8B">
            <w:pPr>
              <w:rPr>
                <w:lang w:eastAsia="sv-SE"/>
              </w:rPr>
            </w:pPr>
            <w:r w:rsidRPr="00D6350A">
              <w:rPr>
                <w:lang w:eastAsia="sv-SE"/>
              </w:rPr>
              <w:t>Pancakes, waffles</w:t>
            </w:r>
          </w:p>
        </w:tc>
        <w:tc>
          <w:tcPr>
            <w:tcW w:w="0" w:type="auto"/>
            <w:tcMar>
              <w:top w:w="100" w:type="dxa"/>
              <w:left w:w="100" w:type="dxa"/>
              <w:bottom w:w="100" w:type="dxa"/>
              <w:right w:w="100" w:type="dxa"/>
            </w:tcMar>
            <w:hideMark/>
          </w:tcPr>
          <w:p w14:paraId="49B15646" w14:textId="77777777" w:rsidR="007A630C" w:rsidRPr="00D6350A" w:rsidRDefault="007A630C" w:rsidP="00904A8B">
            <w:pPr>
              <w:rPr>
                <w:lang w:eastAsia="sv-SE"/>
              </w:rPr>
            </w:pPr>
            <w:r w:rsidRPr="00D6350A">
              <w:rPr>
                <w:lang w:eastAsia="sv-SE"/>
              </w:rPr>
              <w:t>1.5</w:t>
            </w:r>
          </w:p>
        </w:tc>
        <w:tc>
          <w:tcPr>
            <w:tcW w:w="0" w:type="auto"/>
            <w:tcMar>
              <w:top w:w="100" w:type="dxa"/>
              <w:left w:w="100" w:type="dxa"/>
              <w:bottom w:w="100" w:type="dxa"/>
              <w:right w:w="100" w:type="dxa"/>
            </w:tcMar>
            <w:hideMark/>
          </w:tcPr>
          <w:p w14:paraId="334788AF" w14:textId="09C63B42" w:rsidR="007A630C" w:rsidRPr="00D6350A" w:rsidRDefault="007A630C" w:rsidP="00904A8B">
            <w:pPr>
              <w:rPr>
                <w:lang w:eastAsia="sv-SE"/>
              </w:rPr>
            </w:pPr>
            <w:proofErr w:type="spellStart"/>
            <w:r w:rsidRPr="00D6350A">
              <w:rPr>
                <w:lang w:eastAsia="sv-SE"/>
              </w:rPr>
              <w:t>Sjörs</w:t>
            </w:r>
            <w:proofErr w:type="spellEnd"/>
            <w:r w:rsidRPr="00D6350A">
              <w:rPr>
                <w:lang w:eastAsia="sv-SE"/>
              </w:rPr>
              <w:t xml:space="preserve"> </w:t>
            </w:r>
            <w:r w:rsidRPr="00D6350A">
              <w:rPr>
                <w:noProof/>
                <w:vertAlign w:val="superscript"/>
                <w:lang w:eastAsia="sv-SE"/>
              </w:rPr>
              <w:t>(S3)</w:t>
            </w:r>
            <w:r w:rsidRPr="00D6350A">
              <w:rPr>
                <w:lang w:eastAsia="sv-SE"/>
              </w:rPr>
              <w:t xml:space="preserve">, RISE </w:t>
            </w:r>
            <w:r w:rsidRPr="00D6350A">
              <w:rPr>
                <w:noProof/>
                <w:vertAlign w:val="superscript"/>
                <w:lang w:eastAsia="sv-SE"/>
              </w:rPr>
              <w:t>(S14)</w:t>
            </w:r>
          </w:p>
        </w:tc>
      </w:tr>
      <w:tr w:rsidR="00D6350A" w:rsidRPr="00D6350A" w14:paraId="1A53920A" w14:textId="77777777" w:rsidTr="00904A8B">
        <w:tc>
          <w:tcPr>
            <w:tcW w:w="0" w:type="auto"/>
            <w:tcMar>
              <w:top w:w="100" w:type="dxa"/>
              <w:left w:w="100" w:type="dxa"/>
              <w:bottom w:w="100" w:type="dxa"/>
              <w:right w:w="100" w:type="dxa"/>
            </w:tcMar>
            <w:hideMark/>
          </w:tcPr>
          <w:p w14:paraId="4B82336B"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5CFB6BE2" w14:textId="77777777" w:rsidR="007A630C" w:rsidRPr="00D6350A" w:rsidRDefault="007A630C" w:rsidP="00904A8B">
            <w:pPr>
              <w:rPr>
                <w:lang w:eastAsia="sv-SE"/>
              </w:rPr>
            </w:pPr>
            <w:r w:rsidRPr="00D6350A">
              <w:rPr>
                <w:lang w:eastAsia="sv-SE"/>
              </w:rPr>
              <w:t>Pizza</w:t>
            </w:r>
          </w:p>
        </w:tc>
        <w:tc>
          <w:tcPr>
            <w:tcW w:w="0" w:type="auto"/>
            <w:tcMar>
              <w:top w:w="100" w:type="dxa"/>
              <w:left w:w="100" w:type="dxa"/>
              <w:bottom w:w="100" w:type="dxa"/>
              <w:right w:w="100" w:type="dxa"/>
            </w:tcMar>
            <w:hideMark/>
          </w:tcPr>
          <w:p w14:paraId="3466990A" w14:textId="77777777" w:rsidR="007A630C" w:rsidRPr="00D6350A" w:rsidRDefault="007A630C" w:rsidP="00904A8B">
            <w:pPr>
              <w:rPr>
                <w:lang w:eastAsia="sv-SE"/>
              </w:rPr>
            </w:pPr>
            <w:r w:rsidRPr="00D6350A">
              <w:rPr>
                <w:lang w:eastAsia="sv-SE"/>
              </w:rPr>
              <w:t>4.3</w:t>
            </w:r>
          </w:p>
        </w:tc>
        <w:tc>
          <w:tcPr>
            <w:tcW w:w="0" w:type="auto"/>
            <w:tcMar>
              <w:top w:w="100" w:type="dxa"/>
              <w:left w:w="100" w:type="dxa"/>
              <w:bottom w:w="100" w:type="dxa"/>
              <w:right w:w="100" w:type="dxa"/>
            </w:tcMar>
            <w:hideMark/>
          </w:tcPr>
          <w:p w14:paraId="5F09E99A" w14:textId="14DBF60C" w:rsidR="007A630C" w:rsidRPr="00D6350A" w:rsidRDefault="007A630C" w:rsidP="00904A8B">
            <w:pPr>
              <w:rPr>
                <w:lang w:eastAsia="sv-SE"/>
              </w:rPr>
            </w:pPr>
            <w:proofErr w:type="spellStart"/>
            <w:r w:rsidRPr="00D6350A">
              <w:rPr>
                <w:lang w:eastAsia="sv-SE"/>
              </w:rPr>
              <w:t>Sjörs</w:t>
            </w:r>
            <w:proofErr w:type="spellEnd"/>
            <w:r w:rsidRPr="00D6350A">
              <w:rPr>
                <w:lang w:eastAsia="sv-SE"/>
              </w:rPr>
              <w:t xml:space="preserve"> </w:t>
            </w:r>
            <w:r w:rsidRPr="00D6350A">
              <w:rPr>
                <w:noProof/>
                <w:vertAlign w:val="superscript"/>
                <w:lang w:eastAsia="sv-SE"/>
              </w:rPr>
              <w:t>(S3)</w:t>
            </w:r>
            <w:r w:rsidRPr="00D6350A">
              <w:rPr>
                <w:lang w:eastAsia="sv-SE"/>
              </w:rPr>
              <w:t xml:space="preserve">, RISE </w:t>
            </w:r>
            <w:r w:rsidRPr="00D6350A">
              <w:rPr>
                <w:noProof/>
                <w:vertAlign w:val="superscript"/>
                <w:lang w:eastAsia="sv-SE"/>
              </w:rPr>
              <w:t>(S14)</w:t>
            </w:r>
          </w:p>
        </w:tc>
      </w:tr>
      <w:tr w:rsidR="00D6350A" w:rsidRPr="00D6350A" w14:paraId="1625D81A" w14:textId="77777777" w:rsidTr="00904A8B">
        <w:tc>
          <w:tcPr>
            <w:tcW w:w="0" w:type="auto"/>
            <w:tcMar>
              <w:top w:w="100" w:type="dxa"/>
              <w:left w:w="100" w:type="dxa"/>
              <w:bottom w:w="100" w:type="dxa"/>
              <w:right w:w="100" w:type="dxa"/>
            </w:tcMar>
            <w:hideMark/>
          </w:tcPr>
          <w:p w14:paraId="13163BFD"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57080EC8" w14:textId="77777777" w:rsidR="007A630C" w:rsidRPr="00D6350A" w:rsidRDefault="007A630C" w:rsidP="00904A8B">
            <w:pPr>
              <w:rPr>
                <w:lang w:eastAsia="sv-SE"/>
              </w:rPr>
            </w:pPr>
            <w:r w:rsidRPr="00D6350A">
              <w:rPr>
                <w:lang w:eastAsia="sv-SE"/>
              </w:rPr>
              <w:t>Potato</w:t>
            </w:r>
          </w:p>
        </w:tc>
        <w:tc>
          <w:tcPr>
            <w:tcW w:w="0" w:type="auto"/>
            <w:tcMar>
              <w:top w:w="100" w:type="dxa"/>
              <w:left w:w="100" w:type="dxa"/>
              <w:bottom w:w="100" w:type="dxa"/>
              <w:right w:w="100" w:type="dxa"/>
            </w:tcMar>
            <w:hideMark/>
          </w:tcPr>
          <w:p w14:paraId="6B2BFF7F" w14:textId="77777777" w:rsidR="007A630C" w:rsidRPr="00D6350A" w:rsidRDefault="007A630C" w:rsidP="00904A8B">
            <w:pPr>
              <w:rPr>
                <w:lang w:eastAsia="sv-SE"/>
              </w:rPr>
            </w:pPr>
            <w:r w:rsidRPr="00D6350A">
              <w:rPr>
                <w:lang w:eastAsia="sv-SE"/>
              </w:rPr>
              <w:t>0.3</w:t>
            </w:r>
          </w:p>
        </w:tc>
        <w:tc>
          <w:tcPr>
            <w:tcW w:w="0" w:type="auto"/>
            <w:tcMar>
              <w:top w:w="100" w:type="dxa"/>
              <w:left w:w="100" w:type="dxa"/>
              <w:bottom w:w="100" w:type="dxa"/>
              <w:right w:w="100" w:type="dxa"/>
            </w:tcMar>
            <w:hideMark/>
          </w:tcPr>
          <w:p w14:paraId="11F59A1C" w14:textId="557ADE22"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13FC1333" w14:textId="77777777" w:rsidTr="00904A8B">
        <w:tc>
          <w:tcPr>
            <w:tcW w:w="0" w:type="auto"/>
            <w:tcMar>
              <w:top w:w="100" w:type="dxa"/>
              <w:left w:w="100" w:type="dxa"/>
              <w:bottom w:w="100" w:type="dxa"/>
              <w:right w:w="100" w:type="dxa"/>
            </w:tcMar>
            <w:hideMark/>
          </w:tcPr>
          <w:p w14:paraId="44E00C33"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6240E78D" w14:textId="77777777" w:rsidR="007A630C" w:rsidRPr="00D6350A" w:rsidRDefault="007A630C" w:rsidP="00904A8B">
            <w:pPr>
              <w:rPr>
                <w:lang w:eastAsia="sv-SE"/>
              </w:rPr>
            </w:pPr>
            <w:r w:rsidRPr="00D6350A">
              <w:rPr>
                <w:lang w:eastAsia="sv-SE"/>
              </w:rPr>
              <w:t xml:space="preserve">Pasta </w:t>
            </w:r>
          </w:p>
        </w:tc>
        <w:tc>
          <w:tcPr>
            <w:tcW w:w="0" w:type="auto"/>
            <w:tcMar>
              <w:top w:w="100" w:type="dxa"/>
              <w:left w:w="100" w:type="dxa"/>
              <w:bottom w:w="100" w:type="dxa"/>
              <w:right w:w="100" w:type="dxa"/>
            </w:tcMar>
            <w:hideMark/>
          </w:tcPr>
          <w:p w14:paraId="6F00030E" w14:textId="77777777" w:rsidR="007A630C" w:rsidRPr="00D6350A" w:rsidRDefault="007A630C" w:rsidP="00904A8B">
            <w:pPr>
              <w:rPr>
                <w:lang w:eastAsia="sv-SE"/>
              </w:rPr>
            </w:pPr>
            <w:r w:rsidRPr="00D6350A">
              <w:rPr>
                <w:lang w:eastAsia="sv-SE"/>
              </w:rPr>
              <w:t>0.3</w:t>
            </w:r>
          </w:p>
        </w:tc>
        <w:tc>
          <w:tcPr>
            <w:tcW w:w="0" w:type="auto"/>
            <w:tcMar>
              <w:top w:w="100" w:type="dxa"/>
              <w:left w:w="100" w:type="dxa"/>
              <w:bottom w:w="100" w:type="dxa"/>
              <w:right w:w="100" w:type="dxa"/>
            </w:tcMar>
            <w:hideMark/>
          </w:tcPr>
          <w:p w14:paraId="6E82336F" w14:textId="65A8ABE5"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4CA9601B" w14:textId="77777777" w:rsidTr="00904A8B">
        <w:tc>
          <w:tcPr>
            <w:tcW w:w="0" w:type="auto"/>
            <w:tcBorders>
              <w:bottom w:val="single" w:sz="4" w:space="0" w:color="auto"/>
            </w:tcBorders>
            <w:tcMar>
              <w:top w:w="100" w:type="dxa"/>
              <w:left w:w="100" w:type="dxa"/>
              <w:bottom w:w="100" w:type="dxa"/>
              <w:right w:w="100" w:type="dxa"/>
            </w:tcMar>
            <w:hideMark/>
          </w:tcPr>
          <w:p w14:paraId="48795854" w14:textId="77777777" w:rsidR="007A630C" w:rsidRPr="00D6350A" w:rsidRDefault="007A630C" w:rsidP="00904A8B">
            <w:pPr>
              <w:rPr>
                <w:rFonts w:eastAsia="Times New Roman"/>
                <w:lang w:eastAsia="sv-SE"/>
              </w:rPr>
            </w:pPr>
          </w:p>
        </w:tc>
        <w:tc>
          <w:tcPr>
            <w:tcW w:w="0" w:type="auto"/>
            <w:gridSpan w:val="2"/>
            <w:tcBorders>
              <w:bottom w:val="single" w:sz="4" w:space="0" w:color="auto"/>
            </w:tcBorders>
            <w:tcMar>
              <w:top w:w="100" w:type="dxa"/>
              <w:left w:w="100" w:type="dxa"/>
              <w:bottom w:w="100" w:type="dxa"/>
              <w:right w:w="100" w:type="dxa"/>
            </w:tcMar>
            <w:hideMark/>
          </w:tcPr>
          <w:p w14:paraId="723E6F52" w14:textId="77777777" w:rsidR="007A630C" w:rsidRPr="00D6350A" w:rsidRDefault="007A630C" w:rsidP="00904A8B">
            <w:pPr>
              <w:rPr>
                <w:lang w:eastAsia="sv-SE"/>
              </w:rPr>
            </w:pPr>
            <w:r w:rsidRPr="00D6350A">
              <w:rPr>
                <w:lang w:eastAsia="sv-SE"/>
              </w:rPr>
              <w:t>Rice</w:t>
            </w:r>
          </w:p>
        </w:tc>
        <w:tc>
          <w:tcPr>
            <w:tcW w:w="0" w:type="auto"/>
            <w:tcBorders>
              <w:bottom w:val="single" w:sz="4" w:space="0" w:color="auto"/>
            </w:tcBorders>
            <w:tcMar>
              <w:top w:w="100" w:type="dxa"/>
              <w:left w:w="100" w:type="dxa"/>
              <w:bottom w:w="100" w:type="dxa"/>
              <w:right w:w="100" w:type="dxa"/>
            </w:tcMar>
            <w:hideMark/>
          </w:tcPr>
          <w:p w14:paraId="604190B4" w14:textId="77777777" w:rsidR="007A630C" w:rsidRPr="00D6350A" w:rsidRDefault="007A630C" w:rsidP="00904A8B">
            <w:pPr>
              <w:rPr>
                <w:lang w:eastAsia="sv-SE"/>
              </w:rPr>
            </w:pPr>
            <w:r w:rsidRPr="00D6350A">
              <w:rPr>
                <w:lang w:eastAsia="sv-SE"/>
              </w:rPr>
              <w:t>0.7</w:t>
            </w:r>
          </w:p>
        </w:tc>
        <w:tc>
          <w:tcPr>
            <w:tcW w:w="0" w:type="auto"/>
            <w:tcBorders>
              <w:bottom w:val="single" w:sz="4" w:space="0" w:color="auto"/>
            </w:tcBorders>
            <w:tcMar>
              <w:top w:w="100" w:type="dxa"/>
              <w:left w:w="100" w:type="dxa"/>
              <w:bottom w:w="100" w:type="dxa"/>
              <w:right w:w="100" w:type="dxa"/>
            </w:tcMar>
            <w:hideMark/>
          </w:tcPr>
          <w:p w14:paraId="4E59233B" w14:textId="12FE87B2"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10CE6903" w14:textId="77777777" w:rsidTr="00904A8B">
        <w:tc>
          <w:tcPr>
            <w:tcW w:w="0" w:type="auto"/>
            <w:tcBorders>
              <w:top w:val="single" w:sz="4" w:space="0" w:color="auto"/>
            </w:tcBorders>
            <w:tcMar>
              <w:top w:w="100" w:type="dxa"/>
              <w:left w:w="100" w:type="dxa"/>
              <w:bottom w:w="100" w:type="dxa"/>
              <w:right w:w="100" w:type="dxa"/>
            </w:tcMar>
            <w:hideMark/>
          </w:tcPr>
          <w:p w14:paraId="18D8C533" w14:textId="77777777" w:rsidR="007A630C" w:rsidRPr="00D6350A" w:rsidRDefault="007A630C" w:rsidP="00904A8B">
            <w:pPr>
              <w:rPr>
                <w:lang w:eastAsia="sv-SE"/>
              </w:rPr>
            </w:pPr>
            <w:r w:rsidRPr="00D6350A">
              <w:rPr>
                <w:lang w:eastAsia="sv-SE"/>
              </w:rPr>
              <w:t>Fruit and berries</w:t>
            </w:r>
          </w:p>
        </w:tc>
        <w:tc>
          <w:tcPr>
            <w:tcW w:w="0" w:type="auto"/>
            <w:gridSpan w:val="2"/>
            <w:tcBorders>
              <w:top w:val="single" w:sz="4" w:space="0" w:color="auto"/>
            </w:tcBorders>
            <w:tcMar>
              <w:top w:w="100" w:type="dxa"/>
              <w:left w:w="100" w:type="dxa"/>
              <w:bottom w:w="100" w:type="dxa"/>
              <w:right w:w="100" w:type="dxa"/>
            </w:tcMar>
            <w:hideMark/>
          </w:tcPr>
          <w:p w14:paraId="4F1203C0" w14:textId="132204D5" w:rsidR="007A630C" w:rsidRPr="00D6350A" w:rsidRDefault="007A630C" w:rsidP="00904A8B">
            <w:pPr>
              <w:rPr>
                <w:lang w:eastAsia="sv-SE"/>
              </w:rPr>
            </w:pPr>
            <w:r w:rsidRPr="00D6350A">
              <w:rPr>
                <w:lang w:eastAsia="sv-SE"/>
              </w:rPr>
              <w:t>Berries</w:t>
            </w:r>
            <w:r w:rsidR="00732A37" w:rsidRPr="00D6350A">
              <w:rPr>
                <w:szCs w:val="24"/>
                <w:vertAlign w:val="superscript"/>
                <w:lang w:val="en-GB"/>
              </w:rPr>
              <w:t>*</w:t>
            </w:r>
          </w:p>
        </w:tc>
        <w:tc>
          <w:tcPr>
            <w:tcW w:w="0" w:type="auto"/>
            <w:tcBorders>
              <w:top w:val="single" w:sz="4" w:space="0" w:color="auto"/>
            </w:tcBorders>
            <w:tcMar>
              <w:top w:w="100" w:type="dxa"/>
              <w:left w:w="100" w:type="dxa"/>
              <w:bottom w:w="100" w:type="dxa"/>
              <w:right w:w="100" w:type="dxa"/>
            </w:tcMar>
            <w:hideMark/>
          </w:tcPr>
          <w:p w14:paraId="0126CEDF" w14:textId="77777777" w:rsidR="007A630C" w:rsidRPr="00D6350A" w:rsidRDefault="007A630C" w:rsidP="00904A8B">
            <w:pPr>
              <w:rPr>
                <w:lang w:eastAsia="sv-SE"/>
              </w:rPr>
            </w:pPr>
            <w:r w:rsidRPr="00D6350A">
              <w:rPr>
                <w:lang w:eastAsia="sv-SE"/>
              </w:rPr>
              <w:t>1.0</w:t>
            </w:r>
          </w:p>
        </w:tc>
        <w:tc>
          <w:tcPr>
            <w:tcW w:w="0" w:type="auto"/>
            <w:tcBorders>
              <w:top w:val="single" w:sz="4" w:space="0" w:color="auto"/>
            </w:tcBorders>
            <w:tcMar>
              <w:top w:w="100" w:type="dxa"/>
              <w:left w:w="100" w:type="dxa"/>
              <w:bottom w:w="100" w:type="dxa"/>
              <w:right w:w="100" w:type="dxa"/>
            </w:tcMar>
            <w:hideMark/>
          </w:tcPr>
          <w:p w14:paraId="48DAE6A0" w14:textId="60229338" w:rsidR="007A630C" w:rsidRPr="00D6350A" w:rsidRDefault="007A630C" w:rsidP="00904A8B">
            <w:pPr>
              <w:rPr>
                <w:lang w:eastAsia="sv-SE"/>
              </w:rPr>
            </w:pPr>
            <w:proofErr w:type="spellStart"/>
            <w:r w:rsidRPr="00D6350A">
              <w:rPr>
                <w:lang w:eastAsia="sv-SE"/>
              </w:rPr>
              <w:t>Sjörs</w:t>
            </w:r>
            <w:proofErr w:type="spellEnd"/>
            <w:r w:rsidRPr="00D6350A">
              <w:rPr>
                <w:lang w:eastAsia="sv-SE"/>
              </w:rPr>
              <w:t xml:space="preserve"> </w:t>
            </w:r>
            <w:r w:rsidRPr="00D6350A">
              <w:rPr>
                <w:noProof/>
                <w:vertAlign w:val="superscript"/>
                <w:lang w:eastAsia="sv-SE"/>
              </w:rPr>
              <w:t>(S3)</w:t>
            </w:r>
            <w:r w:rsidRPr="00D6350A">
              <w:rPr>
                <w:lang w:eastAsia="sv-SE"/>
              </w:rPr>
              <w:t xml:space="preserve">, RISE </w:t>
            </w:r>
            <w:r w:rsidRPr="00D6350A">
              <w:rPr>
                <w:noProof/>
                <w:vertAlign w:val="superscript"/>
                <w:lang w:eastAsia="sv-SE"/>
              </w:rPr>
              <w:t>(S14)</w:t>
            </w:r>
          </w:p>
        </w:tc>
      </w:tr>
      <w:tr w:rsidR="00D6350A" w:rsidRPr="00D6350A" w14:paraId="54ED5355" w14:textId="77777777" w:rsidTr="00904A8B">
        <w:tc>
          <w:tcPr>
            <w:tcW w:w="0" w:type="auto"/>
            <w:tcMar>
              <w:top w:w="100" w:type="dxa"/>
              <w:left w:w="100" w:type="dxa"/>
              <w:bottom w:w="100" w:type="dxa"/>
              <w:right w:w="100" w:type="dxa"/>
            </w:tcMar>
            <w:hideMark/>
          </w:tcPr>
          <w:p w14:paraId="599F51B5"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500E80BE" w14:textId="25D9B097" w:rsidR="007A630C" w:rsidRPr="00D6350A" w:rsidRDefault="007A630C" w:rsidP="00904A8B">
            <w:pPr>
              <w:rPr>
                <w:lang w:eastAsia="sv-SE"/>
              </w:rPr>
            </w:pPr>
            <w:r w:rsidRPr="00D6350A">
              <w:rPr>
                <w:lang w:eastAsia="sv-SE"/>
              </w:rPr>
              <w:t>Fruit</w:t>
            </w:r>
            <w:r w:rsidR="002C683E" w:rsidRPr="00D6350A">
              <w:rPr>
                <w:vertAlign w:val="superscript"/>
                <w:lang w:val="en-GB"/>
              </w:rPr>
              <w:t>†</w:t>
            </w:r>
          </w:p>
        </w:tc>
        <w:tc>
          <w:tcPr>
            <w:tcW w:w="0" w:type="auto"/>
            <w:tcMar>
              <w:top w:w="100" w:type="dxa"/>
              <w:left w:w="100" w:type="dxa"/>
              <w:bottom w:w="100" w:type="dxa"/>
              <w:right w:w="100" w:type="dxa"/>
            </w:tcMar>
            <w:hideMark/>
          </w:tcPr>
          <w:p w14:paraId="576DD9C1" w14:textId="77777777" w:rsidR="007A630C" w:rsidRPr="00D6350A" w:rsidRDefault="007A630C" w:rsidP="00904A8B">
            <w:pPr>
              <w:rPr>
                <w:lang w:eastAsia="sv-SE"/>
              </w:rPr>
            </w:pPr>
            <w:r w:rsidRPr="00D6350A">
              <w:rPr>
                <w:lang w:eastAsia="sv-SE"/>
              </w:rPr>
              <w:t>1.4</w:t>
            </w:r>
          </w:p>
        </w:tc>
        <w:tc>
          <w:tcPr>
            <w:tcW w:w="0" w:type="auto"/>
            <w:tcMar>
              <w:top w:w="100" w:type="dxa"/>
              <w:left w:w="100" w:type="dxa"/>
              <w:bottom w:w="100" w:type="dxa"/>
              <w:right w:w="100" w:type="dxa"/>
            </w:tcMar>
            <w:hideMark/>
          </w:tcPr>
          <w:p w14:paraId="2C47AE0F" w14:textId="7D2A6DD3"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Röös </w:t>
            </w:r>
            <w:r w:rsidRPr="00D6350A">
              <w:rPr>
                <w:noProof/>
                <w:vertAlign w:val="superscript"/>
                <w:lang w:val="sv-SE" w:eastAsia="sv-SE"/>
              </w:rPr>
              <w:t>(S15)</w:t>
            </w:r>
          </w:p>
        </w:tc>
      </w:tr>
      <w:tr w:rsidR="00D6350A" w:rsidRPr="00D6350A" w14:paraId="3726D176" w14:textId="77777777" w:rsidTr="00904A8B">
        <w:tc>
          <w:tcPr>
            <w:tcW w:w="0" w:type="auto"/>
            <w:tcBorders>
              <w:bottom w:val="single" w:sz="4" w:space="0" w:color="auto"/>
            </w:tcBorders>
            <w:tcMar>
              <w:top w:w="100" w:type="dxa"/>
              <w:left w:w="100" w:type="dxa"/>
              <w:bottom w:w="100" w:type="dxa"/>
              <w:right w:w="100" w:type="dxa"/>
            </w:tcMar>
            <w:hideMark/>
          </w:tcPr>
          <w:p w14:paraId="2FA2D493" w14:textId="77777777" w:rsidR="007A630C" w:rsidRPr="00D6350A" w:rsidRDefault="007A630C" w:rsidP="00904A8B">
            <w:pPr>
              <w:rPr>
                <w:rFonts w:eastAsia="Times New Roman"/>
                <w:lang w:val="sv-SE" w:eastAsia="sv-SE"/>
              </w:rPr>
            </w:pPr>
          </w:p>
        </w:tc>
        <w:tc>
          <w:tcPr>
            <w:tcW w:w="0" w:type="auto"/>
            <w:gridSpan w:val="2"/>
            <w:tcBorders>
              <w:bottom w:val="single" w:sz="4" w:space="0" w:color="auto"/>
            </w:tcBorders>
            <w:tcMar>
              <w:top w:w="100" w:type="dxa"/>
              <w:left w:w="100" w:type="dxa"/>
              <w:bottom w:w="100" w:type="dxa"/>
              <w:right w:w="100" w:type="dxa"/>
            </w:tcMar>
            <w:hideMark/>
          </w:tcPr>
          <w:p w14:paraId="14C1C613" w14:textId="77777777" w:rsidR="007A630C" w:rsidRPr="00D6350A" w:rsidRDefault="007A630C" w:rsidP="00904A8B">
            <w:pPr>
              <w:rPr>
                <w:lang w:eastAsia="sv-SE"/>
              </w:rPr>
            </w:pPr>
            <w:r w:rsidRPr="00D6350A">
              <w:rPr>
                <w:lang w:eastAsia="sv-SE"/>
              </w:rPr>
              <w:t>Banana</w:t>
            </w:r>
          </w:p>
        </w:tc>
        <w:tc>
          <w:tcPr>
            <w:tcW w:w="0" w:type="auto"/>
            <w:tcBorders>
              <w:bottom w:val="single" w:sz="4" w:space="0" w:color="auto"/>
            </w:tcBorders>
            <w:tcMar>
              <w:top w:w="100" w:type="dxa"/>
              <w:left w:w="100" w:type="dxa"/>
              <w:bottom w:w="100" w:type="dxa"/>
              <w:right w:w="100" w:type="dxa"/>
            </w:tcMar>
            <w:hideMark/>
          </w:tcPr>
          <w:p w14:paraId="68D882FE" w14:textId="77777777" w:rsidR="007A630C" w:rsidRPr="00D6350A" w:rsidRDefault="007A630C" w:rsidP="00904A8B">
            <w:pPr>
              <w:rPr>
                <w:lang w:eastAsia="sv-SE"/>
              </w:rPr>
            </w:pPr>
            <w:r w:rsidRPr="00D6350A">
              <w:rPr>
                <w:lang w:eastAsia="sv-SE"/>
              </w:rPr>
              <w:t>2.6</w:t>
            </w:r>
          </w:p>
        </w:tc>
        <w:tc>
          <w:tcPr>
            <w:tcW w:w="0" w:type="auto"/>
            <w:tcBorders>
              <w:bottom w:val="single" w:sz="4" w:space="0" w:color="auto"/>
            </w:tcBorders>
            <w:tcMar>
              <w:top w:w="100" w:type="dxa"/>
              <w:left w:w="100" w:type="dxa"/>
              <w:bottom w:w="100" w:type="dxa"/>
              <w:right w:w="100" w:type="dxa"/>
            </w:tcMar>
            <w:hideMark/>
          </w:tcPr>
          <w:p w14:paraId="55263E09" w14:textId="462FE29C"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3300D485" w14:textId="77777777" w:rsidTr="00904A8B">
        <w:tc>
          <w:tcPr>
            <w:tcW w:w="0" w:type="auto"/>
            <w:tcBorders>
              <w:top w:val="single" w:sz="4" w:space="0" w:color="auto"/>
            </w:tcBorders>
            <w:tcMar>
              <w:top w:w="100" w:type="dxa"/>
              <w:left w:w="100" w:type="dxa"/>
              <w:bottom w:w="100" w:type="dxa"/>
              <w:right w:w="100" w:type="dxa"/>
            </w:tcMar>
            <w:hideMark/>
          </w:tcPr>
          <w:p w14:paraId="673E6ED0" w14:textId="77777777" w:rsidR="007A630C" w:rsidRPr="00D6350A" w:rsidRDefault="007A630C" w:rsidP="00904A8B">
            <w:pPr>
              <w:rPr>
                <w:lang w:eastAsia="sv-SE"/>
              </w:rPr>
            </w:pPr>
            <w:r w:rsidRPr="00D6350A">
              <w:rPr>
                <w:lang w:eastAsia="sv-SE"/>
              </w:rPr>
              <w:t>Vegetables</w:t>
            </w:r>
          </w:p>
        </w:tc>
        <w:tc>
          <w:tcPr>
            <w:tcW w:w="0" w:type="auto"/>
            <w:gridSpan w:val="2"/>
            <w:tcBorders>
              <w:top w:val="single" w:sz="4" w:space="0" w:color="auto"/>
            </w:tcBorders>
            <w:tcMar>
              <w:top w:w="100" w:type="dxa"/>
              <w:left w:w="100" w:type="dxa"/>
              <w:bottom w:w="100" w:type="dxa"/>
              <w:right w:w="100" w:type="dxa"/>
            </w:tcMar>
            <w:hideMark/>
          </w:tcPr>
          <w:p w14:paraId="612DFE52" w14:textId="77777777" w:rsidR="007A630C" w:rsidRPr="00D6350A" w:rsidRDefault="007A630C" w:rsidP="00904A8B">
            <w:pPr>
              <w:rPr>
                <w:lang w:eastAsia="sv-SE"/>
              </w:rPr>
            </w:pPr>
            <w:r w:rsidRPr="00D6350A">
              <w:rPr>
                <w:lang w:eastAsia="sv-SE"/>
              </w:rPr>
              <w:t>Root vegetables</w:t>
            </w:r>
          </w:p>
        </w:tc>
        <w:tc>
          <w:tcPr>
            <w:tcW w:w="0" w:type="auto"/>
            <w:tcBorders>
              <w:top w:val="single" w:sz="4" w:space="0" w:color="auto"/>
            </w:tcBorders>
            <w:tcMar>
              <w:top w:w="100" w:type="dxa"/>
              <w:left w:w="100" w:type="dxa"/>
              <w:bottom w:w="100" w:type="dxa"/>
              <w:right w:w="100" w:type="dxa"/>
            </w:tcMar>
            <w:hideMark/>
          </w:tcPr>
          <w:p w14:paraId="3C828B0C" w14:textId="77777777" w:rsidR="007A630C" w:rsidRPr="00D6350A" w:rsidRDefault="007A630C" w:rsidP="00904A8B">
            <w:pPr>
              <w:rPr>
                <w:lang w:eastAsia="sv-SE"/>
              </w:rPr>
            </w:pPr>
            <w:r w:rsidRPr="00D6350A">
              <w:rPr>
                <w:lang w:eastAsia="sv-SE"/>
              </w:rPr>
              <w:t>0.2</w:t>
            </w:r>
          </w:p>
        </w:tc>
        <w:tc>
          <w:tcPr>
            <w:tcW w:w="0" w:type="auto"/>
            <w:tcBorders>
              <w:top w:val="single" w:sz="4" w:space="0" w:color="auto"/>
            </w:tcBorders>
            <w:tcMar>
              <w:top w:w="100" w:type="dxa"/>
              <w:left w:w="100" w:type="dxa"/>
              <w:bottom w:w="100" w:type="dxa"/>
              <w:right w:w="100" w:type="dxa"/>
            </w:tcMar>
            <w:hideMark/>
          </w:tcPr>
          <w:p w14:paraId="771D1D7A" w14:textId="36155D5A"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74ABA1AF" w14:textId="77777777" w:rsidTr="00904A8B">
        <w:tc>
          <w:tcPr>
            <w:tcW w:w="0" w:type="auto"/>
            <w:tcMar>
              <w:top w:w="100" w:type="dxa"/>
              <w:left w:w="100" w:type="dxa"/>
              <w:bottom w:w="100" w:type="dxa"/>
              <w:right w:w="100" w:type="dxa"/>
            </w:tcMar>
            <w:hideMark/>
          </w:tcPr>
          <w:p w14:paraId="41E5CE41"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28266895" w14:textId="6479FB79" w:rsidR="007A630C" w:rsidRPr="00D6350A" w:rsidRDefault="007A630C" w:rsidP="00904A8B">
            <w:pPr>
              <w:rPr>
                <w:lang w:eastAsia="sv-SE"/>
              </w:rPr>
            </w:pPr>
            <w:r w:rsidRPr="00D6350A">
              <w:rPr>
                <w:lang w:eastAsia="sv-SE"/>
              </w:rPr>
              <w:t>Tomato and cucumber</w:t>
            </w:r>
            <w:r w:rsidR="002C683E" w:rsidRPr="00D6350A">
              <w:rPr>
                <w:vertAlign w:val="superscript"/>
                <w:lang w:val="en-GB"/>
              </w:rPr>
              <w:t>‡</w:t>
            </w:r>
          </w:p>
        </w:tc>
        <w:tc>
          <w:tcPr>
            <w:tcW w:w="0" w:type="auto"/>
            <w:tcMar>
              <w:top w:w="100" w:type="dxa"/>
              <w:left w:w="100" w:type="dxa"/>
              <w:bottom w:w="100" w:type="dxa"/>
              <w:right w:w="100" w:type="dxa"/>
            </w:tcMar>
            <w:hideMark/>
          </w:tcPr>
          <w:p w14:paraId="6486F537" w14:textId="77777777" w:rsidR="007A630C" w:rsidRPr="00D6350A" w:rsidRDefault="007A630C" w:rsidP="00904A8B">
            <w:pPr>
              <w:rPr>
                <w:lang w:eastAsia="sv-SE"/>
              </w:rPr>
            </w:pPr>
            <w:r w:rsidRPr="00D6350A">
              <w:rPr>
                <w:lang w:eastAsia="sv-SE"/>
              </w:rPr>
              <w:t>1.2</w:t>
            </w:r>
          </w:p>
        </w:tc>
        <w:tc>
          <w:tcPr>
            <w:tcW w:w="0" w:type="auto"/>
            <w:tcMar>
              <w:top w:w="100" w:type="dxa"/>
              <w:left w:w="100" w:type="dxa"/>
              <w:bottom w:w="100" w:type="dxa"/>
              <w:right w:w="100" w:type="dxa"/>
            </w:tcMar>
            <w:hideMark/>
          </w:tcPr>
          <w:p w14:paraId="287A3E10" w14:textId="77777777" w:rsidR="007A630C" w:rsidRPr="00D6350A" w:rsidRDefault="007A630C" w:rsidP="00904A8B">
            <w:pPr>
              <w:rPr>
                <w:lang w:eastAsia="sv-SE"/>
              </w:rPr>
            </w:pPr>
            <w:r w:rsidRPr="00D6350A">
              <w:rPr>
                <w:lang w:eastAsia="sv-SE"/>
              </w:rPr>
              <w:t xml:space="preserve">RISE </w:t>
            </w:r>
            <w:r w:rsidRPr="00D6350A">
              <w:rPr>
                <w:noProof/>
                <w:vertAlign w:val="superscript"/>
                <w:lang w:eastAsia="sv-SE"/>
              </w:rPr>
              <w:t>(S14)</w:t>
            </w:r>
          </w:p>
        </w:tc>
      </w:tr>
      <w:tr w:rsidR="00D6350A" w:rsidRPr="00D6350A" w14:paraId="792C2BD0" w14:textId="77777777" w:rsidTr="00904A8B">
        <w:tc>
          <w:tcPr>
            <w:tcW w:w="0" w:type="auto"/>
            <w:tcMar>
              <w:top w:w="100" w:type="dxa"/>
              <w:left w:w="100" w:type="dxa"/>
              <w:bottom w:w="100" w:type="dxa"/>
              <w:right w:w="100" w:type="dxa"/>
            </w:tcMar>
            <w:hideMark/>
          </w:tcPr>
          <w:p w14:paraId="7766A76A"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38317CA1" w14:textId="77777777" w:rsidR="007A630C" w:rsidRPr="00D6350A" w:rsidRDefault="007A630C" w:rsidP="00904A8B">
            <w:pPr>
              <w:rPr>
                <w:lang w:eastAsia="sv-SE"/>
              </w:rPr>
            </w:pPr>
            <w:r w:rsidRPr="00D6350A">
              <w:rPr>
                <w:lang w:eastAsia="sv-SE"/>
              </w:rPr>
              <w:t>Salad, spinach, kale, broccoli</w:t>
            </w:r>
          </w:p>
        </w:tc>
        <w:tc>
          <w:tcPr>
            <w:tcW w:w="0" w:type="auto"/>
            <w:tcMar>
              <w:top w:w="100" w:type="dxa"/>
              <w:left w:w="100" w:type="dxa"/>
              <w:bottom w:w="100" w:type="dxa"/>
              <w:right w:w="100" w:type="dxa"/>
            </w:tcMar>
            <w:hideMark/>
          </w:tcPr>
          <w:p w14:paraId="5D86EE59" w14:textId="77777777" w:rsidR="007A630C" w:rsidRPr="00D6350A" w:rsidRDefault="007A630C" w:rsidP="00904A8B">
            <w:pPr>
              <w:rPr>
                <w:lang w:eastAsia="sv-SE"/>
              </w:rPr>
            </w:pPr>
            <w:r w:rsidRPr="00D6350A">
              <w:rPr>
                <w:lang w:eastAsia="sv-SE"/>
              </w:rPr>
              <w:t>0.7</w:t>
            </w:r>
          </w:p>
        </w:tc>
        <w:tc>
          <w:tcPr>
            <w:tcW w:w="0" w:type="auto"/>
            <w:tcMar>
              <w:top w:w="100" w:type="dxa"/>
              <w:left w:w="100" w:type="dxa"/>
              <w:bottom w:w="100" w:type="dxa"/>
              <w:right w:w="100" w:type="dxa"/>
            </w:tcMar>
            <w:hideMark/>
          </w:tcPr>
          <w:p w14:paraId="1C72BF93" w14:textId="2F50A9DD"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7B5F76E6" w14:textId="77777777" w:rsidTr="00904A8B">
        <w:tc>
          <w:tcPr>
            <w:tcW w:w="0" w:type="auto"/>
            <w:tcBorders>
              <w:bottom w:val="single" w:sz="4" w:space="0" w:color="auto"/>
            </w:tcBorders>
            <w:tcMar>
              <w:top w:w="100" w:type="dxa"/>
              <w:left w:w="100" w:type="dxa"/>
              <w:bottom w:w="100" w:type="dxa"/>
              <w:right w:w="100" w:type="dxa"/>
            </w:tcMar>
            <w:hideMark/>
          </w:tcPr>
          <w:p w14:paraId="2E99BA5B" w14:textId="77777777" w:rsidR="007A630C" w:rsidRPr="00D6350A" w:rsidRDefault="007A630C" w:rsidP="00904A8B">
            <w:pPr>
              <w:rPr>
                <w:rFonts w:eastAsia="Times New Roman"/>
                <w:lang w:eastAsia="sv-SE"/>
              </w:rPr>
            </w:pPr>
          </w:p>
        </w:tc>
        <w:tc>
          <w:tcPr>
            <w:tcW w:w="0" w:type="auto"/>
            <w:gridSpan w:val="2"/>
            <w:tcBorders>
              <w:bottom w:val="single" w:sz="4" w:space="0" w:color="auto"/>
            </w:tcBorders>
            <w:tcMar>
              <w:top w:w="100" w:type="dxa"/>
              <w:left w:w="100" w:type="dxa"/>
              <w:bottom w:w="100" w:type="dxa"/>
              <w:right w:w="100" w:type="dxa"/>
            </w:tcMar>
            <w:hideMark/>
          </w:tcPr>
          <w:p w14:paraId="5A8F0F32" w14:textId="77777777" w:rsidR="007A630C" w:rsidRPr="00D6350A" w:rsidRDefault="007A630C" w:rsidP="00904A8B">
            <w:pPr>
              <w:rPr>
                <w:lang w:eastAsia="sv-SE"/>
              </w:rPr>
            </w:pPr>
            <w:r w:rsidRPr="00D6350A">
              <w:rPr>
                <w:lang w:eastAsia="sv-SE"/>
              </w:rPr>
              <w:t xml:space="preserve">Beans, pea soup </w:t>
            </w:r>
          </w:p>
        </w:tc>
        <w:tc>
          <w:tcPr>
            <w:tcW w:w="0" w:type="auto"/>
            <w:tcBorders>
              <w:bottom w:val="single" w:sz="4" w:space="0" w:color="auto"/>
            </w:tcBorders>
            <w:tcMar>
              <w:top w:w="100" w:type="dxa"/>
              <w:left w:w="100" w:type="dxa"/>
              <w:bottom w:w="100" w:type="dxa"/>
              <w:right w:w="100" w:type="dxa"/>
            </w:tcMar>
            <w:hideMark/>
          </w:tcPr>
          <w:p w14:paraId="3D46DEB6" w14:textId="77777777" w:rsidR="007A630C" w:rsidRPr="00D6350A" w:rsidRDefault="007A630C" w:rsidP="00904A8B">
            <w:pPr>
              <w:rPr>
                <w:lang w:eastAsia="sv-SE"/>
              </w:rPr>
            </w:pPr>
            <w:r w:rsidRPr="00D6350A">
              <w:rPr>
                <w:lang w:eastAsia="sv-SE"/>
              </w:rPr>
              <w:t>0.9</w:t>
            </w:r>
          </w:p>
        </w:tc>
        <w:tc>
          <w:tcPr>
            <w:tcW w:w="0" w:type="auto"/>
            <w:tcBorders>
              <w:bottom w:val="single" w:sz="4" w:space="0" w:color="auto"/>
            </w:tcBorders>
            <w:tcMar>
              <w:top w:w="100" w:type="dxa"/>
              <w:left w:w="100" w:type="dxa"/>
              <w:bottom w:w="100" w:type="dxa"/>
              <w:right w:w="100" w:type="dxa"/>
            </w:tcMar>
            <w:hideMark/>
          </w:tcPr>
          <w:p w14:paraId="62DAB505" w14:textId="6D78FDBF"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034B1A79" w14:textId="77777777" w:rsidTr="00904A8B">
        <w:tc>
          <w:tcPr>
            <w:tcW w:w="0" w:type="auto"/>
            <w:tcBorders>
              <w:top w:val="single" w:sz="4" w:space="0" w:color="auto"/>
            </w:tcBorders>
            <w:tcMar>
              <w:top w:w="100" w:type="dxa"/>
              <w:left w:w="100" w:type="dxa"/>
              <w:bottom w:w="100" w:type="dxa"/>
              <w:right w:w="100" w:type="dxa"/>
            </w:tcMar>
            <w:hideMark/>
          </w:tcPr>
          <w:p w14:paraId="18615FF3" w14:textId="77777777" w:rsidR="007A630C" w:rsidRPr="00D6350A" w:rsidRDefault="007A630C" w:rsidP="00904A8B">
            <w:pPr>
              <w:rPr>
                <w:lang w:eastAsia="sv-SE"/>
              </w:rPr>
            </w:pPr>
            <w:r w:rsidRPr="00D6350A">
              <w:rPr>
                <w:lang w:eastAsia="sv-SE"/>
              </w:rPr>
              <w:t>Dairy products</w:t>
            </w:r>
          </w:p>
        </w:tc>
        <w:tc>
          <w:tcPr>
            <w:tcW w:w="0" w:type="auto"/>
            <w:gridSpan w:val="2"/>
            <w:tcBorders>
              <w:top w:val="single" w:sz="4" w:space="0" w:color="auto"/>
            </w:tcBorders>
            <w:tcMar>
              <w:top w:w="100" w:type="dxa"/>
              <w:left w:w="100" w:type="dxa"/>
              <w:bottom w:w="100" w:type="dxa"/>
              <w:right w:w="100" w:type="dxa"/>
            </w:tcMar>
            <w:hideMark/>
          </w:tcPr>
          <w:p w14:paraId="6AAAB3A2" w14:textId="6A5D9ED1" w:rsidR="007A630C" w:rsidRPr="00D6350A" w:rsidRDefault="007A630C" w:rsidP="00904A8B">
            <w:pPr>
              <w:rPr>
                <w:lang w:eastAsia="sv-SE"/>
              </w:rPr>
            </w:pPr>
            <w:r w:rsidRPr="00D6350A">
              <w:rPr>
                <w:lang w:eastAsia="sv-SE"/>
              </w:rPr>
              <w:t>Cream, crème fraiche, sour cream</w:t>
            </w:r>
            <w:r w:rsidR="002C683E" w:rsidRPr="00D6350A">
              <w:rPr>
                <w:vertAlign w:val="superscript"/>
                <w:lang w:val="en-GB"/>
              </w:rPr>
              <w:t>§</w:t>
            </w:r>
          </w:p>
        </w:tc>
        <w:tc>
          <w:tcPr>
            <w:tcW w:w="0" w:type="auto"/>
            <w:tcBorders>
              <w:top w:val="single" w:sz="4" w:space="0" w:color="auto"/>
            </w:tcBorders>
            <w:tcMar>
              <w:top w:w="100" w:type="dxa"/>
              <w:left w:w="100" w:type="dxa"/>
              <w:bottom w:w="100" w:type="dxa"/>
              <w:right w:w="100" w:type="dxa"/>
            </w:tcMar>
            <w:hideMark/>
          </w:tcPr>
          <w:p w14:paraId="31BA3D32" w14:textId="77777777" w:rsidR="007A630C" w:rsidRPr="00D6350A" w:rsidRDefault="007A630C" w:rsidP="00904A8B">
            <w:pPr>
              <w:rPr>
                <w:lang w:eastAsia="sv-SE"/>
              </w:rPr>
            </w:pPr>
            <w:r w:rsidRPr="00D6350A">
              <w:rPr>
                <w:lang w:eastAsia="sv-SE"/>
              </w:rPr>
              <w:t>5.7</w:t>
            </w:r>
          </w:p>
        </w:tc>
        <w:tc>
          <w:tcPr>
            <w:tcW w:w="0" w:type="auto"/>
            <w:tcBorders>
              <w:top w:val="single" w:sz="4" w:space="0" w:color="auto"/>
            </w:tcBorders>
            <w:tcMar>
              <w:top w:w="100" w:type="dxa"/>
              <w:left w:w="100" w:type="dxa"/>
              <w:bottom w:w="100" w:type="dxa"/>
              <w:right w:w="100" w:type="dxa"/>
            </w:tcMar>
            <w:hideMark/>
          </w:tcPr>
          <w:p w14:paraId="50CA7DDB" w14:textId="5056537F"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6542310D" w14:textId="77777777" w:rsidTr="00904A8B">
        <w:tc>
          <w:tcPr>
            <w:tcW w:w="0" w:type="auto"/>
            <w:tcMar>
              <w:top w:w="100" w:type="dxa"/>
              <w:left w:w="100" w:type="dxa"/>
              <w:bottom w:w="100" w:type="dxa"/>
              <w:right w:w="100" w:type="dxa"/>
            </w:tcMar>
            <w:hideMark/>
          </w:tcPr>
          <w:p w14:paraId="73433440"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7438601A" w14:textId="77777777" w:rsidR="007A630C" w:rsidRPr="00D6350A" w:rsidRDefault="007A630C" w:rsidP="00904A8B">
            <w:pPr>
              <w:rPr>
                <w:lang w:eastAsia="sv-SE"/>
              </w:rPr>
            </w:pPr>
            <w:r w:rsidRPr="00D6350A">
              <w:rPr>
                <w:lang w:eastAsia="sv-SE"/>
              </w:rPr>
              <w:t>White cheese 28%</w:t>
            </w:r>
          </w:p>
        </w:tc>
        <w:tc>
          <w:tcPr>
            <w:tcW w:w="0" w:type="auto"/>
            <w:tcMar>
              <w:top w:w="100" w:type="dxa"/>
              <w:left w:w="100" w:type="dxa"/>
              <w:bottom w:w="100" w:type="dxa"/>
              <w:right w:w="100" w:type="dxa"/>
            </w:tcMar>
            <w:hideMark/>
          </w:tcPr>
          <w:p w14:paraId="31CBC918" w14:textId="77777777" w:rsidR="007A630C" w:rsidRPr="00D6350A" w:rsidRDefault="007A630C" w:rsidP="00904A8B">
            <w:pPr>
              <w:rPr>
                <w:lang w:eastAsia="sv-SE"/>
              </w:rPr>
            </w:pPr>
            <w:r w:rsidRPr="00D6350A">
              <w:rPr>
                <w:lang w:eastAsia="sv-SE"/>
              </w:rPr>
              <w:t>11.8</w:t>
            </w:r>
          </w:p>
        </w:tc>
        <w:tc>
          <w:tcPr>
            <w:tcW w:w="0" w:type="auto"/>
            <w:tcMar>
              <w:top w:w="100" w:type="dxa"/>
              <w:left w:w="100" w:type="dxa"/>
              <w:bottom w:w="100" w:type="dxa"/>
              <w:right w:w="100" w:type="dxa"/>
            </w:tcMar>
            <w:hideMark/>
          </w:tcPr>
          <w:p w14:paraId="71EE7D1A" w14:textId="2CA0EAE9"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328B70A4" w14:textId="77777777" w:rsidTr="00904A8B">
        <w:tc>
          <w:tcPr>
            <w:tcW w:w="0" w:type="auto"/>
            <w:tcMar>
              <w:top w:w="100" w:type="dxa"/>
              <w:left w:w="100" w:type="dxa"/>
              <w:bottom w:w="100" w:type="dxa"/>
              <w:right w:w="100" w:type="dxa"/>
            </w:tcMar>
            <w:hideMark/>
          </w:tcPr>
          <w:p w14:paraId="37609B10"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10297867" w14:textId="77777777" w:rsidR="007A630C" w:rsidRPr="00D6350A" w:rsidRDefault="007A630C" w:rsidP="00904A8B">
            <w:pPr>
              <w:rPr>
                <w:lang w:eastAsia="sv-SE"/>
              </w:rPr>
            </w:pPr>
            <w:r w:rsidRPr="00D6350A">
              <w:rPr>
                <w:lang w:eastAsia="sv-SE"/>
              </w:rPr>
              <w:t>White cheese 10-17%</w:t>
            </w:r>
          </w:p>
        </w:tc>
        <w:tc>
          <w:tcPr>
            <w:tcW w:w="0" w:type="auto"/>
            <w:tcMar>
              <w:top w:w="100" w:type="dxa"/>
              <w:left w:w="100" w:type="dxa"/>
              <w:bottom w:w="100" w:type="dxa"/>
              <w:right w:w="100" w:type="dxa"/>
            </w:tcMar>
            <w:hideMark/>
          </w:tcPr>
          <w:p w14:paraId="21FCB4C0" w14:textId="77777777" w:rsidR="007A630C" w:rsidRPr="00D6350A" w:rsidRDefault="007A630C" w:rsidP="00904A8B">
            <w:pPr>
              <w:rPr>
                <w:lang w:eastAsia="sv-SE"/>
              </w:rPr>
            </w:pPr>
            <w:r w:rsidRPr="00D6350A">
              <w:rPr>
                <w:lang w:eastAsia="sv-SE"/>
              </w:rPr>
              <w:t>10.8</w:t>
            </w:r>
          </w:p>
        </w:tc>
        <w:tc>
          <w:tcPr>
            <w:tcW w:w="0" w:type="auto"/>
            <w:tcMar>
              <w:top w:w="100" w:type="dxa"/>
              <w:left w:w="100" w:type="dxa"/>
              <w:bottom w:w="100" w:type="dxa"/>
              <w:right w:w="100" w:type="dxa"/>
            </w:tcMar>
            <w:hideMark/>
          </w:tcPr>
          <w:p w14:paraId="76AEFF77" w14:textId="3460B4BA"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3C73A0DE" w14:textId="77777777" w:rsidTr="00904A8B">
        <w:tc>
          <w:tcPr>
            <w:tcW w:w="0" w:type="auto"/>
            <w:tcMar>
              <w:top w:w="100" w:type="dxa"/>
              <w:left w:w="100" w:type="dxa"/>
              <w:bottom w:w="100" w:type="dxa"/>
              <w:right w:w="100" w:type="dxa"/>
            </w:tcMar>
            <w:hideMark/>
          </w:tcPr>
          <w:p w14:paraId="2A6D1986"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3678EA45" w14:textId="77777777" w:rsidR="007A630C" w:rsidRPr="00D6350A" w:rsidRDefault="007A630C" w:rsidP="00904A8B">
            <w:pPr>
              <w:rPr>
                <w:lang w:eastAsia="sv-SE"/>
              </w:rPr>
            </w:pPr>
            <w:r w:rsidRPr="00D6350A">
              <w:rPr>
                <w:lang w:eastAsia="sv-SE"/>
              </w:rPr>
              <w:t>Sour milk, yoghurt 3%</w:t>
            </w:r>
          </w:p>
        </w:tc>
        <w:tc>
          <w:tcPr>
            <w:tcW w:w="0" w:type="auto"/>
            <w:tcMar>
              <w:top w:w="100" w:type="dxa"/>
              <w:left w:w="100" w:type="dxa"/>
              <w:bottom w:w="100" w:type="dxa"/>
              <w:right w:w="100" w:type="dxa"/>
            </w:tcMar>
            <w:hideMark/>
          </w:tcPr>
          <w:p w14:paraId="57C02292" w14:textId="77777777" w:rsidR="007A630C" w:rsidRPr="00D6350A" w:rsidRDefault="007A630C" w:rsidP="00904A8B">
            <w:pPr>
              <w:rPr>
                <w:lang w:eastAsia="sv-SE"/>
              </w:rPr>
            </w:pPr>
            <w:r w:rsidRPr="00D6350A">
              <w:rPr>
                <w:lang w:eastAsia="sv-SE"/>
              </w:rPr>
              <w:t>1.6</w:t>
            </w:r>
          </w:p>
        </w:tc>
        <w:tc>
          <w:tcPr>
            <w:tcW w:w="0" w:type="auto"/>
            <w:tcMar>
              <w:top w:w="100" w:type="dxa"/>
              <w:left w:w="100" w:type="dxa"/>
              <w:bottom w:w="100" w:type="dxa"/>
              <w:right w:w="100" w:type="dxa"/>
            </w:tcMar>
            <w:hideMark/>
          </w:tcPr>
          <w:p w14:paraId="00FB1C26" w14:textId="7D02135E"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05ACA03A" w14:textId="77777777" w:rsidTr="00904A8B">
        <w:tc>
          <w:tcPr>
            <w:tcW w:w="0" w:type="auto"/>
            <w:tcMar>
              <w:top w:w="100" w:type="dxa"/>
              <w:left w:w="100" w:type="dxa"/>
              <w:bottom w:w="100" w:type="dxa"/>
              <w:right w:w="100" w:type="dxa"/>
            </w:tcMar>
            <w:hideMark/>
          </w:tcPr>
          <w:p w14:paraId="3AEF2DEE"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04C1DB22" w14:textId="77777777" w:rsidR="007A630C" w:rsidRPr="00D6350A" w:rsidRDefault="007A630C" w:rsidP="00904A8B">
            <w:pPr>
              <w:rPr>
                <w:lang w:eastAsia="sv-SE"/>
              </w:rPr>
            </w:pPr>
            <w:r w:rsidRPr="00D6350A">
              <w:rPr>
                <w:lang w:eastAsia="sv-SE"/>
              </w:rPr>
              <w:t>Sour milk, yoghurt 0,5%</w:t>
            </w:r>
          </w:p>
        </w:tc>
        <w:tc>
          <w:tcPr>
            <w:tcW w:w="0" w:type="auto"/>
            <w:tcMar>
              <w:top w:w="100" w:type="dxa"/>
              <w:left w:w="100" w:type="dxa"/>
              <w:bottom w:w="100" w:type="dxa"/>
              <w:right w:w="100" w:type="dxa"/>
            </w:tcMar>
            <w:hideMark/>
          </w:tcPr>
          <w:p w14:paraId="1C004866" w14:textId="77777777" w:rsidR="007A630C" w:rsidRPr="00D6350A" w:rsidRDefault="007A630C" w:rsidP="00904A8B">
            <w:pPr>
              <w:rPr>
                <w:lang w:eastAsia="sv-SE"/>
              </w:rPr>
            </w:pPr>
            <w:r w:rsidRPr="00D6350A">
              <w:rPr>
                <w:lang w:eastAsia="sv-SE"/>
              </w:rPr>
              <w:t>1.4</w:t>
            </w:r>
          </w:p>
        </w:tc>
        <w:tc>
          <w:tcPr>
            <w:tcW w:w="0" w:type="auto"/>
            <w:tcMar>
              <w:top w:w="100" w:type="dxa"/>
              <w:left w:w="100" w:type="dxa"/>
              <w:bottom w:w="100" w:type="dxa"/>
              <w:right w:w="100" w:type="dxa"/>
            </w:tcMar>
            <w:hideMark/>
          </w:tcPr>
          <w:p w14:paraId="51E62880" w14:textId="51AFBBF7"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7EEEE1B6" w14:textId="77777777" w:rsidTr="00904A8B">
        <w:tc>
          <w:tcPr>
            <w:tcW w:w="0" w:type="auto"/>
            <w:tcMar>
              <w:top w:w="100" w:type="dxa"/>
              <w:left w:w="100" w:type="dxa"/>
              <w:bottom w:w="100" w:type="dxa"/>
              <w:right w:w="100" w:type="dxa"/>
            </w:tcMar>
            <w:hideMark/>
          </w:tcPr>
          <w:p w14:paraId="4A8B8FDC"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671ACD00" w14:textId="77777777" w:rsidR="007A630C" w:rsidRPr="00D6350A" w:rsidRDefault="007A630C" w:rsidP="00904A8B">
            <w:pPr>
              <w:rPr>
                <w:lang w:eastAsia="sv-SE"/>
              </w:rPr>
            </w:pPr>
            <w:r w:rsidRPr="00D6350A">
              <w:rPr>
                <w:lang w:eastAsia="sv-SE"/>
              </w:rPr>
              <w:t>Skimmed milk 0,5%</w:t>
            </w:r>
          </w:p>
        </w:tc>
        <w:tc>
          <w:tcPr>
            <w:tcW w:w="0" w:type="auto"/>
            <w:tcMar>
              <w:top w:w="100" w:type="dxa"/>
              <w:left w:w="100" w:type="dxa"/>
              <w:bottom w:w="100" w:type="dxa"/>
              <w:right w:w="100" w:type="dxa"/>
            </w:tcMar>
            <w:hideMark/>
          </w:tcPr>
          <w:p w14:paraId="0A37704A" w14:textId="77777777" w:rsidR="007A630C" w:rsidRPr="00D6350A" w:rsidRDefault="007A630C" w:rsidP="00904A8B">
            <w:pPr>
              <w:rPr>
                <w:lang w:eastAsia="sv-SE"/>
              </w:rPr>
            </w:pPr>
            <w:r w:rsidRPr="00D6350A">
              <w:rPr>
                <w:lang w:eastAsia="sv-SE"/>
              </w:rPr>
              <w:t>1.2</w:t>
            </w:r>
          </w:p>
        </w:tc>
        <w:tc>
          <w:tcPr>
            <w:tcW w:w="0" w:type="auto"/>
            <w:tcMar>
              <w:top w:w="100" w:type="dxa"/>
              <w:left w:w="100" w:type="dxa"/>
              <w:bottom w:w="100" w:type="dxa"/>
              <w:right w:w="100" w:type="dxa"/>
            </w:tcMar>
            <w:hideMark/>
          </w:tcPr>
          <w:p w14:paraId="0BDB80F5" w14:textId="5DCADB7B" w:rsidR="007A630C" w:rsidRPr="00D6350A" w:rsidRDefault="007A630C" w:rsidP="00904A8B">
            <w:pPr>
              <w:rPr>
                <w:lang w:val="sv-SE" w:eastAsia="sv-SE"/>
              </w:rPr>
            </w:pPr>
            <w:r w:rsidRPr="00D6350A">
              <w:rPr>
                <w:lang w:val="sv-SE" w:eastAsia="sv-SE"/>
              </w:rPr>
              <w:t>Sjörs</w:t>
            </w:r>
            <w:r w:rsidR="00C502CE" w:rsidRPr="00D6350A">
              <w:rPr>
                <w:lang w:val="sv-SE" w:eastAsia="sv-SE"/>
              </w:rPr>
              <w:t xml:space="preserve"> </w:t>
            </w:r>
            <w:r w:rsidRPr="00D6350A">
              <w:rPr>
                <w:vertAlign w:val="superscript"/>
                <w:lang w:val="sv-SE" w:eastAsia="sv-SE"/>
              </w:rPr>
              <w:t xml:space="preserve"> </w:t>
            </w:r>
            <w:r w:rsidRPr="00D6350A">
              <w:rPr>
                <w:noProof/>
                <w:vertAlign w:val="superscript"/>
                <w:lang w:val="sv-SE" w:eastAsia="sv-SE"/>
              </w:rPr>
              <w:t>(S3)</w:t>
            </w:r>
            <w:r w:rsidR="00C502CE" w:rsidRPr="00D6350A">
              <w:rPr>
                <w:lang w:val="sv-SE" w:eastAsia="sv-SE"/>
              </w:rPr>
              <w:t>,</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5BE71919" w14:textId="77777777" w:rsidTr="00904A8B">
        <w:tc>
          <w:tcPr>
            <w:tcW w:w="0" w:type="auto"/>
            <w:tcMar>
              <w:top w:w="100" w:type="dxa"/>
              <w:left w:w="100" w:type="dxa"/>
              <w:bottom w:w="100" w:type="dxa"/>
              <w:right w:w="100" w:type="dxa"/>
            </w:tcMar>
            <w:hideMark/>
          </w:tcPr>
          <w:p w14:paraId="2D55F17D"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551E1150" w14:textId="77777777" w:rsidR="007A630C" w:rsidRPr="00D6350A" w:rsidRDefault="007A630C" w:rsidP="00904A8B">
            <w:pPr>
              <w:rPr>
                <w:lang w:eastAsia="sv-SE"/>
              </w:rPr>
            </w:pPr>
            <w:r w:rsidRPr="00D6350A">
              <w:rPr>
                <w:lang w:eastAsia="sv-SE"/>
              </w:rPr>
              <w:t>Semi-skimmed 1,5%</w:t>
            </w:r>
          </w:p>
        </w:tc>
        <w:tc>
          <w:tcPr>
            <w:tcW w:w="0" w:type="auto"/>
            <w:tcMar>
              <w:top w:w="100" w:type="dxa"/>
              <w:left w:w="100" w:type="dxa"/>
              <w:bottom w:w="100" w:type="dxa"/>
              <w:right w:w="100" w:type="dxa"/>
            </w:tcMar>
            <w:hideMark/>
          </w:tcPr>
          <w:p w14:paraId="7D8B2025" w14:textId="77777777" w:rsidR="007A630C" w:rsidRPr="00D6350A" w:rsidRDefault="007A630C" w:rsidP="00904A8B">
            <w:pPr>
              <w:rPr>
                <w:lang w:eastAsia="sv-SE"/>
              </w:rPr>
            </w:pPr>
            <w:r w:rsidRPr="00D6350A">
              <w:rPr>
                <w:lang w:eastAsia="sv-SE"/>
              </w:rPr>
              <w:t>1.3</w:t>
            </w:r>
          </w:p>
        </w:tc>
        <w:tc>
          <w:tcPr>
            <w:tcW w:w="0" w:type="auto"/>
            <w:tcMar>
              <w:top w:w="100" w:type="dxa"/>
              <w:left w:w="100" w:type="dxa"/>
              <w:bottom w:w="100" w:type="dxa"/>
              <w:right w:w="100" w:type="dxa"/>
            </w:tcMar>
            <w:hideMark/>
          </w:tcPr>
          <w:p w14:paraId="5D5D35D5" w14:textId="66C145BF"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5187B345" w14:textId="77777777" w:rsidTr="00904A8B">
        <w:tc>
          <w:tcPr>
            <w:tcW w:w="0" w:type="auto"/>
            <w:tcMar>
              <w:top w:w="100" w:type="dxa"/>
              <w:left w:w="100" w:type="dxa"/>
              <w:bottom w:w="100" w:type="dxa"/>
              <w:right w:w="100" w:type="dxa"/>
            </w:tcMar>
            <w:hideMark/>
          </w:tcPr>
          <w:p w14:paraId="4BBAC36D"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56E8034A" w14:textId="77777777" w:rsidR="007A630C" w:rsidRPr="00D6350A" w:rsidRDefault="007A630C" w:rsidP="00904A8B">
            <w:pPr>
              <w:rPr>
                <w:lang w:eastAsia="sv-SE"/>
              </w:rPr>
            </w:pPr>
            <w:r w:rsidRPr="00D6350A">
              <w:rPr>
                <w:lang w:eastAsia="sv-SE"/>
              </w:rPr>
              <w:t>Whole milk 3%</w:t>
            </w:r>
          </w:p>
        </w:tc>
        <w:tc>
          <w:tcPr>
            <w:tcW w:w="0" w:type="auto"/>
            <w:tcMar>
              <w:top w:w="100" w:type="dxa"/>
              <w:left w:w="100" w:type="dxa"/>
              <w:bottom w:w="100" w:type="dxa"/>
              <w:right w:w="100" w:type="dxa"/>
            </w:tcMar>
            <w:hideMark/>
          </w:tcPr>
          <w:p w14:paraId="1DD30DCB" w14:textId="77777777" w:rsidR="007A630C" w:rsidRPr="00D6350A" w:rsidRDefault="007A630C" w:rsidP="00904A8B">
            <w:pPr>
              <w:rPr>
                <w:lang w:eastAsia="sv-SE"/>
              </w:rPr>
            </w:pPr>
            <w:r w:rsidRPr="00D6350A">
              <w:rPr>
                <w:lang w:eastAsia="sv-SE"/>
              </w:rPr>
              <w:t>1.5</w:t>
            </w:r>
          </w:p>
        </w:tc>
        <w:tc>
          <w:tcPr>
            <w:tcW w:w="0" w:type="auto"/>
            <w:tcMar>
              <w:top w:w="100" w:type="dxa"/>
              <w:left w:w="100" w:type="dxa"/>
              <w:bottom w:w="100" w:type="dxa"/>
              <w:right w:w="100" w:type="dxa"/>
            </w:tcMar>
            <w:hideMark/>
          </w:tcPr>
          <w:p w14:paraId="44C4EB67" w14:textId="1F9DA2CE"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29179D5B" w14:textId="77777777" w:rsidTr="00904A8B">
        <w:tc>
          <w:tcPr>
            <w:tcW w:w="0" w:type="auto"/>
            <w:tcBorders>
              <w:bottom w:val="single" w:sz="4" w:space="0" w:color="auto"/>
            </w:tcBorders>
            <w:tcMar>
              <w:top w:w="100" w:type="dxa"/>
              <w:left w:w="100" w:type="dxa"/>
              <w:bottom w:w="100" w:type="dxa"/>
              <w:right w:w="100" w:type="dxa"/>
            </w:tcMar>
            <w:hideMark/>
          </w:tcPr>
          <w:p w14:paraId="5DF54AA3" w14:textId="77777777" w:rsidR="007A630C" w:rsidRPr="00D6350A" w:rsidRDefault="007A630C" w:rsidP="00904A8B">
            <w:pPr>
              <w:rPr>
                <w:rFonts w:eastAsia="Times New Roman"/>
                <w:lang w:val="sv-SE" w:eastAsia="sv-SE"/>
              </w:rPr>
            </w:pPr>
          </w:p>
        </w:tc>
        <w:tc>
          <w:tcPr>
            <w:tcW w:w="0" w:type="auto"/>
            <w:gridSpan w:val="2"/>
            <w:tcBorders>
              <w:bottom w:val="single" w:sz="4" w:space="0" w:color="auto"/>
            </w:tcBorders>
            <w:tcMar>
              <w:top w:w="100" w:type="dxa"/>
              <w:left w:w="100" w:type="dxa"/>
              <w:bottom w:w="100" w:type="dxa"/>
              <w:right w:w="100" w:type="dxa"/>
            </w:tcMar>
            <w:hideMark/>
          </w:tcPr>
          <w:p w14:paraId="263D30A0" w14:textId="77777777" w:rsidR="007A630C" w:rsidRPr="00D6350A" w:rsidRDefault="007A630C" w:rsidP="00904A8B">
            <w:pPr>
              <w:rPr>
                <w:lang w:eastAsia="sv-SE"/>
              </w:rPr>
            </w:pPr>
            <w:r w:rsidRPr="00D6350A">
              <w:rPr>
                <w:lang w:eastAsia="sv-SE"/>
              </w:rPr>
              <w:t>Ice cream</w:t>
            </w:r>
          </w:p>
        </w:tc>
        <w:tc>
          <w:tcPr>
            <w:tcW w:w="0" w:type="auto"/>
            <w:tcBorders>
              <w:bottom w:val="single" w:sz="4" w:space="0" w:color="auto"/>
            </w:tcBorders>
            <w:tcMar>
              <w:top w:w="100" w:type="dxa"/>
              <w:left w:w="100" w:type="dxa"/>
              <w:bottom w:w="100" w:type="dxa"/>
              <w:right w:w="100" w:type="dxa"/>
            </w:tcMar>
            <w:hideMark/>
          </w:tcPr>
          <w:p w14:paraId="147F22B3" w14:textId="77777777" w:rsidR="007A630C" w:rsidRPr="00D6350A" w:rsidRDefault="007A630C" w:rsidP="00904A8B">
            <w:pPr>
              <w:rPr>
                <w:lang w:eastAsia="sv-SE"/>
              </w:rPr>
            </w:pPr>
            <w:r w:rsidRPr="00D6350A">
              <w:rPr>
                <w:lang w:eastAsia="sv-SE"/>
              </w:rPr>
              <w:t>2.6</w:t>
            </w:r>
          </w:p>
        </w:tc>
        <w:tc>
          <w:tcPr>
            <w:tcW w:w="0" w:type="auto"/>
            <w:tcBorders>
              <w:bottom w:val="single" w:sz="4" w:space="0" w:color="auto"/>
            </w:tcBorders>
            <w:tcMar>
              <w:top w:w="100" w:type="dxa"/>
              <w:left w:w="100" w:type="dxa"/>
              <w:bottom w:w="100" w:type="dxa"/>
              <w:right w:w="100" w:type="dxa"/>
            </w:tcMar>
            <w:hideMark/>
          </w:tcPr>
          <w:p w14:paraId="6C62E5D2" w14:textId="77777777" w:rsidR="007A630C" w:rsidRPr="00D6350A" w:rsidRDefault="007A630C" w:rsidP="00904A8B">
            <w:pPr>
              <w:rPr>
                <w:lang w:eastAsia="sv-SE"/>
              </w:rPr>
            </w:pPr>
            <w:r w:rsidRPr="00D6350A">
              <w:rPr>
                <w:lang w:eastAsia="sv-SE"/>
              </w:rPr>
              <w:t xml:space="preserve">RISE </w:t>
            </w:r>
            <w:r w:rsidRPr="00D6350A">
              <w:rPr>
                <w:noProof/>
                <w:vertAlign w:val="superscript"/>
                <w:lang w:eastAsia="sv-SE"/>
              </w:rPr>
              <w:t>(S14)</w:t>
            </w:r>
          </w:p>
        </w:tc>
      </w:tr>
      <w:tr w:rsidR="00D6350A" w:rsidRPr="00D6350A" w14:paraId="304AE72E" w14:textId="77777777" w:rsidTr="00904A8B">
        <w:tc>
          <w:tcPr>
            <w:tcW w:w="0" w:type="auto"/>
            <w:tcBorders>
              <w:top w:val="single" w:sz="4" w:space="0" w:color="auto"/>
            </w:tcBorders>
            <w:tcMar>
              <w:top w:w="100" w:type="dxa"/>
              <w:left w:w="100" w:type="dxa"/>
              <w:bottom w:w="100" w:type="dxa"/>
              <w:right w:w="100" w:type="dxa"/>
            </w:tcMar>
            <w:hideMark/>
          </w:tcPr>
          <w:p w14:paraId="09FC6D7A" w14:textId="77777777" w:rsidR="007A630C" w:rsidRPr="00D6350A" w:rsidRDefault="007A630C" w:rsidP="00904A8B">
            <w:pPr>
              <w:rPr>
                <w:lang w:eastAsia="sv-SE"/>
              </w:rPr>
            </w:pPr>
            <w:r w:rsidRPr="00D6350A">
              <w:rPr>
                <w:lang w:eastAsia="sv-SE"/>
              </w:rPr>
              <w:t>Meat</w:t>
            </w:r>
          </w:p>
        </w:tc>
        <w:tc>
          <w:tcPr>
            <w:tcW w:w="0" w:type="auto"/>
            <w:gridSpan w:val="2"/>
            <w:tcBorders>
              <w:top w:val="single" w:sz="4" w:space="0" w:color="auto"/>
            </w:tcBorders>
            <w:tcMar>
              <w:top w:w="100" w:type="dxa"/>
              <w:left w:w="100" w:type="dxa"/>
              <w:bottom w:w="100" w:type="dxa"/>
              <w:right w:w="100" w:type="dxa"/>
            </w:tcMar>
            <w:hideMark/>
          </w:tcPr>
          <w:p w14:paraId="34008463" w14:textId="225F9C26" w:rsidR="007A630C" w:rsidRPr="00D6350A" w:rsidRDefault="007A630C" w:rsidP="00904A8B">
            <w:pPr>
              <w:rPr>
                <w:lang w:eastAsia="sv-SE"/>
              </w:rPr>
            </w:pPr>
            <w:r w:rsidRPr="00D6350A">
              <w:rPr>
                <w:lang w:eastAsia="sv-SE"/>
              </w:rPr>
              <w:t>Sausage/liverwurst</w:t>
            </w:r>
            <w:r w:rsidR="00380FE3" w:rsidRPr="00D6350A">
              <w:rPr>
                <w:vertAlign w:val="superscript"/>
                <w:lang w:val="en-GB"/>
              </w:rPr>
              <w:t>¶</w:t>
            </w:r>
          </w:p>
        </w:tc>
        <w:tc>
          <w:tcPr>
            <w:tcW w:w="0" w:type="auto"/>
            <w:tcBorders>
              <w:top w:val="single" w:sz="4" w:space="0" w:color="auto"/>
            </w:tcBorders>
            <w:tcMar>
              <w:top w:w="100" w:type="dxa"/>
              <w:left w:w="100" w:type="dxa"/>
              <w:bottom w:w="100" w:type="dxa"/>
              <w:right w:w="100" w:type="dxa"/>
            </w:tcMar>
            <w:hideMark/>
          </w:tcPr>
          <w:p w14:paraId="12E3A41B" w14:textId="77777777" w:rsidR="007A630C" w:rsidRPr="00D6350A" w:rsidRDefault="007A630C" w:rsidP="00904A8B">
            <w:pPr>
              <w:rPr>
                <w:lang w:eastAsia="sv-SE"/>
              </w:rPr>
            </w:pPr>
            <w:r w:rsidRPr="00D6350A">
              <w:rPr>
                <w:lang w:eastAsia="sv-SE"/>
              </w:rPr>
              <w:t>15</w:t>
            </w:r>
          </w:p>
        </w:tc>
        <w:tc>
          <w:tcPr>
            <w:tcW w:w="0" w:type="auto"/>
            <w:tcBorders>
              <w:top w:val="single" w:sz="4" w:space="0" w:color="auto"/>
            </w:tcBorders>
            <w:tcMar>
              <w:top w:w="100" w:type="dxa"/>
              <w:left w:w="100" w:type="dxa"/>
              <w:bottom w:w="100" w:type="dxa"/>
              <w:right w:w="100" w:type="dxa"/>
            </w:tcMar>
            <w:hideMark/>
          </w:tcPr>
          <w:p w14:paraId="421B66FE" w14:textId="293AD050"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w:t>
            </w:r>
            <w:r w:rsidR="00C502CE" w:rsidRPr="00D6350A">
              <w:rPr>
                <w:lang w:val="sv-SE" w:eastAsia="sv-SE"/>
              </w:rPr>
              <w:t xml:space="preserve"> </w:t>
            </w:r>
            <w:r w:rsidRPr="00D6350A">
              <w:rPr>
                <w:lang w:val="sv-SE" w:eastAsia="sv-SE"/>
              </w:rPr>
              <w:t xml:space="preserve">Bryngelsson et al. </w:t>
            </w:r>
            <w:r w:rsidRPr="00D6350A">
              <w:rPr>
                <w:noProof/>
                <w:vertAlign w:val="superscript"/>
                <w:lang w:eastAsia="sv-SE"/>
              </w:rPr>
              <w:t>(S12)</w:t>
            </w:r>
          </w:p>
        </w:tc>
      </w:tr>
      <w:tr w:rsidR="00D6350A" w:rsidRPr="00D6350A" w14:paraId="376DA2BD" w14:textId="77777777" w:rsidTr="00904A8B">
        <w:tc>
          <w:tcPr>
            <w:tcW w:w="0" w:type="auto"/>
            <w:tcMar>
              <w:top w:w="100" w:type="dxa"/>
              <w:left w:w="100" w:type="dxa"/>
              <w:bottom w:w="100" w:type="dxa"/>
              <w:right w:w="100" w:type="dxa"/>
            </w:tcMar>
            <w:hideMark/>
          </w:tcPr>
          <w:p w14:paraId="44939F6F"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6E58495A" w14:textId="77777777" w:rsidR="007A630C" w:rsidRPr="00D6350A" w:rsidRDefault="007A630C" w:rsidP="00904A8B">
            <w:pPr>
              <w:rPr>
                <w:lang w:eastAsia="sv-SE"/>
              </w:rPr>
            </w:pPr>
            <w:r w:rsidRPr="00D6350A">
              <w:rPr>
                <w:lang w:eastAsia="sv-SE"/>
              </w:rPr>
              <w:t>Meat as sandwich topping</w:t>
            </w:r>
          </w:p>
        </w:tc>
        <w:tc>
          <w:tcPr>
            <w:tcW w:w="0" w:type="auto"/>
            <w:tcMar>
              <w:top w:w="100" w:type="dxa"/>
              <w:left w:w="100" w:type="dxa"/>
              <w:bottom w:w="100" w:type="dxa"/>
              <w:right w:w="100" w:type="dxa"/>
            </w:tcMar>
            <w:hideMark/>
          </w:tcPr>
          <w:p w14:paraId="4C02EE57" w14:textId="77777777" w:rsidR="007A630C" w:rsidRPr="00D6350A" w:rsidRDefault="007A630C" w:rsidP="00904A8B">
            <w:pPr>
              <w:rPr>
                <w:lang w:eastAsia="sv-SE"/>
              </w:rPr>
            </w:pPr>
            <w:r w:rsidRPr="00D6350A">
              <w:rPr>
                <w:lang w:eastAsia="sv-SE"/>
              </w:rPr>
              <w:t>9.6</w:t>
            </w:r>
          </w:p>
        </w:tc>
        <w:tc>
          <w:tcPr>
            <w:tcW w:w="0" w:type="auto"/>
            <w:tcMar>
              <w:top w:w="100" w:type="dxa"/>
              <w:left w:w="100" w:type="dxa"/>
              <w:bottom w:w="100" w:type="dxa"/>
              <w:right w:w="100" w:type="dxa"/>
            </w:tcMar>
            <w:hideMark/>
          </w:tcPr>
          <w:p w14:paraId="277E6822" w14:textId="522B75B3"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3BF382A7" w14:textId="77777777" w:rsidTr="00904A8B">
        <w:tc>
          <w:tcPr>
            <w:tcW w:w="0" w:type="auto"/>
            <w:tcMar>
              <w:top w:w="100" w:type="dxa"/>
              <w:left w:w="100" w:type="dxa"/>
              <w:bottom w:w="100" w:type="dxa"/>
              <w:right w:w="100" w:type="dxa"/>
            </w:tcMar>
            <w:hideMark/>
          </w:tcPr>
          <w:p w14:paraId="040903F5"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68E97291" w14:textId="77777777" w:rsidR="007A630C" w:rsidRPr="00D6350A" w:rsidRDefault="007A630C" w:rsidP="00904A8B">
            <w:pPr>
              <w:rPr>
                <w:lang w:eastAsia="sv-SE"/>
              </w:rPr>
            </w:pPr>
            <w:r w:rsidRPr="00D6350A">
              <w:rPr>
                <w:lang w:eastAsia="sv-SE"/>
              </w:rPr>
              <w:t>Minced meat dishes</w:t>
            </w:r>
          </w:p>
        </w:tc>
        <w:tc>
          <w:tcPr>
            <w:tcW w:w="0" w:type="auto"/>
            <w:tcMar>
              <w:top w:w="100" w:type="dxa"/>
              <w:left w:w="100" w:type="dxa"/>
              <w:bottom w:w="100" w:type="dxa"/>
              <w:right w:w="100" w:type="dxa"/>
            </w:tcMar>
            <w:hideMark/>
          </w:tcPr>
          <w:p w14:paraId="5EDD1717" w14:textId="77777777" w:rsidR="007A630C" w:rsidRPr="00D6350A" w:rsidRDefault="007A630C" w:rsidP="00904A8B">
            <w:pPr>
              <w:rPr>
                <w:lang w:eastAsia="sv-SE"/>
              </w:rPr>
            </w:pPr>
            <w:r w:rsidRPr="00D6350A">
              <w:rPr>
                <w:lang w:eastAsia="sv-SE"/>
              </w:rPr>
              <w:t>18.6</w:t>
            </w:r>
          </w:p>
        </w:tc>
        <w:tc>
          <w:tcPr>
            <w:tcW w:w="0" w:type="auto"/>
            <w:tcMar>
              <w:top w:w="100" w:type="dxa"/>
              <w:left w:w="100" w:type="dxa"/>
              <w:bottom w:w="100" w:type="dxa"/>
              <w:right w:w="100" w:type="dxa"/>
            </w:tcMar>
            <w:hideMark/>
          </w:tcPr>
          <w:p w14:paraId="62CBB534" w14:textId="684F2A45"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RISE </w:t>
            </w:r>
            <w:r w:rsidRPr="00D6350A">
              <w:rPr>
                <w:noProof/>
                <w:vertAlign w:val="superscript"/>
                <w:lang w:val="sv-SE" w:eastAsia="sv-SE"/>
              </w:rPr>
              <w:t>(S14)</w:t>
            </w:r>
          </w:p>
        </w:tc>
      </w:tr>
      <w:tr w:rsidR="00D6350A" w:rsidRPr="00D6350A" w14:paraId="66B718C0" w14:textId="77777777" w:rsidTr="00904A8B">
        <w:tc>
          <w:tcPr>
            <w:tcW w:w="0" w:type="auto"/>
            <w:tcMar>
              <w:top w:w="100" w:type="dxa"/>
              <w:left w:w="100" w:type="dxa"/>
              <w:bottom w:w="100" w:type="dxa"/>
              <w:right w:w="100" w:type="dxa"/>
            </w:tcMar>
            <w:hideMark/>
          </w:tcPr>
          <w:p w14:paraId="07E816B0"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6DBB257E" w14:textId="77777777" w:rsidR="007A630C" w:rsidRPr="00D6350A" w:rsidRDefault="007A630C" w:rsidP="00904A8B">
            <w:pPr>
              <w:rPr>
                <w:lang w:eastAsia="sv-SE"/>
              </w:rPr>
            </w:pPr>
            <w:r w:rsidRPr="00D6350A">
              <w:rPr>
                <w:lang w:eastAsia="sv-SE"/>
              </w:rPr>
              <w:t>Meat dish</w:t>
            </w:r>
          </w:p>
        </w:tc>
        <w:tc>
          <w:tcPr>
            <w:tcW w:w="0" w:type="auto"/>
            <w:tcMar>
              <w:top w:w="100" w:type="dxa"/>
              <w:left w:w="100" w:type="dxa"/>
              <w:bottom w:w="100" w:type="dxa"/>
              <w:right w:w="100" w:type="dxa"/>
            </w:tcMar>
            <w:hideMark/>
          </w:tcPr>
          <w:p w14:paraId="3F9A3E85" w14:textId="77777777" w:rsidR="007A630C" w:rsidRPr="00D6350A" w:rsidRDefault="007A630C" w:rsidP="00904A8B">
            <w:pPr>
              <w:rPr>
                <w:lang w:eastAsia="sv-SE"/>
              </w:rPr>
            </w:pPr>
            <w:r w:rsidRPr="00D6350A">
              <w:rPr>
                <w:lang w:eastAsia="sv-SE"/>
              </w:rPr>
              <w:t>6.8</w:t>
            </w:r>
          </w:p>
        </w:tc>
        <w:tc>
          <w:tcPr>
            <w:tcW w:w="0" w:type="auto"/>
            <w:tcMar>
              <w:top w:w="100" w:type="dxa"/>
              <w:left w:w="100" w:type="dxa"/>
              <w:bottom w:w="100" w:type="dxa"/>
              <w:right w:w="100" w:type="dxa"/>
            </w:tcMar>
            <w:hideMark/>
          </w:tcPr>
          <w:p w14:paraId="1B5D55F3" w14:textId="40157587"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Ceije </w:t>
            </w:r>
            <w:r w:rsidRPr="00D6350A">
              <w:rPr>
                <w:noProof/>
                <w:vertAlign w:val="superscript"/>
                <w:lang w:val="sv-SE" w:eastAsia="sv-SE"/>
              </w:rPr>
              <w:t>(S16)</w:t>
            </w:r>
          </w:p>
        </w:tc>
      </w:tr>
      <w:tr w:rsidR="00D6350A" w:rsidRPr="00D6350A" w14:paraId="22A63A38" w14:textId="77777777" w:rsidTr="00904A8B">
        <w:tc>
          <w:tcPr>
            <w:tcW w:w="0" w:type="auto"/>
            <w:tcMar>
              <w:top w:w="100" w:type="dxa"/>
              <w:left w:w="100" w:type="dxa"/>
              <w:bottom w:w="100" w:type="dxa"/>
              <w:right w:w="100" w:type="dxa"/>
            </w:tcMar>
            <w:hideMark/>
          </w:tcPr>
          <w:p w14:paraId="193D76E9"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66079778" w14:textId="74C548EA" w:rsidR="007A630C" w:rsidRPr="00D6350A" w:rsidRDefault="007A630C" w:rsidP="00904A8B">
            <w:pPr>
              <w:rPr>
                <w:lang w:eastAsia="sv-SE"/>
              </w:rPr>
            </w:pPr>
            <w:r w:rsidRPr="00D6350A">
              <w:rPr>
                <w:lang w:eastAsia="sv-SE"/>
              </w:rPr>
              <w:t>Meat</w:t>
            </w:r>
            <w:r w:rsidR="00380FE3" w:rsidRPr="00D6350A">
              <w:rPr>
                <w:vertAlign w:val="superscript"/>
                <w:lang w:val="en-GB"/>
              </w:rPr>
              <w:t>||</w:t>
            </w:r>
          </w:p>
        </w:tc>
        <w:tc>
          <w:tcPr>
            <w:tcW w:w="0" w:type="auto"/>
            <w:tcMar>
              <w:top w:w="100" w:type="dxa"/>
              <w:left w:w="100" w:type="dxa"/>
              <w:bottom w:w="100" w:type="dxa"/>
              <w:right w:w="100" w:type="dxa"/>
            </w:tcMar>
            <w:hideMark/>
          </w:tcPr>
          <w:p w14:paraId="4C4AB3BB" w14:textId="77777777" w:rsidR="007A630C" w:rsidRPr="00D6350A" w:rsidRDefault="007A630C" w:rsidP="00904A8B">
            <w:pPr>
              <w:rPr>
                <w:lang w:eastAsia="sv-SE"/>
              </w:rPr>
            </w:pPr>
            <w:r w:rsidRPr="00D6350A">
              <w:rPr>
                <w:lang w:eastAsia="sv-SE"/>
              </w:rPr>
              <w:t>26.4</w:t>
            </w:r>
          </w:p>
        </w:tc>
        <w:tc>
          <w:tcPr>
            <w:tcW w:w="0" w:type="auto"/>
            <w:tcMar>
              <w:top w:w="100" w:type="dxa"/>
              <w:left w:w="100" w:type="dxa"/>
              <w:bottom w:w="100" w:type="dxa"/>
              <w:right w:w="100" w:type="dxa"/>
            </w:tcMar>
            <w:hideMark/>
          </w:tcPr>
          <w:p w14:paraId="68DDDE4E" w14:textId="124A9B6E"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Ceije </w:t>
            </w:r>
            <w:r w:rsidRPr="00D6350A">
              <w:rPr>
                <w:noProof/>
                <w:vertAlign w:val="superscript"/>
                <w:lang w:val="sv-SE" w:eastAsia="sv-SE"/>
              </w:rPr>
              <w:t>(S16)</w:t>
            </w:r>
          </w:p>
        </w:tc>
      </w:tr>
      <w:tr w:rsidR="00D6350A" w:rsidRPr="00D6350A" w14:paraId="0DB4A022" w14:textId="77777777" w:rsidTr="00904A8B">
        <w:tc>
          <w:tcPr>
            <w:tcW w:w="0" w:type="auto"/>
            <w:tcMar>
              <w:top w:w="100" w:type="dxa"/>
              <w:left w:w="100" w:type="dxa"/>
              <w:bottom w:w="100" w:type="dxa"/>
              <w:right w:w="100" w:type="dxa"/>
            </w:tcMar>
            <w:hideMark/>
          </w:tcPr>
          <w:p w14:paraId="5E142EB0"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4750068E" w14:textId="77777777" w:rsidR="007A630C" w:rsidRPr="00D6350A" w:rsidRDefault="007A630C" w:rsidP="00904A8B">
            <w:pPr>
              <w:rPr>
                <w:lang w:eastAsia="sv-SE"/>
              </w:rPr>
            </w:pPr>
            <w:r w:rsidRPr="00D6350A">
              <w:rPr>
                <w:lang w:eastAsia="sv-SE"/>
              </w:rPr>
              <w:t>Bacon</w:t>
            </w:r>
          </w:p>
        </w:tc>
        <w:tc>
          <w:tcPr>
            <w:tcW w:w="0" w:type="auto"/>
            <w:tcMar>
              <w:top w:w="100" w:type="dxa"/>
              <w:left w:w="100" w:type="dxa"/>
              <w:bottom w:w="100" w:type="dxa"/>
              <w:right w:w="100" w:type="dxa"/>
            </w:tcMar>
            <w:hideMark/>
          </w:tcPr>
          <w:p w14:paraId="64184FA6" w14:textId="77777777" w:rsidR="007A630C" w:rsidRPr="00D6350A" w:rsidRDefault="007A630C" w:rsidP="00904A8B">
            <w:pPr>
              <w:rPr>
                <w:lang w:eastAsia="sv-SE"/>
              </w:rPr>
            </w:pPr>
            <w:r w:rsidRPr="00D6350A">
              <w:rPr>
                <w:lang w:eastAsia="sv-SE"/>
              </w:rPr>
              <w:t>9.6</w:t>
            </w:r>
          </w:p>
        </w:tc>
        <w:tc>
          <w:tcPr>
            <w:tcW w:w="0" w:type="auto"/>
            <w:tcMar>
              <w:top w:w="100" w:type="dxa"/>
              <w:left w:w="100" w:type="dxa"/>
              <w:bottom w:w="100" w:type="dxa"/>
              <w:right w:w="100" w:type="dxa"/>
            </w:tcMar>
            <w:hideMark/>
          </w:tcPr>
          <w:p w14:paraId="13B479E2" w14:textId="6104B13A"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1D205B1E" w14:textId="77777777" w:rsidTr="00904A8B">
        <w:tc>
          <w:tcPr>
            <w:tcW w:w="0" w:type="auto"/>
            <w:tcMar>
              <w:top w:w="100" w:type="dxa"/>
              <w:left w:w="100" w:type="dxa"/>
              <w:bottom w:w="100" w:type="dxa"/>
              <w:right w:w="100" w:type="dxa"/>
            </w:tcMar>
            <w:hideMark/>
          </w:tcPr>
          <w:p w14:paraId="656FE156"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102487CC" w14:textId="77777777" w:rsidR="007A630C" w:rsidRPr="00D6350A" w:rsidRDefault="007A630C" w:rsidP="00904A8B">
            <w:pPr>
              <w:rPr>
                <w:lang w:eastAsia="sv-SE"/>
              </w:rPr>
            </w:pPr>
            <w:r w:rsidRPr="00D6350A">
              <w:rPr>
                <w:lang w:eastAsia="sv-SE"/>
              </w:rPr>
              <w:t>Sausage dish</w:t>
            </w:r>
          </w:p>
        </w:tc>
        <w:tc>
          <w:tcPr>
            <w:tcW w:w="0" w:type="auto"/>
            <w:tcMar>
              <w:top w:w="100" w:type="dxa"/>
              <w:left w:w="100" w:type="dxa"/>
              <w:bottom w:w="100" w:type="dxa"/>
              <w:right w:w="100" w:type="dxa"/>
            </w:tcMar>
            <w:hideMark/>
          </w:tcPr>
          <w:p w14:paraId="647A51A2" w14:textId="77777777" w:rsidR="007A630C" w:rsidRPr="00D6350A" w:rsidRDefault="007A630C" w:rsidP="00904A8B">
            <w:pPr>
              <w:rPr>
                <w:lang w:eastAsia="sv-SE"/>
              </w:rPr>
            </w:pPr>
            <w:r w:rsidRPr="00D6350A">
              <w:rPr>
                <w:lang w:eastAsia="sv-SE"/>
              </w:rPr>
              <w:t>18.2</w:t>
            </w:r>
          </w:p>
        </w:tc>
        <w:tc>
          <w:tcPr>
            <w:tcW w:w="0" w:type="auto"/>
            <w:tcMar>
              <w:top w:w="100" w:type="dxa"/>
              <w:left w:w="100" w:type="dxa"/>
              <w:bottom w:w="100" w:type="dxa"/>
              <w:right w:w="100" w:type="dxa"/>
            </w:tcMar>
            <w:hideMark/>
          </w:tcPr>
          <w:p w14:paraId="439A9A5B" w14:textId="0C0FE806"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597CE435" w14:textId="77777777" w:rsidTr="00904A8B">
        <w:tc>
          <w:tcPr>
            <w:tcW w:w="0" w:type="auto"/>
            <w:tcBorders>
              <w:bottom w:val="single" w:sz="4" w:space="0" w:color="auto"/>
            </w:tcBorders>
            <w:tcMar>
              <w:top w:w="100" w:type="dxa"/>
              <w:left w:w="100" w:type="dxa"/>
              <w:bottom w:w="100" w:type="dxa"/>
              <w:right w:w="100" w:type="dxa"/>
            </w:tcMar>
            <w:hideMark/>
          </w:tcPr>
          <w:p w14:paraId="7D54615D" w14:textId="77777777" w:rsidR="007A630C" w:rsidRPr="00D6350A" w:rsidRDefault="007A630C" w:rsidP="00904A8B">
            <w:pPr>
              <w:rPr>
                <w:rFonts w:eastAsia="Times New Roman"/>
                <w:lang w:eastAsia="sv-SE"/>
              </w:rPr>
            </w:pPr>
          </w:p>
        </w:tc>
        <w:tc>
          <w:tcPr>
            <w:tcW w:w="0" w:type="auto"/>
            <w:tcBorders>
              <w:bottom w:val="single" w:sz="4" w:space="0" w:color="auto"/>
            </w:tcBorders>
            <w:tcMar>
              <w:top w:w="100" w:type="dxa"/>
              <w:left w:w="100" w:type="dxa"/>
              <w:bottom w:w="100" w:type="dxa"/>
              <w:right w:w="100" w:type="dxa"/>
            </w:tcMar>
            <w:hideMark/>
          </w:tcPr>
          <w:p w14:paraId="29283A54" w14:textId="77777777" w:rsidR="007A630C" w:rsidRPr="00D6350A" w:rsidRDefault="007A630C" w:rsidP="00904A8B">
            <w:pPr>
              <w:rPr>
                <w:lang w:eastAsia="sv-SE"/>
              </w:rPr>
            </w:pPr>
            <w:r w:rsidRPr="00D6350A">
              <w:rPr>
                <w:lang w:eastAsia="sv-SE"/>
              </w:rPr>
              <w:t>Hamburger (beef)</w:t>
            </w:r>
          </w:p>
        </w:tc>
        <w:tc>
          <w:tcPr>
            <w:tcW w:w="0" w:type="auto"/>
            <w:tcBorders>
              <w:bottom w:val="single" w:sz="4" w:space="0" w:color="auto"/>
            </w:tcBorders>
          </w:tcPr>
          <w:p w14:paraId="075260A4" w14:textId="77777777" w:rsidR="007A630C" w:rsidRPr="00D6350A" w:rsidRDefault="007A630C" w:rsidP="00904A8B">
            <w:pPr>
              <w:rPr>
                <w:lang w:eastAsia="sv-SE"/>
              </w:rPr>
            </w:pPr>
          </w:p>
        </w:tc>
        <w:tc>
          <w:tcPr>
            <w:tcW w:w="0" w:type="auto"/>
            <w:tcBorders>
              <w:bottom w:val="single" w:sz="4" w:space="0" w:color="auto"/>
            </w:tcBorders>
            <w:tcMar>
              <w:top w:w="100" w:type="dxa"/>
              <w:left w:w="100" w:type="dxa"/>
              <w:bottom w:w="100" w:type="dxa"/>
              <w:right w:w="100" w:type="dxa"/>
            </w:tcMar>
            <w:hideMark/>
          </w:tcPr>
          <w:p w14:paraId="7E5228EC" w14:textId="77777777" w:rsidR="007A630C" w:rsidRPr="00D6350A" w:rsidRDefault="007A630C" w:rsidP="00904A8B">
            <w:pPr>
              <w:rPr>
                <w:lang w:eastAsia="sv-SE"/>
              </w:rPr>
            </w:pPr>
            <w:r w:rsidRPr="00D6350A">
              <w:rPr>
                <w:lang w:eastAsia="sv-SE"/>
              </w:rPr>
              <w:t>24.0</w:t>
            </w:r>
          </w:p>
        </w:tc>
        <w:tc>
          <w:tcPr>
            <w:tcW w:w="0" w:type="auto"/>
            <w:tcBorders>
              <w:bottom w:val="single" w:sz="4" w:space="0" w:color="auto"/>
            </w:tcBorders>
            <w:tcMar>
              <w:top w:w="100" w:type="dxa"/>
              <w:left w:w="100" w:type="dxa"/>
              <w:bottom w:w="100" w:type="dxa"/>
              <w:right w:w="100" w:type="dxa"/>
            </w:tcMar>
            <w:hideMark/>
          </w:tcPr>
          <w:p w14:paraId="30F8F287" w14:textId="5944DB83"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Flysjö </w:t>
            </w:r>
            <w:r w:rsidRPr="00D6350A">
              <w:rPr>
                <w:noProof/>
                <w:vertAlign w:val="superscript"/>
                <w:lang w:val="sv-SE" w:eastAsia="sv-SE"/>
              </w:rPr>
              <w:t>(S13)</w:t>
            </w:r>
          </w:p>
        </w:tc>
      </w:tr>
      <w:tr w:rsidR="00D6350A" w:rsidRPr="00D6350A" w14:paraId="72A8D989" w14:textId="77777777" w:rsidTr="00904A8B">
        <w:tc>
          <w:tcPr>
            <w:tcW w:w="0" w:type="auto"/>
            <w:tcBorders>
              <w:top w:val="single" w:sz="4" w:space="0" w:color="auto"/>
              <w:bottom w:val="single" w:sz="4" w:space="0" w:color="auto"/>
            </w:tcBorders>
            <w:tcMar>
              <w:top w:w="100" w:type="dxa"/>
              <w:left w:w="100" w:type="dxa"/>
              <w:bottom w:w="100" w:type="dxa"/>
              <w:right w:w="100" w:type="dxa"/>
            </w:tcMar>
            <w:hideMark/>
          </w:tcPr>
          <w:p w14:paraId="274BA3D1" w14:textId="77777777" w:rsidR="007A630C" w:rsidRPr="00D6350A" w:rsidRDefault="007A630C" w:rsidP="00904A8B">
            <w:pPr>
              <w:rPr>
                <w:lang w:eastAsia="sv-SE"/>
              </w:rPr>
            </w:pPr>
            <w:r w:rsidRPr="00D6350A">
              <w:rPr>
                <w:lang w:eastAsia="sv-SE"/>
              </w:rPr>
              <w:t>Poultry</w:t>
            </w:r>
          </w:p>
        </w:tc>
        <w:tc>
          <w:tcPr>
            <w:tcW w:w="0" w:type="auto"/>
            <w:gridSpan w:val="2"/>
            <w:tcBorders>
              <w:top w:val="single" w:sz="4" w:space="0" w:color="auto"/>
              <w:bottom w:val="single" w:sz="4" w:space="0" w:color="auto"/>
            </w:tcBorders>
            <w:tcMar>
              <w:top w:w="100" w:type="dxa"/>
              <w:left w:w="100" w:type="dxa"/>
              <w:bottom w:w="100" w:type="dxa"/>
              <w:right w:w="100" w:type="dxa"/>
            </w:tcMar>
            <w:hideMark/>
          </w:tcPr>
          <w:p w14:paraId="1BD8453F" w14:textId="77777777" w:rsidR="007A630C" w:rsidRPr="00D6350A" w:rsidRDefault="007A630C" w:rsidP="00904A8B">
            <w:pPr>
              <w:rPr>
                <w:lang w:eastAsia="sv-SE"/>
              </w:rPr>
            </w:pPr>
            <w:r w:rsidRPr="00D6350A">
              <w:rPr>
                <w:lang w:eastAsia="sv-SE"/>
              </w:rPr>
              <w:t>Chicken</w:t>
            </w:r>
          </w:p>
        </w:tc>
        <w:tc>
          <w:tcPr>
            <w:tcW w:w="0" w:type="auto"/>
            <w:tcBorders>
              <w:top w:val="single" w:sz="4" w:space="0" w:color="auto"/>
              <w:bottom w:val="single" w:sz="4" w:space="0" w:color="auto"/>
            </w:tcBorders>
            <w:tcMar>
              <w:top w:w="100" w:type="dxa"/>
              <w:left w:w="100" w:type="dxa"/>
              <w:bottom w:w="100" w:type="dxa"/>
              <w:right w:w="100" w:type="dxa"/>
            </w:tcMar>
            <w:hideMark/>
          </w:tcPr>
          <w:p w14:paraId="52E53DD4" w14:textId="77777777" w:rsidR="007A630C" w:rsidRPr="00D6350A" w:rsidRDefault="007A630C" w:rsidP="00904A8B">
            <w:pPr>
              <w:rPr>
                <w:lang w:eastAsia="sv-SE"/>
              </w:rPr>
            </w:pPr>
            <w:r w:rsidRPr="00D6350A">
              <w:rPr>
                <w:lang w:eastAsia="sv-SE"/>
              </w:rPr>
              <w:t>3.6</w:t>
            </w:r>
          </w:p>
        </w:tc>
        <w:tc>
          <w:tcPr>
            <w:tcW w:w="0" w:type="auto"/>
            <w:tcBorders>
              <w:top w:val="single" w:sz="4" w:space="0" w:color="auto"/>
              <w:bottom w:val="single" w:sz="4" w:space="0" w:color="auto"/>
            </w:tcBorders>
            <w:tcMar>
              <w:top w:w="100" w:type="dxa"/>
              <w:left w:w="100" w:type="dxa"/>
              <w:bottom w:w="100" w:type="dxa"/>
              <w:right w:w="100" w:type="dxa"/>
            </w:tcMar>
            <w:hideMark/>
          </w:tcPr>
          <w:p w14:paraId="3F81D3D8" w14:textId="41A6064F"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p>
        </w:tc>
      </w:tr>
      <w:tr w:rsidR="00D6350A" w:rsidRPr="00D6350A" w14:paraId="1AECE58D" w14:textId="77777777" w:rsidTr="00904A8B">
        <w:tc>
          <w:tcPr>
            <w:tcW w:w="0" w:type="auto"/>
            <w:tcBorders>
              <w:top w:val="single" w:sz="4" w:space="0" w:color="auto"/>
            </w:tcBorders>
            <w:tcMar>
              <w:top w:w="100" w:type="dxa"/>
              <w:left w:w="100" w:type="dxa"/>
              <w:bottom w:w="100" w:type="dxa"/>
              <w:right w:w="100" w:type="dxa"/>
            </w:tcMar>
            <w:hideMark/>
          </w:tcPr>
          <w:p w14:paraId="52AE5554" w14:textId="77777777" w:rsidR="007A630C" w:rsidRPr="00D6350A" w:rsidRDefault="007A630C" w:rsidP="00904A8B">
            <w:pPr>
              <w:rPr>
                <w:lang w:eastAsia="sv-SE"/>
              </w:rPr>
            </w:pPr>
            <w:r w:rsidRPr="00D6350A">
              <w:rPr>
                <w:lang w:eastAsia="sv-SE"/>
              </w:rPr>
              <w:t>Fish</w:t>
            </w:r>
          </w:p>
        </w:tc>
        <w:tc>
          <w:tcPr>
            <w:tcW w:w="0" w:type="auto"/>
            <w:gridSpan w:val="2"/>
            <w:tcBorders>
              <w:top w:val="single" w:sz="4" w:space="0" w:color="auto"/>
            </w:tcBorders>
            <w:tcMar>
              <w:top w:w="100" w:type="dxa"/>
              <w:left w:w="100" w:type="dxa"/>
              <w:bottom w:w="100" w:type="dxa"/>
              <w:right w:w="100" w:type="dxa"/>
            </w:tcMar>
            <w:hideMark/>
          </w:tcPr>
          <w:p w14:paraId="050C5B66" w14:textId="77777777" w:rsidR="007A630C" w:rsidRPr="00D6350A" w:rsidRDefault="007A630C" w:rsidP="00904A8B">
            <w:pPr>
              <w:rPr>
                <w:lang w:eastAsia="sv-SE"/>
              </w:rPr>
            </w:pPr>
            <w:r w:rsidRPr="00D6350A">
              <w:rPr>
                <w:lang w:eastAsia="sv-SE"/>
              </w:rPr>
              <w:t>Lean fish</w:t>
            </w:r>
          </w:p>
        </w:tc>
        <w:tc>
          <w:tcPr>
            <w:tcW w:w="0" w:type="auto"/>
            <w:tcBorders>
              <w:top w:val="single" w:sz="4" w:space="0" w:color="auto"/>
            </w:tcBorders>
            <w:tcMar>
              <w:top w:w="100" w:type="dxa"/>
              <w:left w:w="100" w:type="dxa"/>
              <w:bottom w:w="100" w:type="dxa"/>
              <w:right w:w="100" w:type="dxa"/>
            </w:tcMar>
            <w:hideMark/>
          </w:tcPr>
          <w:p w14:paraId="461B1067" w14:textId="77777777" w:rsidR="007A630C" w:rsidRPr="00D6350A" w:rsidRDefault="007A630C" w:rsidP="00904A8B">
            <w:pPr>
              <w:rPr>
                <w:lang w:eastAsia="sv-SE"/>
              </w:rPr>
            </w:pPr>
            <w:r w:rsidRPr="00D6350A">
              <w:rPr>
                <w:lang w:eastAsia="sv-SE"/>
              </w:rPr>
              <w:t>4.2</w:t>
            </w:r>
          </w:p>
        </w:tc>
        <w:tc>
          <w:tcPr>
            <w:tcW w:w="0" w:type="auto"/>
            <w:tcBorders>
              <w:top w:val="single" w:sz="4" w:space="0" w:color="auto"/>
            </w:tcBorders>
            <w:tcMar>
              <w:top w:w="100" w:type="dxa"/>
              <w:left w:w="100" w:type="dxa"/>
              <w:bottom w:w="100" w:type="dxa"/>
              <w:right w:w="100" w:type="dxa"/>
            </w:tcMar>
            <w:hideMark/>
          </w:tcPr>
          <w:p w14:paraId="175109AD" w14:textId="0B010327"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Ziegler et al. </w:t>
            </w:r>
            <w:r w:rsidRPr="00D6350A">
              <w:rPr>
                <w:noProof/>
                <w:vertAlign w:val="superscript"/>
                <w:lang w:eastAsia="sv-SE"/>
              </w:rPr>
              <w:t>(S17)</w:t>
            </w:r>
            <w:r w:rsidRPr="00D6350A">
              <w:rPr>
                <w:lang w:eastAsia="sv-SE"/>
              </w:rPr>
              <w:t xml:space="preserve">, </w:t>
            </w:r>
            <w:proofErr w:type="spellStart"/>
            <w:r w:rsidRPr="00D6350A">
              <w:rPr>
                <w:lang w:eastAsia="sv-SE"/>
              </w:rPr>
              <w:t>Winther</w:t>
            </w:r>
            <w:proofErr w:type="spellEnd"/>
            <w:r w:rsidRPr="00D6350A">
              <w:rPr>
                <w:lang w:eastAsia="sv-SE"/>
              </w:rPr>
              <w:t xml:space="preserve"> et al. </w:t>
            </w:r>
            <w:r w:rsidRPr="00D6350A">
              <w:rPr>
                <w:noProof/>
                <w:vertAlign w:val="superscript"/>
                <w:lang w:eastAsia="sv-SE"/>
              </w:rPr>
              <w:t>(S18)</w:t>
            </w:r>
          </w:p>
        </w:tc>
      </w:tr>
      <w:tr w:rsidR="00D6350A" w:rsidRPr="00D6350A" w14:paraId="0DB1FF91" w14:textId="77777777" w:rsidTr="00904A8B">
        <w:tc>
          <w:tcPr>
            <w:tcW w:w="0" w:type="auto"/>
            <w:tcMar>
              <w:top w:w="100" w:type="dxa"/>
              <w:left w:w="100" w:type="dxa"/>
              <w:bottom w:w="100" w:type="dxa"/>
              <w:right w:w="100" w:type="dxa"/>
            </w:tcMar>
            <w:hideMark/>
          </w:tcPr>
          <w:p w14:paraId="0D2F1271"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61E31FB6" w14:textId="477ABB46" w:rsidR="007A630C" w:rsidRPr="00D6350A" w:rsidRDefault="007A630C" w:rsidP="00631415">
            <w:pPr>
              <w:spacing w:line="360" w:lineRule="auto"/>
              <w:rPr>
                <w:vertAlign w:val="superscript"/>
                <w:lang w:val="en-GB"/>
              </w:rPr>
            </w:pPr>
            <w:r w:rsidRPr="00D6350A">
              <w:rPr>
                <w:lang w:eastAsia="sv-SE"/>
              </w:rPr>
              <w:t>Fat fish</w:t>
            </w:r>
            <w:r w:rsidR="00631415" w:rsidRPr="00D6350A">
              <w:rPr>
                <w:vertAlign w:val="superscript"/>
                <w:lang w:val="en-GB"/>
              </w:rPr>
              <w:sym w:font="Symbol" w:char="F0B0"/>
            </w:r>
          </w:p>
        </w:tc>
        <w:tc>
          <w:tcPr>
            <w:tcW w:w="0" w:type="auto"/>
            <w:tcMar>
              <w:top w:w="100" w:type="dxa"/>
              <w:left w:w="100" w:type="dxa"/>
              <w:bottom w:w="100" w:type="dxa"/>
              <w:right w:w="100" w:type="dxa"/>
            </w:tcMar>
            <w:hideMark/>
          </w:tcPr>
          <w:p w14:paraId="61447ED4" w14:textId="77777777" w:rsidR="007A630C" w:rsidRPr="00D6350A" w:rsidRDefault="007A630C" w:rsidP="00904A8B">
            <w:pPr>
              <w:rPr>
                <w:lang w:eastAsia="sv-SE"/>
              </w:rPr>
            </w:pPr>
            <w:r w:rsidRPr="00D6350A">
              <w:rPr>
                <w:lang w:eastAsia="sv-SE"/>
              </w:rPr>
              <w:t>3.6</w:t>
            </w:r>
          </w:p>
        </w:tc>
        <w:tc>
          <w:tcPr>
            <w:tcW w:w="0" w:type="auto"/>
            <w:tcMar>
              <w:top w:w="100" w:type="dxa"/>
              <w:left w:w="100" w:type="dxa"/>
              <w:bottom w:w="100" w:type="dxa"/>
              <w:right w:w="100" w:type="dxa"/>
            </w:tcMar>
            <w:hideMark/>
          </w:tcPr>
          <w:p w14:paraId="1BC27292" w14:textId="337CBBD0"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Ziegler et al. </w:t>
            </w:r>
            <w:r w:rsidRPr="00D6350A">
              <w:rPr>
                <w:noProof/>
                <w:vertAlign w:val="superscript"/>
                <w:lang w:eastAsia="sv-SE"/>
              </w:rPr>
              <w:t>(S17)</w:t>
            </w:r>
            <w:r w:rsidRPr="00D6350A">
              <w:rPr>
                <w:lang w:eastAsia="sv-SE"/>
              </w:rPr>
              <w:t xml:space="preserve">, </w:t>
            </w:r>
            <w:proofErr w:type="spellStart"/>
            <w:r w:rsidRPr="00D6350A">
              <w:rPr>
                <w:lang w:eastAsia="sv-SE"/>
              </w:rPr>
              <w:t>Winther</w:t>
            </w:r>
            <w:proofErr w:type="spellEnd"/>
            <w:r w:rsidRPr="00D6350A">
              <w:rPr>
                <w:lang w:eastAsia="sv-SE"/>
              </w:rPr>
              <w:t xml:space="preserve"> et al. </w:t>
            </w:r>
            <w:r w:rsidRPr="00D6350A">
              <w:rPr>
                <w:noProof/>
                <w:vertAlign w:val="superscript"/>
                <w:lang w:eastAsia="sv-SE"/>
              </w:rPr>
              <w:t>(S18)</w:t>
            </w:r>
          </w:p>
        </w:tc>
      </w:tr>
      <w:tr w:rsidR="00D6350A" w:rsidRPr="00D6350A" w14:paraId="3B17D9FB" w14:textId="77777777" w:rsidTr="00904A8B">
        <w:tc>
          <w:tcPr>
            <w:tcW w:w="0" w:type="auto"/>
            <w:tcMar>
              <w:top w:w="100" w:type="dxa"/>
              <w:left w:w="100" w:type="dxa"/>
              <w:bottom w:w="100" w:type="dxa"/>
              <w:right w:w="100" w:type="dxa"/>
            </w:tcMar>
            <w:hideMark/>
          </w:tcPr>
          <w:p w14:paraId="00A61DD2"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7FD2A0FB" w14:textId="77777777" w:rsidR="007A630C" w:rsidRPr="00D6350A" w:rsidRDefault="007A630C" w:rsidP="00904A8B">
            <w:pPr>
              <w:rPr>
                <w:lang w:eastAsia="sv-SE"/>
              </w:rPr>
            </w:pPr>
            <w:r w:rsidRPr="00D6350A">
              <w:rPr>
                <w:lang w:eastAsia="sv-SE"/>
              </w:rPr>
              <w:t>Salty fish</w:t>
            </w:r>
          </w:p>
        </w:tc>
        <w:tc>
          <w:tcPr>
            <w:tcW w:w="0" w:type="auto"/>
            <w:tcMar>
              <w:top w:w="100" w:type="dxa"/>
              <w:left w:w="100" w:type="dxa"/>
              <w:bottom w:w="100" w:type="dxa"/>
              <w:right w:w="100" w:type="dxa"/>
            </w:tcMar>
            <w:hideMark/>
          </w:tcPr>
          <w:p w14:paraId="4E76B705" w14:textId="77777777" w:rsidR="007A630C" w:rsidRPr="00D6350A" w:rsidRDefault="007A630C" w:rsidP="00904A8B">
            <w:pPr>
              <w:rPr>
                <w:lang w:eastAsia="sv-SE"/>
              </w:rPr>
            </w:pPr>
            <w:r w:rsidRPr="00D6350A">
              <w:rPr>
                <w:lang w:eastAsia="sv-SE"/>
              </w:rPr>
              <w:t>1.3</w:t>
            </w:r>
          </w:p>
        </w:tc>
        <w:tc>
          <w:tcPr>
            <w:tcW w:w="0" w:type="auto"/>
            <w:tcMar>
              <w:top w:w="100" w:type="dxa"/>
              <w:left w:w="100" w:type="dxa"/>
              <w:bottom w:w="100" w:type="dxa"/>
              <w:right w:w="100" w:type="dxa"/>
            </w:tcMar>
            <w:hideMark/>
          </w:tcPr>
          <w:p w14:paraId="3B58072B" w14:textId="5850EC0E"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Ziegler et al. </w:t>
            </w:r>
            <w:r w:rsidRPr="00D6350A">
              <w:rPr>
                <w:noProof/>
                <w:vertAlign w:val="superscript"/>
                <w:lang w:eastAsia="sv-SE"/>
              </w:rPr>
              <w:t>(S17)</w:t>
            </w:r>
            <w:r w:rsidRPr="00D6350A">
              <w:rPr>
                <w:lang w:eastAsia="sv-SE"/>
              </w:rPr>
              <w:t xml:space="preserve">, </w:t>
            </w:r>
            <w:proofErr w:type="spellStart"/>
            <w:r w:rsidRPr="00D6350A">
              <w:rPr>
                <w:lang w:eastAsia="sv-SE"/>
              </w:rPr>
              <w:t>Winther</w:t>
            </w:r>
            <w:proofErr w:type="spellEnd"/>
            <w:r w:rsidRPr="00D6350A">
              <w:rPr>
                <w:lang w:eastAsia="sv-SE"/>
              </w:rPr>
              <w:t xml:space="preserve"> et al. </w:t>
            </w:r>
            <w:r w:rsidRPr="00D6350A">
              <w:rPr>
                <w:noProof/>
                <w:vertAlign w:val="superscript"/>
                <w:lang w:eastAsia="sv-SE"/>
              </w:rPr>
              <w:t>(S18)</w:t>
            </w:r>
          </w:p>
        </w:tc>
      </w:tr>
      <w:tr w:rsidR="00D6350A" w:rsidRPr="00D6350A" w14:paraId="18E670DA" w14:textId="77777777" w:rsidTr="00904A8B">
        <w:tc>
          <w:tcPr>
            <w:tcW w:w="0" w:type="auto"/>
            <w:tcBorders>
              <w:bottom w:val="single" w:sz="4" w:space="0" w:color="auto"/>
            </w:tcBorders>
            <w:tcMar>
              <w:top w:w="100" w:type="dxa"/>
              <w:left w:w="100" w:type="dxa"/>
              <w:bottom w:w="100" w:type="dxa"/>
              <w:right w:w="100" w:type="dxa"/>
            </w:tcMar>
            <w:hideMark/>
          </w:tcPr>
          <w:p w14:paraId="1D125877" w14:textId="77777777" w:rsidR="007A630C" w:rsidRPr="00D6350A" w:rsidRDefault="007A630C" w:rsidP="00904A8B">
            <w:pPr>
              <w:rPr>
                <w:rFonts w:eastAsia="Times New Roman"/>
                <w:lang w:eastAsia="sv-SE"/>
              </w:rPr>
            </w:pPr>
          </w:p>
        </w:tc>
        <w:tc>
          <w:tcPr>
            <w:tcW w:w="0" w:type="auto"/>
            <w:gridSpan w:val="2"/>
            <w:tcBorders>
              <w:bottom w:val="single" w:sz="4" w:space="0" w:color="auto"/>
            </w:tcBorders>
            <w:tcMar>
              <w:top w:w="100" w:type="dxa"/>
              <w:left w:w="100" w:type="dxa"/>
              <w:bottom w:w="100" w:type="dxa"/>
              <w:right w:w="100" w:type="dxa"/>
            </w:tcMar>
            <w:hideMark/>
          </w:tcPr>
          <w:p w14:paraId="63D87E62" w14:textId="12F28A19" w:rsidR="007A630C" w:rsidRPr="00D6350A" w:rsidRDefault="007A630C" w:rsidP="007C2655">
            <w:pPr>
              <w:spacing w:line="360" w:lineRule="auto"/>
              <w:rPr>
                <w:vertAlign w:val="superscript"/>
                <w:lang w:val="en-GB"/>
              </w:rPr>
            </w:pPr>
            <w:r w:rsidRPr="00D6350A">
              <w:rPr>
                <w:lang w:eastAsia="sv-SE"/>
              </w:rPr>
              <w:t>Smoked fish</w:t>
            </w:r>
            <w:r w:rsidR="007C2655" w:rsidRPr="00D6350A">
              <w:rPr>
                <w:vertAlign w:val="superscript"/>
                <w:lang w:val="en-GB"/>
              </w:rPr>
              <w:sym w:font="Symbol" w:char="F027"/>
            </w:r>
          </w:p>
        </w:tc>
        <w:tc>
          <w:tcPr>
            <w:tcW w:w="0" w:type="auto"/>
            <w:tcBorders>
              <w:bottom w:val="single" w:sz="4" w:space="0" w:color="auto"/>
            </w:tcBorders>
            <w:tcMar>
              <w:top w:w="100" w:type="dxa"/>
              <w:left w:w="100" w:type="dxa"/>
              <w:bottom w:w="100" w:type="dxa"/>
              <w:right w:w="100" w:type="dxa"/>
            </w:tcMar>
            <w:hideMark/>
          </w:tcPr>
          <w:p w14:paraId="03755570" w14:textId="77777777" w:rsidR="007A630C" w:rsidRPr="00D6350A" w:rsidRDefault="007A630C" w:rsidP="00904A8B">
            <w:pPr>
              <w:rPr>
                <w:lang w:eastAsia="sv-SE"/>
              </w:rPr>
            </w:pPr>
            <w:r w:rsidRPr="00D6350A">
              <w:rPr>
                <w:lang w:eastAsia="sv-SE"/>
              </w:rPr>
              <w:t>4.4</w:t>
            </w:r>
          </w:p>
        </w:tc>
        <w:tc>
          <w:tcPr>
            <w:tcW w:w="0" w:type="auto"/>
            <w:tcBorders>
              <w:bottom w:val="single" w:sz="4" w:space="0" w:color="auto"/>
            </w:tcBorders>
            <w:tcMar>
              <w:top w:w="100" w:type="dxa"/>
              <w:left w:w="100" w:type="dxa"/>
              <w:bottom w:w="100" w:type="dxa"/>
              <w:right w:w="100" w:type="dxa"/>
            </w:tcMar>
            <w:hideMark/>
          </w:tcPr>
          <w:p w14:paraId="475B6960" w14:textId="563F5FF4"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Ziegler et al. </w:t>
            </w:r>
            <w:r w:rsidRPr="00D6350A">
              <w:rPr>
                <w:noProof/>
                <w:vertAlign w:val="superscript"/>
                <w:lang w:eastAsia="sv-SE"/>
              </w:rPr>
              <w:t>(S17)</w:t>
            </w:r>
            <w:r w:rsidRPr="00D6350A">
              <w:rPr>
                <w:lang w:eastAsia="sv-SE"/>
              </w:rPr>
              <w:t xml:space="preserve">, </w:t>
            </w:r>
            <w:proofErr w:type="spellStart"/>
            <w:r w:rsidRPr="00D6350A">
              <w:rPr>
                <w:lang w:eastAsia="sv-SE"/>
              </w:rPr>
              <w:t>Winther</w:t>
            </w:r>
            <w:proofErr w:type="spellEnd"/>
            <w:r w:rsidRPr="00D6350A">
              <w:rPr>
                <w:lang w:eastAsia="sv-SE"/>
              </w:rPr>
              <w:t xml:space="preserve"> et al. </w:t>
            </w:r>
            <w:r w:rsidRPr="00D6350A">
              <w:rPr>
                <w:noProof/>
                <w:vertAlign w:val="superscript"/>
                <w:lang w:eastAsia="sv-SE"/>
              </w:rPr>
              <w:t>(S18)</w:t>
            </w:r>
          </w:p>
        </w:tc>
      </w:tr>
      <w:tr w:rsidR="00D6350A" w:rsidRPr="00D6350A" w14:paraId="1C7F5A44" w14:textId="77777777" w:rsidTr="00904A8B">
        <w:trPr>
          <w:trHeight w:val="485"/>
        </w:trPr>
        <w:tc>
          <w:tcPr>
            <w:tcW w:w="0" w:type="auto"/>
            <w:tcBorders>
              <w:top w:val="single" w:sz="4" w:space="0" w:color="auto"/>
            </w:tcBorders>
            <w:tcMar>
              <w:top w:w="100" w:type="dxa"/>
              <w:left w:w="100" w:type="dxa"/>
              <w:bottom w:w="100" w:type="dxa"/>
              <w:right w:w="100" w:type="dxa"/>
            </w:tcMar>
            <w:hideMark/>
          </w:tcPr>
          <w:p w14:paraId="5B842107" w14:textId="77777777" w:rsidR="007A630C" w:rsidRPr="00D6350A" w:rsidRDefault="007A630C" w:rsidP="00904A8B">
            <w:pPr>
              <w:rPr>
                <w:lang w:eastAsia="sv-SE"/>
              </w:rPr>
            </w:pPr>
            <w:r w:rsidRPr="00D6350A">
              <w:rPr>
                <w:lang w:eastAsia="sv-SE"/>
              </w:rPr>
              <w:t>Sugar-containing foods and snacks</w:t>
            </w:r>
          </w:p>
        </w:tc>
        <w:tc>
          <w:tcPr>
            <w:tcW w:w="0" w:type="auto"/>
            <w:gridSpan w:val="2"/>
            <w:tcBorders>
              <w:top w:val="single" w:sz="4" w:space="0" w:color="auto"/>
            </w:tcBorders>
            <w:tcMar>
              <w:top w:w="100" w:type="dxa"/>
              <w:left w:w="100" w:type="dxa"/>
              <w:bottom w:w="100" w:type="dxa"/>
              <w:right w:w="100" w:type="dxa"/>
            </w:tcMar>
            <w:hideMark/>
          </w:tcPr>
          <w:p w14:paraId="76F3EE78" w14:textId="77777777" w:rsidR="007A630C" w:rsidRPr="00D6350A" w:rsidRDefault="007A630C" w:rsidP="00904A8B">
            <w:pPr>
              <w:rPr>
                <w:lang w:eastAsia="sv-SE"/>
              </w:rPr>
            </w:pPr>
            <w:r w:rsidRPr="00D6350A">
              <w:rPr>
                <w:lang w:eastAsia="sv-SE"/>
              </w:rPr>
              <w:t>Sweets</w:t>
            </w:r>
          </w:p>
        </w:tc>
        <w:tc>
          <w:tcPr>
            <w:tcW w:w="0" w:type="auto"/>
            <w:tcBorders>
              <w:top w:val="single" w:sz="4" w:space="0" w:color="auto"/>
            </w:tcBorders>
            <w:tcMar>
              <w:top w:w="100" w:type="dxa"/>
              <w:left w:w="100" w:type="dxa"/>
              <w:bottom w:w="100" w:type="dxa"/>
              <w:right w:w="100" w:type="dxa"/>
            </w:tcMar>
            <w:hideMark/>
          </w:tcPr>
          <w:p w14:paraId="07106523" w14:textId="77777777" w:rsidR="007A630C" w:rsidRPr="00D6350A" w:rsidRDefault="007A630C" w:rsidP="00904A8B">
            <w:pPr>
              <w:rPr>
                <w:lang w:eastAsia="sv-SE"/>
              </w:rPr>
            </w:pPr>
            <w:r w:rsidRPr="00D6350A">
              <w:rPr>
                <w:lang w:eastAsia="sv-SE"/>
              </w:rPr>
              <w:t>2.8</w:t>
            </w:r>
          </w:p>
        </w:tc>
        <w:tc>
          <w:tcPr>
            <w:tcW w:w="0" w:type="auto"/>
            <w:tcBorders>
              <w:top w:val="single" w:sz="4" w:space="0" w:color="auto"/>
            </w:tcBorders>
            <w:tcMar>
              <w:top w:w="100" w:type="dxa"/>
              <w:left w:w="100" w:type="dxa"/>
              <w:bottom w:w="100" w:type="dxa"/>
              <w:right w:w="100" w:type="dxa"/>
            </w:tcMar>
            <w:hideMark/>
          </w:tcPr>
          <w:p w14:paraId="1B04A6CA" w14:textId="685D16C5" w:rsidR="007A630C" w:rsidRPr="00D6350A" w:rsidRDefault="007A630C" w:rsidP="00904A8B">
            <w:pPr>
              <w:rPr>
                <w:lang w:eastAsia="sv-SE"/>
              </w:rPr>
            </w:pPr>
            <w:proofErr w:type="spellStart"/>
            <w:r w:rsidRPr="00D6350A">
              <w:rPr>
                <w:lang w:eastAsia="sv-SE"/>
              </w:rPr>
              <w:t>Sjörs</w:t>
            </w:r>
            <w:proofErr w:type="spellEnd"/>
            <w:r w:rsidRPr="00D6350A">
              <w:rPr>
                <w:lang w:eastAsia="sv-SE"/>
              </w:rPr>
              <w:t xml:space="preserve"> </w:t>
            </w:r>
            <w:r w:rsidRPr="00D6350A">
              <w:rPr>
                <w:noProof/>
                <w:vertAlign w:val="superscript"/>
                <w:lang w:eastAsia="sv-SE"/>
              </w:rPr>
              <w:t>(S3)</w:t>
            </w:r>
            <w:r w:rsidRPr="00D6350A">
              <w:rPr>
                <w:lang w:eastAsia="sv-SE"/>
              </w:rPr>
              <w:t xml:space="preserve">, RISE </w:t>
            </w:r>
            <w:r w:rsidRPr="00D6350A">
              <w:rPr>
                <w:noProof/>
                <w:vertAlign w:val="superscript"/>
                <w:lang w:eastAsia="sv-SE"/>
              </w:rPr>
              <w:t>(S14)</w:t>
            </w:r>
            <w:r w:rsidRPr="00D6350A">
              <w:rPr>
                <w:lang w:eastAsia="sv-SE"/>
              </w:rPr>
              <w:t xml:space="preserve">, </w:t>
            </w:r>
            <w:proofErr w:type="spellStart"/>
            <w:r w:rsidRPr="00D6350A">
              <w:rPr>
                <w:lang w:eastAsia="sv-SE"/>
              </w:rPr>
              <w:t>Röös</w:t>
            </w:r>
            <w:proofErr w:type="spellEnd"/>
            <w:r w:rsidRPr="00D6350A">
              <w:rPr>
                <w:lang w:eastAsia="sv-SE"/>
              </w:rPr>
              <w:t xml:space="preserve"> </w:t>
            </w:r>
            <w:r w:rsidRPr="00D6350A">
              <w:rPr>
                <w:noProof/>
                <w:vertAlign w:val="superscript"/>
                <w:lang w:eastAsia="sv-SE"/>
              </w:rPr>
              <w:t>(S15)</w:t>
            </w:r>
            <w:r w:rsidRPr="00D6350A">
              <w:rPr>
                <w:lang w:eastAsia="sv-SE"/>
              </w:rPr>
              <w:t xml:space="preserve">, Nilsson et al. </w:t>
            </w:r>
            <w:r w:rsidRPr="00D6350A">
              <w:rPr>
                <w:noProof/>
                <w:vertAlign w:val="superscript"/>
                <w:lang w:eastAsia="sv-SE"/>
              </w:rPr>
              <w:t>(S19)</w:t>
            </w:r>
          </w:p>
        </w:tc>
      </w:tr>
      <w:tr w:rsidR="00D6350A" w:rsidRPr="00D6350A" w14:paraId="7C37CF71" w14:textId="77777777" w:rsidTr="00904A8B">
        <w:tc>
          <w:tcPr>
            <w:tcW w:w="0" w:type="auto"/>
            <w:tcMar>
              <w:top w:w="100" w:type="dxa"/>
              <w:left w:w="100" w:type="dxa"/>
              <w:bottom w:w="100" w:type="dxa"/>
              <w:right w:w="100" w:type="dxa"/>
            </w:tcMar>
            <w:hideMark/>
          </w:tcPr>
          <w:p w14:paraId="5CB6B619"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6874BD4A" w14:textId="77777777" w:rsidR="007A630C" w:rsidRPr="00D6350A" w:rsidRDefault="007A630C" w:rsidP="00904A8B">
            <w:pPr>
              <w:rPr>
                <w:lang w:eastAsia="sv-SE"/>
              </w:rPr>
            </w:pPr>
            <w:r w:rsidRPr="00D6350A">
              <w:rPr>
                <w:lang w:eastAsia="sv-SE"/>
              </w:rPr>
              <w:t>Sugar, honey, marmalade, jam</w:t>
            </w:r>
          </w:p>
        </w:tc>
        <w:tc>
          <w:tcPr>
            <w:tcW w:w="0" w:type="auto"/>
            <w:tcMar>
              <w:top w:w="100" w:type="dxa"/>
              <w:left w:w="100" w:type="dxa"/>
              <w:bottom w:w="100" w:type="dxa"/>
              <w:right w:w="100" w:type="dxa"/>
            </w:tcMar>
            <w:hideMark/>
          </w:tcPr>
          <w:p w14:paraId="618EA269" w14:textId="77777777" w:rsidR="007A630C" w:rsidRPr="00D6350A" w:rsidRDefault="007A630C" w:rsidP="00904A8B">
            <w:pPr>
              <w:rPr>
                <w:lang w:eastAsia="sv-SE"/>
              </w:rPr>
            </w:pPr>
            <w:r w:rsidRPr="00D6350A">
              <w:rPr>
                <w:lang w:eastAsia="sv-SE"/>
              </w:rPr>
              <w:t>4.3</w:t>
            </w:r>
          </w:p>
        </w:tc>
        <w:tc>
          <w:tcPr>
            <w:tcW w:w="0" w:type="auto"/>
            <w:tcMar>
              <w:top w:w="100" w:type="dxa"/>
              <w:left w:w="100" w:type="dxa"/>
              <w:bottom w:w="100" w:type="dxa"/>
              <w:right w:w="100" w:type="dxa"/>
            </w:tcMar>
            <w:hideMark/>
          </w:tcPr>
          <w:p w14:paraId="37F990E1" w14:textId="40E2B11B" w:rsidR="007A630C" w:rsidRPr="00D6350A" w:rsidRDefault="007A630C" w:rsidP="00904A8B">
            <w:pPr>
              <w:rPr>
                <w:lang w:val="sv-SE"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val="sv-SE" w:eastAsia="sv-SE"/>
              </w:rPr>
              <w:t>(S12)</w:t>
            </w:r>
            <w:r w:rsidRPr="00D6350A">
              <w:rPr>
                <w:lang w:val="sv-SE" w:eastAsia="sv-SE"/>
              </w:rPr>
              <w:t xml:space="preserve">, Röös </w:t>
            </w:r>
            <w:r w:rsidRPr="00D6350A">
              <w:rPr>
                <w:noProof/>
                <w:vertAlign w:val="superscript"/>
                <w:lang w:val="sv-SE" w:eastAsia="sv-SE"/>
              </w:rPr>
              <w:t>(S15)</w:t>
            </w:r>
          </w:p>
        </w:tc>
      </w:tr>
      <w:tr w:rsidR="00D6350A" w:rsidRPr="00D6350A" w14:paraId="5CAD3BA9" w14:textId="77777777" w:rsidTr="00904A8B">
        <w:tc>
          <w:tcPr>
            <w:tcW w:w="0" w:type="auto"/>
            <w:tcMar>
              <w:top w:w="100" w:type="dxa"/>
              <w:left w:w="100" w:type="dxa"/>
              <w:bottom w:w="100" w:type="dxa"/>
              <w:right w:w="100" w:type="dxa"/>
            </w:tcMar>
            <w:hideMark/>
          </w:tcPr>
          <w:p w14:paraId="041E1BBD" w14:textId="77777777" w:rsidR="007A630C" w:rsidRPr="00D6350A" w:rsidRDefault="007A630C" w:rsidP="00904A8B">
            <w:pPr>
              <w:rPr>
                <w:rFonts w:eastAsia="Times New Roman"/>
                <w:lang w:val="sv-SE" w:eastAsia="sv-SE"/>
              </w:rPr>
            </w:pPr>
          </w:p>
        </w:tc>
        <w:tc>
          <w:tcPr>
            <w:tcW w:w="0" w:type="auto"/>
            <w:gridSpan w:val="2"/>
            <w:tcMar>
              <w:top w:w="100" w:type="dxa"/>
              <w:left w:w="100" w:type="dxa"/>
              <w:bottom w:w="100" w:type="dxa"/>
              <w:right w:w="100" w:type="dxa"/>
            </w:tcMar>
            <w:hideMark/>
          </w:tcPr>
          <w:p w14:paraId="121AD48A" w14:textId="77777777" w:rsidR="007A630C" w:rsidRPr="00D6350A" w:rsidRDefault="007A630C" w:rsidP="00904A8B">
            <w:pPr>
              <w:rPr>
                <w:lang w:eastAsia="sv-SE"/>
              </w:rPr>
            </w:pPr>
            <w:r w:rsidRPr="00D6350A">
              <w:rPr>
                <w:lang w:eastAsia="sv-SE"/>
              </w:rPr>
              <w:t>Chips, popcorn, salty nuts</w:t>
            </w:r>
          </w:p>
        </w:tc>
        <w:tc>
          <w:tcPr>
            <w:tcW w:w="0" w:type="auto"/>
            <w:tcMar>
              <w:top w:w="100" w:type="dxa"/>
              <w:left w:w="100" w:type="dxa"/>
              <w:bottom w:w="100" w:type="dxa"/>
              <w:right w:w="100" w:type="dxa"/>
            </w:tcMar>
            <w:hideMark/>
          </w:tcPr>
          <w:p w14:paraId="2A58726C" w14:textId="77777777" w:rsidR="007A630C" w:rsidRPr="00D6350A" w:rsidRDefault="007A630C" w:rsidP="00904A8B">
            <w:pPr>
              <w:rPr>
                <w:lang w:eastAsia="sv-SE"/>
              </w:rPr>
            </w:pPr>
            <w:r w:rsidRPr="00D6350A">
              <w:rPr>
                <w:lang w:eastAsia="sv-SE"/>
              </w:rPr>
              <w:t>1.8</w:t>
            </w:r>
          </w:p>
        </w:tc>
        <w:tc>
          <w:tcPr>
            <w:tcW w:w="0" w:type="auto"/>
            <w:tcMar>
              <w:top w:w="100" w:type="dxa"/>
              <w:left w:w="100" w:type="dxa"/>
              <w:bottom w:w="100" w:type="dxa"/>
              <w:right w:w="100" w:type="dxa"/>
            </w:tcMar>
            <w:hideMark/>
          </w:tcPr>
          <w:p w14:paraId="1E2A6D3B" w14:textId="4F0AE652"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r w:rsidRPr="00D6350A">
              <w:rPr>
                <w:lang w:eastAsia="sv-SE"/>
              </w:rPr>
              <w:t xml:space="preserve">, Nilsson et al. </w:t>
            </w:r>
            <w:r w:rsidRPr="00D6350A">
              <w:rPr>
                <w:noProof/>
                <w:vertAlign w:val="superscript"/>
                <w:lang w:eastAsia="sv-SE"/>
              </w:rPr>
              <w:t>(S19)</w:t>
            </w:r>
          </w:p>
        </w:tc>
      </w:tr>
      <w:tr w:rsidR="00D6350A" w:rsidRPr="00D6350A" w14:paraId="6490FCD5" w14:textId="77777777" w:rsidTr="00904A8B">
        <w:tc>
          <w:tcPr>
            <w:tcW w:w="0" w:type="auto"/>
            <w:tcBorders>
              <w:bottom w:val="single" w:sz="4" w:space="0" w:color="auto"/>
            </w:tcBorders>
            <w:tcMar>
              <w:top w:w="100" w:type="dxa"/>
              <w:left w:w="100" w:type="dxa"/>
              <w:bottom w:w="100" w:type="dxa"/>
              <w:right w:w="100" w:type="dxa"/>
            </w:tcMar>
            <w:hideMark/>
          </w:tcPr>
          <w:p w14:paraId="7CD6AA51" w14:textId="77777777" w:rsidR="007A630C" w:rsidRPr="00D6350A" w:rsidRDefault="007A630C" w:rsidP="00904A8B">
            <w:pPr>
              <w:rPr>
                <w:rFonts w:eastAsia="Times New Roman"/>
                <w:lang w:eastAsia="sv-SE"/>
              </w:rPr>
            </w:pPr>
          </w:p>
        </w:tc>
        <w:tc>
          <w:tcPr>
            <w:tcW w:w="0" w:type="auto"/>
            <w:gridSpan w:val="2"/>
            <w:tcBorders>
              <w:bottom w:val="single" w:sz="4" w:space="0" w:color="auto"/>
            </w:tcBorders>
            <w:tcMar>
              <w:top w:w="100" w:type="dxa"/>
              <w:left w:w="100" w:type="dxa"/>
              <w:bottom w:w="100" w:type="dxa"/>
              <w:right w:w="100" w:type="dxa"/>
            </w:tcMar>
            <w:hideMark/>
          </w:tcPr>
          <w:p w14:paraId="5250E328" w14:textId="77777777" w:rsidR="007A630C" w:rsidRPr="00D6350A" w:rsidRDefault="007A630C" w:rsidP="00904A8B">
            <w:pPr>
              <w:rPr>
                <w:lang w:eastAsia="sv-SE"/>
              </w:rPr>
            </w:pPr>
            <w:r w:rsidRPr="00D6350A">
              <w:rPr>
                <w:lang w:eastAsia="sv-SE"/>
              </w:rPr>
              <w:t>Cookies and pastries</w:t>
            </w:r>
          </w:p>
        </w:tc>
        <w:tc>
          <w:tcPr>
            <w:tcW w:w="0" w:type="auto"/>
            <w:tcBorders>
              <w:bottom w:val="single" w:sz="4" w:space="0" w:color="auto"/>
            </w:tcBorders>
            <w:tcMar>
              <w:top w:w="100" w:type="dxa"/>
              <w:left w:w="100" w:type="dxa"/>
              <w:bottom w:w="100" w:type="dxa"/>
              <w:right w:w="100" w:type="dxa"/>
            </w:tcMar>
            <w:hideMark/>
          </w:tcPr>
          <w:p w14:paraId="04274795" w14:textId="77777777" w:rsidR="007A630C" w:rsidRPr="00D6350A" w:rsidRDefault="007A630C" w:rsidP="00904A8B">
            <w:pPr>
              <w:rPr>
                <w:lang w:eastAsia="sv-SE"/>
              </w:rPr>
            </w:pPr>
            <w:r w:rsidRPr="00D6350A">
              <w:rPr>
                <w:lang w:eastAsia="sv-SE"/>
              </w:rPr>
              <w:t>1.2</w:t>
            </w:r>
          </w:p>
        </w:tc>
        <w:tc>
          <w:tcPr>
            <w:tcW w:w="0" w:type="auto"/>
            <w:tcBorders>
              <w:bottom w:val="single" w:sz="4" w:space="0" w:color="auto"/>
            </w:tcBorders>
            <w:tcMar>
              <w:top w:w="100" w:type="dxa"/>
              <w:left w:w="100" w:type="dxa"/>
              <w:bottom w:w="100" w:type="dxa"/>
              <w:right w:w="100" w:type="dxa"/>
            </w:tcMar>
            <w:hideMark/>
          </w:tcPr>
          <w:p w14:paraId="71F1CEA1" w14:textId="7032C7F4" w:rsidR="007A630C" w:rsidRPr="00D6350A" w:rsidRDefault="007A630C" w:rsidP="00904A8B">
            <w:pPr>
              <w:rPr>
                <w:lang w:eastAsia="sv-SE"/>
              </w:rPr>
            </w:pPr>
            <w:r w:rsidRPr="00D6350A">
              <w:rPr>
                <w:lang w:val="sv-SE" w:eastAsia="sv-SE"/>
              </w:rPr>
              <w:t xml:space="preserve">Sjörs </w:t>
            </w:r>
            <w:r w:rsidRPr="00D6350A">
              <w:rPr>
                <w:noProof/>
                <w:vertAlign w:val="superscript"/>
                <w:lang w:val="sv-SE" w:eastAsia="sv-SE"/>
              </w:rPr>
              <w:t>(S3)</w:t>
            </w:r>
            <w:r w:rsidRPr="00D6350A">
              <w:rPr>
                <w:lang w:val="sv-SE" w:eastAsia="sv-SE"/>
              </w:rPr>
              <w:t xml:space="preserve">, Bryngelsson et al. </w:t>
            </w:r>
            <w:r w:rsidRPr="00D6350A">
              <w:rPr>
                <w:noProof/>
                <w:vertAlign w:val="superscript"/>
                <w:lang w:eastAsia="sv-SE"/>
              </w:rPr>
              <w:t>(S12)</w:t>
            </w:r>
            <w:r w:rsidRPr="00D6350A">
              <w:rPr>
                <w:lang w:eastAsia="sv-SE"/>
              </w:rPr>
              <w:t xml:space="preserve">, Nilsson et al. </w:t>
            </w:r>
            <w:r w:rsidRPr="00D6350A">
              <w:rPr>
                <w:noProof/>
                <w:vertAlign w:val="superscript"/>
                <w:lang w:eastAsia="sv-SE"/>
              </w:rPr>
              <w:t>(S19)</w:t>
            </w:r>
          </w:p>
        </w:tc>
      </w:tr>
      <w:tr w:rsidR="00D6350A" w:rsidRPr="00D6350A" w14:paraId="416A9891" w14:textId="77777777" w:rsidTr="00904A8B">
        <w:tc>
          <w:tcPr>
            <w:tcW w:w="0" w:type="auto"/>
            <w:tcBorders>
              <w:top w:val="single" w:sz="4" w:space="0" w:color="auto"/>
            </w:tcBorders>
            <w:tcMar>
              <w:top w:w="100" w:type="dxa"/>
              <w:left w:w="100" w:type="dxa"/>
              <w:bottom w:w="100" w:type="dxa"/>
              <w:right w:w="100" w:type="dxa"/>
            </w:tcMar>
            <w:hideMark/>
          </w:tcPr>
          <w:p w14:paraId="29406B72" w14:textId="77777777" w:rsidR="007A630C" w:rsidRPr="00D6350A" w:rsidRDefault="007A630C" w:rsidP="00904A8B">
            <w:pPr>
              <w:rPr>
                <w:lang w:eastAsia="sv-SE"/>
              </w:rPr>
            </w:pPr>
            <w:r w:rsidRPr="00D6350A">
              <w:rPr>
                <w:lang w:eastAsia="sv-SE"/>
              </w:rPr>
              <w:t>Drinks</w:t>
            </w:r>
          </w:p>
        </w:tc>
        <w:tc>
          <w:tcPr>
            <w:tcW w:w="0" w:type="auto"/>
            <w:gridSpan w:val="2"/>
            <w:tcBorders>
              <w:top w:val="single" w:sz="4" w:space="0" w:color="auto"/>
            </w:tcBorders>
            <w:tcMar>
              <w:top w:w="100" w:type="dxa"/>
              <w:left w:w="100" w:type="dxa"/>
              <w:bottom w:w="100" w:type="dxa"/>
              <w:right w:w="100" w:type="dxa"/>
            </w:tcMar>
            <w:hideMark/>
          </w:tcPr>
          <w:p w14:paraId="2766B5C1" w14:textId="77777777" w:rsidR="007A630C" w:rsidRPr="00D6350A" w:rsidRDefault="007A630C" w:rsidP="00904A8B">
            <w:pPr>
              <w:rPr>
                <w:lang w:eastAsia="sv-SE"/>
              </w:rPr>
            </w:pPr>
            <w:r w:rsidRPr="00D6350A">
              <w:rPr>
                <w:lang w:eastAsia="sv-SE"/>
              </w:rPr>
              <w:t>Soda, juice</w:t>
            </w:r>
          </w:p>
        </w:tc>
        <w:tc>
          <w:tcPr>
            <w:tcW w:w="0" w:type="auto"/>
            <w:tcBorders>
              <w:top w:val="single" w:sz="4" w:space="0" w:color="auto"/>
            </w:tcBorders>
            <w:tcMar>
              <w:top w:w="100" w:type="dxa"/>
              <w:left w:w="100" w:type="dxa"/>
              <w:bottom w:w="100" w:type="dxa"/>
              <w:right w:w="100" w:type="dxa"/>
            </w:tcMar>
            <w:hideMark/>
          </w:tcPr>
          <w:p w14:paraId="2A576F94" w14:textId="77777777" w:rsidR="007A630C" w:rsidRPr="00D6350A" w:rsidRDefault="007A630C" w:rsidP="00904A8B">
            <w:pPr>
              <w:rPr>
                <w:lang w:eastAsia="sv-SE"/>
              </w:rPr>
            </w:pPr>
            <w:r w:rsidRPr="00D6350A">
              <w:rPr>
                <w:lang w:eastAsia="sv-SE"/>
              </w:rPr>
              <w:t>0.6</w:t>
            </w:r>
          </w:p>
        </w:tc>
        <w:tc>
          <w:tcPr>
            <w:tcW w:w="0" w:type="auto"/>
            <w:tcBorders>
              <w:top w:val="single" w:sz="4" w:space="0" w:color="auto"/>
            </w:tcBorders>
            <w:tcMar>
              <w:top w:w="100" w:type="dxa"/>
              <w:left w:w="100" w:type="dxa"/>
              <w:bottom w:w="100" w:type="dxa"/>
              <w:right w:w="100" w:type="dxa"/>
            </w:tcMar>
            <w:hideMark/>
          </w:tcPr>
          <w:p w14:paraId="776038A9" w14:textId="672DD89E" w:rsidR="007A630C" w:rsidRPr="00D6350A" w:rsidRDefault="007A630C" w:rsidP="00904A8B">
            <w:pPr>
              <w:rPr>
                <w:lang w:eastAsia="sv-SE"/>
              </w:rPr>
            </w:pPr>
            <w:proofErr w:type="spellStart"/>
            <w:r w:rsidRPr="00D6350A">
              <w:rPr>
                <w:lang w:eastAsia="sv-SE"/>
              </w:rPr>
              <w:t>Sjörs</w:t>
            </w:r>
            <w:proofErr w:type="spellEnd"/>
            <w:r w:rsidRPr="00D6350A">
              <w:rPr>
                <w:lang w:eastAsia="sv-SE"/>
              </w:rPr>
              <w:t xml:space="preserve"> </w:t>
            </w:r>
            <w:r w:rsidRPr="00D6350A">
              <w:rPr>
                <w:noProof/>
                <w:vertAlign w:val="superscript"/>
                <w:lang w:eastAsia="sv-SE"/>
              </w:rPr>
              <w:t>(S3)</w:t>
            </w:r>
            <w:r w:rsidRPr="00D6350A">
              <w:rPr>
                <w:lang w:eastAsia="sv-SE"/>
              </w:rPr>
              <w:t xml:space="preserve">, </w:t>
            </w:r>
            <w:proofErr w:type="spellStart"/>
            <w:r w:rsidRPr="00D6350A">
              <w:rPr>
                <w:lang w:eastAsia="sv-SE"/>
              </w:rPr>
              <w:t>Röös</w:t>
            </w:r>
            <w:proofErr w:type="spellEnd"/>
            <w:r w:rsidRPr="00D6350A">
              <w:rPr>
                <w:lang w:eastAsia="sv-SE"/>
              </w:rPr>
              <w:t xml:space="preserve"> </w:t>
            </w:r>
            <w:r w:rsidRPr="00D6350A">
              <w:rPr>
                <w:noProof/>
                <w:vertAlign w:val="superscript"/>
                <w:lang w:eastAsia="sv-SE"/>
              </w:rPr>
              <w:t>(S15)</w:t>
            </w:r>
            <w:r w:rsidRPr="00D6350A">
              <w:rPr>
                <w:lang w:eastAsia="sv-SE"/>
              </w:rPr>
              <w:t xml:space="preserve">, Nilsson et al. </w:t>
            </w:r>
            <w:r w:rsidRPr="00D6350A">
              <w:rPr>
                <w:noProof/>
                <w:vertAlign w:val="superscript"/>
                <w:lang w:eastAsia="sv-SE"/>
              </w:rPr>
              <w:t>(S19)</w:t>
            </w:r>
          </w:p>
        </w:tc>
      </w:tr>
      <w:tr w:rsidR="00D6350A" w:rsidRPr="00D6350A" w14:paraId="6F49A2C8" w14:textId="77777777" w:rsidTr="00904A8B">
        <w:tc>
          <w:tcPr>
            <w:tcW w:w="0" w:type="auto"/>
            <w:tcMar>
              <w:top w:w="100" w:type="dxa"/>
              <w:left w:w="100" w:type="dxa"/>
              <w:bottom w:w="100" w:type="dxa"/>
              <w:right w:w="100" w:type="dxa"/>
            </w:tcMar>
            <w:hideMark/>
          </w:tcPr>
          <w:p w14:paraId="316BBF2E"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0D920CA6" w14:textId="77777777" w:rsidR="007A630C" w:rsidRPr="00D6350A" w:rsidRDefault="007A630C" w:rsidP="00904A8B">
            <w:pPr>
              <w:rPr>
                <w:lang w:eastAsia="sv-SE"/>
              </w:rPr>
            </w:pPr>
            <w:r w:rsidRPr="00D6350A">
              <w:rPr>
                <w:lang w:eastAsia="sv-SE"/>
              </w:rPr>
              <w:t>Rosehip soup</w:t>
            </w:r>
          </w:p>
        </w:tc>
        <w:tc>
          <w:tcPr>
            <w:tcW w:w="0" w:type="auto"/>
            <w:tcMar>
              <w:top w:w="100" w:type="dxa"/>
              <w:left w:w="100" w:type="dxa"/>
              <w:bottom w:w="100" w:type="dxa"/>
              <w:right w:w="100" w:type="dxa"/>
            </w:tcMar>
            <w:hideMark/>
          </w:tcPr>
          <w:p w14:paraId="36FBF3FA" w14:textId="77777777" w:rsidR="007A630C" w:rsidRPr="00D6350A" w:rsidRDefault="007A630C" w:rsidP="00904A8B">
            <w:pPr>
              <w:rPr>
                <w:lang w:eastAsia="sv-SE"/>
              </w:rPr>
            </w:pPr>
            <w:r w:rsidRPr="00D6350A">
              <w:rPr>
                <w:lang w:eastAsia="sv-SE"/>
              </w:rPr>
              <w:t>0.9</w:t>
            </w:r>
          </w:p>
        </w:tc>
        <w:tc>
          <w:tcPr>
            <w:tcW w:w="0" w:type="auto"/>
            <w:tcMar>
              <w:top w:w="100" w:type="dxa"/>
              <w:left w:w="100" w:type="dxa"/>
              <w:bottom w:w="100" w:type="dxa"/>
              <w:right w:w="100" w:type="dxa"/>
            </w:tcMar>
            <w:hideMark/>
          </w:tcPr>
          <w:p w14:paraId="7ACB9615" w14:textId="5A348540" w:rsidR="007A630C" w:rsidRPr="00D6350A" w:rsidRDefault="007A630C" w:rsidP="00904A8B">
            <w:pPr>
              <w:rPr>
                <w:lang w:eastAsia="sv-SE"/>
              </w:rPr>
            </w:pPr>
            <w:proofErr w:type="spellStart"/>
            <w:r w:rsidRPr="00D6350A">
              <w:rPr>
                <w:lang w:eastAsia="sv-SE"/>
              </w:rPr>
              <w:t>Sjörs</w:t>
            </w:r>
            <w:proofErr w:type="spellEnd"/>
            <w:r w:rsidRPr="00D6350A">
              <w:rPr>
                <w:lang w:eastAsia="sv-SE"/>
              </w:rPr>
              <w:t xml:space="preserve"> </w:t>
            </w:r>
            <w:r w:rsidRPr="00D6350A">
              <w:rPr>
                <w:noProof/>
                <w:vertAlign w:val="superscript"/>
                <w:lang w:eastAsia="sv-SE"/>
              </w:rPr>
              <w:t>(S3)</w:t>
            </w:r>
            <w:r w:rsidRPr="00D6350A">
              <w:rPr>
                <w:lang w:eastAsia="sv-SE"/>
              </w:rPr>
              <w:t xml:space="preserve">, </w:t>
            </w:r>
            <w:proofErr w:type="spellStart"/>
            <w:r w:rsidRPr="00D6350A">
              <w:rPr>
                <w:lang w:eastAsia="sv-SE"/>
              </w:rPr>
              <w:t>Röös</w:t>
            </w:r>
            <w:proofErr w:type="spellEnd"/>
            <w:r w:rsidRPr="00D6350A">
              <w:rPr>
                <w:lang w:eastAsia="sv-SE"/>
              </w:rPr>
              <w:t xml:space="preserve"> </w:t>
            </w:r>
            <w:r w:rsidRPr="00D6350A">
              <w:rPr>
                <w:noProof/>
                <w:vertAlign w:val="superscript"/>
                <w:lang w:eastAsia="sv-SE"/>
              </w:rPr>
              <w:t>(S15)</w:t>
            </w:r>
          </w:p>
        </w:tc>
      </w:tr>
      <w:tr w:rsidR="00D6350A" w:rsidRPr="00D6350A" w14:paraId="6B3DD5D6" w14:textId="77777777" w:rsidTr="00C92D25">
        <w:trPr>
          <w:trHeight w:val="427"/>
        </w:trPr>
        <w:tc>
          <w:tcPr>
            <w:tcW w:w="0" w:type="auto"/>
            <w:tcMar>
              <w:top w:w="100" w:type="dxa"/>
              <w:left w:w="100" w:type="dxa"/>
              <w:bottom w:w="100" w:type="dxa"/>
              <w:right w:w="100" w:type="dxa"/>
            </w:tcMar>
            <w:hideMark/>
          </w:tcPr>
          <w:p w14:paraId="76F6B5EF"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71AE8596" w14:textId="77777777" w:rsidR="007A630C" w:rsidRPr="00D6350A" w:rsidRDefault="007A630C" w:rsidP="00904A8B">
            <w:pPr>
              <w:rPr>
                <w:lang w:eastAsia="sv-SE"/>
              </w:rPr>
            </w:pPr>
            <w:r w:rsidRPr="00D6350A">
              <w:rPr>
                <w:lang w:eastAsia="sv-SE"/>
              </w:rPr>
              <w:t>Coffee</w:t>
            </w:r>
          </w:p>
        </w:tc>
        <w:tc>
          <w:tcPr>
            <w:tcW w:w="0" w:type="auto"/>
            <w:tcMar>
              <w:top w:w="100" w:type="dxa"/>
              <w:left w:w="100" w:type="dxa"/>
              <w:bottom w:w="100" w:type="dxa"/>
              <w:right w:w="100" w:type="dxa"/>
            </w:tcMar>
            <w:hideMark/>
          </w:tcPr>
          <w:p w14:paraId="4F47BDC2" w14:textId="77777777" w:rsidR="007A630C" w:rsidRPr="00D6350A" w:rsidRDefault="007A630C" w:rsidP="00904A8B">
            <w:pPr>
              <w:rPr>
                <w:lang w:eastAsia="sv-SE"/>
              </w:rPr>
            </w:pPr>
            <w:r w:rsidRPr="00D6350A">
              <w:rPr>
                <w:lang w:eastAsia="sv-SE"/>
              </w:rPr>
              <w:t>0.2</w:t>
            </w:r>
          </w:p>
        </w:tc>
        <w:tc>
          <w:tcPr>
            <w:tcW w:w="0" w:type="auto"/>
            <w:tcMar>
              <w:top w:w="100" w:type="dxa"/>
              <w:left w:w="100" w:type="dxa"/>
              <w:bottom w:w="100" w:type="dxa"/>
              <w:right w:w="100" w:type="dxa"/>
            </w:tcMar>
            <w:hideMark/>
          </w:tcPr>
          <w:p w14:paraId="0E479578" w14:textId="2BE8BEF2" w:rsidR="007A630C" w:rsidRPr="00D6350A" w:rsidRDefault="007A630C" w:rsidP="00904A8B">
            <w:pPr>
              <w:rPr>
                <w:lang w:eastAsia="sv-SE"/>
              </w:rPr>
            </w:pPr>
            <w:proofErr w:type="spellStart"/>
            <w:r w:rsidRPr="00D6350A">
              <w:rPr>
                <w:lang w:eastAsia="sv-SE"/>
              </w:rPr>
              <w:t>Sjörs</w:t>
            </w:r>
            <w:proofErr w:type="spellEnd"/>
            <w:r w:rsidRPr="00D6350A">
              <w:rPr>
                <w:lang w:eastAsia="sv-SE"/>
              </w:rPr>
              <w:t xml:space="preserve"> </w:t>
            </w:r>
            <w:r w:rsidRPr="00D6350A">
              <w:rPr>
                <w:noProof/>
                <w:vertAlign w:val="superscript"/>
                <w:lang w:eastAsia="sv-SE"/>
              </w:rPr>
              <w:t>(S3)</w:t>
            </w:r>
            <w:r w:rsidRPr="00D6350A">
              <w:rPr>
                <w:lang w:eastAsia="sv-SE"/>
              </w:rPr>
              <w:t xml:space="preserve">, Nilsson </w:t>
            </w:r>
            <w:r w:rsidRPr="00D6350A">
              <w:rPr>
                <w:noProof/>
                <w:vertAlign w:val="superscript"/>
                <w:lang w:eastAsia="sv-SE"/>
              </w:rPr>
              <w:t>(S20)</w:t>
            </w:r>
          </w:p>
        </w:tc>
      </w:tr>
      <w:tr w:rsidR="00D6350A" w:rsidRPr="00D6350A" w14:paraId="52B2FD68" w14:textId="77777777" w:rsidTr="00904A8B">
        <w:tc>
          <w:tcPr>
            <w:tcW w:w="0" w:type="auto"/>
            <w:tcMar>
              <w:top w:w="100" w:type="dxa"/>
              <w:left w:w="100" w:type="dxa"/>
              <w:bottom w:w="100" w:type="dxa"/>
              <w:right w:w="100" w:type="dxa"/>
            </w:tcMar>
            <w:hideMark/>
          </w:tcPr>
          <w:p w14:paraId="3E416A41"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6E960EA9" w14:textId="77777777" w:rsidR="007A630C" w:rsidRPr="00D6350A" w:rsidRDefault="007A630C" w:rsidP="00904A8B">
            <w:pPr>
              <w:rPr>
                <w:lang w:eastAsia="sv-SE"/>
              </w:rPr>
            </w:pPr>
            <w:r w:rsidRPr="00D6350A">
              <w:rPr>
                <w:lang w:eastAsia="sv-SE"/>
              </w:rPr>
              <w:t>Tea</w:t>
            </w:r>
          </w:p>
        </w:tc>
        <w:tc>
          <w:tcPr>
            <w:tcW w:w="0" w:type="auto"/>
            <w:tcMar>
              <w:top w:w="100" w:type="dxa"/>
              <w:left w:w="100" w:type="dxa"/>
              <w:bottom w:w="100" w:type="dxa"/>
              <w:right w:w="100" w:type="dxa"/>
            </w:tcMar>
            <w:hideMark/>
          </w:tcPr>
          <w:p w14:paraId="0DBD5B70" w14:textId="77777777" w:rsidR="007A630C" w:rsidRPr="00D6350A" w:rsidRDefault="007A630C" w:rsidP="00904A8B">
            <w:pPr>
              <w:rPr>
                <w:lang w:eastAsia="sv-SE"/>
              </w:rPr>
            </w:pPr>
            <w:r w:rsidRPr="00D6350A">
              <w:rPr>
                <w:lang w:eastAsia="sv-SE"/>
              </w:rPr>
              <w:t>0.04</w:t>
            </w:r>
          </w:p>
        </w:tc>
        <w:tc>
          <w:tcPr>
            <w:tcW w:w="0" w:type="auto"/>
            <w:tcMar>
              <w:top w:w="100" w:type="dxa"/>
              <w:left w:w="100" w:type="dxa"/>
              <w:bottom w:w="100" w:type="dxa"/>
              <w:right w:w="100" w:type="dxa"/>
            </w:tcMar>
            <w:hideMark/>
          </w:tcPr>
          <w:p w14:paraId="34699CD9" w14:textId="773035F0" w:rsidR="007A630C" w:rsidRPr="00D6350A" w:rsidRDefault="007A630C" w:rsidP="00904A8B">
            <w:pPr>
              <w:rPr>
                <w:lang w:eastAsia="sv-SE"/>
              </w:rPr>
            </w:pPr>
            <w:proofErr w:type="spellStart"/>
            <w:r w:rsidRPr="00D6350A">
              <w:rPr>
                <w:lang w:eastAsia="sv-SE"/>
              </w:rPr>
              <w:t>Sjörs</w:t>
            </w:r>
            <w:proofErr w:type="spellEnd"/>
            <w:r w:rsidRPr="00D6350A">
              <w:rPr>
                <w:lang w:eastAsia="sv-SE"/>
              </w:rPr>
              <w:t xml:space="preserve"> </w:t>
            </w:r>
            <w:r w:rsidRPr="00D6350A">
              <w:rPr>
                <w:noProof/>
                <w:vertAlign w:val="superscript"/>
                <w:lang w:eastAsia="sv-SE"/>
              </w:rPr>
              <w:t>(S3)</w:t>
            </w:r>
            <w:r w:rsidRPr="00D6350A">
              <w:rPr>
                <w:lang w:eastAsia="sv-SE"/>
              </w:rPr>
              <w:t xml:space="preserve">, Nilsson </w:t>
            </w:r>
            <w:r w:rsidRPr="00D6350A">
              <w:rPr>
                <w:noProof/>
                <w:vertAlign w:val="superscript"/>
                <w:lang w:eastAsia="sv-SE"/>
              </w:rPr>
              <w:t>(S20)</w:t>
            </w:r>
            <w:r w:rsidRPr="00D6350A">
              <w:rPr>
                <w:lang w:eastAsia="sv-SE"/>
              </w:rPr>
              <w:t xml:space="preserve">, Scarborough et al. </w:t>
            </w:r>
            <w:r w:rsidRPr="00D6350A">
              <w:rPr>
                <w:noProof/>
                <w:vertAlign w:val="superscript"/>
                <w:lang w:eastAsia="sv-SE"/>
              </w:rPr>
              <w:t>(S21)</w:t>
            </w:r>
          </w:p>
        </w:tc>
      </w:tr>
      <w:tr w:rsidR="00D6350A" w:rsidRPr="00D6350A" w14:paraId="4726E3CD" w14:textId="77777777" w:rsidTr="00904A8B">
        <w:tc>
          <w:tcPr>
            <w:tcW w:w="0" w:type="auto"/>
            <w:tcMar>
              <w:top w:w="100" w:type="dxa"/>
              <w:left w:w="100" w:type="dxa"/>
              <w:bottom w:w="100" w:type="dxa"/>
              <w:right w:w="100" w:type="dxa"/>
            </w:tcMar>
            <w:hideMark/>
          </w:tcPr>
          <w:p w14:paraId="37B0710C"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06EDB347" w14:textId="77777777" w:rsidR="007A630C" w:rsidRPr="00D6350A" w:rsidRDefault="007A630C" w:rsidP="00904A8B">
            <w:pPr>
              <w:rPr>
                <w:lang w:eastAsia="sv-SE"/>
              </w:rPr>
            </w:pPr>
            <w:r w:rsidRPr="00D6350A">
              <w:rPr>
                <w:lang w:eastAsia="sv-SE"/>
              </w:rPr>
              <w:t>Class I beer (&lt;2,25%)</w:t>
            </w:r>
          </w:p>
        </w:tc>
        <w:tc>
          <w:tcPr>
            <w:tcW w:w="0" w:type="auto"/>
            <w:tcMar>
              <w:top w:w="100" w:type="dxa"/>
              <w:left w:w="100" w:type="dxa"/>
              <w:bottom w:w="100" w:type="dxa"/>
              <w:right w:w="100" w:type="dxa"/>
            </w:tcMar>
            <w:hideMark/>
          </w:tcPr>
          <w:p w14:paraId="68035D11" w14:textId="77777777" w:rsidR="007A630C" w:rsidRPr="00D6350A" w:rsidRDefault="007A630C" w:rsidP="00904A8B">
            <w:pPr>
              <w:rPr>
                <w:lang w:eastAsia="sv-SE"/>
              </w:rPr>
            </w:pPr>
            <w:r w:rsidRPr="00D6350A">
              <w:rPr>
                <w:lang w:eastAsia="sv-SE"/>
              </w:rPr>
              <w:t>0.9</w:t>
            </w:r>
          </w:p>
        </w:tc>
        <w:tc>
          <w:tcPr>
            <w:tcW w:w="0" w:type="auto"/>
            <w:tcMar>
              <w:top w:w="100" w:type="dxa"/>
              <w:left w:w="100" w:type="dxa"/>
              <w:bottom w:w="100" w:type="dxa"/>
              <w:right w:w="100" w:type="dxa"/>
            </w:tcMar>
            <w:hideMark/>
          </w:tcPr>
          <w:p w14:paraId="641650CE" w14:textId="77777777" w:rsidR="007A630C" w:rsidRPr="00D6350A" w:rsidRDefault="007A630C" w:rsidP="00904A8B">
            <w:pPr>
              <w:rPr>
                <w:lang w:eastAsia="sv-SE"/>
              </w:rPr>
            </w:pPr>
            <w:r w:rsidRPr="00D6350A">
              <w:rPr>
                <w:lang w:eastAsia="sv-SE"/>
              </w:rPr>
              <w:t xml:space="preserve">Hallström et al. </w:t>
            </w:r>
            <w:r w:rsidRPr="00D6350A">
              <w:rPr>
                <w:noProof/>
                <w:vertAlign w:val="superscript"/>
                <w:lang w:eastAsia="sv-SE"/>
              </w:rPr>
              <w:t>(S22)</w:t>
            </w:r>
          </w:p>
        </w:tc>
      </w:tr>
      <w:tr w:rsidR="00D6350A" w:rsidRPr="00D6350A" w14:paraId="6AD3654B" w14:textId="77777777" w:rsidTr="00904A8B">
        <w:tc>
          <w:tcPr>
            <w:tcW w:w="0" w:type="auto"/>
            <w:tcMar>
              <w:top w:w="100" w:type="dxa"/>
              <w:left w:w="100" w:type="dxa"/>
              <w:bottom w:w="100" w:type="dxa"/>
              <w:right w:w="100" w:type="dxa"/>
            </w:tcMar>
            <w:hideMark/>
          </w:tcPr>
          <w:p w14:paraId="39FDF7B4"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5F149220" w14:textId="77777777" w:rsidR="007A630C" w:rsidRPr="00D6350A" w:rsidRDefault="007A630C" w:rsidP="00904A8B">
            <w:pPr>
              <w:rPr>
                <w:lang w:eastAsia="sv-SE"/>
              </w:rPr>
            </w:pPr>
            <w:r w:rsidRPr="00D6350A">
              <w:rPr>
                <w:lang w:eastAsia="sv-SE"/>
              </w:rPr>
              <w:t>Class II beer (2,8-3,5%)</w:t>
            </w:r>
          </w:p>
        </w:tc>
        <w:tc>
          <w:tcPr>
            <w:tcW w:w="0" w:type="auto"/>
            <w:tcMar>
              <w:top w:w="100" w:type="dxa"/>
              <w:left w:w="100" w:type="dxa"/>
              <w:bottom w:w="100" w:type="dxa"/>
              <w:right w:w="100" w:type="dxa"/>
            </w:tcMar>
            <w:hideMark/>
          </w:tcPr>
          <w:p w14:paraId="3336B862" w14:textId="77777777" w:rsidR="007A630C" w:rsidRPr="00D6350A" w:rsidRDefault="007A630C" w:rsidP="00904A8B">
            <w:pPr>
              <w:rPr>
                <w:lang w:eastAsia="sv-SE"/>
              </w:rPr>
            </w:pPr>
            <w:r w:rsidRPr="00D6350A">
              <w:rPr>
                <w:lang w:eastAsia="sv-SE"/>
              </w:rPr>
              <w:t>0.8</w:t>
            </w:r>
          </w:p>
        </w:tc>
        <w:tc>
          <w:tcPr>
            <w:tcW w:w="0" w:type="auto"/>
            <w:tcMar>
              <w:top w:w="100" w:type="dxa"/>
              <w:left w:w="100" w:type="dxa"/>
              <w:bottom w:w="100" w:type="dxa"/>
              <w:right w:w="100" w:type="dxa"/>
            </w:tcMar>
            <w:hideMark/>
          </w:tcPr>
          <w:p w14:paraId="554C4A83" w14:textId="77777777" w:rsidR="007A630C" w:rsidRPr="00D6350A" w:rsidRDefault="007A630C" w:rsidP="00904A8B">
            <w:pPr>
              <w:rPr>
                <w:lang w:eastAsia="sv-SE"/>
              </w:rPr>
            </w:pPr>
            <w:r w:rsidRPr="00D6350A">
              <w:rPr>
                <w:lang w:eastAsia="sv-SE"/>
              </w:rPr>
              <w:t xml:space="preserve">Hallström et al. </w:t>
            </w:r>
            <w:r w:rsidRPr="00D6350A">
              <w:rPr>
                <w:noProof/>
                <w:vertAlign w:val="superscript"/>
                <w:lang w:eastAsia="sv-SE"/>
              </w:rPr>
              <w:t>(S22)</w:t>
            </w:r>
          </w:p>
        </w:tc>
      </w:tr>
      <w:tr w:rsidR="00D6350A" w:rsidRPr="00D6350A" w14:paraId="1FA7FD39" w14:textId="77777777" w:rsidTr="00904A8B">
        <w:tc>
          <w:tcPr>
            <w:tcW w:w="0" w:type="auto"/>
            <w:tcMar>
              <w:top w:w="100" w:type="dxa"/>
              <w:left w:w="100" w:type="dxa"/>
              <w:bottom w:w="100" w:type="dxa"/>
              <w:right w:w="100" w:type="dxa"/>
            </w:tcMar>
            <w:hideMark/>
          </w:tcPr>
          <w:p w14:paraId="4AE1E90E"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57B68CD6" w14:textId="77777777" w:rsidR="007A630C" w:rsidRPr="00D6350A" w:rsidRDefault="007A630C" w:rsidP="00904A8B">
            <w:pPr>
              <w:rPr>
                <w:lang w:eastAsia="sv-SE"/>
              </w:rPr>
            </w:pPr>
            <w:r w:rsidRPr="00D6350A">
              <w:rPr>
                <w:lang w:eastAsia="sv-SE"/>
              </w:rPr>
              <w:t xml:space="preserve">Class III (&gt;3,5%) </w:t>
            </w:r>
          </w:p>
        </w:tc>
        <w:tc>
          <w:tcPr>
            <w:tcW w:w="0" w:type="auto"/>
            <w:tcMar>
              <w:top w:w="100" w:type="dxa"/>
              <w:left w:w="100" w:type="dxa"/>
              <w:bottom w:w="100" w:type="dxa"/>
              <w:right w:w="100" w:type="dxa"/>
            </w:tcMar>
            <w:hideMark/>
          </w:tcPr>
          <w:p w14:paraId="1145C3EA" w14:textId="77777777" w:rsidR="007A630C" w:rsidRPr="00D6350A" w:rsidRDefault="007A630C" w:rsidP="00904A8B">
            <w:pPr>
              <w:rPr>
                <w:lang w:eastAsia="sv-SE"/>
              </w:rPr>
            </w:pPr>
            <w:r w:rsidRPr="00D6350A">
              <w:rPr>
                <w:lang w:eastAsia="sv-SE"/>
              </w:rPr>
              <w:t>0.9</w:t>
            </w:r>
          </w:p>
        </w:tc>
        <w:tc>
          <w:tcPr>
            <w:tcW w:w="0" w:type="auto"/>
            <w:tcMar>
              <w:top w:w="100" w:type="dxa"/>
              <w:left w:w="100" w:type="dxa"/>
              <w:bottom w:w="100" w:type="dxa"/>
              <w:right w:w="100" w:type="dxa"/>
            </w:tcMar>
            <w:hideMark/>
          </w:tcPr>
          <w:p w14:paraId="3C799723" w14:textId="77777777" w:rsidR="007A630C" w:rsidRPr="00D6350A" w:rsidRDefault="007A630C" w:rsidP="00904A8B">
            <w:pPr>
              <w:rPr>
                <w:lang w:eastAsia="sv-SE"/>
              </w:rPr>
            </w:pPr>
            <w:r w:rsidRPr="00D6350A">
              <w:rPr>
                <w:lang w:eastAsia="sv-SE"/>
              </w:rPr>
              <w:t xml:space="preserve">Hallström et al. </w:t>
            </w:r>
            <w:r w:rsidRPr="00D6350A">
              <w:rPr>
                <w:noProof/>
                <w:vertAlign w:val="superscript"/>
                <w:lang w:eastAsia="sv-SE"/>
              </w:rPr>
              <w:t>(S22)</w:t>
            </w:r>
          </w:p>
        </w:tc>
      </w:tr>
      <w:tr w:rsidR="00D6350A" w:rsidRPr="00D6350A" w14:paraId="16C06E66" w14:textId="77777777" w:rsidTr="00904A8B">
        <w:tc>
          <w:tcPr>
            <w:tcW w:w="0" w:type="auto"/>
            <w:tcMar>
              <w:top w:w="100" w:type="dxa"/>
              <w:left w:w="100" w:type="dxa"/>
              <w:bottom w:w="100" w:type="dxa"/>
              <w:right w:w="100" w:type="dxa"/>
            </w:tcMar>
            <w:hideMark/>
          </w:tcPr>
          <w:p w14:paraId="0AAA2F94" w14:textId="77777777" w:rsidR="007A630C" w:rsidRPr="00D6350A" w:rsidRDefault="007A630C" w:rsidP="00904A8B">
            <w:pPr>
              <w:rPr>
                <w:rFonts w:eastAsia="Times New Roman"/>
                <w:lang w:eastAsia="sv-SE"/>
              </w:rPr>
            </w:pPr>
          </w:p>
        </w:tc>
        <w:tc>
          <w:tcPr>
            <w:tcW w:w="0" w:type="auto"/>
            <w:gridSpan w:val="2"/>
            <w:tcMar>
              <w:top w:w="100" w:type="dxa"/>
              <w:left w:w="100" w:type="dxa"/>
              <w:bottom w:w="100" w:type="dxa"/>
              <w:right w:w="100" w:type="dxa"/>
            </w:tcMar>
            <w:hideMark/>
          </w:tcPr>
          <w:p w14:paraId="3DEFF943" w14:textId="77777777" w:rsidR="007A630C" w:rsidRPr="00D6350A" w:rsidRDefault="007A630C" w:rsidP="00904A8B">
            <w:pPr>
              <w:rPr>
                <w:lang w:eastAsia="sv-SE"/>
              </w:rPr>
            </w:pPr>
            <w:r w:rsidRPr="00D6350A">
              <w:rPr>
                <w:lang w:eastAsia="sv-SE"/>
              </w:rPr>
              <w:t>Wine</w:t>
            </w:r>
          </w:p>
        </w:tc>
        <w:tc>
          <w:tcPr>
            <w:tcW w:w="0" w:type="auto"/>
            <w:tcMar>
              <w:top w:w="100" w:type="dxa"/>
              <w:left w:w="100" w:type="dxa"/>
              <w:bottom w:w="100" w:type="dxa"/>
              <w:right w:w="100" w:type="dxa"/>
            </w:tcMar>
            <w:hideMark/>
          </w:tcPr>
          <w:p w14:paraId="3A3A5788" w14:textId="77777777" w:rsidR="007A630C" w:rsidRPr="00D6350A" w:rsidRDefault="007A630C" w:rsidP="00904A8B">
            <w:pPr>
              <w:rPr>
                <w:lang w:eastAsia="sv-SE"/>
              </w:rPr>
            </w:pPr>
            <w:r w:rsidRPr="00D6350A">
              <w:rPr>
                <w:lang w:eastAsia="sv-SE"/>
              </w:rPr>
              <w:t>2.3</w:t>
            </w:r>
          </w:p>
        </w:tc>
        <w:tc>
          <w:tcPr>
            <w:tcW w:w="0" w:type="auto"/>
            <w:tcMar>
              <w:top w:w="100" w:type="dxa"/>
              <w:left w:w="100" w:type="dxa"/>
              <w:bottom w:w="100" w:type="dxa"/>
              <w:right w:w="100" w:type="dxa"/>
            </w:tcMar>
            <w:hideMark/>
          </w:tcPr>
          <w:p w14:paraId="6B3CCE3A" w14:textId="77777777" w:rsidR="007A630C" w:rsidRPr="00D6350A" w:rsidRDefault="007A630C" w:rsidP="00904A8B">
            <w:pPr>
              <w:rPr>
                <w:lang w:eastAsia="sv-SE"/>
              </w:rPr>
            </w:pPr>
            <w:r w:rsidRPr="00D6350A">
              <w:rPr>
                <w:lang w:eastAsia="sv-SE"/>
              </w:rPr>
              <w:t xml:space="preserve">Hallström et al. </w:t>
            </w:r>
            <w:r w:rsidRPr="00D6350A">
              <w:rPr>
                <w:noProof/>
                <w:vertAlign w:val="superscript"/>
                <w:lang w:eastAsia="sv-SE"/>
              </w:rPr>
              <w:t>(S22)</w:t>
            </w:r>
          </w:p>
        </w:tc>
      </w:tr>
      <w:tr w:rsidR="00D6350A" w:rsidRPr="00D6350A" w14:paraId="07137F06" w14:textId="77777777" w:rsidTr="00904A8B">
        <w:tc>
          <w:tcPr>
            <w:tcW w:w="0" w:type="auto"/>
            <w:tcBorders>
              <w:bottom w:val="single" w:sz="4" w:space="0" w:color="auto"/>
            </w:tcBorders>
            <w:tcMar>
              <w:top w:w="100" w:type="dxa"/>
              <w:left w:w="100" w:type="dxa"/>
              <w:bottom w:w="100" w:type="dxa"/>
              <w:right w:w="100" w:type="dxa"/>
            </w:tcMar>
            <w:hideMark/>
          </w:tcPr>
          <w:p w14:paraId="6F58051C" w14:textId="77777777" w:rsidR="007A630C" w:rsidRPr="00D6350A" w:rsidRDefault="007A630C" w:rsidP="00904A8B">
            <w:pPr>
              <w:rPr>
                <w:rFonts w:eastAsia="Times New Roman"/>
                <w:lang w:eastAsia="sv-SE"/>
              </w:rPr>
            </w:pPr>
          </w:p>
        </w:tc>
        <w:tc>
          <w:tcPr>
            <w:tcW w:w="0" w:type="auto"/>
            <w:gridSpan w:val="2"/>
            <w:tcBorders>
              <w:bottom w:val="single" w:sz="4" w:space="0" w:color="auto"/>
            </w:tcBorders>
            <w:tcMar>
              <w:top w:w="100" w:type="dxa"/>
              <w:left w:w="100" w:type="dxa"/>
              <w:bottom w:w="100" w:type="dxa"/>
              <w:right w:w="100" w:type="dxa"/>
            </w:tcMar>
            <w:hideMark/>
          </w:tcPr>
          <w:p w14:paraId="1EC8FD02" w14:textId="77777777" w:rsidR="007A630C" w:rsidRPr="00D6350A" w:rsidRDefault="007A630C" w:rsidP="00904A8B">
            <w:pPr>
              <w:rPr>
                <w:lang w:eastAsia="sv-SE"/>
              </w:rPr>
            </w:pPr>
            <w:r w:rsidRPr="00D6350A">
              <w:rPr>
                <w:lang w:eastAsia="sv-SE"/>
              </w:rPr>
              <w:t>Distilled beverage e.g. vodka</w:t>
            </w:r>
          </w:p>
        </w:tc>
        <w:tc>
          <w:tcPr>
            <w:tcW w:w="0" w:type="auto"/>
            <w:tcBorders>
              <w:bottom w:val="single" w:sz="4" w:space="0" w:color="auto"/>
            </w:tcBorders>
            <w:tcMar>
              <w:top w:w="100" w:type="dxa"/>
              <w:left w:w="100" w:type="dxa"/>
              <w:bottom w:w="100" w:type="dxa"/>
              <w:right w:w="100" w:type="dxa"/>
            </w:tcMar>
            <w:hideMark/>
          </w:tcPr>
          <w:p w14:paraId="1F9EF6B1" w14:textId="77777777" w:rsidR="007A630C" w:rsidRPr="00D6350A" w:rsidRDefault="007A630C" w:rsidP="00904A8B">
            <w:pPr>
              <w:rPr>
                <w:lang w:eastAsia="sv-SE"/>
              </w:rPr>
            </w:pPr>
            <w:r w:rsidRPr="00D6350A">
              <w:rPr>
                <w:lang w:eastAsia="sv-SE"/>
              </w:rPr>
              <w:t>2.2</w:t>
            </w:r>
          </w:p>
        </w:tc>
        <w:tc>
          <w:tcPr>
            <w:tcW w:w="0" w:type="auto"/>
            <w:tcBorders>
              <w:bottom w:val="single" w:sz="4" w:space="0" w:color="auto"/>
            </w:tcBorders>
            <w:tcMar>
              <w:top w:w="100" w:type="dxa"/>
              <w:left w:w="100" w:type="dxa"/>
              <w:bottom w:w="100" w:type="dxa"/>
              <w:right w:w="100" w:type="dxa"/>
            </w:tcMar>
            <w:hideMark/>
          </w:tcPr>
          <w:p w14:paraId="306AAA49" w14:textId="77777777" w:rsidR="007A630C" w:rsidRPr="00D6350A" w:rsidRDefault="007A630C" w:rsidP="00904A8B">
            <w:pPr>
              <w:rPr>
                <w:lang w:eastAsia="sv-SE"/>
              </w:rPr>
            </w:pPr>
            <w:r w:rsidRPr="00D6350A">
              <w:rPr>
                <w:lang w:eastAsia="sv-SE"/>
              </w:rPr>
              <w:t xml:space="preserve">Hallström et al. </w:t>
            </w:r>
            <w:r w:rsidRPr="00D6350A">
              <w:rPr>
                <w:noProof/>
                <w:vertAlign w:val="superscript"/>
                <w:lang w:eastAsia="sv-SE"/>
              </w:rPr>
              <w:t>(S22)</w:t>
            </w:r>
          </w:p>
        </w:tc>
      </w:tr>
    </w:tbl>
    <w:p w14:paraId="11FCCE1E" w14:textId="2D37A427" w:rsidR="007A630C" w:rsidRPr="00D6350A" w:rsidRDefault="002C683E" w:rsidP="00904A8B">
      <w:pPr>
        <w:spacing w:line="360" w:lineRule="auto"/>
        <w:rPr>
          <w:szCs w:val="24"/>
          <w:lang w:val="en-GB"/>
        </w:rPr>
      </w:pPr>
      <w:r w:rsidRPr="00D6350A">
        <w:rPr>
          <w:szCs w:val="24"/>
          <w:vertAlign w:val="superscript"/>
          <w:lang w:val="en-GB"/>
        </w:rPr>
        <w:t>*</w:t>
      </w:r>
      <w:r w:rsidRPr="00D6350A">
        <w:rPr>
          <w:szCs w:val="24"/>
          <w:lang w:val="en-GB"/>
        </w:rPr>
        <w:t>Based on</w:t>
      </w:r>
      <w:r w:rsidRPr="00D6350A">
        <w:rPr>
          <w:szCs w:val="24"/>
          <w:vertAlign w:val="superscript"/>
          <w:lang w:val="en-GB"/>
        </w:rPr>
        <w:t xml:space="preserve"> </w:t>
      </w:r>
      <w:r w:rsidRPr="00D6350A">
        <w:rPr>
          <w:szCs w:val="24"/>
          <w:lang w:val="en-GB"/>
        </w:rPr>
        <w:t>Swedish and imported fresh berries (69</w:t>
      </w:r>
      <w:proofErr w:type="gramStart"/>
      <w:r w:rsidRPr="00D6350A">
        <w:rPr>
          <w:szCs w:val="24"/>
          <w:lang w:val="en-GB"/>
        </w:rPr>
        <w:t>,5</w:t>
      </w:r>
      <w:proofErr w:type="gramEnd"/>
      <w:r w:rsidRPr="00D6350A">
        <w:rPr>
          <w:szCs w:val="24"/>
          <w:lang w:val="en-GB"/>
        </w:rPr>
        <w:t>%), Swedish and imported frozen berries (29,5%) and flight imported berries from South America</w:t>
      </w:r>
      <w:r w:rsidR="004A12EF" w:rsidRPr="00D6350A">
        <w:rPr>
          <w:szCs w:val="24"/>
          <w:lang w:val="en-GB"/>
        </w:rPr>
        <w:t xml:space="preserve"> (1%)</w:t>
      </w:r>
      <w:r w:rsidRPr="00D6350A">
        <w:rPr>
          <w:szCs w:val="24"/>
          <w:lang w:val="en-GB"/>
        </w:rPr>
        <w:t>.</w:t>
      </w:r>
    </w:p>
    <w:p w14:paraId="2B5854F8" w14:textId="0CA02909" w:rsidR="002C683E" w:rsidRPr="00D6350A" w:rsidRDefault="002C683E" w:rsidP="00904A8B">
      <w:pPr>
        <w:spacing w:line="360" w:lineRule="auto"/>
        <w:rPr>
          <w:lang w:val="en-GB"/>
        </w:rPr>
      </w:pPr>
      <w:r w:rsidRPr="00D6350A">
        <w:rPr>
          <w:vertAlign w:val="superscript"/>
          <w:lang w:val="en-GB"/>
        </w:rPr>
        <w:t>†</w:t>
      </w:r>
      <w:r w:rsidRPr="00D6350A">
        <w:rPr>
          <w:lang w:val="en-GB"/>
        </w:rPr>
        <w:t>Based on domestically produced fruit (10%), imported fruit (89%) and flight imported fruit (1%), excluding citrus fruit and banana.</w:t>
      </w:r>
    </w:p>
    <w:p w14:paraId="1C3732AF" w14:textId="7949DE89" w:rsidR="002C683E" w:rsidRPr="00D6350A" w:rsidRDefault="002C683E" w:rsidP="002C683E">
      <w:pPr>
        <w:spacing w:line="360" w:lineRule="auto"/>
        <w:rPr>
          <w:lang w:val="en-GB"/>
        </w:rPr>
      </w:pPr>
      <w:r w:rsidRPr="00D6350A">
        <w:rPr>
          <w:vertAlign w:val="superscript"/>
          <w:lang w:val="en-GB"/>
        </w:rPr>
        <w:t>‡</w:t>
      </w:r>
      <w:r w:rsidRPr="00D6350A">
        <w:rPr>
          <w:lang w:val="en-GB"/>
        </w:rPr>
        <w:t>Based on tomato (40%) and cucumber (60%). The tomato is representative of Swedish consumption based on a weighting of 14% Swedish-grown tomato (greenhouse 25% fossil), 59% import from Central Europe (greenhouse, 50% fossil, 50% waste heat) and 27% import from southern Europe (50% free-range cultivation, 50 % non-heated greenhouse). The cucumber is representative of Swedish consumption based on a weighting of 45% Swedish-grown cucumber (greenhouse 60% fossil), 22% import from Central Europe and 33% import from southern Europe (non-heated greenhouse).</w:t>
      </w:r>
    </w:p>
    <w:p w14:paraId="2118D267" w14:textId="35FE2E12" w:rsidR="002C683E" w:rsidRPr="00D6350A" w:rsidRDefault="002C683E" w:rsidP="002C683E">
      <w:pPr>
        <w:spacing w:line="360" w:lineRule="auto"/>
        <w:rPr>
          <w:lang w:val="en-GB"/>
        </w:rPr>
      </w:pPr>
      <w:r w:rsidRPr="00D6350A">
        <w:rPr>
          <w:vertAlign w:val="superscript"/>
          <w:lang w:val="en-GB"/>
        </w:rPr>
        <w:t>§</w:t>
      </w:r>
      <w:r w:rsidRPr="00D6350A">
        <w:rPr>
          <w:lang w:val="en-GB"/>
        </w:rPr>
        <w:t>Based on light (27%) and full fat (73%) crème fraiche and cream.</w:t>
      </w:r>
    </w:p>
    <w:p w14:paraId="48F61447" w14:textId="647D3B56" w:rsidR="00380FE3" w:rsidRPr="00D6350A" w:rsidRDefault="00380FE3" w:rsidP="00380FE3">
      <w:pPr>
        <w:spacing w:line="360" w:lineRule="auto"/>
        <w:rPr>
          <w:lang w:val="en-GB"/>
        </w:rPr>
      </w:pPr>
      <w:r w:rsidRPr="00D6350A">
        <w:rPr>
          <w:vertAlign w:val="superscript"/>
          <w:lang w:val="en-GB"/>
        </w:rPr>
        <w:lastRenderedPageBreak/>
        <w:t>¶</w:t>
      </w:r>
      <w:r w:rsidRPr="00D6350A">
        <w:rPr>
          <w:lang w:val="en-GB"/>
        </w:rPr>
        <w:t>Based on liver pate (50%) and salami fat content 33% (50%). Factors for weighting the proportion of meat and vegetables in liver pate and sausage; liver pate 31% meat, 69% vegetable; sa</w:t>
      </w:r>
      <w:r w:rsidR="00AE1CCD" w:rsidRPr="00D6350A">
        <w:rPr>
          <w:lang w:val="en-GB"/>
        </w:rPr>
        <w:t>lami 96% meat</w:t>
      </w:r>
      <w:r w:rsidRPr="00D6350A">
        <w:rPr>
          <w:lang w:val="en-GB"/>
        </w:rPr>
        <w:t>, 4% vegetables.</w:t>
      </w:r>
    </w:p>
    <w:p w14:paraId="5EBB1DEB" w14:textId="484E093D" w:rsidR="002C683E" w:rsidRPr="00D6350A" w:rsidRDefault="002C683E" w:rsidP="00904A8B">
      <w:pPr>
        <w:spacing w:line="360" w:lineRule="auto"/>
        <w:rPr>
          <w:lang w:val="en-GB"/>
        </w:rPr>
      </w:pPr>
      <w:r w:rsidRPr="00D6350A">
        <w:rPr>
          <w:vertAlign w:val="superscript"/>
          <w:lang w:val="en-GB"/>
        </w:rPr>
        <w:t>||</w:t>
      </w:r>
      <w:r w:rsidR="00380FE3" w:rsidRPr="00D6350A">
        <w:rPr>
          <w:lang w:val="en-GB"/>
        </w:rPr>
        <w:t>Based on weighting of beef (41%), lamb (5%), pork (49%) and game (5%). Calculated climate impact for beef based on weighted values of 65.6% beef (not dairy animals), 20.6% dairy bull, 13.8% dairy cow.</w:t>
      </w:r>
    </w:p>
    <w:p w14:paraId="1B121888" w14:textId="48FBB672" w:rsidR="00631415" w:rsidRPr="00D6350A" w:rsidRDefault="00631415" w:rsidP="00904A8B">
      <w:pPr>
        <w:spacing w:line="360" w:lineRule="auto"/>
        <w:rPr>
          <w:lang w:val="en-GB"/>
        </w:rPr>
      </w:pPr>
      <w:r w:rsidRPr="00D6350A">
        <w:rPr>
          <w:vertAlign w:val="superscript"/>
          <w:lang w:val="en-GB"/>
        </w:rPr>
        <w:sym w:font="Symbol" w:char="F0B0"/>
      </w:r>
      <w:r w:rsidRPr="00D6350A">
        <w:rPr>
          <w:lang w:val="en-GB"/>
        </w:rPr>
        <w:t>Based on salmon</w:t>
      </w:r>
      <w:r w:rsidR="00A4737A" w:rsidRPr="00D6350A">
        <w:rPr>
          <w:lang w:val="en-GB"/>
        </w:rPr>
        <w:t xml:space="preserve"> (65</w:t>
      </w:r>
      <w:r w:rsidRPr="00D6350A">
        <w:rPr>
          <w:lang w:val="en-GB"/>
        </w:rPr>
        <w:t>%), herring (24%) and mackerel (11%)</w:t>
      </w:r>
      <w:r w:rsidR="007C2655" w:rsidRPr="00D6350A">
        <w:rPr>
          <w:lang w:val="en-GB"/>
        </w:rPr>
        <w:t>.</w:t>
      </w:r>
    </w:p>
    <w:p w14:paraId="4A456D4C" w14:textId="1CD870A0" w:rsidR="007C2655" w:rsidRPr="00D6350A" w:rsidRDefault="007C2655" w:rsidP="00904A8B">
      <w:pPr>
        <w:spacing w:line="360" w:lineRule="auto"/>
        <w:rPr>
          <w:lang w:val="en-GB"/>
        </w:rPr>
      </w:pPr>
      <w:r w:rsidRPr="00D6350A">
        <w:rPr>
          <w:vertAlign w:val="superscript"/>
          <w:lang w:val="en-GB"/>
        </w:rPr>
        <w:sym w:font="Symbol" w:char="F027"/>
      </w:r>
      <w:r w:rsidRPr="00D6350A">
        <w:rPr>
          <w:lang w:val="en-GB"/>
        </w:rPr>
        <w:t>Based on salmon (85%) and mackerel (15%).</w:t>
      </w:r>
    </w:p>
    <w:p w14:paraId="640B336F" w14:textId="77777777" w:rsidR="002C683E" w:rsidRPr="00D6350A" w:rsidRDefault="002C683E" w:rsidP="00904A8B">
      <w:pPr>
        <w:spacing w:line="360" w:lineRule="auto"/>
        <w:rPr>
          <w:rFonts w:eastAsia="Times New Roman"/>
          <w:b/>
          <w:lang w:eastAsia="sv-SE"/>
        </w:rPr>
      </w:pPr>
    </w:p>
    <w:p w14:paraId="2A7C0C92" w14:textId="77777777" w:rsidR="007A630C" w:rsidRPr="00D6350A" w:rsidRDefault="007A630C" w:rsidP="00904A8B">
      <w:pPr>
        <w:spacing w:line="360" w:lineRule="auto"/>
        <w:rPr>
          <w:b/>
          <w:lang w:eastAsia="sv-SE"/>
        </w:rPr>
      </w:pPr>
      <w:r w:rsidRPr="00D6350A">
        <w:rPr>
          <w:b/>
          <w:lang w:eastAsia="sv-SE"/>
        </w:rPr>
        <w:t>References</w:t>
      </w:r>
    </w:p>
    <w:p w14:paraId="73FB154D" w14:textId="601E2C46" w:rsidR="007A630C" w:rsidRPr="00D6350A" w:rsidRDefault="007A630C" w:rsidP="00904A8B">
      <w:pPr>
        <w:pStyle w:val="EndNoteBibliography"/>
        <w:rPr>
          <w:noProof/>
        </w:rPr>
      </w:pPr>
      <w:r w:rsidRPr="00D6350A">
        <w:rPr>
          <w:noProof/>
        </w:rPr>
        <w:t>S1. IPCC, 2007: Climate Change 2007: Synthesis Report. Contribution of Working Groups I, I</w:t>
      </w:r>
      <w:r w:rsidR="00C92D25" w:rsidRPr="00D6350A">
        <w:rPr>
          <w:noProof/>
        </w:rPr>
        <w:t>I and III to the Fourth Assess</w:t>
      </w:r>
      <w:r w:rsidRPr="00D6350A">
        <w:rPr>
          <w:noProof/>
        </w:rPr>
        <w:t>ment Report of the Intergovernmental Panel on Climate Change [Core Writing Team, Pachauri, R.K and Reisinger, A. (eds.)]. IPCC, Geneva, Switzerla</w:t>
      </w:r>
      <w:r w:rsidR="002F07A7" w:rsidRPr="00D6350A">
        <w:rPr>
          <w:noProof/>
        </w:rPr>
        <w:t>nd: IPCC;2007.</w:t>
      </w:r>
      <w:r w:rsidRPr="00D6350A">
        <w:rPr>
          <w:noProof/>
        </w:rPr>
        <w:t xml:space="preserve"> 104 pp.</w:t>
      </w:r>
    </w:p>
    <w:p w14:paraId="026D2A21" w14:textId="77777777" w:rsidR="007A630C" w:rsidRPr="00D6350A" w:rsidRDefault="007A630C" w:rsidP="00904A8B">
      <w:pPr>
        <w:pStyle w:val="EndNoteBibliography"/>
        <w:rPr>
          <w:noProof/>
        </w:rPr>
      </w:pPr>
      <w:r w:rsidRPr="00D6350A">
        <w:rPr>
          <w:noProof/>
        </w:rPr>
        <w:t>S2. IPCC. Climate Change 2014: Synthesis Report. Contribution of Working Groups I, II and III to the Fifth Assessment Report of the Intergovernmental Panel on Climate Change [Core Writing Team, R.K. Pachauri and L.A. Meyer (eds.)] Geneva, Switzerland: IPCC; 2014. 151 pp.</w:t>
      </w:r>
    </w:p>
    <w:p w14:paraId="30F5F0E8" w14:textId="77777777" w:rsidR="007A630C" w:rsidRPr="00D6350A" w:rsidRDefault="007A630C" w:rsidP="00904A8B">
      <w:pPr>
        <w:pStyle w:val="EndNoteBibliography"/>
        <w:rPr>
          <w:noProof/>
        </w:rPr>
      </w:pPr>
      <w:r w:rsidRPr="00D6350A">
        <w:rPr>
          <w:noProof/>
        </w:rPr>
        <w:t>S3. Sjörs C. Näringsintag och utsläpp av växthusgaser från svenska matvanor ur ett epidemiologiskt perspektiv (Nutritional intake and greenhouse gas emissions from Swedish eating habits from an epidemiological perspective) [in Swedish] [licentiate thesis]. Stockholm; E-print AB Stockholm; 2017 [cited 2018-03-02].</w:t>
      </w:r>
    </w:p>
    <w:p w14:paraId="6627C19C" w14:textId="7D321E04" w:rsidR="007A630C" w:rsidRPr="00D6350A" w:rsidRDefault="007A630C" w:rsidP="00904A8B">
      <w:pPr>
        <w:pStyle w:val="EndNoteBibliography"/>
        <w:rPr>
          <w:noProof/>
        </w:rPr>
      </w:pPr>
      <w:r w:rsidRPr="00D6350A">
        <w:rPr>
          <w:noProof/>
        </w:rPr>
        <w:t>S4. The Swedish National Food Administration. Livsmedelsdatabasen (Food Composition Database) [in Swedish] [Internet]. 2</w:t>
      </w:r>
      <w:r w:rsidR="002F07A7" w:rsidRPr="00D6350A">
        <w:rPr>
          <w:noProof/>
        </w:rPr>
        <w:t xml:space="preserve">018 [updated 2018-02-15; cited </w:t>
      </w:r>
      <w:r w:rsidRPr="00D6350A">
        <w:rPr>
          <w:noProof/>
        </w:rPr>
        <w:t xml:space="preserve">2018-03-02]. Retrieved from: https://www.livsmedelsverket.se/livsmedelsdatabasen </w:t>
      </w:r>
    </w:p>
    <w:p w14:paraId="1E3B5989" w14:textId="3FABFAAB" w:rsidR="007A630C" w:rsidRPr="00D6350A" w:rsidRDefault="007A630C" w:rsidP="00904A8B">
      <w:pPr>
        <w:pStyle w:val="EndNoteBibliography"/>
        <w:rPr>
          <w:noProof/>
        </w:rPr>
      </w:pPr>
      <w:r w:rsidRPr="00D6350A">
        <w:rPr>
          <w:noProof/>
        </w:rPr>
        <w:t>S5. Ahlmén K./ Sigill Kvalitetssystem AB. Maten och miljön. Livscykelanalys av sju livsmedel (The food and the environment. Life cycle analysis of seven food groups) [in Swedish] [Internet]</w:t>
      </w:r>
      <w:r w:rsidR="002F07A7" w:rsidRPr="00D6350A">
        <w:rPr>
          <w:noProof/>
        </w:rPr>
        <w:t xml:space="preserve">. LRF; </w:t>
      </w:r>
      <w:r w:rsidRPr="00D6350A">
        <w:rPr>
          <w:noProof/>
        </w:rPr>
        <w:t xml:space="preserve">2002. </w:t>
      </w:r>
    </w:p>
    <w:p w14:paraId="65E6AAC5" w14:textId="411F859C" w:rsidR="007A630C" w:rsidRPr="00D6350A" w:rsidRDefault="007A630C" w:rsidP="00904A8B">
      <w:pPr>
        <w:pStyle w:val="EndNoteBibliography"/>
        <w:rPr>
          <w:noProof/>
        </w:rPr>
      </w:pPr>
      <w:r w:rsidRPr="00D6350A">
        <w:rPr>
          <w:noProof/>
        </w:rPr>
        <w:t xml:space="preserve">S6. </w:t>
      </w:r>
      <w:r w:rsidR="00862F6E" w:rsidRPr="00D6350A">
        <w:rPr>
          <w:noProof/>
        </w:rPr>
        <w:t xml:space="preserve">Quested TE, Parry AD, Easteal S et al. </w:t>
      </w:r>
      <w:r w:rsidRPr="00D6350A">
        <w:rPr>
          <w:noProof/>
        </w:rPr>
        <w:t xml:space="preserve">(2011), Food and drink waste from households in the UK. Nutrition Bulletin, 36: 460-467. </w:t>
      </w:r>
    </w:p>
    <w:p w14:paraId="5D3224C7" w14:textId="1C6A3E28" w:rsidR="007A630C" w:rsidRPr="00D6350A" w:rsidRDefault="007A630C" w:rsidP="00904A8B">
      <w:pPr>
        <w:pStyle w:val="EndNoteBibliography"/>
        <w:rPr>
          <w:noProof/>
        </w:rPr>
      </w:pPr>
      <w:r w:rsidRPr="00D6350A">
        <w:rPr>
          <w:noProof/>
        </w:rPr>
        <w:t>S7. Gustavsson J, Cederb</w:t>
      </w:r>
      <w:r w:rsidR="00862F6E" w:rsidRPr="00D6350A">
        <w:rPr>
          <w:noProof/>
        </w:rPr>
        <w:t>erg C, Sonesson U et al</w:t>
      </w:r>
      <w:r w:rsidRPr="00D6350A">
        <w:rPr>
          <w:noProof/>
        </w:rPr>
        <w:t>. The methodology of the FAO study:”Global Food Losses and Food Waste – extent, causes and prevention” –</w:t>
      </w:r>
      <w:r w:rsidR="00862F6E" w:rsidRPr="00D6350A">
        <w:rPr>
          <w:noProof/>
        </w:rPr>
        <w:t xml:space="preserve"> FAO,</w:t>
      </w:r>
      <w:r w:rsidRPr="00D6350A">
        <w:rPr>
          <w:noProof/>
        </w:rPr>
        <w:t xml:space="preserve"> 2011 [Internet]. SIK 2013. SIK Report 857.</w:t>
      </w:r>
    </w:p>
    <w:p w14:paraId="67B9BEA2" w14:textId="77777777" w:rsidR="007A630C" w:rsidRPr="00D6350A" w:rsidRDefault="007A630C" w:rsidP="00904A8B">
      <w:pPr>
        <w:pStyle w:val="EndNoteBibliography"/>
        <w:rPr>
          <w:noProof/>
        </w:rPr>
      </w:pPr>
      <w:r w:rsidRPr="00D6350A">
        <w:rPr>
          <w:noProof/>
        </w:rPr>
        <w:t>S8. Central Bureau of Statistics. Statistikdatabasen (Statistical database) [in Swedish] [Internet]. 2018 [updated 2018-03-07; cited 2018-03-07]. Retrieved from: http://www.statistikdatabasen.scb.se/pxweb/sv/ssd/?rxid=f45f90b6-7345-4877-ba25-9b43e6c6e299.</w:t>
      </w:r>
    </w:p>
    <w:p w14:paraId="5BD32C9C" w14:textId="77777777" w:rsidR="007A630C" w:rsidRPr="00D6350A" w:rsidRDefault="007A630C" w:rsidP="00904A8B">
      <w:pPr>
        <w:pStyle w:val="EndNoteBibliography"/>
        <w:rPr>
          <w:noProof/>
        </w:rPr>
      </w:pPr>
      <w:r w:rsidRPr="00D6350A">
        <w:rPr>
          <w:noProof/>
        </w:rPr>
        <w:t xml:space="preserve">S9. The Department of Agriculture. </w:t>
      </w:r>
      <w:r w:rsidRPr="00D6350A">
        <w:rPr>
          <w:noProof/>
          <w:lang w:val="sv-SE"/>
        </w:rPr>
        <w:t xml:space="preserve">Hur stor andel av livsmedlen som säljs på marknaden är producerade i Sverige? </w:t>
      </w:r>
      <w:r w:rsidRPr="00D6350A">
        <w:rPr>
          <w:noProof/>
        </w:rPr>
        <w:t>(How much of the food sold on the market is produced in Sweden?) [in Swedish]. Sweden: The Department of Agriculture; 2017.</w:t>
      </w:r>
    </w:p>
    <w:p w14:paraId="4F633BC1" w14:textId="77777777" w:rsidR="007A630C" w:rsidRPr="00D6350A" w:rsidRDefault="007A630C" w:rsidP="00904A8B">
      <w:pPr>
        <w:pStyle w:val="EndNoteBibliography"/>
        <w:rPr>
          <w:noProof/>
          <w:lang w:val="sv-SE"/>
        </w:rPr>
      </w:pPr>
      <w:r w:rsidRPr="00D6350A">
        <w:rPr>
          <w:noProof/>
        </w:rPr>
        <w:lastRenderedPageBreak/>
        <w:t xml:space="preserve">S10. The Department of Agriculture. </w:t>
      </w:r>
      <w:r w:rsidRPr="00D6350A">
        <w:rPr>
          <w:noProof/>
          <w:lang w:val="sv-SE"/>
        </w:rPr>
        <w:t>Livsmedelskonsumtion och näringsinnehåll – Uppgifter till och med 2016 (Food consumption and nutritional content - Data through 2016) [in Swedish] [Internet]. 2017 [updated 2017-12-08; cited 2018-03-02]. Retrieved from: http://www.jordbruksverket.se/webdav/files/SJV/Amnesomraden/Statistik, fakta/Livsmedel/JO44SM1701/JO44SM1701_tabeller.htm</w:t>
      </w:r>
    </w:p>
    <w:p w14:paraId="2CF84836" w14:textId="77777777" w:rsidR="007A630C" w:rsidRPr="00D6350A" w:rsidRDefault="007A630C" w:rsidP="00904A8B">
      <w:pPr>
        <w:pStyle w:val="EndNoteBibliography"/>
        <w:rPr>
          <w:noProof/>
        </w:rPr>
      </w:pPr>
      <w:r w:rsidRPr="00D6350A">
        <w:rPr>
          <w:noProof/>
          <w:lang w:val="sv-SE"/>
        </w:rPr>
        <w:t xml:space="preserve">S11. Ziegler F, Bergman K. Svensk konsumtion av sjömat – en växande mångfald. </w:t>
      </w:r>
      <w:r w:rsidRPr="00D6350A">
        <w:rPr>
          <w:noProof/>
        </w:rPr>
        <w:t>(Swedish consumption of seafood- a growing diversity) [in Swedish] Gothenburg: Research Institutes of Sweden (RISE); 2017. SP Report 2017:07</w:t>
      </w:r>
    </w:p>
    <w:p w14:paraId="4BF70513" w14:textId="3CBBA520" w:rsidR="007A630C" w:rsidRPr="00D6350A" w:rsidRDefault="007A630C" w:rsidP="00904A8B">
      <w:pPr>
        <w:pStyle w:val="EndNoteBibliography"/>
        <w:rPr>
          <w:noProof/>
        </w:rPr>
      </w:pPr>
      <w:r w:rsidRPr="00D6350A">
        <w:rPr>
          <w:noProof/>
        </w:rPr>
        <w:t>S12. Bryngelsson D, Wi</w:t>
      </w:r>
      <w:r w:rsidR="00862F6E" w:rsidRPr="00D6350A">
        <w:rPr>
          <w:noProof/>
        </w:rPr>
        <w:t>rsenius S, Hedenus F et al</w:t>
      </w:r>
      <w:r w:rsidRPr="00D6350A">
        <w:rPr>
          <w:noProof/>
        </w:rPr>
        <w:t>. How can EU climate targets be met? A combined analysis of technological and demand-side changes in food and agriculture. Food Policy. 2016 Feb;59:152-164. .</w:t>
      </w:r>
    </w:p>
    <w:p w14:paraId="5E8A925A" w14:textId="77777777" w:rsidR="007A630C" w:rsidRPr="00D6350A" w:rsidRDefault="007A630C" w:rsidP="00904A8B">
      <w:pPr>
        <w:pStyle w:val="EndNoteBibliography"/>
        <w:rPr>
          <w:noProof/>
        </w:rPr>
      </w:pPr>
      <w:r w:rsidRPr="00D6350A">
        <w:rPr>
          <w:noProof/>
        </w:rPr>
        <w:t>S13. Flysjö A. Greenhouse gas emissions in milk and dairy product chains: Improving the carbon footprint of dairy products [doctoral thesis]. Aarhus University, Denmark. 2012.</w:t>
      </w:r>
    </w:p>
    <w:p w14:paraId="051D687B" w14:textId="77777777" w:rsidR="007A630C" w:rsidRPr="00D6350A" w:rsidRDefault="007A630C" w:rsidP="00904A8B">
      <w:pPr>
        <w:pStyle w:val="EndNoteBibliography"/>
        <w:rPr>
          <w:noProof/>
        </w:rPr>
      </w:pPr>
      <w:r w:rsidRPr="00D6350A">
        <w:rPr>
          <w:noProof/>
        </w:rPr>
        <w:t>S14. RISE Climate Food Database 1.4. RISE - Research Institutes of Sweden. Gothenburg.</w:t>
      </w:r>
    </w:p>
    <w:p w14:paraId="543DEBBB" w14:textId="77777777" w:rsidR="007A630C" w:rsidRPr="00D6350A" w:rsidRDefault="007A630C" w:rsidP="00904A8B">
      <w:pPr>
        <w:pStyle w:val="EndNoteBibliography"/>
        <w:rPr>
          <w:noProof/>
        </w:rPr>
      </w:pPr>
      <w:r w:rsidRPr="00D6350A">
        <w:rPr>
          <w:noProof/>
        </w:rPr>
        <w:t>S15. Röös E. Mat-klimat-listan (Food climate list) [in Swedish]. Version 1.1. Uppsala: SLU - 2014. Report 077. ISSN 1654-9406</w:t>
      </w:r>
    </w:p>
    <w:p w14:paraId="668955D9" w14:textId="77777777" w:rsidR="007A630C" w:rsidRPr="00D6350A" w:rsidRDefault="007A630C" w:rsidP="00904A8B">
      <w:pPr>
        <w:pStyle w:val="EndNoteBibliography"/>
        <w:rPr>
          <w:noProof/>
        </w:rPr>
      </w:pPr>
      <w:r w:rsidRPr="00D6350A">
        <w:rPr>
          <w:noProof/>
        </w:rPr>
        <w:t>S16. Cejie J. Klimatpåverkan från vilt kött (Climate impact from game meat) [in Swedish] [Internet]. 2008 [updated 2008-11-05; cited 2018-03-02]. Retrieved from: http://ekotank.blogspot.se/2008/11/klimatpverkan-frn-vilt-ktt.html.</w:t>
      </w:r>
    </w:p>
    <w:p w14:paraId="3DAF5BC5" w14:textId="06BA5DEC" w:rsidR="007A630C" w:rsidRPr="00D6350A" w:rsidRDefault="007A630C" w:rsidP="00904A8B">
      <w:pPr>
        <w:pStyle w:val="EndNoteBibliography"/>
        <w:rPr>
          <w:noProof/>
        </w:rPr>
      </w:pPr>
      <w:r w:rsidRPr="00D6350A">
        <w:rPr>
          <w:noProof/>
        </w:rPr>
        <w:t>S17. Ziegler F, Winther U, H</w:t>
      </w:r>
      <w:r w:rsidR="00862F6E" w:rsidRPr="00D6350A">
        <w:rPr>
          <w:noProof/>
        </w:rPr>
        <w:t>ognes E et al</w:t>
      </w:r>
      <w:r w:rsidRPr="00D6350A">
        <w:rPr>
          <w:noProof/>
        </w:rPr>
        <w:t>. The carbon footprint of Norwegian seafood products on the global seafood market. Journal of Industrial Ecology. 2013;17(1):103-16.</w:t>
      </w:r>
    </w:p>
    <w:p w14:paraId="0B606AAA" w14:textId="71DCBF45" w:rsidR="007A630C" w:rsidRPr="00D6350A" w:rsidRDefault="007A630C" w:rsidP="00904A8B">
      <w:pPr>
        <w:pStyle w:val="EndNoteBibliography"/>
        <w:rPr>
          <w:noProof/>
        </w:rPr>
      </w:pPr>
      <w:r w:rsidRPr="00D6350A">
        <w:rPr>
          <w:noProof/>
        </w:rPr>
        <w:t xml:space="preserve">S18. </w:t>
      </w:r>
      <w:r w:rsidR="00862F6E" w:rsidRPr="00D6350A">
        <w:rPr>
          <w:noProof/>
        </w:rPr>
        <w:t>Winther U, Ziegler F, Hognes E et al</w:t>
      </w:r>
      <w:r w:rsidRPr="00D6350A">
        <w:rPr>
          <w:noProof/>
        </w:rPr>
        <w:t>. Carbon footprint and energy use of Norwegian seafood products. SINTEF Fisheries and Aquaculture, Report SFH80 A. 2009;96068.</w:t>
      </w:r>
    </w:p>
    <w:p w14:paraId="0CE8A3EC" w14:textId="77777777" w:rsidR="007A630C" w:rsidRPr="00D6350A" w:rsidRDefault="007A630C" w:rsidP="00904A8B">
      <w:pPr>
        <w:pStyle w:val="EndNoteBibliography"/>
        <w:rPr>
          <w:noProof/>
          <w:lang w:val="sv-SE"/>
        </w:rPr>
      </w:pPr>
      <w:r w:rsidRPr="00D6350A">
        <w:rPr>
          <w:noProof/>
        </w:rPr>
        <w:t xml:space="preserve">S19. Nilsson K, Sund V, Florén B. The environmental impact of the consumption of sweets, crisps and soft drinks. </w:t>
      </w:r>
      <w:r w:rsidRPr="00D6350A">
        <w:rPr>
          <w:noProof/>
          <w:lang w:val="sv-SE"/>
        </w:rPr>
        <w:t>Copenhagen: Nordic Council of Ministers; 2011. TemaNord 2011:509. .</w:t>
      </w:r>
    </w:p>
    <w:p w14:paraId="53E555FF" w14:textId="77777777" w:rsidR="007A630C" w:rsidRPr="00D6350A" w:rsidRDefault="007A630C" w:rsidP="00904A8B">
      <w:pPr>
        <w:pStyle w:val="EndNoteBibliography"/>
        <w:rPr>
          <w:noProof/>
        </w:rPr>
      </w:pPr>
      <w:r w:rsidRPr="00D6350A">
        <w:rPr>
          <w:noProof/>
          <w:lang w:val="sv-SE"/>
        </w:rPr>
        <w:t xml:space="preserve">S20. Nilsson K. Klimatpåverkan från bryggkaffe och snabbkaffe. </w:t>
      </w:r>
      <w:r w:rsidRPr="00D6350A">
        <w:rPr>
          <w:noProof/>
        </w:rPr>
        <w:t>(Climate impact of filter coffee and instant coffee) [in Swedish] SIK - The Swedish Institute for Food and Biotechnology, Gothenburg, Sweden. 2010. Report UPX00221.</w:t>
      </w:r>
    </w:p>
    <w:p w14:paraId="2020F97F" w14:textId="22F6A100" w:rsidR="007A630C" w:rsidRPr="00D6350A" w:rsidRDefault="007A630C" w:rsidP="00904A8B">
      <w:pPr>
        <w:pStyle w:val="EndNoteBibliography"/>
        <w:rPr>
          <w:noProof/>
        </w:rPr>
      </w:pPr>
      <w:r w:rsidRPr="00D6350A">
        <w:rPr>
          <w:noProof/>
        </w:rPr>
        <w:t>S21. Scarb</w:t>
      </w:r>
      <w:r w:rsidR="00862F6E" w:rsidRPr="00D6350A">
        <w:rPr>
          <w:noProof/>
        </w:rPr>
        <w:t>orough P, Appleby PN, Mizdrak A</w:t>
      </w:r>
      <w:r w:rsidRPr="00D6350A">
        <w:rPr>
          <w:noProof/>
        </w:rPr>
        <w:t xml:space="preserve"> et al. Dietary greenhouse gas emissions of meat-eaters, fish-eaters, vegetarians and vegans in the UK. Climatic change. 2014;125(2):179-92.</w:t>
      </w:r>
    </w:p>
    <w:p w14:paraId="2C103928" w14:textId="471AC2E2" w:rsidR="007A630C" w:rsidRPr="00D6350A" w:rsidRDefault="007A630C" w:rsidP="00904A8B">
      <w:pPr>
        <w:pStyle w:val="EndNoteBibliography"/>
        <w:rPr>
          <w:noProof/>
        </w:rPr>
      </w:pPr>
      <w:r w:rsidRPr="00D6350A">
        <w:rPr>
          <w:noProof/>
        </w:rPr>
        <w:t>S22. Hallström E, Håkansson</w:t>
      </w:r>
      <w:r w:rsidR="00C70B57" w:rsidRPr="00D6350A">
        <w:rPr>
          <w:noProof/>
        </w:rPr>
        <w:t xml:space="preserve"> N, Åkesson A et al. </w:t>
      </w:r>
      <w:r w:rsidRPr="00D6350A">
        <w:rPr>
          <w:noProof/>
        </w:rPr>
        <w:t>Climate impact of alcohol consumption in Sweden. J Clean Prod. 2018; 201: 287-294.</w:t>
      </w:r>
    </w:p>
    <w:p w14:paraId="056D79F8" w14:textId="77777777" w:rsidR="007A630C" w:rsidRPr="00D6350A" w:rsidRDefault="007A630C" w:rsidP="00904A8B">
      <w:pPr>
        <w:pStyle w:val="EndNoteBibliography"/>
        <w:rPr>
          <w:noProof/>
        </w:rPr>
      </w:pPr>
    </w:p>
    <w:tbl>
      <w:tblPr>
        <w:tblStyle w:val="TableGrid"/>
        <w:tblW w:w="0" w:type="auto"/>
        <w:tblLook w:val="04A0" w:firstRow="1" w:lastRow="0" w:firstColumn="1" w:lastColumn="0" w:noHBand="0" w:noVBand="1"/>
      </w:tblPr>
      <w:tblGrid>
        <w:gridCol w:w="6998"/>
        <w:gridCol w:w="6998"/>
      </w:tblGrid>
      <w:tr w:rsidR="00D6350A" w:rsidRPr="00D6350A" w14:paraId="314C0DB0" w14:textId="77777777" w:rsidTr="00904A8B">
        <w:tc>
          <w:tcPr>
            <w:tcW w:w="6998" w:type="dxa"/>
          </w:tcPr>
          <w:p w14:paraId="53ECC8AE" w14:textId="77777777" w:rsidR="007A630C" w:rsidRPr="00D6350A" w:rsidRDefault="007A630C" w:rsidP="00904A8B">
            <w:pPr>
              <w:textAlignment w:val="baseline"/>
              <w:rPr>
                <w:b/>
              </w:rPr>
            </w:pPr>
            <w:r w:rsidRPr="00D6350A">
              <w:rPr>
                <w:b/>
              </w:rPr>
              <w:t xml:space="preserve">Example of calculation of weighted average emissions based on Swedish consumption statistics </w:t>
            </w:r>
          </w:p>
          <w:p w14:paraId="3DDB8DC8" w14:textId="77777777" w:rsidR="007A630C" w:rsidRPr="00D6350A" w:rsidRDefault="007A630C" w:rsidP="00904A8B">
            <w:pPr>
              <w:textAlignment w:val="baseline"/>
              <w:rPr>
                <w:b/>
              </w:rPr>
            </w:pPr>
          </w:p>
        </w:tc>
        <w:tc>
          <w:tcPr>
            <w:tcW w:w="6998" w:type="dxa"/>
          </w:tcPr>
          <w:p w14:paraId="2ADB11F1" w14:textId="77777777" w:rsidR="007A630C" w:rsidRPr="00D6350A" w:rsidRDefault="007A630C" w:rsidP="00904A8B">
            <w:pPr>
              <w:textAlignment w:val="baseline"/>
              <w:rPr>
                <w:b/>
              </w:rPr>
            </w:pPr>
            <w:r w:rsidRPr="00D6350A">
              <w:rPr>
                <w:b/>
              </w:rPr>
              <w:t>Example of calculation of emissions of composite dish according to recipe from the national food composition database</w:t>
            </w:r>
          </w:p>
        </w:tc>
      </w:tr>
      <w:tr w:rsidR="007A630C" w:rsidRPr="00D6350A" w14:paraId="06349682" w14:textId="77777777" w:rsidTr="00904A8B">
        <w:tc>
          <w:tcPr>
            <w:tcW w:w="6998" w:type="dxa"/>
          </w:tcPr>
          <w:p w14:paraId="4DB5E92F" w14:textId="77777777" w:rsidR="007A630C" w:rsidRPr="00D6350A" w:rsidRDefault="007A630C" w:rsidP="00904A8B">
            <w:pPr>
              <w:textAlignment w:val="baseline"/>
              <w:rPr>
                <w:u w:val="single"/>
              </w:rPr>
            </w:pPr>
            <w:r w:rsidRPr="00D6350A">
              <w:rPr>
                <w:u w:val="single"/>
              </w:rPr>
              <w:t>Weighted average GHG emissions for meat, excluding poultry;</w:t>
            </w:r>
          </w:p>
          <w:p w14:paraId="56BF9E84" w14:textId="77777777" w:rsidR="007A630C" w:rsidRPr="00D6350A" w:rsidRDefault="007A630C" w:rsidP="00904A8B">
            <w:pPr>
              <w:textAlignment w:val="baseline"/>
            </w:pPr>
            <w:r w:rsidRPr="00D6350A">
              <w:t>Consumption shares; pork 49%, beef 41%, sheep meat (mutton) 5%, and game 5%.</w:t>
            </w:r>
          </w:p>
          <w:p w14:paraId="1031241E" w14:textId="77777777" w:rsidR="007A630C" w:rsidRPr="00D6350A" w:rsidRDefault="007A630C" w:rsidP="00904A8B">
            <w:pPr>
              <w:textAlignment w:val="baseline"/>
            </w:pPr>
          </w:p>
          <w:p w14:paraId="48435788" w14:textId="77777777" w:rsidR="007A630C" w:rsidRPr="00D6350A" w:rsidRDefault="007A630C" w:rsidP="00904A8B">
            <w:pPr>
              <w:textAlignment w:val="baseline"/>
            </w:pPr>
            <w:r w:rsidRPr="00D6350A">
              <w:t>Kg CO</w:t>
            </w:r>
            <w:r w:rsidRPr="00D6350A">
              <w:rPr>
                <w:vertAlign w:val="subscript"/>
              </w:rPr>
              <w:t>2</w:t>
            </w:r>
            <w:r w:rsidRPr="00D6350A">
              <w:t xml:space="preserve">e/kg prepared meat; pork 9.6, beef 45.9, mutton 51.7 and game 6.7. </w:t>
            </w:r>
          </w:p>
          <w:p w14:paraId="5A81E4EE" w14:textId="77777777" w:rsidR="007A630C" w:rsidRPr="00D6350A" w:rsidRDefault="007A630C" w:rsidP="00904A8B">
            <w:pPr>
              <w:textAlignment w:val="baseline"/>
            </w:pPr>
            <w:r w:rsidRPr="00D6350A">
              <w:lastRenderedPageBreak/>
              <w:t>Calculation of weighted average emission; 0.49*9.6 + 0.41*45.9 + 0.05*51.7 + 0.05*6.7 = 26.4 kg CO</w:t>
            </w:r>
            <w:r w:rsidRPr="00D6350A">
              <w:rPr>
                <w:vertAlign w:val="subscript"/>
              </w:rPr>
              <w:t>2</w:t>
            </w:r>
            <w:r w:rsidRPr="00D6350A">
              <w:t>e/kg prepared meat.</w:t>
            </w:r>
          </w:p>
          <w:p w14:paraId="44386736" w14:textId="77777777" w:rsidR="007A630C" w:rsidRPr="00D6350A" w:rsidRDefault="007A630C" w:rsidP="00904A8B">
            <w:pPr>
              <w:textAlignment w:val="baseline"/>
            </w:pPr>
          </w:p>
        </w:tc>
        <w:tc>
          <w:tcPr>
            <w:tcW w:w="6998" w:type="dxa"/>
          </w:tcPr>
          <w:p w14:paraId="42DC59E9" w14:textId="77777777" w:rsidR="007A630C" w:rsidRPr="00D6350A" w:rsidRDefault="007A630C" w:rsidP="00904A8B">
            <w:pPr>
              <w:textAlignment w:val="baseline"/>
              <w:rPr>
                <w:u w:val="single"/>
              </w:rPr>
            </w:pPr>
            <w:r w:rsidRPr="00D6350A">
              <w:rPr>
                <w:u w:val="single"/>
              </w:rPr>
              <w:lastRenderedPageBreak/>
              <w:t>GHG emissions for hamburger, based on beef;</w:t>
            </w:r>
          </w:p>
          <w:p w14:paraId="1A720A93" w14:textId="77777777" w:rsidR="007A630C" w:rsidRPr="00D6350A" w:rsidRDefault="007A630C" w:rsidP="00904A8B">
            <w:pPr>
              <w:textAlignment w:val="baseline"/>
            </w:pPr>
            <w:r w:rsidRPr="00D6350A">
              <w:t>Proportion of ingredients; hamburger meat (beef) 50%, bread 44%, and cheese 6%.</w:t>
            </w:r>
          </w:p>
          <w:p w14:paraId="240C7575" w14:textId="77777777" w:rsidR="007A630C" w:rsidRPr="00D6350A" w:rsidRDefault="007A630C" w:rsidP="00904A8B">
            <w:pPr>
              <w:textAlignment w:val="baseline"/>
            </w:pPr>
          </w:p>
          <w:p w14:paraId="0D02CAFF" w14:textId="77777777" w:rsidR="007A630C" w:rsidRPr="00D6350A" w:rsidRDefault="007A630C" w:rsidP="00904A8B">
            <w:pPr>
              <w:textAlignment w:val="baseline"/>
            </w:pPr>
            <w:r w:rsidRPr="00D6350A">
              <w:t>Kg CO</w:t>
            </w:r>
            <w:r w:rsidRPr="00D6350A">
              <w:rPr>
                <w:vertAlign w:val="subscript"/>
              </w:rPr>
              <w:t>2</w:t>
            </w:r>
            <w:r w:rsidRPr="00D6350A">
              <w:t>e/kg ingredient; hamburger meat (beef) 45.9, bread 0.7, cheese 11.8</w:t>
            </w:r>
          </w:p>
          <w:p w14:paraId="3F3242AC" w14:textId="77777777" w:rsidR="007A630C" w:rsidRPr="00D6350A" w:rsidRDefault="007A630C" w:rsidP="00904A8B">
            <w:pPr>
              <w:textAlignment w:val="baseline"/>
            </w:pPr>
            <w:r w:rsidRPr="00D6350A">
              <w:lastRenderedPageBreak/>
              <w:t>Calculation of weighted average emission; 0.5*45.9 + 0.44*0.7 + 0.06*11.8 = 24.0 kg CO</w:t>
            </w:r>
            <w:r w:rsidRPr="00D6350A">
              <w:rPr>
                <w:vertAlign w:val="subscript"/>
              </w:rPr>
              <w:t>2</w:t>
            </w:r>
            <w:r w:rsidRPr="00D6350A">
              <w:t>e/kg prepared hamburger</w:t>
            </w:r>
          </w:p>
        </w:tc>
      </w:tr>
    </w:tbl>
    <w:p w14:paraId="2A7E9A6C" w14:textId="77777777" w:rsidR="007A630C" w:rsidRPr="00D6350A" w:rsidRDefault="007A630C" w:rsidP="00904A8B">
      <w:pPr>
        <w:pStyle w:val="EndNoteBibliography"/>
        <w:rPr>
          <w:noProof/>
        </w:rPr>
      </w:pPr>
    </w:p>
    <w:p w14:paraId="55F6E69E" w14:textId="77777777" w:rsidR="007A630C" w:rsidRPr="00D6350A" w:rsidRDefault="007A630C" w:rsidP="00904A8B">
      <w:pPr>
        <w:spacing w:line="360" w:lineRule="auto"/>
        <w:textAlignment w:val="baseline"/>
      </w:pPr>
    </w:p>
    <w:p w14:paraId="7BFA1CE0" w14:textId="77777777" w:rsidR="00904A8B" w:rsidRPr="00D6350A" w:rsidRDefault="00904A8B"/>
    <w:sectPr w:rsidR="00904A8B" w:rsidRPr="00D6350A" w:rsidSect="007A630C">
      <w:pgSz w:w="16840" w:h="11900"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250A5" w16cid:durableId="204CFD59"/>
  <w16cid:commentId w16cid:paraId="236A218E" w16cid:durableId="204CFD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6BB0"/>
    <w:multiLevelType w:val="hybridMultilevel"/>
    <w:tmpl w:val="DFD20C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89B60AE"/>
    <w:multiLevelType w:val="multilevel"/>
    <w:tmpl w:val="6B56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9B4EDE"/>
    <w:multiLevelType w:val="hybridMultilevel"/>
    <w:tmpl w:val="552CEB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AC90E96"/>
    <w:multiLevelType w:val="multilevel"/>
    <w:tmpl w:val="6B56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1A6401"/>
    <w:multiLevelType w:val="multilevel"/>
    <w:tmpl w:val="8F961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630C"/>
    <w:rsid w:val="000963C1"/>
    <w:rsid w:val="000C564D"/>
    <w:rsid w:val="00146BC1"/>
    <w:rsid w:val="0014761E"/>
    <w:rsid w:val="001815BF"/>
    <w:rsid w:val="001C6FB7"/>
    <w:rsid w:val="002303F0"/>
    <w:rsid w:val="002C34F2"/>
    <w:rsid w:val="002C683E"/>
    <w:rsid w:val="002E5727"/>
    <w:rsid w:val="002F07A7"/>
    <w:rsid w:val="00307A91"/>
    <w:rsid w:val="003470C3"/>
    <w:rsid w:val="00356437"/>
    <w:rsid w:val="00380FE3"/>
    <w:rsid w:val="00387D72"/>
    <w:rsid w:val="003F147A"/>
    <w:rsid w:val="004A12EF"/>
    <w:rsid w:val="005971E9"/>
    <w:rsid w:val="005B1B49"/>
    <w:rsid w:val="005F185F"/>
    <w:rsid w:val="006137E8"/>
    <w:rsid w:val="00631415"/>
    <w:rsid w:val="006A3766"/>
    <w:rsid w:val="00710AE9"/>
    <w:rsid w:val="00732A37"/>
    <w:rsid w:val="0079238F"/>
    <w:rsid w:val="007A630C"/>
    <w:rsid w:val="007C2655"/>
    <w:rsid w:val="007D2FEF"/>
    <w:rsid w:val="00862F6E"/>
    <w:rsid w:val="00872D4F"/>
    <w:rsid w:val="008D09D8"/>
    <w:rsid w:val="008F170B"/>
    <w:rsid w:val="00904A8B"/>
    <w:rsid w:val="0091741A"/>
    <w:rsid w:val="00963EC2"/>
    <w:rsid w:val="009B2ECB"/>
    <w:rsid w:val="00A4737A"/>
    <w:rsid w:val="00A52D9D"/>
    <w:rsid w:val="00A62D7C"/>
    <w:rsid w:val="00A73F81"/>
    <w:rsid w:val="00A91D3E"/>
    <w:rsid w:val="00AA1F02"/>
    <w:rsid w:val="00AE1CCD"/>
    <w:rsid w:val="00BA60A0"/>
    <w:rsid w:val="00BE4685"/>
    <w:rsid w:val="00C42083"/>
    <w:rsid w:val="00C502CE"/>
    <w:rsid w:val="00C70B57"/>
    <w:rsid w:val="00C91EDC"/>
    <w:rsid w:val="00C92D25"/>
    <w:rsid w:val="00D6350A"/>
    <w:rsid w:val="00DB11B3"/>
    <w:rsid w:val="00DD71E2"/>
    <w:rsid w:val="00EC004E"/>
    <w:rsid w:val="00F61D40"/>
    <w:rsid w:val="00F63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7F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0C"/>
    <w:rPr>
      <w:rFonts w:ascii="Times New Roman" w:hAnsi="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3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A630C"/>
  </w:style>
  <w:style w:type="paragraph" w:styleId="BalloonText">
    <w:name w:val="Balloon Text"/>
    <w:basedOn w:val="Normal"/>
    <w:link w:val="BalloonTextChar"/>
    <w:uiPriority w:val="99"/>
    <w:semiHidden/>
    <w:unhideWhenUsed/>
    <w:rsid w:val="007A6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0C"/>
    <w:rPr>
      <w:rFonts w:ascii="Segoe UI" w:hAnsi="Segoe UI" w:cs="Segoe UI"/>
      <w:sz w:val="18"/>
      <w:szCs w:val="18"/>
      <w:lang w:val="en-US"/>
    </w:rPr>
  </w:style>
  <w:style w:type="character" w:styleId="CommentReference">
    <w:name w:val="annotation reference"/>
    <w:basedOn w:val="DefaultParagraphFont"/>
    <w:uiPriority w:val="99"/>
    <w:semiHidden/>
    <w:unhideWhenUsed/>
    <w:rsid w:val="007A630C"/>
    <w:rPr>
      <w:sz w:val="16"/>
      <w:szCs w:val="16"/>
    </w:rPr>
  </w:style>
  <w:style w:type="paragraph" w:styleId="CommentText">
    <w:name w:val="annotation text"/>
    <w:basedOn w:val="Normal"/>
    <w:link w:val="CommentTextChar"/>
    <w:uiPriority w:val="99"/>
    <w:semiHidden/>
    <w:unhideWhenUsed/>
    <w:rsid w:val="007A630C"/>
    <w:rPr>
      <w:sz w:val="20"/>
      <w:szCs w:val="20"/>
    </w:rPr>
  </w:style>
  <w:style w:type="character" w:customStyle="1" w:styleId="CommentTextChar">
    <w:name w:val="Comment Text Char"/>
    <w:basedOn w:val="DefaultParagraphFont"/>
    <w:link w:val="CommentText"/>
    <w:uiPriority w:val="99"/>
    <w:semiHidden/>
    <w:rsid w:val="007A630C"/>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A630C"/>
    <w:rPr>
      <w:b/>
      <w:bCs/>
    </w:rPr>
  </w:style>
  <w:style w:type="character" w:customStyle="1" w:styleId="CommentSubjectChar">
    <w:name w:val="Comment Subject Char"/>
    <w:basedOn w:val="CommentTextChar"/>
    <w:link w:val="CommentSubject"/>
    <w:uiPriority w:val="99"/>
    <w:semiHidden/>
    <w:rsid w:val="007A630C"/>
    <w:rPr>
      <w:rFonts w:ascii="Times New Roman" w:hAnsi="Times New Roman" w:cs="Times New Roman"/>
      <w:b/>
      <w:bCs/>
      <w:sz w:val="20"/>
      <w:szCs w:val="20"/>
      <w:lang w:val="en-US"/>
    </w:rPr>
  </w:style>
  <w:style w:type="paragraph" w:styleId="Revision">
    <w:name w:val="Revision"/>
    <w:hidden/>
    <w:uiPriority w:val="99"/>
    <w:semiHidden/>
    <w:rsid w:val="007A630C"/>
    <w:rPr>
      <w:rFonts w:ascii="Times New Roman" w:hAnsi="Times New Roman" w:cs="Times New Roman"/>
      <w:szCs w:val="22"/>
      <w:lang w:val="en-US"/>
    </w:rPr>
  </w:style>
  <w:style w:type="paragraph" w:customStyle="1" w:styleId="EndNoteBibliographyTitle">
    <w:name w:val="EndNote Bibliography Title"/>
    <w:basedOn w:val="Normal"/>
    <w:rsid w:val="007A630C"/>
    <w:pPr>
      <w:jc w:val="center"/>
    </w:pPr>
  </w:style>
  <w:style w:type="paragraph" w:customStyle="1" w:styleId="EndNoteBibliography">
    <w:name w:val="EndNote Bibliography"/>
    <w:basedOn w:val="Normal"/>
    <w:rsid w:val="007A630C"/>
  </w:style>
  <w:style w:type="character" w:styleId="Hyperlink">
    <w:name w:val="Hyperlink"/>
    <w:basedOn w:val="DefaultParagraphFont"/>
    <w:uiPriority w:val="99"/>
    <w:unhideWhenUsed/>
    <w:rsid w:val="007A6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2123</Words>
  <Characters>12105</Characters>
  <Application>Microsoft Office Word</Application>
  <DocSecurity>0</DocSecurity>
  <Lines>100</Lines>
  <Paragraphs>28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Alice Gooch</cp:lastModifiedBy>
  <cp:revision>2</cp:revision>
  <dcterms:created xsi:type="dcterms:W3CDTF">2019-05-09T10:04:00Z</dcterms:created>
  <dcterms:modified xsi:type="dcterms:W3CDTF">2019-05-09T10:04:00Z</dcterms:modified>
</cp:coreProperties>
</file>