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2345E" w14:textId="6FE511D2" w:rsidR="005A368E" w:rsidRPr="00B1222B" w:rsidRDefault="00697C2F" w:rsidP="005A368E">
      <w:pPr>
        <w:jc w:val="center"/>
        <w:rPr>
          <w:rFonts w:ascii="Arial" w:hAnsi="Arial" w:cs="Arial"/>
          <w:b/>
          <w:sz w:val="24"/>
          <w:lang w:val="en-GB"/>
        </w:rPr>
      </w:pPr>
      <w:bookmarkStart w:id="0" w:name="_GoBack"/>
      <w:r w:rsidRPr="00B1222B">
        <w:rPr>
          <w:rFonts w:ascii="Arial" w:hAnsi="Arial" w:cs="Arial"/>
          <w:b/>
          <w:sz w:val="24"/>
          <w:lang w:val="en-GB"/>
        </w:rPr>
        <w:t xml:space="preserve">Supplementary Table </w:t>
      </w:r>
      <w:r w:rsidR="00850051" w:rsidRPr="00B1222B">
        <w:rPr>
          <w:rFonts w:ascii="Arial" w:hAnsi="Arial" w:cs="Arial"/>
          <w:b/>
          <w:sz w:val="24"/>
          <w:lang w:val="en-GB"/>
        </w:rPr>
        <w:t xml:space="preserve">1 </w:t>
      </w:r>
      <w:r w:rsidR="007474AA" w:rsidRPr="00B1222B">
        <w:rPr>
          <w:rFonts w:ascii="Arial" w:hAnsi="Arial" w:cs="Arial"/>
          <w:b/>
          <w:sz w:val="24"/>
          <w:lang w:val="en-GB"/>
        </w:rPr>
        <w:t xml:space="preserve">List of Engaged Government Stakeholders </w:t>
      </w:r>
    </w:p>
    <w:tbl>
      <w:tblPr>
        <w:tblStyle w:val="PlainTable2"/>
        <w:tblW w:w="9355" w:type="dxa"/>
        <w:tblLook w:val="04A0" w:firstRow="1" w:lastRow="0" w:firstColumn="1" w:lastColumn="0" w:noHBand="0" w:noVBand="1"/>
      </w:tblPr>
      <w:tblGrid>
        <w:gridCol w:w="590"/>
        <w:gridCol w:w="5435"/>
        <w:gridCol w:w="1800"/>
        <w:gridCol w:w="1530"/>
      </w:tblGrid>
      <w:tr w:rsidR="00B1222B" w:rsidRPr="00B1222B" w14:paraId="302B9AF2" w14:textId="77777777" w:rsidTr="00D41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single" w:sz="4" w:space="0" w:color="7F7F7F" w:themeColor="text1" w:themeTint="80"/>
              <w:bottom w:val="single" w:sz="4" w:space="0" w:color="auto"/>
            </w:tcBorders>
            <w:shd w:val="clear" w:color="auto" w:fill="D0CECE" w:themeFill="background2" w:themeFillShade="E6"/>
            <w:vAlign w:val="center"/>
          </w:tcPr>
          <w:p w14:paraId="58CFAC20" w14:textId="77777777" w:rsidR="008C2C16" w:rsidRPr="00B1222B" w:rsidRDefault="00697C2F">
            <w:pPr>
              <w:rPr>
                <w:rFonts w:ascii="Arial" w:hAnsi="Arial" w:cs="Arial"/>
                <w:lang w:val="en-GB"/>
              </w:rPr>
            </w:pPr>
            <w:r w:rsidRPr="00B1222B">
              <w:rPr>
                <w:rFonts w:ascii="Arial" w:hAnsi="Arial" w:cs="Arial"/>
                <w:lang w:val="en-GB"/>
              </w:rPr>
              <w:t xml:space="preserve"> </w:t>
            </w:r>
            <w:r w:rsidR="008C2C16" w:rsidRPr="00B1222B">
              <w:rPr>
                <w:rFonts w:ascii="Arial" w:hAnsi="Arial" w:cs="Arial"/>
                <w:lang w:val="en-GB"/>
              </w:rPr>
              <w:t>No</w:t>
            </w:r>
          </w:p>
        </w:tc>
        <w:tc>
          <w:tcPr>
            <w:tcW w:w="5435" w:type="dxa"/>
            <w:tcBorders>
              <w:top w:val="single" w:sz="4" w:space="0" w:color="7F7F7F" w:themeColor="text1" w:themeTint="80"/>
              <w:bottom w:val="single" w:sz="4" w:space="0" w:color="auto"/>
            </w:tcBorders>
            <w:shd w:val="clear" w:color="auto" w:fill="D0CECE" w:themeFill="background2" w:themeFillShade="E6"/>
            <w:vAlign w:val="center"/>
          </w:tcPr>
          <w:p w14:paraId="320B2762" w14:textId="77777777" w:rsidR="008C2C16" w:rsidRPr="00B1222B" w:rsidRDefault="008C2C16">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Ministry</w:t>
            </w:r>
          </w:p>
        </w:tc>
        <w:tc>
          <w:tcPr>
            <w:tcW w:w="1800" w:type="dxa"/>
            <w:tcBorders>
              <w:top w:val="single" w:sz="4" w:space="0" w:color="7F7F7F" w:themeColor="text1" w:themeTint="80"/>
              <w:bottom w:val="single" w:sz="4" w:space="0" w:color="auto"/>
            </w:tcBorders>
            <w:shd w:val="clear" w:color="auto" w:fill="D0CECE" w:themeFill="background2" w:themeFillShade="E6"/>
            <w:vAlign w:val="center"/>
          </w:tcPr>
          <w:p w14:paraId="70F2B9AF" w14:textId="3EA4120E" w:rsidR="008C2C16" w:rsidRPr="00B1222B" w:rsidRDefault="008C2C16" w:rsidP="005A368E">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 xml:space="preserve">Data Collection and </w:t>
            </w:r>
            <w:r w:rsidR="00A34DD6" w:rsidRPr="00B1222B">
              <w:rPr>
                <w:rFonts w:ascii="Arial" w:hAnsi="Arial" w:cs="Arial"/>
                <w:lang w:val="en-GB"/>
              </w:rPr>
              <w:t>Verification</w:t>
            </w:r>
          </w:p>
        </w:tc>
        <w:tc>
          <w:tcPr>
            <w:tcW w:w="1530" w:type="dxa"/>
            <w:tcBorders>
              <w:top w:val="single" w:sz="4" w:space="0" w:color="7F7F7F" w:themeColor="text1" w:themeTint="80"/>
              <w:bottom w:val="single" w:sz="4" w:space="0" w:color="auto"/>
            </w:tcBorders>
            <w:shd w:val="clear" w:color="auto" w:fill="D0CECE" w:themeFill="background2" w:themeFillShade="E6"/>
            <w:vAlign w:val="center"/>
          </w:tcPr>
          <w:p w14:paraId="2ACA5BAC" w14:textId="77777777" w:rsidR="008C2C16" w:rsidRPr="00B1222B" w:rsidRDefault="00007ECF" w:rsidP="005A368E">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Attended Rating</w:t>
            </w:r>
            <w:r w:rsidR="008C2C16" w:rsidRPr="00B1222B">
              <w:rPr>
                <w:rFonts w:ascii="Arial" w:hAnsi="Arial" w:cs="Arial"/>
                <w:lang w:val="en-GB"/>
              </w:rPr>
              <w:t xml:space="preserve"> Workshop</w:t>
            </w:r>
          </w:p>
        </w:tc>
      </w:tr>
      <w:tr w:rsidR="00B1222B" w:rsidRPr="00B1222B" w14:paraId="5B51224B" w14:textId="77777777" w:rsidTr="00D41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single" w:sz="4" w:space="0" w:color="auto"/>
              <w:bottom w:val="nil"/>
            </w:tcBorders>
          </w:tcPr>
          <w:p w14:paraId="13E3F801" w14:textId="77777777" w:rsidR="008C2C16" w:rsidRPr="00B1222B" w:rsidRDefault="008C2C16" w:rsidP="008C2C16">
            <w:pPr>
              <w:pStyle w:val="ListParagraph"/>
              <w:numPr>
                <w:ilvl w:val="0"/>
                <w:numId w:val="2"/>
              </w:numPr>
              <w:rPr>
                <w:rFonts w:ascii="Arial" w:hAnsi="Arial" w:cs="Arial"/>
                <w:b w:val="0"/>
                <w:lang w:val="en-GB"/>
              </w:rPr>
            </w:pPr>
          </w:p>
        </w:tc>
        <w:tc>
          <w:tcPr>
            <w:tcW w:w="5435" w:type="dxa"/>
            <w:tcBorders>
              <w:top w:val="single" w:sz="4" w:space="0" w:color="auto"/>
              <w:bottom w:val="nil"/>
            </w:tcBorders>
          </w:tcPr>
          <w:p w14:paraId="2BADF9C8" w14:textId="77777777" w:rsidR="008C2C16" w:rsidRPr="00B1222B" w:rsidRDefault="008C2C16">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Ministry of Health</w:t>
            </w:r>
          </w:p>
        </w:tc>
        <w:tc>
          <w:tcPr>
            <w:tcW w:w="1800" w:type="dxa"/>
            <w:tcBorders>
              <w:top w:val="single" w:sz="4" w:space="0" w:color="auto"/>
              <w:bottom w:val="nil"/>
            </w:tcBorders>
          </w:tcPr>
          <w:p w14:paraId="4C544911" w14:textId="77777777" w:rsidR="008C2C16" w:rsidRPr="00B1222B" w:rsidRDefault="005A368E" w:rsidP="005A368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w:t>
            </w:r>
          </w:p>
        </w:tc>
        <w:tc>
          <w:tcPr>
            <w:tcW w:w="1530" w:type="dxa"/>
            <w:tcBorders>
              <w:top w:val="single" w:sz="4" w:space="0" w:color="auto"/>
              <w:bottom w:val="nil"/>
            </w:tcBorders>
          </w:tcPr>
          <w:p w14:paraId="58840217" w14:textId="77777777" w:rsidR="008C2C16" w:rsidRPr="00B1222B" w:rsidRDefault="00F56DE0" w:rsidP="005A368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5DB64B14" w14:textId="77777777" w:rsidTr="00D41F37">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529D6D57"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7C787121" w14:textId="77777777" w:rsidR="00F56DE0" w:rsidRPr="00B1222B" w:rsidRDefault="00F56DE0" w:rsidP="00F56DE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Ministry of Agriculture and Agro-based Industry</w:t>
            </w:r>
          </w:p>
        </w:tc>
        <w:tc>
          <w:tcPr>
            <w:tcW w:w="1800" w:type="dxa"/>
            <w:tcBorders>
              <w:top w:val="nil"/>
              <w:bottom w:val="nil"/>
            </w:tcBorders>
          </w:tcPr>
          <w:p w14:paraId="3398E69D"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0BD3F6F8"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0CBC6CCE" w14:textId="77777777" w:rsidTr="00D41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356B26F1"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6AC1BBDF" w14:textId="77777777" w:rsidR="00F56DE0" w:rsidRPr="00B1222B" w:rsidRDefault="00F56DE0" w:rsidP="00F56DE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Ministry of Communications and Multimedia Malaysia</w:t>
            </w:r>
          </w:p>
        </w:tc>
        <w:tc>
          <w:tcPr>
            <w:tcW w:w="1800" w:type="dxa"/>
            <w:tcBorders>
              <w:top w:val="nil"/>
              <w:bottom w:val="nil"/>
            </w:tcBorders>
          </w:tcPr>
          <w:p w14:paraId="25514F6D"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3B60D447"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362247FE" w14:textId="77777777" w:rsidTr="00D41F37">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33A6D97A"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22F1F178" w14:textId="77777777" w:rsidR="00F56DE0" w:rsidRPr="00B1222B" w:rsidRDefault="00F56DE0" w:rsidP="00F56DE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Ministry of Education</w:t>
            </w:r>
          </w:p>
        </w:tc>
        <w:tc>
          <w:tcPr>
            <w:tcW w:w="1800" w:type="dxa"/>
            <w:tcBorders>
              <w:top w:val="nil"/>
              <w:bottom w:val="nil"/>
            </w:tcBorders>
          </w:tcPr>
          <w:p w14:paraId="36C93B65"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60F87160" w14:textId="77777777" w:rsidR="00F56DE0" w:rsidRPr="00B1222B" w:rsidRDefault="00FB751E" w:rsidP="00F56DE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396E9493" w14:textId="77777777" w:rsidTr="00D41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5C30A620"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51620512" w14:textId="77777777" w:rsidR="00F56DE0" w:rsidRPr="00B1222B" w:rsidRDefault="00F56DE0" w:rsidP="00F56DE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 xml:space="preserve">Ministry of Higher </w:t>
            </w:r>
            <w:proofErr w:type="spellStart"/>
            <w:r w:rsidRPr="00B1222B">
              <w:rPr>
                <w:rFonts w:ascii="Arial" w:hAnsi="Arial" w:cs="Arial"/>
                <w:lang w:val="en-GB"/>
              </w:rPr>
              <w:t>Education</w:t>
            </w:r>
            <w:r w:rsidR="000C199F" w:rsidRPr="00B1222B">
              <w:rPr>
                <w:rFonts w:ascii="Arial" w:hAnsi="Arial" w:cs="Arial"/>
                <w:vertAlign w:val="superscript"/>
                <w:lang w:val="en-GB"/>
              </w:rPr>
              <w:t>a</w:t>
            </w:r>
            <w:proofErr w:type="spellEnd"/>
          </w:p>
        </w:tc>
        <w:tc>
          <w:tcPr>
            <w:tcW w:w="1800" w:type="dxa"/>
            <w:tcBorders>
              <w:top w:val="nil"/>
              <w:bottom w:val="nil"/>
            </w:tcBorders>
          </w:tcPr>
          <w:p w14:paraId="38696F83"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3FE7C49D"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X</w:t>
            </w:r>
          </w:p>
        </w:tc>
      </w:tr>
      <w:tr w:rsidR="00B1222B" w:rsidRPr="00B1222B" w14:paraId="2CB73CC2" w14:textId="77777777" w:rsidTr="00D41F37">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6246A790"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4B972930" w14:textId="77777777" w:rsidR="00F56DE0" w:rsidRPr="00B1222B" w:rsidRDefault="00F56DE0" w:rsidP="00F56DE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Ministry of International Trade and Industry</w:t>
            </w:r>
          </w:p>
        </w:tc>
        <w:tc>
          <w:tcPr>
            <w:tcW w:w="1800" w:type="dxa"/>
            <w:tcBorders>
              <w:top w:val="nil"/>
              <w:bottom w:val="nil"/>
            </w:tcBorders>
          </w:tcPr>
          <w:p w14:paraId="0113E32B"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72FE9C18"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47432583" w14:textId="77777777" w:rsidTr="00D41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0CA29D0C"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556F7C2C" w14:textId="77777777" w:rsidR="00F56DE0" w:rsidRPr="00B1222B" w:rsidRDefault="00F56DE0" w:rsidP="00F56DE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Ministry of Domestic Trade, Co-operatives and Consumerism</w:t>
            </w:r>
          </w:p>
        </w:tc>
        <w:tc>
          <w:tcPr>
            <w:tcW w:w="1800" w:type="dxa"/>
            <w:tcBorders>
              <w:top w:val="nil"/>
              <w:bottom w:val="nil"/>
            </w:tcBorders>
          </w:tcPr>
          <w:p w14:paraId="30FB8145"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3B9B1360"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19FD1912" w14:textId="77777777" w:rsidTr="00D41F37">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7602F20C"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6A0C9FEE" w14:textId="77777777" w:rsidR="00F56DE0" w:rsidRPr="00B1222B" w:rsidRDefault="00F56DE0" w:rsidP="00F56DE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Ministry of Plantations Industries and Commodities</w:t>
            </w:r>
          </w:p>
        </w:tc>
        <w:tc>
          <w:tcPr>
            <w:tcW w:w="1800" w:type="dxa"/>
            <w:tcBorders>
              <w:top w:val="nil"/>
              <w:bottom w:val="nil"/>
            </w:tcBorders>
          </w:tcPr>
          <w:p w14:paraId="01606B1F"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6AFA28D3"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52FE1129" w14:textId="77777777" w:rsidTr="00D41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1DB794A5"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26CE2DE6" w14:textId="77777777" w:rsidR="00F56DE0" w:rsidRPr="00B1222B" w:rsidRDefault="00F56DE0" w:rsidP="00F56DE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 xml:space="preserve">Ministry of Science, Technology and </w:t>
            </w:r>
            <w:proofErr w:type="spellStart"/>
            <w:r w:rsidRPr="00B1222B">
              <w:rPr>
                <w:rFonts w:ascii="Arial" w:hAnsi="Arial" w:cs="Arial"/>
                <w:lang w:val="en-GB"/>
              </w:rPr>
              <w:t>Innovation</w:t>
            </w:r>
            <w:r w:rsidR="000C199F" w:rsidRPr="00B1222B">
              <w:rPr>
                <w:rFonts w:ascii="Arial" w:hAnsi="Arial" w:cs="Arial"/>
                <w:vertAlign w:val="superscript"/>
                <w:lang w:val="en-GB"/>
              </w:rPr>
              <w:t>a</w:t>
            </w:r>
            <w:proofErr w:type="spellEnd"/>
          </w:p>
        </w:tc>
        <w:tc>
          <w:tcPr>
            <w:tcW w:w="1800" w:type="dxa"/>
            <w:tcBorders>
              <w:top w:val="nil"/>
              <w:bottom w:val="nil"/>
            </w:tcBorders>
          </w:tcPr>
          <w:p w14:paraId="4EC38D9F"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3F1CE806"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X</w:t>
            </w:r>
          </w:p>
        </w:tc>
      </w:tr>
      <w:tr w:rsidR="00B1222B" w:rsidRPr="00B1222B" w14:paraId="67D55A1C" w14:textId="77777777" w:rsidTr="00D41F37">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77E529B5"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2D7E0076" w14:textId="77777777" w:rsidR="00F56DE0" w:rsidRPr="00B1222B" w:rsidRDefault="00F56DE0" w:rsidP="00F56DE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 xml:space="preserve">Ministry of Urban Wellbeing, Housing and Local Government </w:t>
            </w:r>
          </w:p>
        </w:tc>
        <w:tc>
          <w:tcPr>
            <w:tcW w:w="1800" w:type="dxa"/>
            <w:tcBorders>
              <w:top w:val="nil"/>
              <w:bottom w:val="nil"/>
            </w:tcBorders>
          </w:tcPr>
          <w:p w14:paraId="55E48482"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3ABC60AB"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4637D573" w14:textId="77777777" w:rsidTr="00D41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7EEEC3C7"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28D9A0CE" w14:textId="77777777" w:rsidR="00F56DE0" w:rsidRPr="00B1222B" w:rsidRDefault="00F56DE0" w:rsidP="00F56DE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Ministry of Rural and Regional</w:t>
            </w:r>
          </w:p>
        </w:tc>
        <w:tc>
          <w:tcPr>
            <w:tcW w:w="1800" w:type="dxa"/>
            <w:tcBorders>
              <w:top w:val="nil"/>
              <w:bottom w:val="nil"/>
            </w:tcBorders>
          </w:tcPr>
          <w:p w14:paraId="3FFACDE3"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13B94925"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551011AB" w14:textId="77777777" w:rsidTr="00D41F37">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670481C7"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32F3A9CD" w14:textId="77777777" w:rsidR="00F56DE0" w:rsidRPr="00B1222B" w:rsidRDefault="00F56DE0" w:rsidP="00F56DE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 xml:space="preserve">Ministry of Women, Family and Community Development </w:t>
            </w:r>
          </w:p>
        </w:tc>
        <w:tc>
          <w:tcPr>
            <w:tcW w:w="1800" w:type="dxa"/>
            <w:tcBorders>
              <w:top w:val="nil"/>
              <w:bottom w:val="nil"/>
            </w:tcBorders>
          </w:tcPr>
          <w:p w14:paraId="48C5F6A3"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6D93AAE5"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3DF212A9" w14:textId="77777777" w:rsidTr="00D41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6482BE56"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06CCD4B1" w14:textId="77777777" w:rsidR="00F56DE0" w:rsidRPr="00B1222B" w:rsidRDefault="00F56DE0" w:rsidP="00F56DE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Ministry of Defence</w:t>
            </w:r>
          </w:p>
        </w:tc>
        <w:tc>
          <w:tcPr>
            <w:tcW w:w="1800" w:type="dxa"/>
            <w:tcBorders>
              <w:top w:val="nil"/>
              <w:bottom w:val="nil"/>
            </w:tcBorders>
          </w:tcPr>
          <w:p w14:paraId="7B084FE8"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08EE6DAC"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33FF1F1F" w14:textId="77777777" w:rsidTr="00D41F37">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0AC2B98F"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6B556675" w14:textId="77777777" w:rsidR="00F56DE0" w:rsidRPr="00B1222B" w:rsidRDefault="00F56DE0" w:rsidP="00F56DE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Prime Minister’s Department</w:t>
            </w:r>
          </w:p>
        </w:tc>
        <w:tc>
          <w:tcPr>
            <w:tcW w:w="1800" w:type="dxa"/>
            <w:tcBorders>
              <w:top w:val="nil"/>
              <w:bottom w:val="nil"/>
            </w:tcBorders>
          </w:tcPr>
          <w:p w14:paraId="46488998"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67D3660E" w14:textId="77777777" w:rsidR="00F56DE0" w:rsidRPr="00B1222B" w:rsidRDefault="00F56DE0" w:rsidP="00F56DE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w:t>
            </w:r>
          </w:p>
        </w:tc>
      </w:tr>
      <w:tr w:rsidR="00B1222B" w:rsidRPr="00B1222B" w14:paraId="0C2F2FB7" w14:textId="77777777" w:rsidTr="00087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5D59C1A6" w14:textId="77777777" w:rsidR="00F56DE0" w:rsidRPr="00B1222B" w:rsidRDefault="00F56DE0" w:rsidP="00F56DE0">
            <w:pPr>
              <w:pStyle w:val="ListParagraph"/>
              <w:numPr>
                <w:ilvl w:val="0"/>
                <w:numId w:val="2"/>
              </w:numPr>
              <w:rPr>
                <w:rFonts w:ascii="Arial" w:hAnsi="Arial" w:cs="Arial"/>
                <w:b w:val="0"/>
                <w:lang w:val="en-GB"/>
              </w:rPr>
            </w:pPr>
          </w:p>
        </w:tc>
        <w:tc>
          <w:tcPr>
            <w:tcW w:w="5435" w:type="dxa"/>
            <w:tcBorders>
              <w:top w:val="nil"/>
              <w:bottom w:val="nil"/>
            </w:tcBorders>
          </w:tcPr>
          <w:p w14:paraId="5766F1E4" w14:textId="77777777" w:rsidR="00F56DE0" w:rsidRPr="00B1222B" w:rsidRDefault="00F56DE0" w:rsidP="00F56DE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 xml:space="preserve">Department of Statistics </w:t>
            </w:r>
            <w:proofErr w:type="spellStart"/>
            <w:r w:rsidRPr="00B1222B">
              <w:rPr>
                <w:rFonts w:ascii="Arial" w:hAnsi="Arial" w:cs="Arial"/>
                <w:lang w:val="en-GB"/>
              </w:rPr>
              <w:t>Malaysia</w:t>
            </w:r>
            <w:r w:rsidR="000C199F" w:rsidRPr="00B1222B">
              <w:rPr>
                <w:rFonts w:ascii="Arial" w:hAnsi="Arial" w:cs="Arial"/>
                <w:vertAlign w:val="superscript"/>
                <w:lang w:val="en-GB"/>
              </w:rPr>
              <w:t>a</w:t>
            </w:r>
            <w:proofErr w:type="spellEnd"/>
          </w:p>
        </w:tc>
        <w:tc>
          <w:tcPr>
            <w:tcW w:w="1800" w:type="dxa"/>
            <w:tcBorders>
              <w:top w:val="nil"/>
              <w:bottom w:val="nil"/>
            </w:tcBorders>
          </w:tcPr>
          <w:p w14:paraId="235AA9F2"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nil"/>
            </w:tcBorders>
          </w:tcPr>
          <w:p w14:paraId="683674E4" w14:textId="77777777" w:rsidR="00F56DE0" w:rsidRPr="00B1222B" w:rsidRDefault="00F56DE0" w:rsidP="00F56DE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1222B">
              <w:rPr>
                <w:rFonts w:ascii="Arial" w:hAnsi="Arial" w:cs="Arial"/>
                <w:lang w:val="en-GB"/>
              </w:rPr>
              <w:t>X</w:t>
            </w:r>
          </w:p>
        </w:tc>
      </w:tr>
      <w:tr w:rsidR="00B1222B" w:rsidRPr="00B1222B" w14:paraId="6BA8C084" w14:textId="77777777" w:rsidTr="00D41F37">
        <w:tc>
          <w:tcPr>
            <w:cnfStyle w:val="001000000000" w:firstRow="0" w:lastRow="0" w:firstColumn="1" w:lastColumn="0" w:oddVBand="0" w:evenVBand="0" w:oddHBand="0" w:evenHBand="0" w:firstRowFirstColumn="0" w:firstRowLastColumn="0" w:lastRowFirstColumn="0" w:lastRowLastColumn="0"/>
            <w:tcW w:w="590" w:type="dxa"/>
            <w:tcBorders>
              <w:top w:val="nil"/>
              <w:bottom w:val="single" w:sz="4" w:space="0" w:color="auto"/>
            </w:tcBorders>
          </w:tcPr>
          <w:p w14:paraId="09462DA4" w14:textId="77777777" w:rsidR="00EF5025" w:rsidRPr="00B1222B" w:rsidRDefault="00EF5025" w:rsidP="00EF5025">
            <w:pPr>
              <w:pStyle w:val="ListParagraph"/>
              <w:numPr>
                <w:ilvl w:val="0"/>
                <w:numId w:val="2"/>
              </w:numPr>
              <w:rPr>
                <w:rFonts w:ascii="Arial" w:hAnsi="Arial" w:cs="Arial"/>
                <w:b w:val="0"/>
                <w:lang w:val="en-GB"/>
              </w:rPr>
            </w:pPr>
          </w:p>
        </w:tc>
        <w:tc>
          <w:tcPr>
            <w:tcW w:w="5435" w:type="dxa"/>
            <w:tcBorders>
              <w:top w:val="nil"/>
              <w:bottom w:val="single" w:sz="4" w:space="0" w:color="auto"/>
            </w:tcBorders>
          </w:tcPr>
          <w:p w14:paraId="64519BDB" w14:textId="77777777" w:rsidR="00EF5025" w:rsidRPr="00B1222B" w:rsidRDefault="00EF5025" w:rsidP="00EF5025">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 xml:space="preserve">Royal Malaysian Customs </w:t>
            </w:r>
            <w:proofErr w:type="spellStart"/>
            <w:r w:rsidRPr="00B1222B">
              <w:rPr>
                <w:rFonts w:ascii="Arial" w:hAnsi="Arial" w:cs="Arial"/>
                <w:lang w:val="en-GB"/>
              </w:rPr>
              <w:t>Department</w:t>
            </w:r>
            <w:r w:rsidRPr="00B1222B">
              <w:rPr>
                <w:rFonts w:ascii="Arial" w:hAnsi="Arial" w:cs="Arial"/>
                <w:vertAlign w:val="superscript"/>
                <w:lang w:val="en-GB"/>
              </w:rPr>
              <w:t>a</w:t>
            </w:r>
            <w:proofErr w:type="spellEnd"/>
          </w:p>
        </w:tc>
        <w:tc>
          <w:tcPr>
            <w:tcW w:w="1800" w:type="dxa"/>
            <w:tcBorders>
              <w:top w:val="nil"/>
              <w:bottom w:val="single" w:sz="4" w:space="0" w:color="auto"/>
            </w:tcBorders>
          </w:tcPr>
          <w:p w14:paraId="29D51200" w14:textId="77777777" w:rsidR="00EF5025" w:rsidRPr="00B1222B" w:rsidRDefault="00EF5025" w:rsidP="00EF5025">
            <w:pPr>
              <w:jc w:val="center"/>
              <w:cnfStyle w:val="000000000000" w:firstRow="0" w:lastRow="0" w:firstColumn="0" w:lastColumn="0" w:oddVBand="0" w:evenVBand="0" w:oddHBand="0" w:evenHBand="0" w:firstRowFirstColumn="0" w:firstRowLastColumn="0" w:lastRowFirstColumn="0" w:lastRowLastColumn="0"/>
              <w:rPr>
                <w:lang w:val="en-GB"/>
              </w:rPr>
            </w:pPr>
            <w:r w:rsidRPr="00B1222B">
              <w:rPr>
                <w:rFonts w:ascii="Arial" w:hAnsi="Arial" w:cs="Arial"/>
                <w:lang w:val="en-GB"/>
              </w:rPr>
              <w:t>√</w:t>
            </w:r>
          </w:p>
        </w:tc>
        <w:tc>
          <w:tcPr>
            <w:tcW w:w="1530" w:type="dxa"/>
            <w:tcBorders>
              <w:top w:val="nil"/>
              <w:bottom w:val="single" w:sz="4" w:space="0" w:color="auto"/>
            </w:tcBorders>
          </w:tcPr>
          <w:p w14:paraId="6E2063FD" w14:textId="77777777" w:rsidR="00EF5025" w:rsidRPr="00B1222B" w:rsidRDefault="00EF5025" w:rsidP="00EF502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1222B">
              <w:rPr>
                <w:rFonts w:ascii="Arial" w:hAnsi="Arial" w:cs="Arial"/>
                <w:lang w:val="en-GB"/>
              </w:rPr>
              <w:t>X</w:t>
            </w:r>
          </w:p>
        </w:tc>
      </w:tr>
    </w:tbl>
    <w:p w14:paraId="2D299909" w14:textId="442807FC" w:rsidR="00550F34" w:rsidRPr="00B1222B" w:rsidRDefault="000C199F" w:rsidP="00904568">
      <w:pPr>
        <w:spacing w:line="240" w:lineRule="auto"/>
        <w:ind w:left="142" w:hanging="142"/>
        <w:jc w:val="center"/>
        <w:rPr>
          <w:rFonts w:ascii="Arial" w:hAnsi="Arial" w:cs="Arial"/>
          <w:i/>
          <w:sz w:val="20"/>
          <w:lang w:val="en-GB"/>
        </w:rPr>
        <w:sectPr w:rsidR="00550F34" w:rsidRPr="00B1222B">
          <w:pgSz w:w="12240" w:h="15840"/>
          <w:pgMar w:top="1440" w:right="1440" w:bottom="1440" w:left="1440" w:header="720" w:footer="720" w:gutter="0"/>
          <w:cols w:space="720"/>
          <w:docGrid w:linePitch="360"/>
        </w:sectPr>
      </w:pPr>
      <w:proofErr w:type="spellStart"/>
      <w:proofErr w:type="gramStart"/>
      <w:r w:rsidRPr="00B1222B">
        <w:rPr>
          <w:rFonts w:ascii="Arial" w:hAnsi="Arial" w:cs="Arial"/>
          <w:sz w:val="20"/>
          <w:vertAlign w:val="superscript"/>
          <w:lang w:val="en-GB"/>
        </w:rPr>
        <w:t>a</w:t>
      </w:r>
      <w:r w:rsidR="007E00BB" w:rsidRPr="00B1222B">
        <w:rPr>
          <w:rFonts w:ascii="Arial" w:hAnsi="Arial" w:cs="Arial"/>
          <w:sz w:val="20"/>
          <w:lang w:val="en-GB"/>
        </w:rPr>
        <w:t>Government</w:t>
      </w:r>
      <w:proofErr w:type="spellEnd"/>
      <w:proofErr w:type="gramEnd"/>
      <w:r w:rsidR="007E00BB" w:rsidRPr="00B1222B">
        <w:rPr>
          <w:rFonts w:ascii="Arial" w:hAnsi="Arial" w:cs="Arial"/>
          <w:sz w:val="20"/>
          <w:lang w:val="en-GB"/>
        </w:rPr>
        <w:t xml:space="preserve"> stakeholders </w:t>
      </w:r>
      <w:r w:rsidR="00243D13" w:rsidRPr="00B1222B">
        <w:rPr>
          <w:rFonts w:ascii="Arial" w:hAnsi="Arial" w:cs="Arial"/>
          <w:sz w:val="20"/>
          <w:lang w:val="en-GB"/>
        </w:rPr>
        <w:t xml:space="preserve">only </w:t>
      </w:r>
      <w:r w:rsidR="007E00BB" w:rsidRPr="00B1222B">
        <w:rPr>
          <w:rFonts w:ascii="Arial" w:hAnsi="Arial" w:cs="Arial"/>
          <w:sz w:val="20"/>
          <w:lang w:val="en-GB"/>
        </w:rPr>
        <w:t>involved in data</w:t>
      </w:r>
      <w:r w:rsidR="00984D9F" w:rsidRPr="00B1222B">
        <w:rPr>
          <w:rFonts w:ascii="Arial" w:hAnsi="Arial" w:cs="Arial"/>
          <w:sz w:val="20"/>
          <w:lang w:val="en-GB"/>
        </w:rPr>
        <w:t xml:space="preserve"> contribution and</w:t>
      </w:r>
      <w:r w:rsidR="007E00BB" w:rsidRPr="00B1222B">
        <w:rPr>
          <w:rFonts w:ascii="Arial" w:hAnsi="Arial" w:cs="Arial"/>
          <w:sz w:val="20"/>
          <w:lang w:val="en-GB"/>
        </w:rPr>
        <w:t xml:space="preserve"> verification for </w:t>
      </w:r>
      <w:r w:rsidR="00BA2B7D" w:rsidRPr="00B1222B">
        <w:rPr>
          <w:rFonts w:ascii="Arial" w:hAnsi="Arial" w:cs="Arial"/>
          <w:sz w:val="20"/>
          <w:lang w:val="en-GB"/>
        </w:rPr>
        <w:t xml:space="preserve">indicators related to </w:t>
      </w:r>
      <w:r w:rsidR="007E00BB" w:rsidRPr="00B1222B">
        <w:rPr>
          <w:rFonts w:ascii="Arial" w:hAnsi="Arial" w:cs="Arial"/>
          <w:sz w:val="20"/>
          <w:lang w:val="en-GB"/>
        </w:rPr>
        <w:t>research fund</w:t>
      </w:r>
      <w:r w:rsidR="00BA2B7D" w:rsidRPr="00B1222B">
        <w:rPr>
          <w:rFonts w:ascii="Arial" w:hAnsi="Arial" w:cs="Arial"/>
          <w:sz w:val="20"/>
          <w:lang w:val="en-GB"/>
        </w:rPr>
        <w:t>s</w:t>
      </w:r>
      <w:r w:rsidR="007E00BB" w:rsidRPr="00B1222B">
        <w:rPr>
          <w:rFonts w:ascii="Arial" w:hAnsi="Arial" w:cs="Arial"/>
          <w:sz w:val="20"/>
          <w:lang w:val="en-GB"/>
        </w:rPr>
        <w:t xml:space="preserve"> and </w:t>
      </w:r>
      <w:r w:rsidR="00BA2B7D" w:rsidRPr="00B1222B">
        <w:rPr>
          <w:rFonts w:ascii="Arial" w:hAnsi="Arial" w:cs="Arial"/>
          <w:sz w:val="20"/>
          <w:lang w:val="en-GB"/>
        </w:rPr>
        <w:t>food prices (in particular consumer price index</w:t>
      </w:r>
      <w:r w:rsidR="000870A8" w:rsidRPr="00B1222B">
        <w:rPr>
          <w:rFonts w:ascii="Arial" w:hAnsi="Arial" w:cs="Arial"/>
          <w:sz w:val="20"/>
          <w:lang w:val="en-GB"/>
        </w:rPr>
        <w:t xml:space="preserve"> and taxes</w:t>
      </w:r>
      <w:r w:rsidR="00243D13" w:rsidRPr="00B1222B">
        <w:rPr>
          <w:rFonts w:ascii="Arial" w:hAnsi="Arial" w:cs="Arial"/>
          <w:sz w:val="20"/>
          <w:lang w:val="en-GB"/>
        </w:rPr>
        <w:t>)</w:t>
      </w:r>
      <w:r w:rsidR="007E00BB" w:rsidRPr="00B1222B">
        <w:rPr>
          <w:rFonts w:ascii="Arial" w:hAnsi="Arial" w:cs="Arial"/>
          <w:sz w:val="20"/>
          <w:lang w:val="en-GB"/>
        </w:rPr>
        <w:t xml:space="preserve">. </w:t>
      </w:r>
      <w:r w:rsidR="00850051" w:rsidRPr="00B1222B">
        <w:rPr>
          <w:rFonts w:ascii="Arial" w:hAnsi="Arial" w:cs="Arial"/>
          <w:b/>
          <w:sz w:val="24"/>
          <w:lang w:val="en-GB"/>
        </w:rPr>
        <w:br w:type="page"/>
      </w:r>
    </w:p>
    <w:p w14:paraId="2C95E0D6" w14:textId="49B2CC25" w:rsidR="004217EB" w:rsidRPr="00B1222B" w:rsidRDefault="004217EB" w:rsidP="00317537">
      <w:pPr>
        <w:spacing w:line="360" w:lineRule="auto"/>
        <w:jc w:val="center"/>
        <w:rPr>
          <w:rFonts w:ascii="Arial" w:hAnsi="Arial" w:cs="Arial"/>
          <w:b/>
          <w:sz w:val="24"/>
          <w:lang w:val="en-GB"/>
        </w:rPr>
      </w:pPr>
      <w:r w:rsidRPr="00B1222B">
        <w:rPr>
          <w:rFonts w:ascii="Arial" w:hAnsi="Arial" w:cs="Arial"/>
          <w:b/>
          <w:sz w:val="24"/>
          <w:lang w:val="en-GB"/>
        </w:rPr>
        <w:lastRenderedPageBreak/>
        <w:t>Supplementary Table</w:t>
      </w:r>
      <w:r w:rsidR="00AB3571" w:rsidRPr="00B1222B">
        <w:rPr>
          <w:rFonts w:ascii="Arial" w:hAnsi="Arial" w:cs="Arial"/>
          <w:b/>
          <w:sz w:val="24"/>
          <w:lang w:val="en-GB"/>
        </w:rPr>
        <w:t xml:space="preserve"> </w:t>
      </w:r>
      <w:r w:rsidR="00904568" w:rsidRPr="00B1222B">
        <w:rPr>
          <w:rFonts w:ascii="Arial" w:hAnsi="Arial" w:cs="Arial"/>
          <w:b/>
          <w:sz w:val="24"/>
          <w:lang w:val="en-GB"/>
        </w:rPr>
        <w:t>2</w:t>
      </w:r>
      <w:r w:rsidRPr="00B1222B">
        <w:rPr>
          <w:rFonts w:ascii="Arial" w:hAnsi="Arial" w:cs="Arial"/>
          <w:b/>
          <w:sz w:val="24"/>
          <w:lang w:val="en-GB"/>
        </w:rPr>
        <w:t xml:space="preserve"> Proposed Policy Actions for Prioritisation</w:t>
      </w:r>
    </w:p>
    <w:tbl>
      <w:tblPr>
        <w:tblStyle w:val="PlainTable21"/>
        <w:tblW w:w="12900" w:type="dxa"/>
        <w:jc w:val="center"/>
        <w:tblInd w:w="0" w:type="dxa"/>
        <w:tblLayout w:type="fixed"/>
        <w:tblLook w:val="04A0" w:firstRow="1" w:lastRow="0" w:firstColumn="1" w:lastColumn="0" w:noHBand="0" w:noVBand="1"/>
      </w:tblPr>
      <w:tblGrid>
        <w:gridCol w:w="709"/>
        <w:gridCol w:w="851"/>
        <w:gridCol w:w="1701"/>
        <w:gridCol w:w="1134"/>
        <w:gridCol w:w="5528"/>
        <w:gridCol w:w="1347"/>
        <w:gridCol w:w="686"/>
        <w:gridCol w:w="944"/>
      </w:tblGrid>
      <w:tr w:rsidR="00B1222B" w:rsidRPr="00B1222B" w14:paraId="750E9301" w14:textId="6ABF60EA" w:rsidTr="00D7367A">
        <w:trPr>
          <w:cnfStyle w:val="100000000000" w:firstRow="1" w:lastRow="0" w:firstColumn="0" w:lastColumn="0" w:oddVBand="0" w:evenVBand="0" w:oddHBand="0" w:evenHBand="0" w:firstRowFirstColumn="0" w:firstRowLastColumn="0" w:lastRowFirstColumn="0" w:lastRowLastColumn="0"/>
          <w:trHeight w:val="405"/>
          <w:tblHeader/>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18" w:space="0" w:color="808080" w:themeColor="background1" w:themeShade="80"/>
              <w:left w:val="nil"/>
              <w:bottom w:val="nil"/>
              <w:right w:val="nil"/>
            </w:tcBorders>
            <w:shd w:val="clear" w:color="auto" w:fill="D9D9D9" w:themeFill="background1" w:themeFillShade="D9"/>
            <w:vAlign w:val="center"/>
            <w:hideMark/>
          </w:tcPr>
          <w:p w14:paraId="0CDF36C1" w14:textId="77777777" w:rsidR="00904568" w:rsidRPr="00B1222B" w:rsidRDefault="00904568">
            <w:pPr>
              <w:jc w:val="center"/>
              <w:rPr>
                <w:rFonts w:ascii="Arial" w:hAnsi="Arial" w:cs="Arial"/>
                <w:sz w:val="16"/>
                <w:szCs w:val="20"/>
                <w:lang w:val="en-GB"/>
              </w:rPr>
            </w:pPr>
            <w:r w:rsidRPr="00B1222B">
              <w:rPr>
                <w:rFonts w:ascii="Arial" w:hAnsi="Arial" w:cs="Arial"/>
                <w:bCs w:val="0"/>
                <w:sz w:val="16"/>
                <w:szCs w:val="20"/>
                <w:lang w:val="en-GB"/>
              </w:rPr>
              <w:br w:type="page"/>
            </w:r>
            <w:r w:rsidRPr="00B1222B">
              <w:rPr>
                <w:rFonts w:ascii="Arial" w:eastAsia="Times New Roman" w:hAnsi="Arial" w:cs="Arial"/>
                <w:sz w:val="16"/>
                <w:szCs w:val="20"/>
                <w:lang w:val="en-GB"/>
              </w:rPr>
              <w:t>Pillar</w:t>
            </w:r>
          </w:p>
        </w:tc>
        <w:tc>
          <w:tcPr>
            <w:tcW w:w="851" w:type="dxa"/>
            <w:tcBorders>
              <w:top w:val="single" w:sz="18" w:space="0" w:color="808080" w:themeColor="background1" w:themeShade="80"/>
              <w:left w:val="nil"/>
              <w:bottom w:val="nil"/>
              <w:right w:val="nil"/>
            </w:tcBorders>
            <w:shd w:val="clear" w:color="auto" w:fill="D9D9D9" w:themeFill="background1" w:themeFillShade="D9"/>
            <w:vAlign w:val="center"/>
            <w:hideMark/>
          </w:tcPr>
          <w:p w14:paraId="6A4448C0" w14:textId="7D47C6BB" w:rsidR="00904568" w:rsidRPr="00B1222B" w:rsidRDefault="00904568" w:rsidP="000641D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Pillar Code</w:t>
            </w:r>
          </w:p>
        </w:tc>
        <w:tc>
          <w:tcPr>
            <w:tcW w:w="1701" w:type="dxa"/>
            <w:tcBorders>
              <w:top w:val="single" w:sz="18" w:space="0" w:color="808080" w:themeColor="background1" w:themeShade="80"/>
              <w:left w:val="nil"/>
              <w:bottom w:val="nil"/>
              <w:right w:val="nil"/>
            </w:tcBorders>
            <w:shd w:val="clear" w:color="auto" w:fill="D9D9D9" w:themeFill="background1" w:themeFillShade="D9"/>
            <w:vAlign w:val="center"/>
          </w:tcPr>
          <w:p w14:paraId="798ED00B" w14:textId="77777777" w:rsidR="000641D0" w:rsidRPr="00B1222B" w:rsidRDefault="000641D0" w:rsidP="00B725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20"/>
                <w:lang w:val="en-GB"/>
              </w:rPr>
            </w:pPr>
            <w:r w:rsidRPr="00B1222B">
              <w:rPr>
                <w:rFonts w:ascii="Arial" w:eastAsia="Times New Roman" w:hAnsi="Arial" w:cs="Arial"/>
                <w:sz w:val="16"/>
                <w:szCs w:val="20"/>
                <w:lang w:val="en-GB"/>
              </w:rPr>
              <w:t>Domain</w:t>
            </w:r>
          </w:p>
          <w:p w14:paraId="3734B9C7" w14:textId="21A6D25E" w:rsidR="00904568" w:rsidRPr="00B1222B" w:rsidRDefault="000641D0" w:rsidP="00B725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w:t>
            </w:r>
            <w:r w:rsidR="00904568" w:rsidRPr="00B1222B">
              <w:rPr>
                <w:rFonts w:ascii="Arial" w:eastAsia="Times New Roman" w:hAnsi="Arial" w:cs="Arial"/>
                <w:sz w:val="16"/>
                <w:szCs w:val="20"/>
                <w:lang w:val="en-GB"/>
              </w:rPr>
              <w:t>Corresponding indicator(s)</w:t>
            </w:r>
            <w:r w:rsidRPr="00B1222B">
              <w:rPr>
                <w:rFonts w:ascii="Arial" w:eastAsia="Times New Roman" w:hAnsi="Arial" w:cs="Arial"/>
                <w:sz w:val="16"/>
                <w:szCs w:val="20"/>
                <w:lang w:val="en-GB"/>
              </w:rPr>
              <w:t>]</w:t>
            </w:r>
          </w:p>
        </w:tc>
        <w:tc>
          <w:tcPr>
            <w:tcW w:w="1134" w:type="dxa"/>
            <w:tcBorders>
              <w:top w:val="single" w:sz="18" w:space="0" w:color="808080" w:themeColor="background1" w:themeShade="80"/>
              <w:left w:val="nil"/>
              <w:bottom w:val="nil"/>
              <w:right w:val="nil"/>
            </w:tcBorders>
            <w:shd w:val="clear" w:color="auto" w:fill="D9D9D9" w:themeFill="background1" w:themeFillShade="D9"/>
            <w:vAlign w:val="center"/>
          </w:tcPr>
          <w:p w14:paraId="7789D15E" w14:textId="02C40E2B" w:rsidR="00904568" w:rsidRPr="00B1222B" w:rsidRDefault="00904568" w:rsidP="00B725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Average Aggregated ratings</w:t>
            </w:r>
          </w:p>
        </w:tc>
        <w:tc>
          <w:tcPr>
            <w:tcW w:w="5528" w:type="dxa"/>
            <w:tcBorders>
              <w:top w:val="single" w:sz="18" w:space="0" w:color="808080" w:themeColor="background1" w:themeShade="80"/>
              <w:left w:val="nil"/>
              <w:bottom w:val="nil"/>
              <w:right w:val="nil"/>
            </w:tcBorders>
            <w:shd w:val="clear" w:color="auto" w:fill="D9D9D9" w:themeFill="background1" w:themeFillShade="D9"/>
            <w:vAlign w:val="center"/>
            <w:hideMark/>
          </w:tcPr>
          <w:p w14:paraId="58A7E842" w14:textId="49770F11" w:rsidR="00904568" w:rsidRPr="00B1222B" w:rsidRDefault="0090456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Proposed Policy Action</w:t>
            </w:r>
          </w:p>
        </w:tc>
        <w:tc>
          <w:tcPr>
            <w:tcW w:w="1347" w:type="dxa"/>
            <w:tcBorders>
              <w:top w:val="single" w:sz="18" w:space="0" w:color="808080" w:themeColor="background1" w:themeShade="80"/>
              <w:left w:val="nil"/>
              <w:bottom w:val="nil"/>
              <w:right w:val="nil"/>
            </w:tcBorders>
            <w:shd w:val="clear" w:color="auto" w:fill="D9D9D9" w:themeFill="background1" w:themeFillShade="D9"/>
            <w:vAlign w:val="center"/>
            <w:hideMark/>
          </w:tcPr>
          <w:p w14:paraId="3C860524" w14:textId="56FD6261" w:rsidR="00904568" w:rsidRPr="00B1222B" w:rsidRDefault="0090456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n-GB"/>
              </w:rPr>
            </w:pPr>
            <w:r w:rsidRPr="00B1222B">
              <w:rPr>
                <w:rFonts w:ascii="Arial" w:eastAsia="Times New Roman" w:hAnsi="Arial" w:cs="Arial"/>
                <w:bCs w:val="0"/>
                <w:sz w:val="16"/>
                <w:szCs w:val="16"/>
                <w:lang w:val="en-GB"/>
              </w:rPr>
              <w:t xml:space="preserve">Prioritisation Point </w:t>
            </w:r>
          </w:p>
          <w:p w14:paraId="7C8015C2" w14:textId="77777777" w:rsidR="00904568" w:rsidRPr="00B1222B" w:rsidRDefault="0090456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n-GB"/>
              </w:rPr>
            </w:pPr>
            <w:r w:rsidRPr="00B1222B">
              <w:rPr>
                <w:rFonts w:ascii="Arial" w:eastAsia="Times New Roman" w:hAnsi="Arial" w:cs="Arial"/>
                <w:bCs w:val="0"/>
                <w:sz w:val="16"/>
                <w:szCs w:val="16"/>
                <w:lang w:val="en-GB"/>
              </w:rPr>
              <w:t>(%overall)</w:t>
            </w:r>
          </w:p>
        </w:tc>
        <w:tc>
          <w:tcPr>
            <w:tcW w:w="686" w:type="dxa"/>
            <w:tcBorders>
              <w:top w:val="single" w:sz="18" w:space="0" w:color="808080" w:themeColor="background1" w:themeShade="80"/>
              <w:left w:val="nil"/>
              <w:bottom w:val="nil"/>
              <w:right w:val="nil"/>
            </w:tcBorders>
            <w:shd w:val="clear" w:color="auto" w:fill="D9D9D9" w:themeFill="background1" w:themeFillShade="D9"/>
            <w:vAlign w:val="center"/>
            <w:hideMark/>
          </w:tcPr>
          <w:p w14:paraId="58CFB1F4" w14:textId="3370ADB5" w:rsidR="00904568" w:rsidRPr="00B1222B" w:rsidRDefault="0090456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16"/>
                <w:szCs w:val="16"/>
                <w:lang w:val="en-GB"/>
              </w:rPr>
            </w:pPr>
            <w:r w:rsidRPr="00B1222B">
              <w:rPr>
                <w:rFonts w:ascii="Arial" w:eastAsia="Times New Roman" w:hAnsi="Arial" w:cs="Arial"/>
                <w:sz w:val="16"/>
                <w:szCs w:val="16"/>
                <w:lang w:val="en-GB"/>
              </w:rPr>
              <w:t>Rank based on pillar</w:t>
            </w:r>
          </w:p>
        </w:tc>
        <w:tc>
          <w:tcPr>
            <w:tcW w:w="944" w:type="dxa"/>
            <w:tcBorders>
              <w:top w:val="single" w:sz="18" w:space="0" w:color="808080" w:themeColor="background1" w:themeShade="80"/>
              <w:left w:val="nil"/>
              <w:right w:val="nil"/>
            </w:tcBorders>
            <w:shd w:val="clear" w:color="auto" w:fill="D9D9D9" w:themeFill="background1" w:themeFillShade="D9"/>
            <w:vAlign w:val="center"/>
            <w:hideMark/>
          </w:tcPr>
          <w:p w14:paraId="32EACEDC" w14:textId="77777777" w:rsidR="00904568" w:rsidRPr="00B1222B" w:rsidRDefault="0090456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n-GB"/>
              </w:rPr>
            </w:pPr>
            <w:r w:rsidRPr="00B1222B">
              <w:rPr>
                <w:rFonts w:ascii="Arial" w:eastAsia="Times New Roman" w:hAnsi="Arial" w:cs="Arial"/>
                <w:bCs w:val="0"/>
                <w:sz w:val="16"/>
                <w:szCs w:val="16"/>
                <w:lang w:val="en-GB"/>
              </w:rPr>
              <w:t>Overall Rank</w:t>
            </w:r>
          </w:p>
        </w:tc>
      </w:tr>
      <w:tr w:rsidR="00B1222B" w:rsidRPr="00B1222B" w14:paraId="26DF045A" w14:textId="55CC51F7" w:rsidTr="00D7367A">
        <w:trPr>
          <w:cnfStyle w:val="000000100000" w:firstRow="0" w:lastRow="0" w:firstColumn="0" w:lastColumn="0" w:oddVBand="0" w:evenVBand="0" w:oddHBand="1"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8" w:space="0" w:color="808080" w:themeColor="background1" w:themeShade="80"/>
              <w:left w:val="nil"/>
              <w:bottom w:val="single" w:sz="18" w:space="0" w:color="808080" w:themeColor="background1" w:themeShade="80"/>
              <w:right w:val="nil"/>
            </w:tcBorders>
            <w:textDirection w:val="btLr"/>
            <w:hideMark/>
          </w:tcPr>
          <w:p w14:paraId="4B2A7956" w14:textId="25F34CD4" w:rsidR="00904568" w:rsidRPr="00B1222B" w:rsidRDefault="00904568" w:rsidP="00AF6593">
            <w:pPr>
              <w:ind w:left="113" w:right="113"/>
              <w:jc w:val="center"/>
              <w:rPr>
                <w:rFonts w:ascii="Arial" w:eastAsia="Times New Roman" w:hAnsi="Arial" w:cs="Arial"/>
                <w:bCs w:val="0"/>
                <w:sz w:val="16"/>
                <w:szCs w:val="20"/>
                <w:lang w:val="en-GB"/>
              </w:rPr>
            </w:pPr>
            <w:r w:rsidRPr="00B1222B">
              <w:rPr>
                <w:rFonts w:ascii="Arial" w:eastAsia="Times New Roman" w:hAnsi="Arial" w:cs="Arial"/>
                <w:b w:val="0"/>
                <w:sz w:val="16"/>
                <w:szCs w:val="20"/>
                <w:lang w:val="en-GB"/>
              </w:rPr>
              <w:t>First Pillar – Prioritise Policy</w:t>
            </w:r>
            <w:r w:rsidR="000641D0" w:rsidRPr="00B1222B">
              <w:rPr>
                <w:rFonts w:ascii="Arial" w:eastAsia="Times New Roman" w:hAnsi="Arial" w:cs="Arial"/>
                <w:b w:val="0"/>
                <w:sz w:val="16"/>
                <w:szCs w:val="20"/>
                <w:lang w:val="en-GB"/>
              </w:rPr>
              <w:t xml:space="preserve">" </w:t>
            </w:r>
            <w:r w:rsidRPr="00B1222B">
              <w:rPr>
                <w:rFonts w:ascii="Arial" w:eastAsia="Times New Roman" w:hAnsi="Arial" w:cs="Arial"/>
                <w:b w:val="0"/>
                <w:sz w:val="16"/>
                <w:szCs w:val="20"/>
                <w:lang w:val="en-GB"/>
              </w:rPr>
              <w:t>(PP)</w:t>
            </w:r>
          </w:p>
        </w:tc>
        <w:tc>
          <w:tcPr>
            <w:tcW w:w="851" w:type="dxa"/>
            <w:tcBorders>
              <w:top w:val="single" w:sz="18" w:space="0" w:color="808080" w:themeColor="background1" w:themeShade="80"/>
              <w:left w:val="nil"/>
              <w:right w:val="nil"/>
            </w:tcBorders>
            <w:vAlign w:val="center"/>
            <w:hideMark/>
          </w:tcPr>
          <w:p w14:paraId="377DA857" w14:textId="5580C66A"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PP1</w:t>
            </w:r>
          </w:p>
        </w:tc>
        <w:tc>
          <w:tcPr>
            <w:tcW w:w="1701" w:type="dxa"/>
            <w:tcBorders>
              <w:top w:val="single" w:sz="18" w:space="0" w:color="808080" w:themeColor="background1" w:themeShade="80"/>
              <w:left w:val="nil"/>
              <w:right w:val="nil"/>
            </w:tcBorders>
            <w:vAlign w:val="center"/>
          </w:tcPr>
          <w:p w14:paraId="1B84C1FB" w14:textId="3603A99D"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Promotion (Indicator 9)</w:t>
            </w:r>
          </w:p>
        </w:tc>
        <w:tc>
          <w:tcPr>
            <w:tcW w:w="1134" w:type="dxa"/>
            <w:tcBorders>
              <w:top w:val="single" w:sz="18" w:space="0" w:color="808080" w:themeColor="background1" w:themeShade="80"/>
              <w:left w:val="nil"/>
              <w:right w:val="nil"/>
            </w:tcBorders>
            <w:vAlign w:val="center"/>
          </w:tcPr>
          <w:p w14:paraId="0435B42C" w14:textId="458EB0E5"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30.8</w:t>
            </w:r>
          </w:p>
        </w:tc>
        <w:tc>
          <w:tcPr>
            <w:tcW w:w="5528" w:type="dxa"/>
            <w:tcBorders>
              <w:top w:val="single" w:sz="18" w:space="0" w:color="808080" w:themeColor="background1" w:themeShade="80"/>
              <w:left w:val="nil"/>
              <w:right w:val="nil"/>
            </w:tcBorders>
            <w:hideMark/>
          </w:tcPr>
          <w:p w14:paraId="1BAC7C15" w14:textId="7777777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enact a policy to restrict unhealthy food and beverage marketing (including sponsored education, sports and cultural activities) in children’s settings.</w:t>
            </w:r>
          </w:p>
          <w:p w14:paraId="6AAFF21C" w14:textId="248BA101"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top w:val="single" w:sz="18" w:space="0" w:color="808080" w:themeColor="background1" w:themeShade="80"/>
              <w:left w:val="nil"/>
              <w:right w:val="nil"/>
            </w:tcBorders>
            <w:shd w:val="clear" w:color="auto" w:fill="D9D9D9" w:themeFill="background1" w:themeFillShade="D9"/>
            <w:vAlign w:val="center"/>
            <w:hideMark/>
          </w:tcPr>
          <w:p w14:paraId="7AE81A93"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280 (3.6)</w:t>
            </w:r>
          </w:p>
        </w:tc>
        <w:tc>
          <w:tcPr>
            <w:tcW w:w="686" w:type="dxa"/>
            <w:tcBorders>
              <w:top w:val="single" w:sz="18" w:space="0" w:color="808080" w:themeColor="background1" w:themeShade="80"/>
              <w:left w:val="nil"/>
              <w:right w:val="nil"/>
            </w:tcBorders>
            <w:shd w:val="clear" w:color="auto" w:fill="D9D9D9" w:themeFill="background1" w:themeFillShade="D9"/>
            <w:vAlign w:val="center"/>
            <w:hideMark/>
          </w:tcPr>
          <w:p w14:paraId="355063A7"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w:t>
            </w:r>
          </w:p>
        </w:tc>
        <w:tc>
          <w:tcPr>
            <w:tcW w:w="944" w:type="dxa"/>
            <w:tcBorders>
              <w:top w:val="single" w:sz="18" w:space="0" w:color="808080" w:themeColor="background1" w:themeShade="80"/>
              <w:left w:val="nil"/>
              <w:right w:val="nil"/>
            </w:tcBorders>
            <w:shd w:val="clear" w:color="auto" w:fill="D9D9D9" w:themeFill="background1" w:themeFillShade="D9"/>
            <w:vAlign w:val="center"/>
            <w:hideMark/>
          </w:tcPr>
          <w:p w14:paraId="680BC705"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w:t>
            </w:r>
          </w:p>
        </w:tc>
      </w:tr>
      <w:tr w:rsidR="00B1222B" w:rsidRPr="00B1222B" w14:paraId="2E030F3F" w14:textId="07241644" w:rsidTr="00D7367A">
        <w:trPr>
          <w:trHeight w:val="179"/>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54B6BBFF" w14:textId="77777777" w:rsidR="00904568" w:rsidRPr="00B1222B" w:rsidRDefault="00904568" w:rsidP="00AF6593">
            <w:pPr>
              <w:rPr>
                <w:rFonts w:ascii="Arial" w:eastAsia="Times New Roman" w:hAnsi="Arial" w:cs="Arial"/>
                <w:sz w:val="16"/>
                <w:szCs w:val="20"/>
                <w:lang w:val="en-GB"/>
              </w:rPr>
            </w:pPr>
          </w:p>
        </w:tc>
        <w:tc>
          <w:tcPr>
            <w:tcW w:w="851" w:type="dxa"/>
            <w:tcBorders>
              <w:top w:val="single" w:sz="4" w:space="0" w:color="7F7F7F" w:themeColor="text1" w:themeTint="80"/>
              <w:left w:val="nil"/>
              <w:bottom w:val="single" w:sz="4" w:space="0" w:color="808080" w:themeColor="background1" w:themeShade="80"/>
              <w:right w:val="nil"/>
            </w:tcBorders>
            <w:vAlign w:val="center"/>
            <w:hideMark/>
          </w:tcPr>
          <w:p w14:paraId="01571489" w14:textId="1197AD4C"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PP2</w:t>
            </w:r>
          </w:p>
        </w:tc>
        <w:tc>
          <w:tcPr>
            <w:tcW w:w="1701" w:type="dxa"/>
            <w:tcBorders>
              <w:top w:val="single" w:sz="4" w:space="0" w:color="7F7F7F" w:themeColor="text1" w:themeTint="80"/>
              <w:left w:val="nil"/>
              <w:bottom w:val="single" w:sz="4" w:space="0" w:color="808080" w:themeColor="background1" w:themeShade="80"/>
              <w:right w:val="nil"/>
            </w:tcBorders>
            <w:vAlign w:val="center"/>
          </w:tcPr>
          <w:p w14:paraId="15A0490C" w14:textId="0E251843"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Promotion (Indicator 7)</w:t>
            </w:r>
          </w:p>
        </w:tc>
        <w:tc>
          <w:tcPr>
            <w:tcW w:w="1134" w:type="dxa"/>
            <w:tcBorders>
              <w:top w:val="single" w:sz="4" w:space="0" w:color="7F7F7F" w:themeColor="text1" w:themeTint="80"/>
              <w:left w:val="nil"/>
              <w:bottom w:val="single" w:sz="4" w:space="0" w:color="808080" w:themeColor="background1" w:themeShade="80"/>
              <w:right w:val="nil"/>
            </w:tcBorders>
            <w:vAlign w:val="center"/>
          </w:tcPr>
          <w:p w14:paraId="0C9C2733" w14:textId="4020785D"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33.8</w:t>
            </w:r>
          </w:p>
        </w:tc>
        <w:tc>
          <w:tcPr>
            <w:tcW w:w="5528" w:type="dxa"/>
            <w:tcBorders>
              <w:top w:val="single" w:sz="4" w:space="0" w:color="7F7F7F" w:themeColor="text1" w:themeTint="80"/>
              <w:left w:val="nil"/>
              <w:bottom w:val="single" w:sz="4" w:space="0" w:color="808080" w:themeColor="background1" w:themeShade="80"/>
              <w:right w:val="nil"/>
            </w:tcBorders>
            <w:hideMark/>
          </w:tcPr>
          <w:p w14:paraId="605E0A57" w14:textId="77777777"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create regulations to restrict the exposure and power of broadcast promotions for unhealthy food and beverages to children.</w:t>
            </w:r>
          </w:p>
          <w:p w14:paraId="04BB78A8" w14:textId="4320E781"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tc>
        <w:tc>
          <w:tcPr>
            <w:tcW w:w="1347" w:type="dxa"/>
            <w:tcBorders>
              <w:top w:val="single" w:sz="4" w:space="0" w:color="7F7F7F" w:themeColor="text1" w:themeTint="80"/>
              <w:left w:val="nil"/>
              <w:bottom w:val="single" w:sz="4" w:space="0" w:color="808080" w:themeColor="background1" w:themeShade="80"/>
              <w:right w:val="nil"/>
            </w:tcBorders>
            <w:shd w:val="clear" w:color="auto" w:fill="D9D9D9" w:themeFill="background1" w:themeFillShade="D9"/>
            <w:vAlign w:val="center"/>
            <w:hideMark/>
          </w:tcPr>
          <w:p w14:paraId="271070F1"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279 (3.6)</w:t>
            </w:r>
          </w:p>
        </w:tc>
        <w:tc>
          <w:tcPr>
            <w:tcW w:w="686" w:type="dxa"/>
            <w:tcBorders>
              <w:top w:val="single" w:sz="4" w:space="0" w:color="7F7F7F" w:themeColor="text1" w:themeTint="80"/>
              <w:left w:val="nil"/>
              <w:bottom w:val="single" w:sz="4" w:space="0" w:color="808080" w:themeColor="background1" w:themeShade="80"/>
              <w:right w:val="nil"/>
            </w:tcBorders>
            <w:shd w:val="clear" w:color="auto" w:fill="D9D9D9" w:themeFill="background1" w:themeFillShade="D9"/>
            <w:vAlign w:val="center"/>
            <w:hideMark/>
          </w:tcPr>
          <w:p w14:paraId="3CC99D75"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w:t>
            </w:r>
          </w:p>
        </w:tc>
        <w:tc>
          <w:tcPr>
            <w:tcW w:w="944" w:type="dxa"/>
            <w:tcBorders>
              <w:top w:val="single" w:sz="4" w:space="0" w:color="7F7F7F" w:themeColor="text1" w:themeTint="80"/>
              <w:left w:val="nil"/>
              <w:bottom w:val="single" w:sz="4" w:space="0" w:color="808080" w:themeColor="background1" w:themeShade="80"/>
              <w:right w:val="nil"/>
            </w:tcBorders>
            <w:shd w:val="clear" w:color="auto" w:fill="D9D9D9" w:themeFill="background1" w:themeFillShade="D9"/>
            <w:vAlign w:val="center"/>
            <w:hideMark/>
          </w:tcPr>
          <w:p w14:paraId="1DAA6C22"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w:t>
            </w:r>
          </w:p>
        </w:tc>
      </w:tr>
      <w:tr w:rsidR="00B1222B" w:rsidRPr="00B1222B" w14:paraId="74AA1D2E" w14:textId="0367FE06" w:rsidTr="00D7367A">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466CB4E2" w14:textId="77777777" w:rsidR="00904568" w:rsidRPr="00B1222B" w:rsidRDefault="00904568" w:rsidP="00AF6593">
            <w:pPr>
              <w:rPr>
                <w:rFonts w:ascii="Arial" w:eastAsia="Times New Roman" w:hAnsi="Arial" w:cs="Arial"/>
                <w:sz w:val="16"/>
                <w:szCs w:val="20"/>
                <w:lang w:val="en-GB"/>
              </w:rPr>
            </w:pPr>
          </w:p>
        </w:tc>
        <w:tc>
          <w:tcPr>
            <w:tcW w:w="851" w:type="dxa"/>
            <w:tcBorders>
              <w:top w:val="single" w:sz="4" w:space="0" w:color="808080" w:themeColor="background1" w:themeShade="80"/>
              <w:left w:val="nil"/>
              <w:right w:val="nil"/>
            </w:tcBorders>
            <w:vAlign w:val="center"/>
            <w:hideMark/>
          </w:tcPr>
          <w:p w14:paraId="53642980" w14:textId="15DDC3F9"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PP3</w:t>
            </w:r>
          </w:p>
        </w:tc>
        <w:tc>
          <w:tcPr>
            <w:tcW w:w="1701" w:type="dxa"/>
            <w:tcBorders>
              <w:top w:val="single" w:sz="4" w:space="0" w:color="808080" w:themeColor="background1" w:themeShade="80"/>
              <w:left w:val="nil"/>
              <w:right w:val="nil"/>
            </w:tcBorders>
            <w:vAlign w:val="center"/>
          </w:tcPr>
          <w:p w14:paraId="5DB8DB09" w14:textId="38B66034"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Labelling (Indicator 6)</w:t>
            </w:r>
          </w:p>
        </w:tc>
        <w:tc>
          <w:tcPr>
            <w:tcW w:w="1134" w:type="dxa"/>
            <w:tcBorders>
              <w:top w:val="single" w:sz="4" w:space="0" w:color="808080" w:themeColor="background1" w:themeShade="80"/>
              <w:left w:val="nil"/>
              <w:right w:val="nil"/>
            </w:tcBorders>
            <w:vAlign w:val="center"/>
          </w:tcPr>
          <w:p w14:paraId="40B83A16" w14:textId="47956B41"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44.2</w:t>
            </w:r>
          </w:p>
        </w:tc>
        <w:tc>
          <w:tcPr>
            <w:tcW w:w="5528" w:type="dxa"/>
            <w:tcBorders>
              <w:top w:val="single" w:sz="4" w:space="0" w:color="808080" w:themeColor="background1" w:themeShade="80"/>
              <w:left w:val="nil"/>
              <w:right w:val="nil"/>
            </w:tcBorders>
            <w:hideMark/>
          </w:tcPr>
          <w:p w14:paraId="5B99D39D" w14:textId="7777777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 xml:space="preserve">The government should require all chain fast food outlets (&gt;20 outlets nationally) to display calorie labelling on menu boards and promotes their use in other food outlets (e.g. </w:t>
            </w:r>
            <w:r w:rsidRPr="00B1222B">
              <w:rPr>
                <w:rFonts w:ascii="Arial" w:eastAsia="Times New Roman" w:hAnsi="Arial" w:cs="Arial"/>
                <w:i/>
                <w:sz w:val="16"/>
                <w:szCs w:val="20"/>
                <w:lang w:val="en-GB"/>
              </w:rPr>
              <w:t>mamak</w:t>
            </w:r>
            <w:r w:rsidRPr="00B1222B">
              <w:rPr>
                <w:rFonts w:ascii="Arial" w:eastAsia="Times New Roman" w:hAnsi="Arial" w:cs="Arial"/>
                <w:sz w:val="16"/>
                <w:szCs w:val="20"/>
                <w:lang w:val="en-GB"/>
              </w:rPr>
              <w:t xml:space="preserve"> stalls).</w:t>
            </w:r>
          </w:p>
          <w:p w14:paraId="449906D1" w14:textId="12BF9A94"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top w:val="single" w:sz="4" w:space="0" w:color="808080" w:themeColor="background1" w:themeShade="80"/>
              <w:left w:val="nil"/>
              <w:right w:val="nil"/>
            </w:tcBorders>
            <w:shd w:val="clear" w:color="auto" w:fill="D9D9D9" w:themeFill="background1" w:themeFillShade="D9"/>
            <w:vAlign w:val="center"/>
            <w:hideMark/>
          </w:tcPr>
          <w:p w14:paraId="3DA7484F"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267 (3.5)</w:t>
            </w:r>
          </w:p>
        </w:tc>
        <w:tc>
          <w:tcPr>
            <w:tcW w:w="686" w:type="dxa"/>
            <w:tcBorders>
              <w:top w:val="single" w:sz="4" w:space="0" w:color="808080" w:themeColor="background1" w:themeShade="80"/>
              <w:left w:val="nil"/>
              <w:right w:val="nil"/>
            </w:tcBorders>
            <w:shd w:val="clear" w:color="auto" w:fill="D9D9D9" w:themeFill="background1" w:themeFillShade="D9"/>
            <w:vAlign w:val="center"/>
            <w:hideMark/>
          </w:tcPr>
          <w:p w14:paraId="558DC402"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3</w:t>
            </w:r>
          </w:p>
        </w:tc>
        <w:tc>
          <w:tcPr>
            <w:tcW w:w="944" w:type="dxa"/>
            <w:tcBorders>
              <w:top w:val="single" w:sz="4" w:space="0" w:color="808080" w:themeColor="background1" w:themeShade="80"/>
              <w:left w:val="nil"/>
              <w:right w:val="nil"/>
            </w:tcBorders>
            <w:shd w:val="clear" w:color="auto" w:fill="D9D9D9" w:themeFill="background1" w:themeFillShade="D9"/>
            <w:vAlign w:val="center"/>
            <w:hideMark/>
          </w:tcPr>
          <w:p w14:paraId="3AA55B3E"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5</w:t>
            </w:r>
          </w:p>
        </w:tc>
      </w:tr>
      <w:tr w:rsidR="00B1222B" w:rsidRPr="00B1222B" w14:paraId="3A331580" w14:textId="6772134A" w:rsidTr="00D7367A">
        <w:trPr>
          <w:trHeight w:val="261"/>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3D2E6EBD" w14:textId="77777777"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395B1A68" w14:textId="5317BAE9"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PP4</w:t>
            </w:r>
          </w:p>
        </w:tc>
        <w:tc>
          <w:tcPr>
            <w:tcW w:w="1701" w:type="dxa"/>
            <w:tcBorders>
              <w:top w:val="nil"/>
              <w:left w:val="nil"/>
              <w:bottom w:val="nil"/>
              <w:right w:val="nil"/>
            </w:tcBorders>
            <w:vAlign w:val="center"/>
          </w:tcPr>
          <w:p w14:paraId="7F98BE19" w14:textId="4A407793"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Composition (Indicator 1)</w:t>
            </w:r>
          </w:p>
        </w:tc>
        <w:tc>
          <w:tcPr>
            <w:tcW w:w="1134" w:type="dxa"/>
            <w:tcBorders>
              <w:top w:val="nil"/>
              <w:left w:val="nil"/>
              <w:bottom w:val="nil"/>
              <w:right w:val="nil"/>
            </w:tcBorders>
            <w:vAlign w:val="center"/>
          </w:tcPr>
          <w:p w14:paraId="6C9E5377" w14:textId="26382FE0"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43.1</w:t>
            </w:r>
          </w:p>
        </w:tc>
        <w:tc>
          <w:tcPr>
            <w:tcW w:w="5528" w:type="dxa"/>
            <w:tcBorders>
              <w:top w:val="nil"/>
              <w:left w:val="nil"/>
              <w:bottom w:val="nil"/>
              <w:right w:val="nil"/>
            </w:tcBorders>
            <w:hideMark/>
          </w:tcPr>
          <w:p w14:paraId="7710E823" w14:textId="769927F2"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set sodium targets for selected food groups.</w:t>
            </w:r>
          </w:p>
        </w:tc>
        <w:tc>
          <w:tcPr>
            <w:tcW w:w="1347" w:type="dxa"/>
            <w:tcBorders>
              <w:top w:val="nil"/>
              <w:left w:val="nil"/>
              <w:bottom w:val="nil"/>
              <w:right w:val="nil"/>
            </w:tcBorders>
            <w:shd w:val="clear" w:color="auto" w:fill="D9D9D9" w:themeFill="background1" w:themeFillShade="D9"/>
            <w:vAlign w:val="center"/>
            <w:hideMark/>
          </w:tcPr>
          <w:p w14:paraId="5EA6772E"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266 (3.5)</w:t>
            </w:r>
          </w:p>
        </w:tc>
        <w:tc>
          <w:tcPr>
            <w:tcW w:w="686" w:type="dxa"/>
            <w:tcBorders>
              <w:top w:val="nil"/>
              <w:left w:val="nil"/>
              <w:bottom w:val="nil"/>
              <w:right w:val="nil"/>
            </w:tcBorders>
            <w:shd w:val="clear" w:color="auto" w:fill="D9D9D9" w:themeFill="background1" w:themeFillShade="D9"/>
            <w:vAlign w:val="center"/>
            <w:hideMark/>
          </w:tcPr>
          <w:p w14:paraId="33371247"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4</w:t>
            </w:r>
          </w:p>
        </w:tc>
        <w:tc>
          <w:tcPr>
            <w:tcW w:w="944" w:type="dxa"/>
            <w:tcBorders>
              <w:top w:val="nil"/>
              <w:left w:val="nil"/>
              <w:bottom w:val="nil"/>
              <w:right w:val="nil"/>
            </w:tcBorders>
            <w:shd w:val="clear" w:color="auto" w:fill="D9D9D9" w:themeFill="background1" w:themeFillShade="D9"/>
            <w:vAlign w:val="center"/>
            <w:hideMark/>
          </w:tcPr>
          <w:p w14:paraId="62C4FD37"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6</w:t>
            </w:r>
          </w:p>
        </w:tc>
      </w:tr>
      <w:tr w:rsidR="00B1222B" w:rsidRPr="00B1222B" w14:paraId="55469269" w14:textId="21823E4F" w:rsidTr="00D7367A">
        <w:trPr>
          <w:cnfStyle w:val="000000100000" w:firstRow="0" w:lastRow="0" w:firstColumn="0" w:lastColumn="0" w:oddVBand="0" w:evenVBand="0" w:oddHBand="1" w:evenHBand="0" w:firstRowFirstColumn="0" w:firstRowLastColumn="0" w:lastRowFirstColumn="0" w:lastRowLastColumn="0"/>
          <w:trHeight w:val="28"/>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54CCA644" w14:textId="77777777"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4A136594" w14:textId="35458A8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PP5</w:t>
            </w:r>
          </w:p>
        </w:tc>
        <w:tc>
          <w:tcPr>
            <w:tcW w:w="1701" w:type="dxa"/>
            <w:tcBorders>
              <w:left w:val="nil"/>
              <w:right w:val="nil"/>
            </w:tcBorders>
            <w:vAlign w:val="center"/>
          </w:tcPr>
          <w:p w14:paraId="464617C2"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Food Prices </w:t>
            </w:r>
          </w:p>
          <w:p w14:paraId="22E545D2" w14:textId="550BF1BF"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11)</w:t>
            </w:r>
          </w:p>
        </w:tc>
        <w:tc>
          <w:tcPr>
            <w:tcW w:w="1134" w:type="dxa"/>
            <w:tcBorders>
              <w:left w:val="nil"/>
              <w:right w:val="nil"/>
            </w:tcBorders>
            <w:vAlign w:val="center"/>
          </w:tcPr>
          <w:p w14:paraId="202C0F98" w14:textId="690EDEE8"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35.4</w:t>
            </w:r>
          </w:p>
        </w:tc>
        <w:tc>
          <w:tcPr>
            <w:tcW w:w="5528" w:type="dxa"/>
            <w:tcBorders>
              <w:left w:val="nil"/>
              <w:right w:val="nil"/>
            </w:tcBorders>
            <w:hideMark/>
          </w:tcPr>
          <w:p w14:paraId="4B324002" w14:textId="7777777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introduce taxes on sugary drinks with the funding raised applied to promoting healthy diets for children.</w:t>
            </w:r>
          </w:p>
          <w:p w14:paraId="652CC7AA" w14:textId="3758228D"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left w:val="nil"/>
              <w:right w:val="nil"/>
            </w:tcBorders>
            <w:shd w:val="clear" w:color="auto" w:fill="D9D9D9" w:themeFill="background1" w:themeFillShade="D9"/>
            <w:vAlign w:val="center"/>
            <w:hideMark/>
          </w:tcPr>
          <w:p w14:paraId="01F4A9FD"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256 (3.3)</w:t>
            </w:r>
          </w:p>
        </w:tc>
        <w:tc>
          <w:tcPr>
            <w:tcW w:w="686" w:type="dxa"/>
            <w:tcBorders>
              <w:left w:val="nil"/>
              <w:right w:val="nil"/>
            </w:tcBorders>
            <w:shd w:val="clear" w:color="auto" w:fill="D9D9D9" w:themeFill="background1" w:themeFillShade="D9"/>
            <w:vAlign w:val="center"/>
            <w:hideMark/>
          </w:tcPr>
          <w:p w14:paraId="222A1199"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5</w:t>
            </w:r>
          </w:p>
        </w:tc>
        <w:tc>
          <w:tcPr>
            <w:tcW w:w="944" w:type="dxa"/>
            <w:tcBorders>
              <w:left w:val="nil"/>
              <w:right w:val="nil"/>
            </w:tcBorders>
            <w:shd w:val="clear" w:color="auto" w:fill="D9D9D9" w:themeFill="background1" w:themeFillShade="D9"/>
            <w:vAlign w:val="center"/>
            <w:hideMark/>
          </w:tcPr>
          <w:p w14:paraId="42F1E763"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12</w:t>
            </w:r>
          </w:p>
        </w:tc>
      </w:tr>
      <w:tr w:rsidR="00B1222B" w:rsidRPr="00B1222B" w14:paraId="1EEB34D0" w14:textId="512ED842" w:rsidTr="00D7367A">
        <w:trPr>
          <w:trHeight w:val="359"/>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0F6BB0FF" w14:textId="77777777"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3171DADD" w14:textId="271B95B7"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PP6</w:t>
            </w:r>
          </w:p>
        </w:tc>
        <w:tc>
          <w:tcPr>
            <w:tcW w:w="1701" w:type="dxa"/>
            <w:tcBorders>
              <w:top w:val="nil"/>
              <w:left w:val="nil"/>
              <w:bottom w:val="nil"/>
              <w:right w:val="nil"/>
            </w:tcBorders>
            <w:vAlign w:val="center"/>
          </w:tcPr>
          <w:p w14:paraId="2D891D01" w14:textId="7A8A4DEF"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Labelling (Indicator 4)</w:t>
            </w:r>
          </w:p>
        </w:tc>
        <w:tc>
          <w:tcPr>
            <w:tcW w:w="1134" w:type="dxa"/>
            <w:tcBorders>
              <w:top w:val="nil"/>
              <w:left w:val="nil"/>
              <w:bottom w:val="nil"/>
              <w:right w:val="nil"/>
            </w:tcBorders>
            <w:vAlign w:val="center"/>
          </w:tcPr>
          <w:p w14:paraId="362AB354" w14:textId="26DCB9FE"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55.8</w:t>
            </w:r>
          </w:p>
        </w:tc>
        <w:tc>
          <w:tcPr>
            <w:tcW w:w="5528" w:type="dxa"/>
            <w:tcBorders>
              <w:top w:val="nil"/>
              <w:left w:val="nil"/>
              <w:bottom w:val="nil"/>
              <w:right w:val="nil"/>
            </w:tcBorders>
            <w:hideMark/>
          </w:tcPr>
          <w:p w14:paraId="44CBEB29" w14:textId="77777777"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create an additional nutrient profiling criterion making nutrient claims to ensure unhealthy foods high in fat, sugar and salt are not permitted to make nutrient claims.</w:t>
            </w:r>
          </w:p>
          <w:p w14:paraId="77E61AE9" w14:textId="61CE5CD3"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tc>
        <w:tc>
          <w:tcPr>
            <w:tcW w:w="1347" w:type="dxa"/>
            <w:tcBorders>
              <w:top w:val="nil"/>
              <w:left w:val="nil"/>
              <w:bottom w:val="nil"/>
              <w:right w:val="nil"/>
            </w:tcBorders>
            <w:shd w:val="clear" w:color="auto" w:fill="D9D9D9" w:themeFill="background1" w:themeFillShade="D9"/>
            <w:vAlign w:val="center"/>
            <w:hideMark/>
          </w:tcPr>
          <w:p w14:paraId="51A3598D"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224 (2.9)</w:t>
            </w:r>
          </w:p>
        </w:tc>
        <w:tc>
          <w:tcPr>
            <w:tcW w:w="686" w:type="dxa"/>
            <w:tcBorders>
              <w:top w:val="nil"/>
              <w:left w:val="nil"/>
              <w:bottom w:val="nil"/>
              <w:right w:val="nil"/>
            </w:tcBorders>
            <w:shd w:val="clear" w:color="auto" w:fill="D9D9D9" w:themeFill="background1" w:themeFillShade="D9"/>
            <w:vAlign w:val="center"/>
            <w:hideMark/>
          </w:tcPr>
          <w:p w14:paraId="02AF4846"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6</w:t>
            </w:r>
          </w:p>
        </w:tc>
        <w:tc>
          <w:tcPr>
            <w:tcW w:w="944" w:type="dxa"/>
            <w:tcBorders>
              <w:top w:val="nil"/>
              <w:left w:val="nil"/>
              <w:bottom w:val="nil"/>
              <w:right w:val="nil"/>
            </w:tcBorders>
            <w:shd w:val="clear" w:color="auto" w:fill="D9D9D9" w:themeFill="background1" w:themeFillShade="D9"/>
            <w:vAlign w:val="center"/>
            <w:hideMark/>
          </w:tcPr>
          <w:p w14:paraId="197454F0"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24</w:t>
            </w:r>
          </w:p>
        </w:tc>
      </w:tr>
      <w:tr w:rsidR="00B1222B" w:rsidRPr="00B1222B" w14:paraId="2A894A77" w14:textId="50DB80A5" w:rsidTr="00D7367A">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4055CDD4" w14:textId="77777777"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36C615AF" w14:textId="573DD40E"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PP7</w:t>
            </w:r>
          </w:p>
        </w:tc>
        <w:tc>
          <w:tcPr>
            <w:tcW w:w="1701" w:type="dxa"/>
            <w:tcBorders>
              <w:left w:val="nil"/>
              <w:right w:val="nil"/>
            </w:tcBorders>
            <w:vAlign w:val="center"/>
          </w:tcPr>
          <w:p w14:paraId="7B6B3B39" w14:textId="7CD81BF6"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Labelling (Indicator 5)</w:t>
            </w:r>
          </w:p>
        </w:tc>
        <w:tc>
          <w:tcPr>
            <w:tcW w:w="1134" w:type="dxa"/>
            <w:tcBorders>
              <w:left w:val="nil"/>
              <w:right w:val="nil"/>
            </w:tcBorders>
            <w:vAlign w:val="center"/>
          </w:tcPr>
          <w:p w14:paraId="52AEA65D" w14:textId="09B5B2A4"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47.7</w:t>
            </w:r>
          </w:p>
        </w:tc>
        <w:tc>
          <w:tcPr>
            <w:tcW w:w="5528" w:type="dxa"/>
            <w:tcBorders>
              <w:left w:val="nil"/>
              <w:right w:val="nil"/>
            </w:tcBorders>
            <w:hideMark/>
          </w:tcPr>
          <w:p w14:paraId="2818CA13" w14:textId="7777777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set robust criteria to be implemented in stages for nutrients of concern for interpretive front of pack label systems for processed foods (including those manufactured by small and medium enterprises (SMEs).</w:t>
            </w:r>
          </w:p>
          <w:p w14:paraId="683AA1FB" w14:textId="5E095BEF"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left w:val="nil"/>
              <w:right w:val="nil"/>
            </w:tcBorders>
            <w:shd w:val="clear" w:color="auto" w:fill="D9D9D9" w:themeFill="background1" w:themeFillShade="D9"/>
            <w:vAlign w:val="center"/>
            <w:hideMark/>
          </w:tcPr>
          <w:p w14:paraId="2C64F7FF"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216 (2.8)</w:t>
            </w:r>
          </w:p>
        </w:tc>
        <w:tc>
          <w:tcPr>
            <w:tcW w:w="686" w:type="dxa"/>
            <w:tcBorders>
              <w:left w:val="nil"/>
              <w:right w:val="nil"/>
            </w:tcBorders>
            <w:shd w:val="clear" w:color="auto" w:fill="D9D9D9" w:themeFill="background1" w:themeFillShade="D9"/>
            <w:vAlign w:val="center"/>
            <w:hideMark/>
          </w:tcPr>
          <w:p w14:paraId="388AB4FF"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7</w:t>
            </w:r>
          </w:p>
        </w:tc>
        <w:tc>
          <w:tcPr>
            <w:tcW w:w="944" w:type="dxa"/>
            <w:tcBorders>
              <w:left w:val="nil"/>
              <w:right w:val="nil"/>
            </w:tcBorders>
            <w:shd w:val="clear" w:color="auto" w:fill="D9D9D9" w:themeFill="background1" w:themeFillShade="D9"/>
            <w:vAlign w:val="center"/>
            <w:hideMark/>
          </w:tcPr>
          <w:p w14:paraId="3C4E7FCA"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27</w:t>
            </w:r>
          </w:p>
        </w:tc>
      </w:tr>
      <w:tr w:rsidR="00B1222B" w:rsidRPr="00B1222B" w14:paraId="3ACBA832" w14:textId="1632A90E" w:rsidTr="00D7367A">
        <w:trPr>
          <w:trHeight w:val="359"/>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6FFA8827" w14:textId="77777777"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79462099" w14:textId="2E7648E5"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PP8</w:t>
            </w:r>
          </w:p>
        </w:tc>
        <w:tc>
          <w:tcPr>
            <w:tcW w:w="1701" w:type="dxa"/>
            <w:tcBorders>
              <w:top w:val="nil"/>
              <w:left w:val="nil"/>
              <w:bottom w:val="nil"/>
              <w:right w:val="nil"/>
            </w:tcBorders>
            <w:vAlign w:val="center"/>
          </w:tcPr>
          <w:p w14:paraId="490B0CD4"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Food Retail </w:t>
            </w:r>
          </w:p>
          <w:p w14:paraId="39A9F1F0" w14:textId="0A0A527C"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21)</w:t>
            </w:r>
          </w:p>
        </w:tc>
        <w:tc>
          <w:tcPr>
            <w:tcW w:w="1134" w:type="dxa"/>
            <w:tcBorders>
              <w:top w:val="nil"/>
              <w:left w:val="nil"/>
              <w:bottom w:val="nil"/>
              <w:right w:val="nil"/>
            </w:tcBorders>
            <w:vAlign w:val="center"/>
          </w:tcPr>
          <w:p w14:paraId="222AD4E5" w14:textId="151656A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43.1</w:t>
            </w:r>
          </w:p>
        </w:tc>
        <w:tc>
          <w:tcPr>
            <w:tcW w:w="5528" w:type="dxa"/>
            <w:tcBorders>
              <w:top w:val="nil"/>
              <w:left w:val="nil"/>
              <w:bottom w:val="nil"/>
              <w:right w:val="nil"/>
            </w:tcBorders>
            <w:hideMark/>
          </w:tcPr>
          <w:p w14:paraId="40636B68" w14:textId="77777777"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 xml:space="preserve">The government should strengthen the nutrition components of the </w:t>
            </w:r>
            <w:proofErr w:type="spellStart"/>
            <w:r w:rsidRPr="00B1222B">
              <w:rPr>
                <w:rFonts w:ascii="Arial" w:eastAsia="Times New Roman" w:hAnsi="Arial" w:cs="Arial"/>
                <w:sz w:val="16"/>
                <w:szCs w:val="20"/>
                <w:lang w:val="en-GB"/>
              </w:rPr>
              <w:t>BeSS</w:t>
            </w:r>
            <w:proofErr w:type="spellEnd"/>
            <w:r w:rsidRPr="00B1222B">
              <w:rPr>
                <w:rFonts w:ascii="Arial" w:eastAsia="Times New Roman" w:hAnsi="Arial" w:cs="Arial"/>
                <w:sz w:val="16"/>
                <w:szCs w:val="20"/>
                <w:lang w:val="en-GB"/>
              </w:rPr>
              <w:t xml:space="preserve"> programme and considers providing reductions in renewal of license fees for active participants.</w:t>
            </w:r>
          </w:p>
          <w:p w14:paraId="125D8519" w14:textId="5A0D041B"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tc>
        <w:tc>
          <w:tcPr>
            <w:tcW w:w="1347" w:type="dxa"/>
            <w:tcBorders>
              <w:top w:val="nil"/>
              <w:left w:val="nil"/>
              <w:bottom w:val="nil"/>
              <w:right w:val="nil"/>
            </w:tcBorders>
            <w:shd w:val="clear" w:color="auto" w:fill="D9D9D9" w:themeFill="background1" w:themeFillShade="D9"/>
            <w:vAlign w:val="center"/>
            <w:hideMark/>
          </w:tcPr>
          <w:p w14:paraId="28C7B8C5"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190 (2.5)</w:t>
            </w:r>
          </w:p>
        </w:tc>
        <w:tc>
          <w:tcPr>
            <w:tcW w:w="686" w:type="dxa"/>
            <w:tcBorders>
              <w:top w:val="nil"/>
              <w:left w:val="nil"/>
              <w:bottom w:val="nil"/>
              <w:right w:val="nil"/>
            </w:tcBorders>
            <w:shd w:val="clear" w:color="auto" w:fill="D9D9D9" w:themeFill="background1" w:themeFillShade="D9"/>
            <w:vAlign w:val="center"/>
            <w:hideMark/>
          </w:tcPr>
          <w:p w14:paraId="1108293F"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8</w:t>
            </w:r>
          </w:p>
        </w:tc>
        <w:tc>
          <w:tcPr>
            <w:tcW w:w="944" w:type="dxa"/>
            <w:tcBorders>
              <w:top w:val="nil"/>
              <w:left w:val="nil"/>
              <w:bottom w:val="nil"/>
              <w:right w:val="nil"/>
            </w:tcBorders>
            <w:shd w:val="clear" w:color="auto" w:fill="D9D9D9" w:themeFill="background1" w:themeFillShade="D9"/>
            <w:vAlign w:val="center"/>
            <w:hideMark/>
          </w:tcPr>
          <w:p w14:paraId="01231AE6"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31</w:t>
            </w:r>
          </w:p>
        </w:tc>
      </w:tr>
      <w:tr w:rsidR="00B1222B" w:rsidRPr="00B1222B" w14:paraId="4357294A" w14:textId="0DFCEB7D" w:rsidTr="00D7367A">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32005A50" w14:textId="77777777" w:rsidR="00904568" w:rsidRPr="00B1222B" w:rsidRDefault="00904568" w:rsidP="00AF6593">
            <w:pPr>
              <w:rPr>
                <w:rFonts w:ascii="Arial" w:eastAsia="Times New Roman" w:hAnsi="Arial" w:cs="Arial"/>
                <w:sz w:val="16"/>
                <w:szCs w:val="20"/>
                <w:lang w:val="en-GB"/>
              </w:rPr>
            </w:pPr>
          </w:p>
        </w:tc>
        <w:tc>
          <w:tcPr>
            <w:tcW w:w="851" w:type="dxa"/>
            <w:tcBorders>
              <w:left w:val="nil"/>
              <w:bottom w:val="single" w:sz="18" w:space="0" w:color="808080" w:themeColor="background1" w:themeShade="80"/>
              <w:right w:val="nil"/>
            </w:tcBorders>
            <w:vAlign w:val="center"/>
            <w:hideMark/>
          </w:tcPr>
          <w:p w14:paraId="52956D54" w14:textId="1C34D66D"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PP9</w:t>
            </w:r>
          </w:p>
        </w:tc>
        <w:tc>
          <w:tcPr>
            <w:tcW w:w="1701" w:type="dxa"/>
            <w:tcBorders>
              <w:left w:val="nil"/>
              <w:bottom w:val="single" w:sz="18" w:space="0" w:color="808080" w:themeColor="background1" w:themeShade="80"/>
              <w:right w:val="nil"/>
            </w:tcBorders>
            <w:vAlign w:val="center"/>
          </w:tcPr>
          <w:p w14:paraId="0F459666"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Food Trade &amp; Investments </w:t>
            </w:r>
          </w:p>
          <w:p w14:paraId="47396391" w14:textId="47F7FA2E"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22)</w:t>
            </w:r>
          </w:p>
        </w:tc>
        <w:tc>
          <w:tcPr>
            <w:tcW w:w="1134" w:type="dxa"/>
            <w:tcBorders>
              <w:left w:val="nil"/>
              <w:bottom w:val="single" w:sz="18" w:space="0" w:color="808080" w:themeColor="background1" w:themeShade="80"/>
              <w:right w:val="nil"/>
            </w:tcBorders>
            <w:vAlign w:val="center"/>
          </w:tcPr>
          <w:p w14:paraId="17F98BA0" w14:textId="4A3914C8"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36.2</w:t>
            </w:r>
          </w:p>
        </w:tc>
        <w:tc>
          <w:tcPr>
            <w:tcW w:w="5528" w:type="dxa"/>
            <w:tcBorders>
              <w:left w:val="nil"/>
              <w:bottom w:val="single" w:sz="18" w:space="0" w:color="808080" w:themeColor="background1" w:themeShade="80"/>
              <w:right w:val="nil"/>
            </w:tcBorders>
            <w:hideMark/>
          </w:tcPr>
          <w:p w14:paraId="750F864B" w14:textId="7777777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identify opportunities to strengthen the health impact component (specifically nutrition) of the National Impact Assessment, improve domestic regulations by applying nutrition standards or through health certification control the import of non-nutritious foods in order to minimize the negative impact of trade agreements on population nutrition and health.</w:t>
            </w:r>
          </w:p>
          <w:p w14:paraId="54F9311B" w14:textId="7777777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p w14:paraId="32F01268" w14:textId="7777777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p w14:paraId="4990072E" w14:textId="76DDB830"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left w:val="nil"/>
              <w:bottom w:val="single" w:sz="18" w:space="0" w:color="808080" w:themeColor="background1" w:themeShade="80"/>
              <w:right w:val="nil"/>
            </w:tcBorders>
            <w:shd w:val="clear" w:color="auto" w:fill="D9D9D9" w:themeFill="background1" w:themeFillShade="D9"/>
            <w:vAlign w:val="center"/>
            <w:hideMark/>
          </w:tcPr>
          <w:p w14:paraId="35705D7B"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182 (2.4)</w:t>
            </w:r>
          </w:p>
        </w:tc>
        <w:tc>
          <w:tcPr>
            <w:tcW w:w="686" w:type="dxa"/>
            <w:tcBorders>
              <w:left w:val="nil"/>
              <w:bottom w:val="single" w:sz="18" w:space="0" w:color="808080" w:themeColor="background1" w:themeShade="80"/>
              <w:right w:val="nil"/>
            </w:tcBorders>
            <w:shd w:val="clear" w:color="auto" w:fill="D9D9D9" w:themeFill="background1" w:themeFillShade="D9"/>
            <w:vAlign w:val="center"/>
            <w:hideMark/>
          </w:tcPr>
          <w:p w14:paraId="32BF157F"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9</w:t>
            </w:r>
          </w:p>
        </w:tc>
        <w:tc>
          <w:tcPr>
            <w:tcW w:w="944" w:type="dxa"/>
            <w:tcBorders>
              <w:left w:val="nil"/>
              <w:bottom w:val="single" w:sz="18" w:space="0" w:color="808080" w:themeColor="background1" w:themeShade="80"/>
              <w:right w:val="nil"/>
            </w:tcBorders>
            <w:shd w:val="clear" w:color="auto" w:fill="D9D9D9" w:themeFill="background1" w:themeFillShade="D9"/>
            <w:vAlign w:val="center"/>
            <w:hideMark/>
          </w:tcPr>
          <w:p w14:paraId="67A86C7F"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32</w:t>
            </w:r>
          </w:p>
        </w:tc>
      </w:tr>
      <w:tr w:rsidR="00B1222B" w:rsidRPr="00B1222B" w14:paraId="0418F68E" w14:textId="289CDF2D" w:rsidTr="00D7367A">
        <w:trPr>
          <w:trHeight w:val="629"/>
          <w:jc w:val="cent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8" w:space="0" w:color="808080" w:themeColor="background1" w:themeShade="80"/>
              <w:left w:val="nil"/>
              <w:right w:val="nil"/>
            </w:tcBorders>
            <w:textDirection w:val="btLr"/>
            <w:hideMark/>
          </w:tcPr>
          <w:p w14:paraId="0F91D258" w14:textId="56174C70" w:rsidR="00904568" w:rsidRPr="00B1222B" w:rsidRDefault="00904568" w:rsidP="00AF6593">
            <w:pPr>
              <w:ind w:left="113" w:right="113"/>
              <w:jc w:val="center"/>
              <w:rPr>
                <w:rFonts w:ascii="Arial" w:eastAsia="Times New Roman" w:hAnsi="Arial" w:cs="Arial"/>
                <w:b w:val="0"/>
                <w:sz w:val="16"/>
                <w:szCs w:val="20"/>
                <w:lang w:val="en-GB"/>
              </w:rPr>
            </w:pPr>
            <w:r w:rsidRPr="00B1222B">
              <w:rPr>
                <w:rFonts w:ascii="Arial" w:eastAsia="Times New Roman" w:hAnsi="Arial" w:cs="Arial"/>
                <w:b w:val="0"/>
                <w:sz w:val="16"/>
                <w:szCs w:val="20"/>
                <w:lang w:val="en-GB"/>
              </w:rPr>
              <w:lastRenderedPageBreak/>
              <w:t>Second Pillar –  "Prioritise Infrastructure</w:t>
            </w:r>
            <w:r w:rsidR="006E4D72" w:rsidRPr="00B1222B">
              <w:rPr>
                <w:rFonts w:ascii="Arial" w:eastAsia="Times New Roman" w:hAnsi="Arial" w:cs="Arial"/>
                <w:b w:val="0"/>
                <w:sz w:val="16"/>
                <w:szCs w:val="20"/>
                <w:lang w:val="en-GB"/>
              </w:rPr>
              <w:t xml:space="preserve">" </w:t>
            </w:r>
            <w:r w:rsidRPr="00B1222B">
              <w:rPr>
                <w:rFonts w:ascii="Arial" w:eastAsia="Times New Roman" w:hAnsi="Arial" w:cs="Arial"/>
                <w:b w:val="0"/>
                <w:sz w:val="16"/>
                <w:szCs w:val="20"/>
                <w:lang w:val="en-GB"/>
              </w:rPr>
              <w:t>(PI)</w:t>
            </w:r>
          </w:p>
          <w:p w14:paraId="01D7DDF8" w14:textId="683F3AEE" w:rsidR="00904568" w:rsidRPr="00B1222B" w:rsidRDefault="00904568" w:rsidP="00AF6593">
            <w:pPr>
              <w:rPr>
                <w:rFonts w:ascii="Arial" w:eastAsia="Times New Roman" w:hAnsi="Arial" w:cs="Arial"/>
                <w:bCs w:val="0"/>
                <w:sz w:val="16"/>
                <w:szCs w:val="20"/>
                <w:lang w:val="en-GB"/>
              </w:rPr>
            </w:pPr>
            <w:r w:rsidRPr="00B1222B">
              <w:rPr>
                <w:b w:val="0"/>
                <w:bCs w:val="0"/>
              </w:rPr>
              <w:br w:type="page"/>
            </w:r>
            <w:r w:rsidRPr="00B1222B">
              <w:rPr>
                <w:b w:val="0"/>
                <w:bCs w:val="0"/>
              </w:rPr>
              <w:br w:type="page"/>
            </w:r>
          </w:p>
        </w:tc>
        <w:tc>
          <w:tcPr>
            <w:tcW w:w="851" w:type="dxa"/>
            <w:tcBorders>
              <w:top w:val="single" w:sz="18" w:space="0" w:color="808080" w:themeColor="background1" w:themeShade="80"/>
              <w:left w:val="nil"/>
              <w:bottom w:val="nil"/>
              <w:right w:val="nil"/>
            </w:tcBorders>
            <w:vAlign w:val="center"/>
            <w:hideMark/>
          </w:tcPr>
          <w:p w14:paraId="516B1DA7" w14:textId="43157E28"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PI1</w:t>
            </w:r>
          </w:p>
        </w:tc>
        <w:tc>
          <w:tcPr>
            <w:tcW w:w="1701" w:type="dxa"/>
            <w:tcBorders>
              <w:top w:val="single" w:sz="18" w:space="0" w:color="808080" w:themeColor="background1" w:themeShade="80"/>
              <w:left w:val="nil"/>
              <w:bottom w:val="nil"/>
              <w:right w:val="nil"/>
            </w:tcBorders>
            <w:vAlign w:val="center"/>
          </w:tcPr>
          <w:p w14:paraId="6795AEEF"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Funding &amp; Resources </w:t>
            </w:r>
          </w:p>
          <w:p w14:paraId="42661AC0" w14:textId="76279540"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40)</w:t>
            </w:r>
          </w:p>
        </w:tc>
        <w:tc>
          <w:tcPr>
            <w:tcW w:w="1134" w:type="dxa"/>
            <w:tcBorders>
              <w:top w:val="single" w:sz="18" w:space="0" w:color="808080" w:themeColor="background1" w:themeShade="80"/>
              <w:left w:val="nil"/>
              <w:bottom w:val="nil"/>
              <w:right w:val="nil"/>
            </w:tcBorders>
            <w:vAlign w:val="center"/>
          </w:tcPr>
          <w:p w14:paraId="305DD754" w14:textId="2C324F04"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38.1</w:t>
            </w:r>
          </w:p>
        </w:tc>
        <w:tc>
          <w:tcPr>
            <w:tcW w:w="5528" w:type="dxa"/>
            <w:tcBorders>
              <w:top w:val="single" w:sz="18" w:space="0" w:color="808080" w:themeColor="background1" w:themeShade="80"/>
              <w:left w:val="nil"/>
              <w:bottom w:val="nil"/>
              <w:right w:val="nil"/>
            </w:tcBorders>
            <w:hideMark/>
          </w:tcPr>
          <w:p w14:paraId="155D701B" w14:textId="5B6E451A"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continue to designate the reduction in obesity and diet-related NCDs and their inequalities as a priority area for research in a coordinated way across its research funding mechanisms by different agencies.</w:t>
            </w:r>
          </w:p>
        </w:tc>
        <w:tc>
          <w:tcPr>
            <w:tcW w:w="1347" w:type="dxa"/>
            <w:tcBorders>
              <w:top w:val="single" w:sz="18" w:space="0" w:color="808080" w:themeColor="background1" w:themeShade="80"/>
              <w:left w:val="nil"/>
              <w:bottom w:val="nil"/>
              <w:right w:val="nil"/>
            </w:tcBorders>
            <w:shd w:val="clear" w:color="auto" w:fill="D9D9D9" w:themeFill="background1" w:themeFillShade="D9"/>
            <w:vAlign w:val="center"/>
            <w:hideMark/>
          </w:tcPr>
          <w:p w14:paraId="3CA27D85"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274 (3.6)</w:t>
            </w:r>
          </w:p>
        </w:tc>
        <w:tc>
          <w:tcPr>
            <w:tcW w:w="686" w:type="dxa"/>
            <w:tcBorders>
              <w:top w:val="single" w:sz="18" w:space="0" w:color="808080" w:themeColor="background1" w:themeShade="80"/>
              <w:left w:val="nil"/>
              <w:bottom w:val="nil"/>
              <w:right w:val="nil"/>
            </w:tcBorders>
            <w:shd w:val="clear" w:color="auto" w:fill="D9D9D9" w:themeFill="background1" w:themeFillShade="D9"/>
            <w:vAlign w:val="center"/>
            <w:hideMark/>
          </w:tcPr>
          <w:p w14:paraId="40B63C9F"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w:t>
            </w:r>
          </w:p>
        </w:tc>
        <w:tc>
          <w:tcPr>
            <w:tcW w:w="944" w:type="dxa"/>
            <w:tcBorders>
              <w:top w:val="single" w:sz="18" w:space="0" w:color="808080" w:themeColor="background1" w:themeShade="80"/>
              <w:left w:val="nil"/>
              <w:bottom w:val="nil"/>
              <w:right w:val="nil"/>
            </w:tcBorders>
            <w:shd w:val="clear" w:color="auto" w:fill="D9D9D9" w:themeFill="background1" w:themeFillShade="D9"/>
            <w:vAlign w:val="center"/>
            <w:hideMark/>
          </w:tcPr>
          <w:p w14:paraId="2A40696B"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4</w:t>
            </w:r>
          </w:p>
        </w:tc>
      </w:tr>
      <w:tr w:rsidR="00B1222B" w:rsidRPr="00B1222B" w14:paraId="455C29D1" w14:textId="6A96BFE3" w:rsidTr="00D7367A">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4CB76067" w14:textId="68A15048"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31FA3FD0" w14:textId="41F7439B"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PI2</w:t>
            </w:r>
          </w:p>
        </w:tc>
        <w:tc>
          <w:tcPr>
            <w:tcW w:w="1701" w:type="dxa"/>
            <w:tcBorders>
              <w:left w:val="nil"/>
              <w:right w:val="nil"/>
            </w:tcBorders>
            <w:vAlign w:val="center"/>
          </w:tcPr>
          <w:p w14:paraId="62D2680D"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Monitoring &amp; Intelligence </w:t>
            </w:r>
          </w:p>
          <w:p w14:paraId="113B53E4" w14:textId="7BA778CE"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35)</w:t>
            </w:r>
          </w:p>
        </w:tc>
        <w:tc>
          <w:tcPr>
            <w:tcW w:w="1134" w:type="dxa"/>
            <w:tcBorders>
              <w:left w:val="nil"/>
              <w:right w:val="nil"/>
            </w:tcBorders>
            <w:vAlign w:val="center"/>
          </w:tcPr>
          <w:p w14:paraId="6394DCE9" w14:textId="350E31DF"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53.8</w:t>
            </w:r>
          </w:p>
        </w:tc>
        <w:tc>
          <w:tcPr>
            <w:tcW w:w="5528" w:type="dxa"/>
            <w:tcBorders>
              <w:left w:val="nil"/>
              <w:right w:val="nil"/>
            </w:tcBorders>
            <w:hideMark/>
          </w:tcPr>
          <w:p w14:paraId="686ED3B8" w14:textId="1B1A860A"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 xml:space="preserve">The government should optimise usage of the existing system (e.g. collating and analysing the National Physical Fitness Standard - SEGAK data for children aged 10-17 years old) by ensuring appropriate feedback to parents and school management, strengthen referral mechanism for identified cases to the nearest health clinic as well as provide the follow-up of these cases. </w:t>
            </w:r>
          </w:p>
        </w:tc>
        <w:tc>
          <w:tcPr>
            <w:tcW w:w="1347" w:type="dxa"/>
            <w:tcBorders>
              <w:left w:val="nil"/>
              <w:right w:val="nil"/>
            </w:tcBorders>
            <w:shd w:val="clear" w:color="auto" w:fill="D9D9D9" w:themeFill="background1" w:themeFillShade="D9"/>
            <w:vAlign w:val="center"/>
            <w:hideMark/>
          </w:tcPr>
          <w:p w14:paraId="7EBD2CC8"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265 (3.5)</w:t>
            </w:r>
          </w:p>
        </w:tc>
        <w:tc>
          <w:tcPr>
            <w:tcW w:w="686" w:type="dxa"/>
            <w:tcBorders>
              <w:left w:val="nil"/>
              <w:right w:val="nil"/>
            </w:tcBorders>
            <w:shd w:val="clear" w:color="auto" w:fill="D9D9D9" w:themeFill="background1" w:themeFillShade="D9"/>
            <w:vAlign w:val="center"/>
            <w:hideMark/>
          </w:tcPr>
          <w:p w14:paraId="3A6BE6EC"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w:t>
            </w:r>
          </w:p>
        </w:tc>
        <w:tc>
          <w:tcPr>
            <w:tcW w:w="944" w:type="dxa"/>
            <w:tcBorders>
              <w:left w:val="nil"/>
              <w:right w:val="nil"/>
            </w:tcBorders>
            <w:shd w:val="clear" w:color="auto" w:fill="D9D9D9" w:themeFill="background1" w:themeFillShade="D9"/>
            <w:vAlign w:val="center"/>
            <w:hideMark/>
          </w:tcPr>
          <w:p w14:paraId="5886C5B9"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7*</w:t>
            </w:r>
          </w:p>
        </w:tc>
      </w:tr>
      <w:tr w:rsidR="00B1222B" w:rsidRPr="00B1222B" w14:paraId="69273BEF" w14:textId="7248DBC1" w:rsidTr="00D7367A">
        <w:trPr>
          <w:trHeight w:val="386"/>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7BBD0812" w14:textId="0190C15C"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1DEB8FE1" w14:textId="1BC64716"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PI3</w:t>
            </w:r>
          </w:p>
        </w:tc>
        <w:tc>
          <w:tcPr>
            <w:tcW w:w="1701" w:type="dxa"/>
            <w:tcBorders>
              <w:top w:val="nil"/>
              <w:left w:val="nil"/>
              <w:bottom w:val="nil"/>
              <w:right w:val="nil"/>
            </w:tcBorders>
            <w:vAlign w:val="center"/>
          </w:tcPr>
          <w:p w14:paraId="612D7BD6"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Funding &amp; Resources </w:t>
            </w:r>
          </w:p>
          <w:p w14:paraId="32C5BDCD" w14:textId="7464FC3C"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39)</w:t>
            </w:r>
          </w:p>
        </w:tc>
        <w:tc>
          <w:tcPr>
            <w:tcW w:w="1134" w:type="dxa"/>
            <w:tcBorders>
              <w:top w:val="nil"/>
              <w:left w:val="nil"/>
              <w:bottom w:val="nil"/>
              <w:right w:val="nil"/>
            </w:tcBorders>
            <w:vAlign w:val="center"/>
          </w:tcPr>
          <w:p w14:paraId="5067CDFB" w14:textId="06E4D238"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40.4</w:t>
            </w:r>
          </w:p>
        </w:tc>
        <w:tc>
          <w:tcPr>
            <w:tcW w:w="5528" w:type="dxa"/>
            <w:tcBorders>
              <w:top w:val="nil"/>
              <w:left w:val="nil"/>
              <w:bottom w:val="nil"/>
              <w:right w:val="nil"/>
            </w:tcBorders>
            <w:hideMark/>
          </w:tcPr>
          <w:p w14:paraId="70FB6F98" w14:textId="7F8CD9B3"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substantially increase funding specific for population nutrition promotion so that it is commensurate with size of the population health burden that unhealthy diet creates.</w:t>
            </w:r>
          </w:p>
        </w:tc>
        <w:tc>
          <w:tcPr>
            <w:tcW w:w="1347" w:type="dxa"/>
            <w:tcBorders>
              <w:top w:val="nil"/>
              <w:left w:val="nil"/>
              <w:bottom w:val="nil"/>
              <w:right w:val="nil"/>
            </w:tcBorders>
            <w:shd w:val="clear" w:color="auto" w:fill="D9D9D9" w:themeFill="background1" w:themeFillShade="D9"/>
            <w:vAlign w:val="center"/>
            <w:hideMark/>
          </w:tcPr>
          <w:p w14:paraId="78F517A5"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263 (3.4)</w:t>
            </w:r>
          </w:p>
        </w:tc>
        <w:tc>
          <w:tcPr>
            <w:tcW w:w="686" w:type="dxa"/>
            <w:tcBorders>
              <w:top w:val="nil"/>
              <w:left w:val="nil"/>
              <w:bottom w:val="nil"/>
              <w:right w:val="nil"/>
            </w:tcBorders>
            <w:shd w:val="clear" w:color="auto" w:fill="D9D9D9" w:themeFill="background1" w:themeFillShade="D9"/>
            <w:vAlign w:val="center"/>
            <w:hideMark/>
          </w:tcPr>
          <w:p w14:paraId="6D9917D7"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3</w:t>
            </w:r>
          </w:p>
        </w:tc>
        <w:tc>
          <w:tcPr>
            <w:tcW w:w="944" w:type="dxa"/>
            <w:tcBorders>
              <w:top w:val="nil"/>
              <w:left w:val="nil"/>
              <w:bottom w:val="nil"/>
              <w:right w:val="nil"/>
            </w:tcBorders>
            <w:shd w:val="clear" w:color="auto" w:fill="D9D9D9" w:themeFill="background1" w:themeFillShade="D9"/>
            <w:vAlign w:val="center"/>
            <w:hideMark/>
          </w:tcPr>
          <w:p w14:paraId="25347989"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9</w:t>
            </w:r>
          </w:p>
        </w:tc>
      </w:tr>
      <w:tr w:rsidR="00B1222B" w:rsidRPr="00B1222B" w14:paraId="0617F395" w14:textId="1CFC5BA4" w:rsidTr="00D7367A">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21331E63" w14:textId="06100B71"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41217848" w14:textId="4F4E2719"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PI4</w:t>
            </w:r>
          </w:p>
        </w:tc>
        <w:tc>
          <w:tcPr>
            <w:tcW w:w="1701" w:type="dxa"/>
            <w:tcBorders>
              <w:left w:val="nil"/>
              <w:right w:val="nil"/>
            </w:tcBorders>
            <w:vAlign w:val="center"/>
          </w:tcPr>
          <w:p w14:paraId="2A6C8B77"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222B">
              <w:rPr>
                <w:rFonts w:ascii="Arial" w:hAnsi="Arial" w:cs="Arial"/>
                <w:sz w:val="16"/>
                <w:szCs w:val="16"/>
              </w:rPr>
              <w:t>Governance</w:t>
            </w:r>
          </w:p>
          <w:p w14:paraId="4AC5A760" w14:textId="212F2023"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31)</w:t>
            </w:r>
          </w:p>
        </w:tc>
        <w:tc>
          <w:tcPr>
            <w:tcW w:w="1134" w:type="dxa"/>
            <w:tcBorders>
              <w:left w:val="nil"/>
              <w:right w:val="nil"/>
            </w:tcBorders>
            <w:vAlign w:val="center"/>
          </w:tcPr>
          <w:p w14:paraId="31C33DE5" w14:textId="1CDDE55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42.7</w:t>
            </w:r>
          </w:p>
        </w:tc>
        <w:tc>
          <w:tcPr>
            <w:tcW w:w="5528" w:type="dxa"/>
            <w:tcBorders>
              <w:left w:val="nil"/>
              <w:right w:val="nil"/>
            </w:tcBorders>
            <w:hideMark/>
          </w:tcPr>
          <w:p w14:paraId="3C104476" w14:textId="3955F5CB"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continuously strengthen access to information related to public consultation (e.g. advocate and improve '</w:t>
            </w:r>
            <w:proofErr w:type="spellStart"/>
            <w:r w:rsidRPr="00B1222B">
              <w:rPr>
                <w:rFonts w:ascii="Arial" w:eastAsia="Times New Roman" w:hAnsi="Arial" w:cs="Arial"/>
                <w:sz w:val="16"/>
                <w:szCs w:val="20"/>
                <w:lang w:val="en-GB"/>
              </w:rPr>
              <w:t>seranta</w:t>
            </w:r>
            <w:proofErr w:type="spellEnd"/>
            <w:r w:rsidRPr="00B1222B">
              <w:rPr>
                <w:rFonts w:ascii="Arial" w:eastAsia="Times New Roman" w:hAnsi="Arial" w:cs="Arial"/>
                <w:sz w:val="16"/>
                <w:szCs w:val="20"/>
                <w:lang w:val="en-GB"/>
              </w:rPr>
              <w:t xml:space="preserve"> </w:t>
            </w:r>
            <w:proofErr w:type="spellStart"/>
            <w:r w:rsidRPr="00B1222B">
              <w:rPr>
                <w:rFonts w:ascii="Arial" w:eastAsia="Times New Roman" w:hAnsi="Arial" w:cs="Arial"/>
                <w:sz w:val="16"/>
                <w:szCs w:val="20"/>
                <w:lang w:val="en-GB"/>
              </w:rPr>
              <w:t>awam</w:t>
            </w:r>
            <w:proofErr w:type="spellEnd"/>
            <w:r w:rsidRPr="00B1222B">
              <w:rPr>
                <w:rFonts w:ascii="Arial" w:eastAsia="Times New Roman" w:hAnsi="Arial" w:cs="Arial"/>
                <w:sz w:val="16"/>
                <w:szCs w:val="20"/>
                <w:lang w:val="en-GB"/>
              </w:rPr>
              <w:t>' website to be more user friendly, interactive and open access for submissions by the main affected parties (e.g. non-governmental organisations, academia/ professional/ public and industry).</w:t>
            </w:r>
          </w:p>
        </w:tc>
        <w:tc>
          <w:tcPr>
            <w:tcW w:w="1347" w:type="dxa"/>
            <w:tcBorders>
              <w:left w:val="nil"/>
              <w:right w:val="nil"/>
            </w:tcBorders>
            <w:shd w:val="clear" w:color="auto" w:fill="D9D9D9" w:themeFill="background1" w:themeFillShade="D9"/>
            <w:vAlign w:val="center"/>
            <w:hideMark/>
          </w:tcPr>
          <w:p w14:paraId="571F48B2"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250 (3.3)</w:t>
            </w:r>
          </w:p>
        </w:tc>
        <w:tc>
          <w:tcPr>
            <w:tcW w:w="686" w:type="dxa"/>
            <w:tcBorders>
              <w:left w:val="nil"/>
              <w:right w:val="nil"/>
            </w:tcBorders>
            <w:shd w:val="clear" w:color="auto" w:fill="D9D9D9" w:themeFill="background1" w:themeFillShade="D9"/>
            <w:vAlign w:val="center"/>
            <w:hideMark/>
          </w:tcPr>
          <w:p w14:paraId="6634A8BB"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4</w:t>
            </w:r>
          </w:p>
        </w:tc>
        <w:tc>
          <w:tcPr>
            <w:tcW w:w="944" w:type="dxa"/>
            <w:tcBorders>
              <w:left w:val="nil"/>
              <w:right w:val="nil"/>
            </w:tcBorders>
            <w:shd w:val="clear" w:color="auto" w:fill="D9D9D9" w:themeFill="background1" w:themeFillShade="D9"/>
            <w:vAlign w:val="center"/>
            <w:hideMark/>
          </w:tcPr>
          <w:p w14:paraId="0D3A067F"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14</w:t>
            </w:r>
          </w:p>
        </w:tc>
      </w:tr>
      <w:tr w:rsidR="00B1222B" w:rsidRPr="00B1222B" w14:paraId="30EEF143" w14:textId="76EEE353" w:rsidTr="00D7367A">
        <w:trPr>
          <w:trHeight w:val="560"/>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5FE84C81" w14:textId="77777777"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6DCBE599" w14:textId="089FF028"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PI5</w:t>
            </w:r>
          </w:p>
        </w:tc>
        <w:tc>
          <w:tcPr>
            <w:tcW w:w="1701" w:type="dxa"/>
            <w:tcBorders>
              <w:top w:val="nil"/>
              <w:left w:val="nil"/>
              <w:bottom w:val="nil"/>
              <w:right w:val="nil"/>
            </w:tcBorders>
            <w:vAlign w:val="center"/>
          </w:tcPr>
          <w:p w14:paraId="4D817948"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Funding &amp; Resources </w:t>
            </w:r>
          </w:p>
          <w:p w14:paraId="3CC302DF" w14:textId="28F4AC44"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41)</w:t>
            </w:r>
          </w:p>
        </w:tc>
        <w:tc>
          <w:tcPr>
            <w:tcW w:w="1134" w:type="dxa"/>
            <w:tcBorders>
              <w:top w:val="nil"/>
              <w:left w:val="nil"/>
              <w:bottom w:val="nil"/>
              <w:right w:val="nil"/>
            </w:tcBorders>
            <w:vAlign w:val="center"/>
          </w:tcPr>
          <w:p w14:paraId="3345BB55" w14:textId="1D17A96C"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35.8</w:t>
            </w:r>
          </w:p>
        </w:tc>
        <w:tc>
          <w:tcPr>
            <w:tcW w:w="5528" w:type="dxa"/>
            <w:tcBorders>
              <w:top w:val="nil"/>
              <w:left w:val="nil"/>
              <w:bottom w:val="nil"/>
              <w:right w:val="nil"/>
            </w:tcBorders>
            <w:hideMark/>
          </w:tcPr>
          <w:p w14:paraId="42341EA2" w14:textId="2A2A492B"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 xml:space="preserve">The government should strengthen the sustainable funding and functioning of MySihat so that it becomes a significant force for health promotion (similar to </w:t>
            </w:r>
            <w:proofErr w:type="spellStart"/>
            <w:r w:rsidRPr="00B1222B">
              <w:rPr>
                <w:rFonts w:ascii="Arial" w:eastAsia="Times New Roman" w:hAnsi="Arial" w:cs="Arial"/>
                <w:sz w:val="16"/>
                <w:szCs w:val="20"/>
                <w:lang w:val="en-GB"/>
              </w:rPr>
              <w:t>ThaiHealth</w:t>
            </w:r>
            <w:proofErr w:type="spellEnd"/>
            <w:r w:rsidRPr="00B1222B">
              <w:rPr>
                <w:rFonts w:ascii="Arial" w:eastAsia="Times New Roman" w:hAnsi="Arial" w:cs="Arial"/>
                <w:sz w:val="16"/>
                <w:szCs w:val="20"/>
                <w:lang w:val="en-GB"/>
              </w:rPr>
              <w:t xml:space="preserve"> and VicHealth).</w:t>
            </w:r>
          </w:p>
        </w:tc>
        <w:tc>
          <w:tcPr>
            <w:tcW w:w="1347" w:type="dxa"/>
            <w:tcBorders>
              <w:top w:val="nil"/>
              <w:left w:val="nil"/>
              <w:bottom w:val="nil"/>
              <w:right w:val="nil"/>
            </w:tcBorders>
            <w:shd w:val="clear" w:color="auto" w:fill="D9D9D9" w:themeFill="background1" w:themeFillShade="D9"/>
            <w:vAlign w:val="center"/>
            <w:hideMark/>
          </w:tcPr>
          <w:p w14:paraId="64881706"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249 (3.2)</w:t>
            </w:r>
          </w:p>
        </w:tc>
        <w:tc>
          <w:tcPr>
            <w:tcW w:w="686" w:type="dxa"/>
            <w:tcBorders>
              <w:top w:val="nil"/>
              <w:left w:val="nil"/>
              <w:bottom w:val="nil"/>
              <w:right w:val="nil"/>
            </w:tcBorders>
            <w:shd w:val="clear" w:color="auto" w:fill="D9D9D9" w:themeFill="background1" w:themeFillShade="D9"/>
            <w:vAlign w:val="center"/>
            <w:hideMark/>
          </w:tcPr>
          <w:p w14:paraId="53E829C7"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5</w:t>
            </w:r>
          </w:p>
        </w:tc>
        <w:tc>
          <w:tcPr>
            <w:tcW w:w="944" w:type="dxa"/>
            <w:tcBorders>
              <w:top w:val="nil"/>
              <w:left w:val="nil"/>
              <w:bottom w:val="nil"/>
              <w:right w:val="nil"/>
            </w:tcBorders>
            <w:shd w:val="clear" w:color="auto" w:fill="D9D9D9" w:themeFill="background1" w:themeFillShade="D9"/>
            <w:vAlign w:val="center"/>
            <w:hideMark/>
          </w:tcPr>
          <w:p w14:paraId="0C97A704"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15</w:t>
            </w:r>
          </w:p>
        </w:tc>
      </w:tr>
      <w:tr w:rsidR="00B1222B" w:rsidRPr="00B1222B" w14:paraId="1BE6280E" w14:textId="531D0277" w:rsidTr="00D7367A">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59AA62A4" w14:textId="77777777"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78971C78" w14:textId="66882936"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PI6</w:t>
            </w:r>
          </w:p>
        </w:tc>
        <w:tc>
          <w:tcPr>
            <w:tcW w:w="1701" w:type="dxa"/>
            <w:tcBorders>
              <w:left w:val="nil"/>
              <w:right w:val="nil"/>
            </w:tcBorders>
            <w:vAlign w:val="center"/>
          </w:tcPr>
          <w:p w14:paraId="53281358"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Monitoring &amp; Intelligence </w:t>
            </w:r>
          </w:p>
          <w:p w14:paraId="05C47632" w14:textId="27F09244"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37)</w:t>
            </w:r>
          </w:p>
        </w:tc>
        <w:tc>
          <w:tcPr>
            <w:tcW w:w="1134" w:type="dxa"/>
            <w:tcBorders>
              <w:left w:val="nil"/>
              <w:right w:val="nil"/>
            </w:tcBorders>
            <w:vAlign w:val="center"/>
          </w:tcPr>
          <w:p w14:paraId="7F05B25A" w14:textId="28F1B018"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50.8</w:t>
            </w:r>
          </w:p>
        </w:tc>
        <w:tc>
          <w:tcPr>
            <w:tcW w:w="5528" w:type="dxa"/>
            <w:tcBorders>
              <w:left w:val="nil"/>
              <w:right w:val="nil"/>
            </w:tcBorders>
            <w:hideMark/>
          </w:tcPr>
          <w:p w14:paraId="582C2134" w14:textId="15307503"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ensure sufficient resources (at least 5-10% of programme funding) and capacity building on evaluation of major programmes and policies related to nutrition and health plans.</w:t>
            </w:r>
          </w:p>
        </w:tc>
        <w:tc>
          <w:tcPr>
            <w:tcW w:w="1347" w:type="dxa"/>
            <w:tcBorders>
              <w:left w:val="nil"/>
              <w:right w:val="nil"/>
            </w:tcBorders>
            <w:shd w:val="clear" w:color="auto" w:fill="D9D9D9" w:themeFill="background1" w:themeFillShade="D9"/>
            <w:vAlign w:val="center"/>
            <w:hideMark/>
          </w:tcPr>
          <w:p w14:paraId="30029A3D"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240 (3.1)</w:t>
            </w:r>
          </w:p>
        </w:tc>
        <w:tc>
          <w:tcPr>
            <w:tcW w:w="686" w:type="dxa"/>
            <w:tcBorders>
              <w:left w:val="nil"/>
              <w:right w:val="nil"/>
            </w:tcBorders>
            <w:shd w:val="clear" w:color="auto" w:fill="D9D9D9" w:themeFill="background1" w:themeFillShade="D9"/>
            <w:vAlign w:val="center"/>
            <w:hideMark/>
          </w:tcPr>
          <w:p w14:paraId="6EE3E189"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6</w:t>
            </w:r>
          </w:p>
        </w:tc>
        <w:tc>
          <w:tcPr>
            <w:tcW w:w="944" w:type="dxa"/>
            <w:tcBorders>
              <w:left w:val="nil"/>
              <w:right w:val="nil"/>
            </w:tcBorders>
            <w:shd w:val="clear" w:color="auto" w:fill="D9D9D9" w:themeFill="background1" w:themeFillShade="D9"/>
            <w:vAlign w:val="center"/>
            <w:hideMark/>
          </w:tcPr>
          <w:p w14:paraId="37503AA2"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16</w:t>
            </w:r>
          </w:p>
        </w:tc>
      </w:tr>
      <w:tr w:rsidR="00B1222B" w:rsidRPr="00B1222B" w14:paraId="2A8B73BD" w14:textId="2D334BEE" w:rsidTr="00D7367A">
        <w:trPr>
          <w:trHeight w:val="44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679B5456" w14:textId="77777777"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4CFF4A5F" w14:textId="13989F1F"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PI7</w:t>
            </w:r>
          </w:p>
        </w:tc>
        <w:tc>
          <w:tcPr>
            <w:tcW w:w="1701" w:type="dxa"/>
            <w:tcBorders>
              <w:top w:val="nil"/>
              <w:left w:val="nil"/>
              <w:bottom w:val="nil"/>
              <w:right w:val="nil"/>
            </w:tcBorders>
            <w:vAlign w:val="center"/>
          </w:tcPr>
          <w:p w14:paraId="5DC5AEC2"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Governance</w:t>
            </w:r>
          </w:p>
          <w:p w14:paraId="0FC639BB" w14:textId="03CE3713"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31)</w:t>
            </w:r>
          </w:p>
        </w:tc>
        <w:tc>
          <w:tcPr>
            <w:tcW w:w="1134" w:type="dxa"/>
            <w:tcBorders>
              <w:top w:val="nil"/>
              <w:left w:val="nil"/>
              <w:bottom w:val="nil"/>
              <w:right w:val="nil"/>
            </w:tcBorders>
            <w:vAlign w:val="center"/>
          </w:tcPr>
          <w:p w14:paraId="1FC5BB21" w14:textId="4508A1A4"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42.7</w:t>
            </w:r>
          </w:p>
        </w:tc>
        <w:tc>
          <w:tcPr>
            <w:tcW w:w="5528" w:type="dxa"/>
            <w:tcBorders>
              <w:top w:val="nil"/>
              <w:left w:val="nil"/>
              <w:bottom w:val="nil"/>
              <w:right w:val="nil"/>
            </w:tcBorders>
            <w:hideMark/>
          </w:tcPr>
          <w:p w14:paraId="78D50443" w14:textId="189824BA"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continuously strengthen transparency of policy development (e.g. fully implementing the Guideline on Public Consultation Procedures).</w:t>
            </w:r>
          </w:p>
        </w:tc>
        <w:tc>
          <w:tcPr>
            <w:tcW w:w="1347" w:type="dxa"/>
            <w:tcBorders>
              <w:top w:val="nil"/>
              <w:left w:val="nil"/>
              <w:bottom w:val="nil"/>
              <w:right w:val="nil"/>
            </w:tcBorders>
            <w:shd w:val="clear" w:color="auto" w:fill="D9D9D9" w:themeFill="background1" w:themeFillShade="D9"/>
            <w:vAlign w:val="center"/>
            <w:hideMark/>
          </w:tcPr>
          <w:p w14:paraId="1F1171CF"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230 (3.0)</w:t>
            </w:r>
          </w:p>
        </w:tc>
        <w:tc>
          <w:tcPr>
            <w:tcW w:w="686" w:type="dxa"/>
            <w:tcBorders>
              <w:top w:val="nil"/>
              <w:left w:val="nil"/>
              <w:bottom w:val="nil"/>
              <w:right w:val="nil"/>
            </w:tcBorders>
            <w:shd w:val="clear" w:color="auto" w:fill="D9D9D9" w:themeFill="background1" w:themeFillShade="D9"/>
            <w:vAlign w:val="center"/>
            <w:hideMark/>
          </w:tcPr>
          <w:p w14:paraId="7B47C23A"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7</w:t>
            </w:r>
          </w:p>
        </w:tc>
        <w:tc>
          <w:tcPr>
            <w:tcW w:w="944" w:type="dxa"/>
            <w:tcBorders>
              <w:top w:val="nil"/>
              <w:left w:val="nil"/>
              <w:bottom w:val="nil"/>
              <w:right w:val="nil"/>
            </w:tcBorders>
            <w:shd w:val="clear" w:color="auto" w:fill="D9D9D9" w:themeFill="background1" w:themeFillShade="D9"/>
            <w:vAlign w:val="center"/>
            <w:hideMark/>
          </w:tcPr>
          <w:p w14:paraId="0AF31579"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19</w:t>
            </w:r>
          </w:p>
        </w:tc>
      </w:tr>
      <w:tr w:rsidR="00B1222B" w:rsidRPr="00B1222B" w14:paraId="3F821E0B" w14:textId="7B9CC4B1" w:rsidTr="00D7367A">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42E3D6A7" w14:textId="77777777"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39AE98F7" w14:textId="611D36B6"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PI8</w:t>
            </w:r>
          </w:p>
        </w:tc>
        <w:tc>
          <w:tcPr>
            <w:tcW w:w="1701" w:type="dxa"/>
            <w:tcBorders>
              <w:left w:val="nil"/>
              <w:right w:val="nil"/>
            </w:tcBorders>
            <w:vAlign w:val="center"/>
          </w:tcPr>
          <w:p w14:paraId="03A2DF30"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Governance </w:t>
            </w:r>
          </w:p>
          <w:p w14:paraId="49BE99A8" w14:textId="19238B4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30)</w:t>
            </w:r>
          </w:p>
        </w:tc>
        <w:tc>
          <w:tcPr>
            <w:tcW w:w="1134" w:type="dxa"/>
            <w:tcBorders>
              <w:left w:val="nil"/>
              <w:right w:val="nil"/>
            </w:tcBorders>
            <w:vAlign w:val="center"/>
          </w:tcPr>
          <w:p w14:paraId="04036BFF" w14:textId="358173D3"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43.8</w:t>
            </w:r>
          </w:p>
        </w:tc>
        <w:tc>
          <w:tcPr>
            <w:tcW w:w="5528" w:type="dxa"/>
            <w:tcBorders>
              <w:left w:val="nil"/>
              <w:right w:val="nil"/>
            </w:tcBorders>
            <w:hideMark/>
          </w:tcPr>
          <w:p w14:paraId="7A2EFC77" w14:textId="7FA8A65E"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 xml:space="preserve">The government should continuously strengthen and capacity building on Regulatory Impact Statement (RIS) preparation by focusing on evidence-based approaches derived from public health perspective for policies which carry health implications. </w:t>
            </w:r>
          </w:p>
        </w:tc>
        <w:tc>
          <w:tcPr>
            <w:tcW w:w="1347" w:type="dxa"/>
            <w:tcBorders>
              <w:left w:val="nil"/>
              <w:right w:val="nil"/>
            </w:tcBorders>
            <w:shd w:val="clear" w:color="auto" w:fill="D9D9D9" w:themeFill="background1" w:themeFillShade="D9"/>
            <w:vAlign w:val="center"/>
            <w:hideMark/>
          </w:tcPr>
          <w:p w14:paraId="77985F08"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227 (3.0)</w:t>
            </w:r>
          </w:p>
        </w:tc>
        <w:tc>
          <w:tcPr>
            <w:tcW w:w="686" w:type="dxa"/>
            <w:tcBorders>
              <w:left w:val="nil"/>
              <w:right w:val="nil"/>
            </w:tcBorders>
            <w:shd w:val="clear" w:color="auto" w:fill="D9D9D9" w:themeFill="background1" w:themeFillShade="D9"/>
            <w:vAlign w:val="center"/>
            <w:hideMark/>
          </w:tcPr>
          <w:p w14:paraId="2B82B536"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8</w:t>
            </w:r>
          </w:p>
        </w:tc>
        <w:tc>
          <w:tcPr>
            <w:tcW w:w="944" w:type="dxa"/>
            <w:tcBorders>
              <w:left w:val="nil"/>
              <w:right w:val="nil"/>
            </w:tcBorders>
            <w:shd w:val="clear" w:color="auto" w:fill="D9D9D9" w:themeFill="background1" w:themeFillShade="D9"/>
            <w:vAlign w:val="center"/>
            <w:hideMark/>
          </w:tcPr>
          <w:p w14:paraId="506EA378"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21</w:t>
            </w:r>
          </w:p>
        </w:tc>
      </w:tr>
      <w:tr w:rsidR="00B1222B" w:rsidRPr="00B1222B" w14:paraId="17553072" w14:textId="5AA2F5C8" w:rsidTr="00D7367A">
        <w:trPr>
          <w:trHeight w:val="178"/>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7DC7519A" w14:textId="77777777"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62927755" w14:textId="68938574"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PI9</w:t>
            </w:r>
          </w:p>
        </w:tc>
        <w:tc>
          <w:tcPr>
            <w:tcW w:w="1701" w:type="dxa"/>
            <w:tcBorders>
              <w:top w:val="nil"/>
              <w:left w:val="nil"/>
              <w:bottom w:val="nil"/>
              <w:right w:val="nil"/>
            </w:tcBorders>
            <w:vAlign w:val="center"/>
          </w:tcPr>
          <w:p w14:paraId="614F8DC0" w14:textId="424525B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Health-in-all Policies (Indicator 47)</w:t>
            </w:r>
          </w:p>
        </w:tc>
        <w:tc>
          <w:tcPr>
            <w:tcW w:w="1134" w:type="dxa"/>
            <w:tcBorders>
              <w:top w:val="nil"/>
              <w:left w:val="nil"/>
              <w:bottom w:val="nil"/>
              <w:right w:val="nil"/>
            </w:tcBorders>
            <w:vAlign w:val="center"/>
          </w:tcPr>
          <w:p w14:paraId="0ECBDA42" w14:textId="71C4C2EE"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37.3</w:t>
            </w:r>
          </w:p>
        </w:tc>
        <w:tc>
          <w:tcPr>
            <w:tcW w:w="5528" w:type="dxa"/>
            <w:tcBorders>
              <w:top w:val="nil"/>
              <w:left w:val="nil"/>
              <w:bottom w:val="nil"/>
              <w:right w:val="nil"/>
            </w:tcBorders>
            <w:hideMark/>
          </w:tcPr>
          <w:p w14:paraId="27F8D16C" w14:textId="1252D541"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ensures that health (broadly defined to encompass obesity and diet-related NCDs) impacts are taken into account in non-food policies using the existing platforms (e.g. Technical Working Group of Nutrition Policy), especially within urban planning and land zoning policies.</w:t>
            </w:r>
          </w:p>
        </w:tc>
        <w:tc>
          <w:tcPr>
            <w:tcW w:w="1347" w:type="dxa"/>
            <w:tcBorders>
              <w:top w:val="nil"/>
              <w:left w:val="nil"/>
              <w:bottom w:val="nil"/>
              <w:right w:val="nil"/>
            </w:tcBorders>
            <w:shd w:val="clear" w:color="auto" w:fill="D9D9D9" w:themeFill="background1" w:themeFillShade="D9"/>
            <w:vAlign w:val="center"/>
            <w:hideMark/>
          </w:tcPr>
          <w:p w14:paraId="0F86D209"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226 (2.9)</w:t>
            </w:r>
          </w:p>
        </w:tc>
        <w:tc>
          <w:tcPr>
            <w:tcW w:w="686" w:type="dxa"/>
            <w:tcBorders>
              <w:top w:val="nil"/>
              <w:left w:val="nil"/>
              <w:bottom w:val="nil"/>
              <w:right w:val="nil"/>
            </w:tcBorders>
            <w:shd w:val="clear" w:color="auto" w:fill="D9D9D9" w:themeFill="background1" w:themeFillShade="D9"/>
            <w:vAlign w:val="center"/>
            <w:hideMark/>
          </w:tcPr>
          <w:p w14:paraId="423466C8"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9</w:t>
            </w:r>
          </w:p>
        </w:tc>
        <w:tc>
          <w:tcPr>
            <w:tcW w:w="944" w:type="dxa"/>
            <w:tcBorders>
              <w:top w:val="nil"/>
              <w:left w:val="nil"/>
              <w:bottom w:val="nil"/>
              <w:right w:val="nil"/>
            </w:tcBorders>
            <w:shd w:val="clear" w:color="auto" w:fill="D9D9D9" w:themeFill="background1" w:themeFillShade="D9"/>
            <w:vAlign w:val="center"/>
            <w:hideMark/>
          </w:tcPr>
          <w:p w14:paraId="6F57D361"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22</w:t>
            </w:r>
          </w:p>
        </w:tc>
      </w:tr>
      <w:tr w:rsidR="00B1222B" w:rsidRPr="00B1222B" w14:paraId="5C7FEE4B" w14:textId="1BACFE48" w:rsidTr="00D7367A">
        <w:trPr>
          <w:cnfStyle w:val="000000100000" w:firstRow="0" w:lastRow="0" w:firstColumn="0" w:lastColumn="0" w:oddVBand="0" w:evenVBand="0" w:oddHBand="1" w:evenHBand="0" w:firstRowFirstColumn="0" w:firstRowLastColumn="0" w:lastRowFirstColumn="0" w:lastRowLastColumn="0"/>
          <w:trHeight w:val="662"/>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3A3030CC" w14:textId="77777777"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65CCE277" w14:textId="3F851BC2"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PI10</w:t>
            </w:r>
          </w:p>
        </w:tc>
        <w:tc>
          <w:tcPr>
            <w:tcW w:w="1701" w:type="dxa"/>
            <w:tcBorders>
              <w:left w:val="nil"/>
              <w:right w:val="nil"/>
            </w:tcBorders>
            <w:vAlign w:val="center"/>
          </w:tcPr>
          <w:p w14:paraId="007B7BB7" w14:textId="2477226B"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Health-in-all Policies (Indicator 46)</w:t>
            </w:r>
          </w:p>
        </w:tc>
        <w:tc>
          <w:tcPr>
            <w:tcW w:w="1134" w:type="dxa"/>
            <w:tcBorders>
              <w:left w:val="nil"/>
              <w:right w:val="nil"/>
            </w:tcBorders>
            <w:vAlign w:val="center"/>
          </w:tcPr>
          <w:p w14:paraId="141B9205" w14:textId="620DB63F"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45</w:t>
            </w:r>
            <w:r w:rsidR="000641D0" w:rsidRPr="00B1222B">
              <w:rPr>
                <w:rFonts w:ascii="Arial" w:hAnsi="Arial" w:cs="Arial"/>
                <w:sz w:val="16"/>
                <w:szCs w:val="16"/>
              </w:rPr>
              <w:t>.0</w:t>
            </w:r>
          </w:p>
        </w:tc>
        <w:tc>
          <w:tcPr>
            <w:tcW w:w="5528" w:type="dxa"/>
            <w:tcBorders>
              <w:left w:val="nil"/>
              <w:right w:val="nil"/>
            </w:tcBorders>
            <w:hideMark/>
          </w:tcPr>
          <w:p w14:paraId="0018DFB4" w14:textId="3D80DFEE"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ensures that nutrition impacts are taken into account through Ministry of Agriculture and Agro-Based Industry (MOA) focusing on production of basic food supply based on population needs and demand, as well as relevant Ministries supporting the food and nutrition-related policies by Ministry of Health.</w:t>
            </w:r>
          </w:p>
        </w:tc>
        <w:tc>
          <w:tcPr>
            <w:tcW w:w="1347" w:type="dxa"/>
            <w:tcBorders>
              <w:left w:val="nil"/>
              <w:right w:val="nil"/>
            </w:tcBorders>
            <w:shd w:val="clear" w:color="auto" w:fill="D9D9D9" w:themeFill="background1" w:themeFillShade="D9"/>
            <w:vAlign w:val="center"/>
            <w:hideMark/>
          </w:tcPr>
          <w:p w14:paraId="554AA227"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216 (2.8)</w:t>
            </w:r>
          </w:p>
        </w:tc>
        <w:tc>
          <w:tcPr>
            <w:tcW w:w="686" w:type="dxa"/>
            <w:tcBorders>
              <w:left w:val="nil"/>
              <w:right w:val="nil"/>
            </w:tcBorders>
            <w:shd w:val="clear" w:color="auto" w:fill="D9D9D9" w:themeFill="background1" w:themeFillShade="D9"/>
            <w:vAlign w:val="center"/>
            <w:hideMark/>
          </w:tcPr>
          <w:p w14:paraId="2B3BA0FD"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10</w:t>
            </w:r>
          </w:p>
        </w:tc>
        <w:tc>
          <w:tcPr>
            <w:tcW w:w="944" w:type="dxa"/>
            <w:tcBorders>
              <w:left w:val="nil"/>
              <w:right w:val="nil"/>
            </w:tcBorders>
            <w:shd w:val="clear" w:color="auto" w:fill="D9D9D9" w:themeFill="background1" w:themeFillShade="D9"/>
            <w:vAlign w:val="center"/>
            <w:hideMark/>
          </w:tcPr>
          <w:p w14:paraId="299BE3D3"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28</w:t>
            </w:r>
          </w:p>
        </w:tc>
      </w:tr>
      <w:tr w:rsidR="00B1222B" w:rsidRPr="00B1222B" w14:paraId="275BE5F9" w14:textId="65583B38" w:rsidTr="00D7367A">
        <w:trPr>
          <w:trHeight w:val="535"/>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bottom w:val="single" w:sz="18" w:space="0" w:color="808080" w:themeColor="background1" w:themeShade="80"/>
              <w:right w:val="nil"/>
            </w:tcBorders>
            <w:vAlign w:val="center"/>
            <w:hideMark/>
          </w:tcPr>
          <w:p w14:paraId="32E58884" w14:textId="77777777"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single" w:sz="18" w:space="0" w:color="808080" w:themeColor="background1" w:themeShade="80"/>
              <w:right w:val="nil"/>
            </w:tcBorders>
            <w:vAlign w:val="center"/>
            <w:hideMark/>
          </w:tcPr>
          <w:p w14:paraId="2AB2FE8E" w14:textId="6051C07F"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PI11</w:t>
            </w:r>
          </w:p>
        </w:tc>
        <w:tc>
          <w:tcPr>
            <w:tcW w:w="1701" w:type="dxa"/>
            <w:tcBorders>
              <w:top w:val="nil"/>
              <w:left w:val="nil"/>
              <w:bottom w:val="single" w:sz="18" w:space="0" w:color="808080" w:themeColor="background1" w:themeShade="80"/>
              <w:right w:val="nil"/>
            </w:tcBorders>
            <w:vAlign w:val="center"/>
          </w:tcPr>
          <w:p w14:paraId="6215F309"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Governance </w:t>
            </w:r>
          </w:p>
          <w:p w14:paraId="3DB6D7F4" w14:textId="1A58F75A"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29)</w:t>
            </w:r>
          </w:p>
        </w:tc>
        <w:tc>
          <w:tcPr>
            <w:tcW w:w="1134" w:type="dxa"/>
            <w:tcBorders>
              <w:top w:val="nil"/>
              <w:left w:val="nil"/>
              <w:bottom w:val="single" w:sz="18" w:space="0" w:color="808080" w:themeColor="background1" w:themeShade="80"/>
              <w:right w:val="nil"/>
            </w:tcBorders>
            <w:vAlign w:val="center"/>
          </w:tcPr>
          <w:p w14:paraId="7F1DC7B1" w14:textId="5C98C6BA"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36.9</w:t>
            </w:r>
          </w:p>
        </w:tc>
        <w:tc>
          <w:tcPr>
            <w:tcW w:w="5528" w:type="dxa"/>
            <w:tcBorders>
              <w:top w:val="nil"/>
              <w:left w:val="nil"/>
              <w:bottom w:val="single" w:sz="18" w:space="0" w:color="808080" w:themeColor="background1" w:themeShade="80"/>
              <w:right w:val="nil"/>
            </w:tcBorders>
            <w:hideMark/>
          </w:tcPr>
          <w:p w14:paraId="2FDC55D1" w14:textId="00BD7428"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continuously strengthen conflicts of interest management for food industry engagement with policy development (e.g. instituting a lobby register) and among government officials (e.g. enacting the Political Donations and Expenditure Act and enforcing asset declarations for all staff).</w:t>
            </w:r>
          </w:p>
        </w:tc>
        <w:tc>
          <w:tcPr>
            <w:tcW w:w="1347" w:type="dxa"/>
            <w:tcBorders>
              <w:top w:val="nil"/>
              <w:left w:val="nil"/>
              <w:bottom w:val="single" w:sz="18" w:space="0" w:color="808080" w:themeColor="background1" w:themeShade="80"/>
              <w:right w:val="nil"/>
            </w:tcBorders>
            <w:shd w:val="clear" w:color="auto" w:fill="D9D9D9" w:themeFill="background1" w:themeFillShade="D9"/>
            <w:vAlign w:val="center"/>
            <w:hideMark/>
          </w:tcPr>
          <w:p w14:paraId="32D510AA"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200 (2.6)</w:t>
            </w:r>
          </w:p>
        </w:tc>
        <w:tc>
          <w:tcPr>
            <w:tcW w:w="686" w:type="dxa"/>
            <w:tcBorders>
              <w:top w:val="nil"/>
              <w:left w:val="nil"/>
              <w:bottom w:val="single" w:sz="18" w:space="0" w:color="808080" w:themeColor="background1" w:themeShade="80"/>
              <w:right w:val="nil"/>
            </w:tcBorders>
            <w:shd w:val="clear" w:color="auto" w:fill="D9D9D9" w:themeFill="background1" w:themeFillShade="D9"/>
            <w:vAlign w:val="center"/>
            <w:hideMark/>
          </w:tcPr>
          <w:p w14:paraId="32ED0627"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11</w:t>
            </w:r>
          </w:p>
        </w:tc>
        <w:tc>
          <w:tcPr>
            <w:tcW w:w="944" w:type="dxa"/>
            <w:tcBorders>
              <w:top w:val="nil"/>
              <w:left w:val="nil"/>
              <w:bottom w:val="single" w:sz="18" w:space="0" w:color="808080" w:themeColor="background1" w:themeShade="80"/>
              <w:right w:val="nil"/>
            </w:tcBorders>
            <w:shd w:val="clear" w:color="auto" w:fill="D9D9D9" w:themeFill="background1" w:themeFillShade="D9"/>
            <w:vAlign w:val="center"/>
            <w:hideMark/>
          </w:tcPr>
          <w:p w14:paraId="4A11C914"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29</w:t>
            </w:r>
          </w:p>
        </w:tc>
      </w:tr>
      <w:tr w:rsidR="00B1222B" w:rsidRPr="00B1222B" w14:paraId="17F1A78D" w14:textId="5489CD99" w:rsidTr="00D7367A">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8" w:space="0" w:color="808080" w:themeColor="background1" w:themeShade="80"/>
              <w:left w:val="nil"/>
              <w:right w:val="nil"/>
            </w:tcBorders>
            <w:textDirection w:val="btLr"/>
            <w:hideMark/>
          </w:tcPr>
          <w:p w14:paraId="67AF7E03" w14:textId="01D9AE56" w:rsidR="00904568" w:rsidRPr="00B1222B" w:rsidRDefault="006E4D72" w:rsidP="00AF6593">
            <w:pPr>
              <w:ind w:left="113" w:right="113"/>
              <w:jc w:val="center"/>
              <w:rPr>
                <w:rFonts w:ascii="Arial" w:eastAsia="Times New Roman" w:hAnsi="Arial" w:cs="Arial"/>
                <w:b w:val="0"/>
                <w:sz w:val="16"/>
                <w:szCs w:val="20"/>
                <w:lang w:val="en-GB"/>
              </w:rPr>
            </w:pPr>
            <w:r w:rsidRPr="00B1222B">
              <w:rPr>
                <w:rFonts w:ascii="Arial" w:eastAsia="Times New Roman" w:hAnsi="Arial" w:cs="Arial"/>
                <w:b w:val="0"/>
                <w:sz w:val="16"/>
                <w:szCs w:val="20"/>
                <w:lang w:val="en-GB"/>
              </w:rPr>
              <w:lastRenderedPageBreak/>
              <w:t>Third Pillar – "</w:t>
            </w:r>
            <w:r w:rsidR="00904568" w:rsidRPr="00B1222B">
              <w:rPr>
                <w:rFonts w:ascii="Arial" w:eastAsia="Times New Roman" w:hAnsi="Arial" w:cs="Arial"/>
                <w:b w:val="0"/>
                <w:sz w:val="16"/>
                <w:szCs w:val="20"/>
                <w:lang w:val="en-GB"/>
              </w:rPr>
              <w:t>Prioritise Further Investigation</w:t>
            </w:r>
            <w:r w:rsidRPr="00B1222B">
              <w:rPr>
                <w:rFonts w:ascii="Arial" w:eastAsia="Times New Roman" w:hAnsi="Arial" w:cs="Arial"/>
                <w:b w:val="0"/>
                <w:sz w:val="16"/>
                <w:szCs w:val="20"/>
                <w:lang w:val="en-GB"/>
              </w:rPr>
              <w:t>"</w:t>
            </w:r>
            <w:r w:rsidR="00904568" w:rsidRPr="00B1222B">
              <w:rPr>
                <w:rFonts w:ascii="Arial" w:eastAsia="Times New Roman" w:hAnsi="Arial" w:cs="Arial"/>
                <w:b w:val="0"/>
                <w:sz w:val="16"/>
                <w:szCs w:val="20"/>
                <w:lang w:val="en-GB"/>
              </w:rPr>
              <w:t xml:space="preserve"> (PFI)</w:t>
            </w:r>
          </w:p>
          <w:p w14:paraId="0B9255E8" w14:textId="52822B6E" w:rsidR="00904568" w:rsidRPr="00B1222B" w:rsidRDefault="00904568" w:rsidP="00AF6593">
            <w:pPr>
              <w:rPr>
                <w:rFonts w:ascii="Arial" w:eastAsia="Times New Roman" w:hAnsi="Arial" w:cs="Arial"/>
                <w:bCs w:val="0"/>
                <w:sz w:val="16"/>
                <w:szCs w:val="20"/>
                <w:lang w:val="en-GB"/>
              </w:rPr>
            </w:pPr>
            <w:r w:rsidRPr="00B1222B">
              <w:rPr>
                <w:b w:val="0"/>
                <w:bCs w:val="0"/>
              </w:rPr>
              <w:br w:type="page"/>
            </w:r>
            <w:r w:rsidRPr="00B1222B">
              <w:rPr>
                <w:b w:val="0"/>
                <w:bCs w:val="0"/>
              </w:rPr>
              <w:br w:type="page"/>
            </w:r>
          </w:p>
        </w:tc>
        <w:tc>
          <w:tcPr>
            <w:tcW w:w="851" w:type="dxa"/>
            <w:tcBorders>
              <w:top w:val="single" w:sz="18" w:space="0" w:color="808080" w:themeColor="background1" w:themeShade="80"/>
              <w:left w:val="nil"/>
              <w:right w:val="nil"/>
            </w:tcBorders>
            <w:vAlign w:val="center"/>
            <w:hideMark/>
          </w:tcPr>
          <w:p w14:paraId="07F64D99" w14:textId="59CB8338"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PFI1</w:t>
            </w:r>
          </w:p>
        </w:tc>
        <w:tc>
          <w:tcPr>
            <w:tcW w:w="1701" w:type="dxa"/>
            <w:tcBorders>
              <w:top w:val="single" w:sz="18" w:space="0" w:color="808080" w:themeColor="background1" w:themeShade="80"/>
              <w:left w:val="nil"/>
              <w:right w:val="nil"/>
            </w:tcBorders>
            <w:vAlign w:val="center"/>
          </w:tcPr>
          <w:p w14:paraId="145F1CF1"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Food Retail </w:t>
            </w:r>
          </w:p>
          <w:p w14:paraId="2A62351E" w14:textId="7F199B13"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18)</w:t>
            </w:r>
          </w:p>
        </w:tc>
        <w:tc>
          <w:tcPr>
            <w:tcW w:w="1134" w:type="dxa"/>
            <w:tcBorders>
              <w:top w:val="single" w:sz="18" w:space="0" w:color="808080" w:themeColor="background1" w:themeShade="80"/>
              <w:left w:val="nil"/>
              <w:right w:val="nil"/>
            </w:tcBorders>
            <w:vAlign w:val="center"/>
          </w:tcPr>
          <w:p w14:paraId="1A3618F2" w14:textId="3EC6BE90"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35.8</w:t>
            </w:r>
          </w:p>
        </w:tc>
        <w:tc>
          <w:tcPr>
            <w:tcW w:w="5528" w:type="dxa"/>
            <w:tcBorders>
              <w:top w:val="single" w:sz="18" w:space="0" w:color="808080" w:themeColor="background1" w:themeShade="80"/>
              <w:left w:val="nil"/>
              <w:right w:val="nil"/>
            </w:tcBorders>
            <w:hideMark/>
          </w:tcPr>
          <w:p w14:paraId="688ED061" w14:textId="77777777" w:rsidR="00D7367A" w:rsidRPr="00B1222B" w:rsidRDefault="00D7367A"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p w14:paraId="3DD5F315" w14:textId="70A79868"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investigate the restrictions on the opening hours of fast food restaurants (e.g. amendment on the Licensing of Food Establishment By-Laws) and seek for opportunities to restrict the placement of new fast food outlets around schools and in residential areas.</w:t>
            </w:r>
          </w:p>
          <w:p w14:paraId="0F0B8F6C" w14:textId="3B657212" w:rsidR="00D7367A" w:rsidRPr="00B1222B" w:rsidRDefault="00D7367A"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top w:val="single" w:sz="18" w:space="0" w:color="808080" w:themeColor="background1" w:themeShade="80"/>
              <w:left w:val="nil"/>
              <w:right w:val="nil"/>
            </w:tcBorders>
            <w:shd w:val="clear" w:color="auto" w:fill="D9D9D9" w:themeFill="background1" w:themeFillShade="D9"/>
            <w:vAlign w:val="center"/>
            <w:hideMark/>
          </w:tcPr>
          <w:p w14:paraId="4989D57C"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265 (3.5)</w:t>
            </w:r>
          </w:p>
        </w:tc>
        <w:tc>
          <w:tcPr>
            <w:tcW w:w="686" w:type="dxa"/>
            <w:tcBorders>
              <w:top w:val="single" w:sz="18" w:space="0" w:color="808080" w:themeColor="background1" w:themeShade="80"/>
              <w:left w:val="nil"/>
              <w:right w:val="nil"/>
            </w:tcBorders>
            <w:shd w:val="clear" w:color="auto" w:fill="D9D9D9" w:themeFill="background1" w:themeFillShade="D9"/>
            <w:vAlign w:val="center"/>
            <w:hideMark/>
          </w:tcPr>
          <w:p w14:paraId="47CFD92D"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w:t>
            </w:r>
          </w:p>
        </w:tc>
        <w:tc>
          <w:tcPr>
            <w:tcW w:w="944" w:type="dxa"/>
            <w:tcBorders>
              <w:top w:val="single" w:sz="18" w:space="0" w:color="808080" w:themeColor="background1" w:themeShade="80"/>
              <w:left w:val="nil"/>
              <w:right w:val="nil"/>
            </w:tcBorders>
            <w:shd w:val="clear" w:color="auto" w:fill="D9D9D9" w:themeFill="background1" w:themeFillShade="D9"/>
            <w:vAlign w:val="center"/>
            <w:hideMark/>
          </w:tcPr>
          <w:p w14:paraId="0BCB791B"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7*</w:t>
            </w:r>
          </w:p>
        </w:tc>
      </w:tr>
      <w:tr w:rsidR="00B1222B" w:rsidRPr="00B1222B" w14:paraId="52C4135B" w14:textId="5776124B" w:rsidTr="00D7367A">
        <w:trPr>
          <w:trHeight w:val="48"/>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2CB57C2E" w14:textId="317B711F"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4969ADC7" w14:textId="2AD4944A"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PFI2</w:t>
            </w:r>
          </w:p>
        </w:tc>
        <w:tc>
          <w:tcPr>
            <w:tcW w:w="1701" w:type="dxa"/>
            <w:tcBorders>
              <w:top w:val="nil"/>
              <w:left w:val="nil"/>
              <w:bottom w:val="nil"/>
              <w:right w:val="nil"/>
            </w:tcBorders>
            <w:vAlign w:val="center"/>
          </w:tcPr>
          <w:p w14:paraId="53A95D06" w14:textId="69897B31"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Promotion (Indicator 8)</w:t>
            </w:r>
          </w:p>
        </w:tc>
        <w:tc>
          <w:tcPr>
            <w:tcW w:w="1134" w:type="dxa"/>
            <w:tcBorders>
              <w:top w:val="nil"/>
              <w:left w:val="nil"/>
              <w:bottom w:val="nil"/>
              <w:right w:val="nil"/>
            </w:tcBorders>
            <w:vAlign w:val="center"/>
          </w:tcPr>
          <w:p w14:paraId="2CAC41E8" w14:textId="5A4801AF"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35.8</w:t>
            </w:r>
          </w:p>
        </w:tc>
        <w:tc>
          <w:tcPr>
            <w:tcW w:w="5528" w:type="dxa"/>
            <w:tcBorders>
              <w:top w:val="nil"/>
              <w:left w:val="nil"/>
              <w:bottom w:val="nil"/>
              <w:right w:val="nil"/>
            </w:tcBorders>
            <w:hideMark/>
          </w:tcPr>
          <w:p w14:paraId="3FDB701B" w14:textId="77777777" w:rsidR="00D7367A" w:rsidRPr="00B1222B" w:rsidRDefault="00D7367A"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p w14:paraId="1CFD68D9" w14:textId="49DD0A28"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investigate policy options (e.g. regulation) to restrict non-broadcast marketing of unhealthy food and beverages to children.</w:t>
            </w:r>
          </w:p>
          <w:p w14:paraId="763C868D" w14:textId="53DB3E99" w:rsidR="00D7367A" w:rsidRPr="00B1222B" w:rsidRDefault="00D7367A"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tc>
        <w:tc>
          <w:tcPr>
            <w:tcW w:w="1347" w:type="dxa"/>
            <w:tcBorders>
              <w:top w:val="nil"/>
              <w:left w:val="nil"/>
              <w:bottom w:val="nil"/>
              <w:right w:val="nil"/>
            </w:tcBorders>
            <w:shd w:val="clear" w:color="auto" w:fill="D9D9D9" w:themeFill="background1" w:themeFillShade="D9"/>
            <w:vAlign w:val="center"/>
            <w:hideMark/>
          </w:tcPr>
          <w:p w14:paraId="0B02D892"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261 (3.4)</w:t>
            </w:r>
          </w:p>
        </w:tc>
        <w:tc>
          <w:tcPr>
            <w:tcW w:w="686" w:type="dxa"/>
            <w:tcBorders>
              <w:top w:val="nil"/>
              <w:left w:val="nil"/>
              <w:bottom w:val="nil"/>
              <w:right w:val="nil"/>
            </w:tcBorders>
            <w:shd w:val="clear" w:color="auto" w:fill="D9D9D9" w:themeFill="background1" w:themeFillShade="D9"/>
            <w:vAlign w:val="center"/>
            <w:hideMark/>
          </w:tcPr>
          <w:p w14:paraId="073B0A92"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w:t>
            </w:r>
          </w:p>
        </w:tc>
        <w:tc>
          <w:tcPr>
            <w:tcW w:w="944" w:type="dxa"/>
            <w:tcBorders>
              <w:top w:val="nil"/>
              <w:left w:val="nil"/>
              <w:bottom w:val="nil"/>
              <w:right w:val="nil"/>
            </w:tcBorders>
            <w:shd w:val="clear" w:color="auto" w:fill="D9D9D9" w:themeFill="background1" w:themeFillShade="D9"/>
            <w:vAlign w:val="center"/>
            <w:hideMark/>
          </w:tcPr>
          <w:p w14:paraId="7F1138FC"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10</w:t>
            </w:r>
          </w:p>
        </w:tc>
      </w:tr>
      <w:tr w:rsidR="00B1222B" w:rsidRPr="00B1222B" w14:paraId="6CCFCD12" w14:textId="4A5B449F" w:rsidTr="00D7367A">
        <w:trPr>
          <w:cnfStyle w:val="000000100000" w:firstRow="0" w:lastRow="0" w:firstColumn="0" w:lastColumn="0" w:oddVBand="0" w:evenVBand="0" w:oddHBand="1"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472774FB" w14:textId="38243DB2"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4FBFA2BD" w14:textId="5314CDD7"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PFI3</w:t>
            </w:r>
          </w:p>
        </w:tc>
        <w:tc>
          <w:tcPr>
            <w:tcW w:w="1701" w:type="dxa"/>
            <w:tcBorders>
              <w:left w:val="nil"/>
              <w:right w:val="nil"/>
            </w:tcBorders>
            <w:vAlign w:val="center"/>
          </w:tcPr>
          <w:p w14:paraId="19D86C55" w14:textId="17756C38"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Composition (Indicator 1)</w:t>
            </w:r>
          </w:p>
        </w:tc>
        <w:tc>
          <w:tcPr>
            <w:tcW w:w="1134" w:type="dxa"/>
            <w:tcBorders>
              <w:left w:val="nil"/>
              <w:right w:val="nil"/>
            </w:tcBorders>
            <w:vAlign w:val="center"/>
          </w:tcPr>
          <w:p w14:paraId="498F9722" w14:textId="0EC56B6D"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43.1</w:t>
            </w:r>
          </w:p>
        </w:tc>
        <w:tc>
          <w:tcPr>
            <w:tcW w:w="5528" w:type="dxa"/>
            <w:tcBorders>
              <w:left w:val="nil"/>
              <w:right w:val="nil"/>
            </w:tcBorders>
            <w:hideMark/>
          </w:tcPr>
          <w:p w14:paraId="26B21972" w14:textId="77777777" w:rsidR="00D7367A" w:rsidRPr="00B1222B" w:rsidRDefault="00D7367A"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p w14:paraId="231E76A8" w14:textId="606891E6"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investigate food composition standards in selected food groups for added sugar and saturated fats.</w:t>
            </w:r>
          </w:p>
          <w:p w14:paraId="05D31989" w14:textId="40AC0A93" w:rsidR="00D7367A" w:rsidRPr="00B1222B" w:rsidRDefault="00D7367A"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left w:val="nil"/>
              <w:right w:val="nil"/>
            </w:tcBorders>
            <w:shd w:val="clear" w:color="auto" w:fill="D9D9D9" w:themeFill="background1" w:themeFillShade="D9"/>
            <w:vAlign w:val="center"/>
            <w:hideMark/>
          </w:tcPr>
          <w:p w14:paraId="0E874D54"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259 (3.4)</w:t>
            </w:r>
          </w:p>
        </w:tc>
        <w:tc>
          <w:tcPr>
            <w:tcW w:w="686" w:type="dxa"/>
            <w:tcBorders>
              <w:left w:val="nil"/>
              <w:right w:val="nil"/>
            </w:tcBorders>
            <w:shd w:val="clear" w:color="auto" w:fill="D9D9D9" w:themeFill="background1" w:themeFillShade="D9"/>
            <w:vAlign w:val="center"/>
            <w:hideMark/>
          </w:tcPr>
          <w:p w14:paraId="77AE3799"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3</w:t>
            </w:r>
          </w:p>
        </w:tc>
        <w:tc>
          <w:tcPr>
            <w:tcW w:w="944" w:type="dxa"/>
            <w:tcBorders>
              <w:left w:val="nil"/>
              <w:right w:val="nil"/>
            </w:tcBorders>
            <w:shd w:val="clear" w:color="auto" w:fill="D9D9D9" w:themeFill="background1" w:themeFillShade="D9"/>
            <w:vAlign w:val="center"/>
            <w:hideMark/>
          </w:tcPr>
          <w:p w14:paraId="7197EF9A"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11</w:t>
            </w:r>
          </w:p>
        </w:tc>
      </w:tr>
      <w:tr w:rsidR="00B1222B" w:rsidRPr="00B1222B" w14:paraId="591FA6B6" w14:textId="697F716A" w:rsidTr="00D7367A">
        <w:trPr>
          <w:trHeight w:val="26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7AFB1B8E" w14:textId="0E4620A6"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0E5D05B5" w14:textId="44438634"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PFI4</w:t>
            </w:r>
          </w:p>
        </w:tc>
        <w:tc>
          <w:tcPr>
            <w:tcW w:w="1701" w:type="dxa"/>
            <w:tcBorders>
              <w:top w:val="nil"/>
              <w:left w:val="nil"/>
              <w:bottom w:val="nil"/>
              <w:right w:val="nil"/>
            </w:tcBorders>
            <w:vAlign w:val="center"/>
          </w:tcPr>
          <w:p w14:paraId="5956171B"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Food Prices </w:t>
            </w:r>
          </w:p>
          <w:p w14:paraId="6072F2CC" w14:textId="1FE618E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 10)</w:t>
            </w:r>
          </w:p>
        </w:tc>
        <w:tc>
          <w:tcPr>
            <w:tcW w:w="1134" w:type="dxa"/>
            <w:tcBorders>
              <w:top w:val="nil"/>
              <w:left w:val="nil"/>
              <w:bottom w:val="nil"/>
              <w:right w:val="nil"/>
            </w:tcBorders>
            <w:vAlign w:val="center"/>
          </w:tcPr>
          <w:p w14:paraId="0952F03E" w14:textId="71F7B250"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46.9</w:t>
            </w:r>
          </w:p>
        </w:tc>
        <w:tc>
          <w:tcPr>
            <w:tcW w:w="5528" w:type="dxa"/>
            <w:tcBorders>
              <w:top w:val="nil"/>
              <w:left w:val="nil"/>
              <w:bottom w:val="nil"/>
              <w:right w:val="nil"/>
            </w:tcBorders>
            <w:hideMark/>
          </w:tcPr>
          <w:p w14:paraId="680C2DB4" w14:textId="77777777" w:rsidR="00D7367A" w:rsidRPr="00B1222B" w:rsidRDefault="00D7367A"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p w14:paraId="32BAE0EC" w14:textId="1986EBAE"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investigate the price rises in fruit and vegetables and identify potential fiscal policies to address this increment.</w:t>
            </w:r>
          </w:p>
          <w:p w14:paraId="21B0B29E" w14:textId="62BAC8EC" w:rsidR="00D7367A" w:rsidRPr="00B1222B" w:rsidRDefault="00D7367A"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tc>
        <w:tc>
          <w:tcPr>
            <w:tcW w:w="1347" w:type="dxa"/>
            <w:tcBorders>
              <w:top w:val="nil"/>
              <w:left w:val="nil"/>
              <w:bottom w:val="nil"/>
              <w:right w:val="nil"/>
            </w:tcBorders>
            <w:shd w:val="clear" w:color="auto" w:fill="D9D9D9" w:themeFill="background1" w:themeFillShade="D9"/>
            <w:vAlign w:val="center"/>
            <w:hideMark/>
          </w:tcPr>
          <w:p w14:paraId="12C12447"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253 (3.3)</w:t>
            </w:r>
          </w:p>
        </w:tc>
        <w:tc>
          <w:tcPr>
            <w:tcW w:w="686" w:type="dxa"/>
            <w:tcBorders>
              <w:top w:val="nil"/>
              <w:left w:val="nil"/>
              <w:bottom w:val="nil"/>
              <w:right w:val="nil"/>
            </w:tcBorders>
            <w:shd w:val="clear" w:color="auto" w:fill="D9D9D9" w:themeFill="background1" w:themeFillShade="D9"/>
            <w:vAlign w:val="center"/>
            <w:hideMark/>
          </w:tcPr>
          <w:p w14:paraId="16997935"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4</w:t>
            </w:r>
          </w:p>
        </w:tc>
        <w:tc>
          <w:tcPr>
            <w:tcW w:w="944" w:type="dxa"/>
            <w:tcBorders>
              <w:top w:val="nil"/>
              <w:left w:val="nil"/>
              <w:bottom w:val="nil"/>
              <w:right w:val="nil"/>
            </w:tcBorders>
            <w:shd w:val="clear" w:color="auto" w:fill="D9D9D9" w:themeFill="background1" w:themeFillShade="D9"/>
            <w:vAlign w:val="center"/>
            <w:hideMark/>
          </w:tcPr>
          <w:p w14:paraId="18CBAFB0"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13</w:t>
            </w:r>
          </w:p>
        </w:tc>
      </w:tr>
      <w:tr w:rsidR="00B1222B" w:rsidRPr="00B1222B" w14:paraId="3768A7AF" w14:textId="76F71E93" w:rsidTr="00D7367A">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2E4B81AA" w14:textId="71DAEF20"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21BA1FAA" w14:textId="7309DF32"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PFI5</w:t>
            </w:r>
          </w:p>
        </w:tc>
        <w:tc>
          <w:tcPr>
            <w:tcW w:w="1701" w:type="dxa"/>
            <w:tcBorders>
              <w:left w:val="nil"/>
              <w:right w:val="nil"/>
            </w:tcBorders>
            <w:vAlign w:val="center"/>
          </w:tcPr>
          <w:p w14:paraId="14D3AE23" w14:textId="4F02302A"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Provision (Indicators 14-17)</w:t>
            </w:r>
          </w:p>
        </w:tc>
        <w:tc>
          <w:tcPr>
            <w:tcW w:w="1134" w:type="dxa"/>
            <w:tcBorders>
              <w:left w:val="nil"/>
              <w:right w:val="nil"/>
            </w:tcBorders>
            <w:vAlign w:val="center"/>
          </w:tcPr>
          <w:p w14:paraId="5223B225" w14:textId="4F503C73"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53.8</w:t>
            </w:r>
          </w:p>
        </w:tc>
        <w:tc>
          <w:tcPr>
            <w:tcW w:w="5528" w:type="dxa"/>
            <w:tcBorders>
              <w:left w:val="nil"/>
              <w:right w:val="nil"/>
            </w:tcBorders>
            <w:hideMark/>
          </w:tcPr>
          <w:p w14:paraId="79BE06F5" w14:textId="77777777" w:rsidR="00D7367A" w:rsidRPr="00B1222B" w:rsidRDefault="00D7367A"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p w14:paraId="103E1054" w14:textId="2CA60FEF"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measure the degree of implementation and reach of its various policies and programmes to support the provision of healthy food in ECEs/schools and other public and private sector organisations.</w:t>
            </w:r>
          </w:p>
          <w:p w14:paraId="7C5D8C7A" w14:textId="465399BF" w:rsidR="00D7367A" w:rsidRPr="00B1222B" w:rsidRDefault="00D7367A"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left w:val="nil"/>
              <w:right w:val="nil"/>
            </w:tcBorders>
            <w:shd w:val="clear" w:color="auto" w:fill="D9D9D9" w:themeFill="background1" w:themeFillShade="D9"/>
            <w:vAlign w:val="center"/>
            <w:hideMark/>
          </w:tcPr>
          <w:p w14:paraId="2BE32EB7"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236 (3.1)</w:t>
            </w:r>
          </w:p>
        </w:tc>
        <w:tc>
          <w:tcPr>
            <w:tcW w:w="686" w:type="dxa"/>
            <w:tcBorders>
              <w:left w:val="nil"/>
              <w:right w:val="nil"/>
            </w:tcBorders>
            <w:shd w:val="clear" w:color="auto" w:fill="D9D9D9" w:themeFill="background1" w:themeFillShade="D9"/>
            <w:vAlign w:val="center"/>
            <w:hideMark/>
          </w:tcPr>
          <w:p w14:paraId="4583E8D7"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5</w:t>
            </w:r>
          </w:p>
        </w:tc>
        <w:tc>
          <w:tcPr>
            <w:tcW w:w="944" w:type="dxa"/>
            <w:tcBorders>
              <w:left w:val="nil"/>
              <w:right w:val="nil"/>
            </w:tcBorders>
            <w:shd w:val="clear" w:color="auto" w:fill="D9D9D9" w:themeFill="background1" w:themeFillShade="D9"/>
            <w:vAlign w:val="center"/>
            <w:hideMark/>
          </w:tcPr>
          <w:p w14:paraId="70884915"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17</w:t>
            </w:r>
          </w:p>
        </w:tc>
      </w:tr>
      <w:tr w:rsidR="00B1222B" w:rsidRPr="00B1222B" w14:paraId="64404D43" w14:textId="61C42B21" w:rsidTr="00D7367A">
        <w:trPr>
          <w:trHeight w:val="44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44F5C48F" w14:textId="081233BC"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nil"/>
              <w:right w:val="nil"/>
            </w:tcBorders>
            <w:vAlign w:val="center"/>
            <w:hideMark/>
          </w:tcPr>
          <w:p w14:paraId="23826F94" w14:textId="7992E4C6"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PFI6</w:t>
            </w:r>
          </w:p>
        </w:tc>
        <w:tc>
          <w:tcPr>
            <w:tcW w:w="1701" w:type="dxa"/>
            <w:tcBorders>
              <w:top w:val="nil"/>
              <w:left w:val="nil"/>
              <w:bottom w:val="nil"/>
              <w:right w:val="nil"/>
            </w:tcBorders>
            <w:vAlign w:val="center"/>
          </w:tcPr>
          <w:p w14:paraId="0EC42AC0" w14:textId="542BF9D1"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Composition (Indicator 2)</w:t>
            </w:r>
          </w:p>
        </w:tc>
        <w:tc>
          <w:tcPr>
            <w:tcW w:w="1134" w:type="dxa"/>
            <w:tcBorders>
              <w:top w:val="nil"/>
              <w:left w:val="nil"/>
              <w:bottom w:val="nil"/>
              <w:right w:val="nil"/>
            </w:tcBorders>
            <w:vAlign w:val="center"/>
          </w:tcPr>
          <w:p w14:paraId="562BC12D" w14:textId="361BB24D"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34.2</w:t>
            </w:r>
          </w:p>
        </w:tc>
        <w:tc>
          <w:tcPr>
            <w:tcW w:w="5528" w:type="dxa"/>
            <w:tcBorders>
              <w:top w:val="nil"/>
              <w:left w:val="nil"/>
              <w:bottom w:val="nil"/>
              <w:right w:val="nil"/>
            </w:tcBorders>
            <w:hideMark/>
          </w:tcPr>
          <w:p w14:paraId="367F048E" w14:textId="77777777" w:rsidR="00D7367A" w:rsidRPr="00B1222B" w:rsidRDefault="00D7367A"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p w14:paraId="4AB5CC25" w14:textId="0A1DDB9E"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 xml:space="preserve">The government should conduct situational analyses of the top '10' popular out-of-home meals (which includes </w:t>
            </w:r>
            <w:r w:rsidRPr="00B1222B">
              <w:rPr>
                <w:rFonts w:ascii="Arial" w:eastAsia="Times New Roman" w:hAnsi="Arial" w:cs="Arial"/>
                <w:i/>
                <w:sz w:val="16"/>
                <w:szCs w:val="20"/>
                <w:lang w:val="en-GB"/>
              </w:rPr>
              <w:t>mamak</w:t>
            </w:r>
            <w:r w:rsidRPr="00B1222B">
              <w:rPr>
                <w:rFonts w:ascii="Arial" w:eastAsia="Times New Roman" w:hAnsi="Arial" w:cs="Arial"/>
                <w:sz w:val="16"/>
                <w:szCs w:val="20"/>
                <w:lang w:val="en-GB"/>
              </w:rPr>
              <w:t xml:space="preserve">, hawker stands, fast food outlets etc.) and collect food samples, food composition analyses and recipe construction to identify key ingredients relating to total fat, sugar and salt in order to influence the composition of foods towards healthier profiles. </w:t>
            </w:r>
          </w:p>
          <w:p w14:paraId="5DFF3B22" w14:textId="4D04C2E6" w:rsidR="00D7367A" w:rsidRPr="00B1222B" w:rsidRDefault="00D7367A"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tc>
        <w:tc>
          <w:tcPr>
            <w:tcW w:w="1347" w:type="dxa"/>
            <w:tcBorders>
              <w:top w:val="nil"/>
              <w:left w:val="nil"/>
              <w:bottom w:val="nil"/>
              <w:right w:val="nil"/>
            </w:tcBorders>
            <w:shd w:val="clear" w:color="auto" w:fill="D9D9D9" w:themeFill="background1" w:themeFillShade="D9"/>
            <w:vAlign w:val="center"/>
            <w:hideMark/>
          </w:tcPr>
          <w:p w14:paraId="238C744D"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226 (2.9)</w:t>
            </w:r>
          </w:p>
        </w:tc>
        <w:tc>
          <w:tcPr>
            <w:tcW w:w="686" w:type="dxa"/>
            <w:tcBorders>
              <w:top w:val="nil"/>
              <w:left w:val="nil"/>
              <w:bottom w:val="nil"/>
              <w:right w:val="nil"/>
            </w:tcBorders>
            <w:shd w:val="clear" w:color="auto" w:fill="D9D9D9" w:themeFill="background1" w:themeFillShade="D9"/>
            <w:vAlign w:val="center"/>
            <w:hideMark/>
          </w:tcPr>
          <w:p w14:paraId="5E56657E"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6</w:t>
            </w:r>
          </w:p>
        </w:tc>
        <w:tc>
          <w:tcPr>
            <w:tcW w:w="944" w:type="dxa"/>
            <w:tcBorders>
              <w:top w:val="nil"/>
              <w:left w:val="nil"/>
              <w:bottom w:val="nil"/>
              <w:right w:val="nil"/>
            </w:tcBorders>
            <w:shd w:val="clear" w:color="auto" w:fill="D9D9D9" w:themeFill="background1" w:themeFillShade="D9"/>
            <w:vAlign w:val="center"/>
            <w:hideMark/>
          </w:tcPr>
          <w:p w14:paraId="33808377"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23</w:t>
            </w:r>
          </w:p>
        </w:tc>
      </w:tr>
      <w:tr w:rsidR="00B1222B" w:rsidRPr="00B1222B" w14:paraId="79B6537F" w14:textId="446F9747" w:rsidTr="00D7367A">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right w:val="nil"/>
            </w:tcBorders>
            <w:vAlign w:val="center"/>
            <w:hideMark/>
          </w:tcPr>
          <w:p w14:paraId="11E0E5CC" w14:textId="77777777"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7BDC9082" w14:textId="4A7BB84C"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PFI7</w:t>
            </w:r>
          </w:p>
        </w:tc>
        <w:tc>
          <w:tcPr>
            <w:tcW w:w="1701" w:type="dxa"/>
            <w:tcBorders>
              <w:left w:val="nil"/>
              <w:right w:val="nil"/>
            </w:tcBorders>
            <w:vAlign w:val="center"/>
          </w:tcPr>
          <w:p w14:paraId="64739719" w14:textId="5F93F29C"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Prices (Indicators 12-13)</w:t>
            </w:r>
          </w:p>
        </w:tc>
        <w:tc>
          <w:tcPr>
            <w:tcW w:w="1134" w:type="dxa"/>
            <w:tcBorders>
              <w:left w:val="nil"/>
              <w:right w:val="nil"/>
            </w:tcBorders>
            <w:vAlign w:val="center"/>
          </w:tcPr>
          <w:p w14:paraId="4EFE5F95" w14:textId="49CF452E"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54.8</w:t>
            </w:r>
          </w:p>
        </w:tc>
        <w:tc>
          <w:tcPr>
            <w:tcW w:w="5528" w:type="dxa"/>
            <w:tcBorders>
              <w:left w:val="nil"/>
              <w:right w:val="nil"/>
            </w:tcBorders>
            <w:hideMark/>
          </w:tcPr>
          <w:p w14:paraId="72DD9FBF" w14:textId="77777777" w:rsidR="00D7367A" w:rsidRPr="00B1222B" w:rsidRDefault="00D7367A"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p w14:paraId="6221FD71" w14:textId="0188A990"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 xml:space="preserve">The government should investigate policy options to provide healthy foods (e.g. food coupon as part of </w:t>
            </w:r>
            <w:proofErr w:type="spellStart"/>
            <w:r w:rsidRPr="00B1222B">
              <w:rPr>
                <w:rFonts w:ascii="Arial" w:eastAsia="Times New Roman" w:hAnsi="Arial" w:cs="Arial"/>
                <w:i/>
                <w:sz w:val="16"/>
                <w:szCs w:val="20"/>
                <w:lang w:val="en-GB"/>
              </w:rPr>
              <w:t>Bantuan</w:t>
            </w:r>
            <w:proofErr w:type="spellEnd"/>
            <w:r w:rsidRPr="00B1222B">
              <w:rPr>
                <w:rFonts w:ascii="Arial" w:eastAsia="Times New Roman" w:hAnsi="Arial" w:cs="Arial"/>
                <w:i/>
                <w:sz w:val="16"/>
                <w:szCs w:val="20"/>
                <w:lang w:val="en-GB"/>
              </w:rPr>
              <w:t xml:space="preserve"> Rakyat 1Malaysia</w:t>
            </w:r>
            <w:r w:rsidRPr="00B1222B">
              <w:rPr>
                <w:rFonts w:ascii="Arial" w:eastAsia="Times New Roman" w:hAnsi="Arial" w:cs="Arial"/>
                <w:sz w:val="16"/>
                <w:szCs w:val="20"/>
                <w:lang w:val="en-GB"/>
              </w:rPr>
              <w:t xml:space="preserve"> (BR1M) for fresh fruits and vegetables, high fibre foods such as wholegrain products, low fat, sugar and sodium foods) to vulnerable groups including urban poor. </w:t>
            </w:r>
          </w:p>
          <w:p w14:paraId="57A0BD6B" w14:textId="265D3E0B" w:rsidR="00D7367A" w:rsidRPr="00B1222B" w:rsidRDefault="00D7367A"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p>
        </w:tc>
        <w:tc>
          <w:tcPr>
            <w:tcW w:w="1347" w:type="dxa"/>
            <w:tcBorders>
              <w:left w:val="nil"/>
              <w:right w:val="nil"/>
            </w:tcBorders>
            <w:shd w:val="clear" w:color="auto" w:fill="D9D9D9" w:themeFill="background1" w:themeFillShade="D9"/>
            <w:vAlign w:val="center"/>
            <w:hideMark/>
          </w:tcPr>
          <w:p w14:paraId="4C8F84D1"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223 (2.9)</w:t>
            </w:r>
          </w:p>
        </w:tc>
        <w:tc>
          <w:tcPr>
            <w:tcW w:w="686" w:type="dxa"/>
            <w:tcBorders>
              <w:left w:val="nil"/>
              <w:right w:val="nil"/>
            </w:tcBorders>
            <w:shd w:val="clear" w:color="auto" w:fill="D9D9D9" w:themeFill="background1" w:themeFillShade="D9"/>
            <w:vAlign w:val="center"/>
            <w:hideMark/>
          </w:tcPr>
          <w:p w14:paraId="38E722B0"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7</w:t>
            </w:r>
          </w:p>
        </w:tc>
        <w:tc>
          <w:tcPr>
            <w:tcW w:w="944" w:type="dxa"/>
            <w:tcBorders>
              <w:left w:val="nil"/>
              <w:right w:val="nil"/>
            </w:tcBorders>
            <w:shd w:val="clear" w:color="auto" w:fill="D9D9D9" w:themeFill="background1" w:themeFillShade="D9"/>
            <w:vAlign w:val="center"/>
            <w:hideMark/>
          </w:tcPr>
          <w:p w14:paraId="162A8ED6"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25</w:t>
            </w:r>
          </w:p>
        </w:tc>
      </w:tr>
      <w:tr w:rsidR="00B1222B" w:rsidRPr="00B1222B" w14:paraId="4523A0D4" w14:textId="3379F160" w:rsidTr="00D7367A">
        <w:trPr>
          <w:trHeight w:val="449"/>
          <w:jc w:val="center"/>
        </w:trPr>
        <w:tc>
          <w:tcPr>
            <w:cnfStyle w:val="001000000000" w:firstRow="0" w:lastRow="0" w:firstColumn="1" w:lastColumn="0" w:oddVBand="0" w:evenVBand="0" w:oddHBand="0" w:evenHBand="0" w:firstRowFirstColumn="0" w:firstRowLastColumn="0" w:lastRowFirstColumn="0" w:lastRowLastColumn="0"/>
            <w:tcW w:w="709" w:type="dxa"/>
            <w:vMerge/>
            <w:tcBorders>
              <w:left w:val="nil"/>
              <w:bottom w:val="single" w:sz="18" w:space="0" w:color="808080" w:themeColor="background1" w:themeShade="80"/>
              <w:right w:val="nil"/>
            </w:tcBorders>
            <w:vAlign w:val="center"/>
            <w:hideMark/>
          </w:tcPr>
          <w:p w14:paraId="62AE3256" w14:textId="77777777" w:rsidR="00904568" w:rsidRPr="00B1222B" w:rsidRDefault="00904568" w:rsidP="00AF6593">
            <w:pPr>
              <w:rPr>
                <w:rFonts w:ascii="Arial" w:eastAsia="Times New Roman" w:hAnsi="Arial" w:cs="Arial"/>
                <w:sz w:val="16"/>
                <w:szCs w:val="20"/>
                <w:lang w:val="en-GB"/>
              </w:rPr>
            </w:pPr>
          </w:p>
        </w:tc>
        <w:tc>
          <w:tcPr>
            <w:tcW w:w="851" w:type="dxa"/>
            <w:tcBorders>
              <w:top w:val="nil"/>
              <w:left w:val="nil"/>
              <w:bottom w:val="single" w:sz="18" w:space="0" w:color="808080" w:themeColor="background1" w:themeShade="80"/>
              <w:right w:val="nil"/>
            </w:tcBorders>
            <w:vAlign w:val="center"/>
            <w:hideMark/>
          </w:tcPr>
          <w:p w14:paraId="4FCDE92E" w14:textId="66BA7391"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PFI8</w:t>
            </w:r>
          </w:p>
        </w:tc>
        <w:tc>
          <w:tcPr>
            <w:tcW w:w="1701" w:type="dxa"/>
            <w:tcBorders>
              <w:top w:val="nil"/>
              <w:left w:val="nil"/>
              <w:bottom w:val="single" w:sz="18" w:space="0" w:color="808080" w:themeColor="background1" w:themeShade="80"/>
              <w:right w:val="nil"/>
            </w:tcBorders>
            <w:vAlign w:val="center"/>
          </w:tcPr>
          <w:p w14:paraId="5A22BA68"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66D5F4A"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17391AE" w14:textId="0B304901"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Food Trade &amp; Investments </w:t>
            </w:r>
          </w:p>
          <w:p w14:paraId="2263C2E6"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(Indicator 23)</w:t>
            </w:r>
          </w:p>
          <w:p w14:paraId="62843A08"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p>
          <w:p w14:paraId="49F4BD81" w14:textId="32FEA16D"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p>
        </w:tc>
        <w:tc>
          <w:tcPr>
            <w:tcW w:w="1134" w:type="dxa"/>
            <w:tcBorders>
              <w:top w:val="nil"/>
              <w:left w:val="nil"/>
              <w:bottom w:val="single" w:sz="18" w:space="0" w:color="808080" w:themeColor="background1" w:themeShade="80"/>
              <w:right w:val="nil"/>
            </w:tcBorders>
            <w:vAlign w:val="center"/>
          </w:tcPr>
          <w:p w14:paraId="63D33CA2" w14:textId="5416470F"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43.5</w:t>
            </w:r>
          </w:p>
        </w:tc>
        <w:tc>
          <w:tcPr>
            <w:tcW w:w="5528" w:type="dxa"/>
            <w:tcBorders>
              <w:top w:val="nil"/>
              <w:left w:val="nil"/>
              <w:bottom w:val="single" w:sz="18" w:space="0" w:color="808080" w:themeColor="background1" w:themeShade="80"/>
              <w:right w:val="nil"/>
            </w:tcBorders>
            <w:hideMark/>
          </w:tcPr>
          <w:p w14:paraId="7BC83A06" w14:textId="77777777"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p w14:paraId="36081F5A" w14:textId="3B46698F" w:rsidR="00904568" w:rsidRPr="00B1222B" w:rsidRDefault="00904568"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investigate the opportunities to ensure that the provisions are in place in trade investment analysis (TIAs) to protect the policy space for food and nutrition-related policies.</w:t>
            </w:r>
          </w:p>
          <w:p w14:paraId="29775EAE" w14:textId="3805151F" w:rsidR="00D7367A" w:rsidRPr="00B1222B" w:rsidRDefault="00D7367A" w:rsidP="00AF6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p>
        </w:tc>
        <w:tc>
          <w:tcPr>
            <w:tcW w:w="1347" w:type="dxa"/>
            <w:tcBorders>
              <w:top w:val="nil"/>
              <w:left w:val="nil"/>
              <w:bottom w:val="single" w:sz="18" w:space="0" w:color="808080" w:themeColor="background1" w:themeShade="80"/>
              <w:right w:val="nil"/>
            </w:tcBorders>
            <w:shd w:val="clear" w:color="auto" w:fill="D9D9D9" w:themeFill="background1" w:themeFillShade="D9"/>
            <w:vAlign w:val="center"/>
            <w:hideMark/>
          </w:tcPr>
          <w:p w14:paraId="6378124D"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197 (2.6)</w:t>
            </w:r>
          </w:p>
        </w:tc>
        <w:tc>
          <w:tcPr>
            <w:tcW w:w="686" w:type="dxa"/>
            <w:tcBorders>
              <w:top w:val="nil"/>
              <w:left w:val="nil"/>
              <w:bottom w:val="single" w:sz="18" w:space="0" w:color="808080" w:themeColor="background1" w:themeShade="80"/>
              <w:right w:val="nil"/>
            </w:tcBorders>
            <w:shd w:val="clear" w:color="auto" w:fill="D9D9D9" w:themeFill="background1" w:themeFillShade="D9"/>
            <w:vAlign w:val="center"/>
            <w:hideMark/>
          </w:tcPr>
          <w:p w14:paraId="1062ECB1"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8</w:t>
            </w:r>
          </w:p>
        </w:tc>
        <w:tc>
          <w:tcPr>
            <w:tcW w:w="944" w:type="dxa"/>
            <w:tcBorders>
              <w:top w:val="nil"/>
              <w:left w:val="nil"/>
              <w:bottom w:val="single" w:sz="18" w:space="0" w:color="808080" w:themeColor="background1" w:themeShade="80"/>
              <w:right w:val="nil"/>
            </w:tcBorders>
            <w:shd w:val="clear" w:color="auto" w:fill="D9D9D9" w:themeFill="background1" w:themeFillShade="D9"/>
            <w:vAlign w:val="center"/>
            <w:hideMark/>
          </w:tcPr>
          <w:p w14:paraId="3E1EF82D"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30</w:t>
            </w:r>
          </w:p>
        </w:tc>
      </w:tr>
      <w:tr w:rsidR="00B1222B" w:rsidRPr="00B1222B" w14:paraId="2A33265C" w14:textId="3B72F343" w:rsidTr="00D7367A">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8" w:space="0" w:color="808080" w:themeColor="background1" w:themeShade="80"/>
              <w:left w:val="nil"/>
              <w:bottom w:val="single" w:sz="18" w:space="0" w:color="808080" w:themeColor="background1" w:themeShade="80"/>
              <w:right w:val="nil"/>
            </w:tcBorders>
            <w:textDirection w:val="btLr"/>
            <w:hideMark/>
          </w:tcPr>
          <w:p w14:paraId="02DDADA0" w14:textId="48D049DE" w:rsidR="00904568" w:rsidRPr="00B1222B" w:rsidRDefault="006E4D72" w:rsidP="00AF6593">
            <w:pPr>
              <w:ind w:left="113" w:right="113"/>
              <w:jc w:val="center"/>
              <w:rPr>
                <w:rFonts w:ascii="Arial" w:eastAsia="Times New Roman" w:hAnsi="Arial" w:cs="Arial"/>
                <w:bCs w:val="0"/>
                <w:sz w:val="16"/>
                <w:szCs w:val="20"/>
                <w:lang w:val="en-GB"/>
              </w:rPr>
            </w:pPr>
            <w:r w:rsidRPr="00B1222B">
              <w:rPr>
                <w:rFonts w:ascii="Arial" w:eastAsia="Times New Roman" w:hAnsi="Arial" w:cs="Arial"/>
                <w:b w:val="0"/>
                <w:sz w:val="16"/>
                <w:szCs w:val="20"/>
                <w:lang w:val="en-GB"/>
              </w:rPr>
              <w:lastRenderedPageBreak/>
              <w:t>Fourth Pillar – "</w:t>
            </w:r>
            <w:r w:rsidR="00904568" w:rsidRPr="00B1222B">
              <w:rPr>
                <w:rFonts w:ascii="Arial" w:eastAsia="Times New Roman" w:hAnsi="Arial" w:cs="Arial"/>
                <w:b w:val="0"/>
                <w:sz w:val="16"/>
                <w:szCs w:val="20"/>
                <w:lang w:val="en-GB"/>
              </w:rPr>
              <w:t>Prioritise Conditions for Planned Policies</w:t>
            </w:r>
            <w:r w:rsidRPr="00B1222B">
              <w:rPr>
                <w:rFonts w:ascii="Arial" w:eastAsia="Times New Roman" w:hAnsi="Arial" w:cs="Arial"/>
                <w:b w:val="0"/>
                <w:sz w:val="16"/>
                <w:szCs w:val="20"/>
                <w:lang w:val="en-GB"/>
              </w:rPr>
              <w:t>"</w:t>
            </w:r>
            <w:r w:rsidR="00904568" w:rsidRPr="00B1222B">
              <w:rPr>
                <w:rFonts w:ascii="Arial" w:eastAsia="Times New Roman" w:hAnsi="Arial" w:cs="Arial"/>
                <w:b w:val="0"/>
                <w:sz w:val="16"/>
                <w:szCs w:val="20"/>
                <w:lang w:val="en-GB"/>
              </w:rPr>
              <w:t xml:space="preserve"> (PCPP)</w:t>
            </w:r>
          </w:p>
        </w:tc>
        <w:tc>
          <w:tcPr>
            <w:tcW w:w="851" w:type="dxa"/>
            <w:tcBorders>
              <w:top w:val="single" w:sz="18" w:space="0" w:color="808080" w:themeColor="background1" w:themeShade="80"/>
              <w:left w:val="nil"/>
              <w:right w:val="nil"/>
            </w:tcBorders>
            <w:vAlign w:val="center"/>
            <w:hideMark/>
          </w:tcPr>
          <w:p w14:paraId="0D5A86FB" w14:textId="145D2336"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PCPP1</w:t>
            </w:r>
          </w:p>
        </w:tc>
        <w:tc>
          <w:tcPr>
            <w:tcW w:w="1701" w:type="dxa"/>
            <w:tcBorders>
              <w:top w:val="single" w:sz="18" w:space="0" w:color="808080" w:themeColor="background1" w:themeShade="80"/>
              <w:left w:val="nil"/>
              <w:right w:val="nil"/>
            </w:tcBorders>
            <w:vAlign w:val="center"/>
          </w:tcPr>
          <w:p w14:paraId="7EC5B86C" w14:textId="75B0E290"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Food Labelling (Indicator 3)</w:t>
            </w:r>
          </w:p>
        </w:tc>
        <w:tc>
          <w:tcPr>
            <w:tcW w:w="1134" w:type="dxa"/>
            <w:tcBorders>
              <w:top w:val="single" w:sz="18" w:space="0" w:color="808080" w:themeColor="background1" w:themeShade="80"/>
              <w:left w:val="nil"/>
              <w:right w:val="nil"/>
            </w:tcBorders>
            <w:vAlign w:val="center"/>
          </w:tcPr>
          <w:p w14:paraId="14F4182C" w14:textId="1DF09F88"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61.2</w:t>
            </w:r>
          </w:p>
        </w:tc>
        <w:tc>
          <w:tcPr>
            <w:tcW w:w="5528" w:type="dxa"/>
            <w:tcBorders>
              <w:top w:val="single" w:sz="18" w:space="0" w:color="808080" w:themeColor="background1" w:themeShade="80"/>
              <w:left w:val="nil"/>
              <w:right w:val="nil"/>
            </w:tcBorders>
            <w:hideMark/>
          </w:tcPr>
          <w:p w14:paraId="64F8F2F9" w14:textId="39C9FCCD" w:rsidR="00904568" w:rsidRPr="00B1222B" w:rsidRDefault="00904568" w:rsidP="00AF6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implement planned regulations on mandatory nutrition labelling (sodium and total sugar) and quantitative ingredient declarations, as well as to broaden the declaration to include added sugars in the nutrient label.</w:t>
            </w:r>
          </w:p>
        </w:tc>
        <w:tc>
          <w:tcPr>
            <w:tcW w:w="1347" w:type="dxa"/>
            <w:tcBorders>
              <w:top w:val="single" w:sz="18" w:space="0" w:color="808080" w:themeColor="background1" w:themeShade="80"/>
              <w:left w:val="nil"/>
              <w:right w:val="nil"/>
            </w:tcBorders>
            <w:shd w:val="clear" w:color="auto" w:fill="D9D9D9" w:themeFill="background1" w:themeFillShade="D9"/>
            <w:vAlign w:val="center"/>
            <w:hideMark/>
          </w:tcPr>
          <w:p w14:paraId="3D8E163F"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279 (3.6)</w:t>
            </w:r>
          </w:p>
        </w:tc>
        <w:tc>
          <w:tcPr>
            <w:tcW w:w="686" w:type="dxa"/>
            <w:tcBorders>
              <w:top w:val="single" w:sz="18" w:space="0" w:color="808080" w:themeColor="background1" w:themeShade="80"/>
              <w:left w:val="nil"/>
              <w:right w:val="nil"/>
            </w:tcBorders>
            <w:shd w:val="clear" w:color="auto" w:fill="D9D9D9" w:themeFill="background1" w:themeFillShade="D9"/>
            <w:vAlign w:val="center"/>
            <w:hideMark/>
          </w:tcPr>
          <w:p w14:paraId="0EF835EC"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w:t>
            </w:r>
          </w:p>
        </w:tc>
        <w:tc>
          <w:tcPr>
            <w:tcW w:w="944" w:type="dxa"/>
            <w:tcBorders>
              <w:top w:val="single" w:sz="18" w:space="0" w:color="808080" w:themeColor="background1" w:themeShade="80"/>
              <w:left w:val="nil"/>
              <w:right w:val="nil"/>
            </w:tcBorders>
            <w:shd w:val="clear" w:color="auto" w:fill="D9D9D9" w:themeFill="background1" w:themeFillShade="D9"/>
            <w:vAlign w:val="center"/>
            <w:hideMark/>
          </w:tcPr>
          <w:p w14:paraId="633959B3"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w:t>
            </w:r>
          </w:p>
        </w:tc>
      </w:tr>
      <w:tr w:rsidR="00B1222B" w:rsidRPr="00B1222B" w14:paraId="5584CC2B" w14:textId="2F9998BF" w:rsidTr="00D7367A">
        <w:trPr>
          <w:trHeight w:val="359"/>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07535458" w14:textId="77777777" w:rsidR="00904568" w:rsidRPr="00B1222B" w:rsidRDefault="00904568" w:rsidP="00AF6593">
            <w:pPr>
              <w:rPr>
                <w:rFonts w:ascii="Arial" w:eastAsia="Times New Roman" w:hAnsi="Arial" w:cs="Arial"/>
                <w:sz w:val="16"/>
                <w:szCs w:val="20"/>
                <w:lang w:val="en-GB"/>
              </w:rPr>
            </w:pPr>
          </w:p>
        </w:tc>
        <w:tc>
          <w:tcPr>
            <w:tcW w:w="851" w:type="dxa"/>
            <w:tcBorders>
              <w:top w:val="single" w:sz="4" w:space="0" w:color="7F7F7F" w:themeColor="text1" w:themeTint="80"/>
              <w:left w:val="nil"/>
              <w:bottom w:val="single" w:sz="4" w:space="0" w:color="7F7F7F" w:themeColor="text1" w:themeTint="80"/>
              <w:right w:val="nil"/>
            </w:tcBorders>
            <w:vAlign w:val="center"/>
            <w:hideMark/>
          </w:tcPr>
          <w:p w14:paraId="22D75AEF" w14:textId="531EF648" w:rsidR="00904568" w:rsidRPr="00B1222B" w:rsidRDefault="00904568" w:rsidP="00AF65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PCPP2</w:t>
            </w:r>
          </w:p>
        </w:tc>
        <w:tc>
          <w:tcPr>
            <w:tcW w:w="1701" w:type="dxa"/>
            <w:tcBorders>
              <w:top w:val="single" w:sz="4" w:space="0" w:color="7F7F7F" w:themeColor="text1" w:themeTint="80"/>
              <w:left w:val="nil"/>
              <w:bottom w:val="single" w:sz="4" w:space="0" w:color="7F7F7F" w:themeColor="text1" w:themeTint="80"/>
              <w:right w:val="nil"/>
            </w:tcBorders>
            <w:vAlign w:val="center"/>
          </w:tcPr>
          <w:p w14:paraId="0DE02ADF"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Monitoring &amp; Intelligence</w:t>
            </w:r>
          </w:p>
          <w:p w14:paraId="152B9567" w14:textId="2B9F006D"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(Indicators 33-34, 36, 38)</w:t>
            </w:r>
          </w:p>
        </w:tc>
        <w:tc>
          <w:tcPr>
            <w:tcW w:w="1134" w:type="dxa"/>
            <w:tcBorders>
              <w:top w:val="single" w:sz="4" w:space="0" w:color="7F7F7F" w:themeColor="text1" w:themeTint="80"/>
              <w:left w:val="nil"/>
              <w:bottom w:val="single" w:sz="4" w:space="0" w:color="7F7F7F" w:themeColor="text1" w:themeTint="80"/>
              <w:right w:val="nil"/>
            </w:tcBorders>
            <w:vAlign w:val="center"/>
          </w:tcPr>
          <w:p w14:paraId="5F037EA6" w14:textId="2A212C41" w:rsidR="00904568" w:rsidRPr="00B1222B" w:rsidRDefault="00904568" w:rsidP="00AF65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57.3</w:t>
            </w:r>
          </w:p>
        </w:tc>
        <w:tc>
          <w:tcPr>
            <w:tcW w:w="5528" w:type="dxa"/>
            <w:tcBorders>
              <w:top w:val="single" w:sz="4" w:space="0" w:color="7F7F7F" w:themeColor="text1" w:themeTint="80"/>
              <w:left w:val="nil"/>
              <w:bottom w:val="single" w:sz="4" w:space="0" w:color="7F7F7F" w:themeColor="text1" w:themeTint="80"/>
              <w:right w:val="nil"/>
            </w:tcBorders>
            <w:hideMark/>
          </w:tcPr>
          <w:p w14:paraId="3AC847AF" w14:textId="734FFF56" w:rsidR="00904568" w:rsidRPr="00B1222B" w:rsidRDefault="00904568" w:rsidP="00AF65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continuously maintain and expand its programme of monitoring food environments and population nutrition with particular attention to representing vulnerable groups including the urban poor.</w:t>
            </w:r>
          </w:p>
        </w:tc>
        <w:tc>
          <w:tcPr>
            <w:tcW w:w="1347"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vAlign w:val="center"/>
            <w:hideMark/>
          </w:tcPr>
          <w:p w14:paraId="3072DBA4"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232 (3.0)</w:t>
            </w:r>
          </w:p>
        </w:tc>
        <w:tc>
          <w:tcPr>
            <w:tcW w:w="686"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vAlign w:val="center"/>
            <w:hideMark/>
          </w:tcPr>
          <w:p w14:paraId="4160FEF7"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w:t>
            </w:r>
          </w:p>
        </w:tc>
        <w:tc>
          <w:tcPr>
            <w:tcW w:w="944"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vAlign w:val="center"/>
            <w:hideMark/>
          </w:tcPr>
          <w:p w14:paraId="41222225"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18</w:t>
            </w:r>
          </w:p>
        </w:tc>
      </w:tr>
      <w:tr w:rsidR="00B1222B" w:rsidRPr="00B1222B" w14:paraId="5DA9AF20" w14:textId="4CAADE3A" w:rsidTr="00D7367A">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62996895" w14:textId="77777777" w:rsidR="00904568" w:rsidRPr="00B1222B" w:rsidRDefault="00904568" w:rsidP="00AF6593">
            <w:pPr>
              <w:rPr>
                <w:rFonts w:ascii="Arial" w:eastAsia="Times New Roman" w:hAnsi="Arial" w:cs="Arial"/>
                <w:sz w:val="16"/>
                <w:szCs w:val="20"/>
                <w:lang w:val="en-GB"/>
              </w:rPr>
            </w:pPr>
          </w:p>
        </w:tc>
        <w:tc>
          <w:tcPr>
            <w:tcW w:w="851" w:type="dxa"/>
            <w:tcBorders>
              <w:left w:val="nil"/>
              <w:right w:val="nil"/>
            </w:tcBorders>
            <w:vAlign w:val="center"/>
            <w:hideMark/>
          </w:tcPr>
          <w:p w14:paraId="324E099A" w14:textId="0EC57D19" w:rsidR="00904568" w:rsidRPr="00B1222B" w:rsidRDefault="00904568" w:rsidP="00AF659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PCPP3</w:t>
            </w:r>
          </w:p>
        </w:tc>
        <w:tc>
          <w:tcPr>
            <w:tcW w:w="1701" w:type="dxa"/>
            <w:tcBorders>
              <w:left w:val="nil"/>
              <w:right w:val="nil"/>
            </w:tcBorders>
            <w:vAlign w:val="center"/>
          </w:tcPr>
          <w:p w14:paraId="1E9929F3"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Platforms for Interaction </w:t>
            </w:r>
          </w:p>
          <w:p w14:paraId="17CF3AD4" w14:textId="4299BA9E"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(Indicators 42-45)</w:t>
            </w:r>
          </w:p>
        </w:tc>
        <w:tc>
          <w:tcPr>
            <w:tcW w:w="1134" w:type="dxa"/>
            <w:tcBorders>
              <w:left w:val="nil"/>
              <w:right w:val="nil"/>
            </w:tcBorders>
            <w:vAlign w:val="center"/>
          </w:tcPr>
          <w:p w14:paraId="465121A0" w14:textId="302DF2DE" w:rsidR="00904568" w:rsidRPr="00B1222B" w:rsidRDefault="00904568" w:rsidP="00AF659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54.6</w:t>
            </w:r>
          </w:p>
        </w:tc>
        <w:tc>
          <w:tcPr>
            <w:tcW w:w="5528" w:type="dxa"/>
            <w:tcBorders>
              <w:left w:val="nil"/>
              <w:right w:val="nil"/>
            </w:tcBorders>
            <w:hideMark/>
          </w:tcPr>
          <w:p w14:paraId="76D31AE1" w14:textId="241EA29D" w:rsidR="00904568" w:rsidRPr="00B1222B" w:rsidRDefault="00904568" w:rsidP="00AF659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continuously ensure that there are robust mechanisms for collaborative engagements to reduce obesity and diet-related NCDs across government sectors and with the commercial sector, NGOs, academia, and communities.</w:t>
            </w:r>
          </w:p>
        </w:tc>
        <w:tc>
          <w:tcPr>
            <w:tcW w:w="1347" w:type="dxa"/>
            <w:tcBorders>
              <w:left w:val="nil"/>
              <w:right w:val="nil"/>
            </w:tcBorders>
            <w:shd w:val="clear" w:color="auto" w:fill="D9D9D9" w:themeFill="background1" w:themeFillShade="D9"/>
            <w:vAlign w:val="center"/>
            <w:hideMark/>
          </w:tcPr>
          <w:p w14:paraId="1BBB23F3"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229 (3.0)</w:t>
            </w:r>
          </w:p>
        </w:tc>
        <w:tc>
          <w:tcPr>
            <w:tcW w:w="686" w:type="dxa"/>
            <w:tcBorders>
              <w:left w:val="nil"/>
              <w:right w:val="nil"/>
            </w:tcBorders>
            <w:shd w:val="clear" w:color="auto" w:fill="D9D9D9" w:themeFill="background1" w:themeFillShade="D9"/>
            <w:vAlign w:val="center"/>
            <w:hideMark/>
          </w:tcPr>
          <w:p w14:paraId="755EDEA4"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3</w:t>
            </w:r>
          </w:p>
        </w:tc>
        <w:tc>
          <w:tcPr>
            <w:tcW w:w="944" w:type="dxa"/>
            <w:tcBorders>
              <w:left w:val="nil"/>
              <w:right w:val="nil"/>
            </w:tcBorders>
            <w:shd w:val="clear" w:color="auto" w:fill="D9D9D9" w:themeFill="background1" w:themeFillShade="D9"/>
            <w:vAlign w:val="center"/>
            <w:hideMark/>
          </w:tcPr>
          <w:p w14:paraId="539030B7" w14:textId="77777777" w:rsidR="00904568" w:rsidRPr="00B1222B" w:rsidRDefault="00904568" w:rsidP="00AF659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20</w:t>
            </w:r>
          </w:p>
        </w:tc>
      </w:tr>
      <w:tr w:rsidR="00B1222B" w:rsidRPr="00B1222B" w14:paraId="0D3E9785" w14:textId="1EA9EB07" w:rsidTr="00D7367A">
        <w:trPr>
          <w:trHeight w:val="449"/>
          <w:jc w:val="cent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18" w:space="0" w:color="808080" w:themeColor="background1" w:themeShade="80"/>
              <w:left w:val="nil"/>
              <w:bottom w:val="single" w:sz="18" w:space="0" w:color="808080" w:themeColor="background1" w:themeShade="80"/>
              <w:right w:val="nil"/>
            </w:tcBorders>
            <w:vAlign w:val="center"/>
            <w:hideMark/>
          </w:tcPr>
          <w:p w14:paraId="51B045E0" w14:textId="77777777" w:rsidR="00904568" w:rsidRPr="00B1222B" w:rsidRDefault="00904568" w:rsidP="00AF6593">
            <w:pPr>
              <w:rPr>
                <w:rFonts w:ascii="Arial" w:eastAsia="Times New Roman" w:hAnsi="Arial" w:cs="Arial"/>
                <w:sz w:val="16"/>
                <w:szCs w:val="20"/>
                <w:lang w:val="en-GB"/>
              </w:rPr>
            </w:pPr>
          </w:p>
        </w:tc>
        <w:tc>
          <w:tcPr>
            <w:tcW w:w="851" w:type="dxa"/>
            <w:tcBorders>
              <w:top w:val="single" w:sz="4" w:space="0" w:color="7F7F7F" w:themeColor="text1" w:themeTint="80"/>
              <w:left w:val="nil"/>
              <w:bottom w:val="single" w:sz="18" w:space="0" w:color="808080" w:themeColor="background1" w:themeShade="80"/>
              <w:right w:val="nil"/>
            </w:tcBorders>
            <w:vAlign w:val="center"/>
            <w:hideMark/>
          </w:tcPr>
          <w:p w14:paraId="727587C0" w14:textId="05DA7FC5" w:rsidR="00904568" w:rsidRPr="00B1222B" w:rsidRDefault="00904568" w:rsidP="00AF65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PCPP4</w:t>
            </w:r>
          </w:p>
        </w:tc>
        <w:tc>
          <w:tcPr>
            <w:tcW w:w="1701" w:type="dxa"/>
            <w:tcBorders>
              <w:top w:val="single" w:sz="4" w:space="0" w:color="7F7F7F" w:themeColor="text1" w:themeTint="80"/>
              <w:left w:val="nil"/>
              <w:bottom w:val="single" w:sz="18" w:space="0" w:color="808080" w:themeColor="background1" w:themeShade="80"/>
              <w:right w:val="nil"/>
            </w:tcBorders>
            <w:vAlign w:val="center"/>
          </w:tcPr>
          <w:p w14:paraId="03588D72"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222B">
              <w:rPr>
                <w:rFonts w:ascii="Arial" w:hAnsi="Arial" w:cs="Arial"/>
                <w:sz w:val="16"/>
                <w:szCs w:val="16"/>
              </w:rPr>
              <w:t xml:space="preserve">Leadership </w:t>
            </w:r>
          </w:p>
          <w:p w14:paraId="09C053E6" w14:textId="0F246C39" w:rsidR="00904568" w:rsidRPr="00B1222B" w:rsidRDefault="00904568" w:rsidP="008A0D5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(Indicators 24-28)</w:t>
            </w:r>
          </w:p>
        </w:tc>
        <w:tc>
          <w:tcPr>
            <w:tcW w:w="1134" w:type="dxa"/>
            <w:tcBorders>
              <w:top w:val="single" w:sz="4" w:space="0" w:color="7F7F7F" w:themeColor="text1" w:themeTint="80"/>
              <w:left w:val="nil"/>
              <w:bottom w:val="single" w:sz="18" w:space="0" w:color="808080" w:themeColor="background1" w:themeShade="80"/>
              <w:right w:val="nil"/>
            </w:tcBorders>
            <w:vAlign w:val="center"/>
          </w:tcPr>
          <w:p w14:paraId="2681C199" w14:textId="20E37727" w:rsidR="00904568" w:rsidRPr="00B1222B" w:rsidRDefault="00904568" w:rsidP="00AF65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B1222B">
              <w:rPr>
                <w:rFonts w:ascii="Arial" w:hAnsi="Arial" w:cs="Arial"/>
                <w:sz w:val="16"/>
                <w:szCs w:val="16"/>
              </w:rPr>
              <w:t>60.5</w:t>
            </w:r>
          </w:p>
        </w:tc>
        <w:tc>
          <w:tcPr>
            <w:tcW w:w="5528" w:type="dxa"/>
            <w:tcBorders>
              <w:top w:val="single" w:sz="4" w:space="0" w:color="7F7F7F" w:themeColor="text1" w:themeTint="80"/>
              <w:left w:val="nil"/>
              <w:bottom w:val="single" w:sz="18" w:space="0" w:color="808080" w:themeColor="background1" w:themeShade="80"/>
              <w:right w:val="nil"/>
            </w:tcBorders>
            <w:hideMark/>
          </w:tcPr>
          <w:p w14:paraId="21E5C7BD" w14:textId="3183C0A2" w:rsidR="00904568" w:rsidRPr="00B1222B" w:rsidRDefault="00904568" w:rsidP="00AF65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val="en-GB"/>
              </w:rPr>
            </w:pPr>
            <w:r w:rsidRPr="00B1222B">
              <w:rPr>
                <w:rFonts w:ascii="Arial" w:eastAsia="Times New Roman" w:hAnsi="Arial" w:cs="Arial"/>
                <w:sz w:val="16"/>
                <w:szCs w:val="20"/>
                <w:lang w:val="en-GB"/>
              </w:rPr>
              <w:t>The government should implement planned food policies, announced funding for nutrition programmes, and nutrition targets (in particular to the vulnerable groups including urban poor).</w:t>
            </w:r>
          </w:p>
        </w:tc>
        <w:tc>
          <w:tcPr>
            <w:tcW w:w="1347" w:type="dxa"/>
            <w:tcBorders>
              <w:top w:val="single" w:sz="4" w:space="0" w:color="7F7F7F" w:themeColor="text1" w:themeTint="80"/>
              <w:left w:val="nil"/>
              <w:bottom w:val="single" w:sz="18" w:space="0" w:color="808080" w:themeColor="background1" w:themeShade="80"/>
              <w:right w:val="nil"/>
            </w:tcBorders>
            <w:shd w:val="clear" w:color="auto" w:fill="D9D9D9" w:themeFill="background1" w:themeFillShade="D9"/>
            <w:vAlign w:val="center"/>
            <w:hideMark/>
          </w:tcPr>
          <w:p w14:paraId="072C6239"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220 (2.9)</w:t>
            </w:r>
          </w:p>
        </w:tc>
        <w:tc>
          <w:tcPr>
            <w:tcW w:w="686" w:type="dxa"/>
            <w:tcBorders>
              <w:top w:val="single" w:sz="4" w:space="0" w:color="7F7F7F" w:themeColor="text1" w:themeTint="80"/>
              <w:left w:val="nil"/>
              <w:bottom w:val="single" w:sz="18" w:space="0" w:color="808080" w:themeColor="background1" w:themeShade="80"/>
              <w:right w:val="nil"/>
            </w:tcBorders>
            <w:shd w:val="clear" w:color="auto" w:fill="D9D9D9" w:themeFill="background1" w:themeFillShade="D9"/>
            <w:vAlign w:val="center"/>
            <w:hideMark/>
          </w:tcPr>
          <w:p w14:paraId="4CC0DFE6"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4</w:t>
            </w:r>
          </w:p>
        </w:tc>
        <w:tc>
          <w:tcPr>
            <w:tcW w:w="944" w:type="dxa"/>
            <w:tcBorders>
              <w:top w:val="single" w:sz="4" w:space="0" w:color="7F7F7F" w:themeColor="text1" w:themeTint="80"/>
              <w:left w:val="nil"/>
              <w:bottom w:val="single" w:sz="18" w:space="0" w:color="808080" w:themeColor="background1" w:themeShade="80"/>
              <w:right w:val="nil"/>
            </w:tcBorders>
            <w:shd w:val="clear" w:color="auto" w:fill="D9D9D9" w:themeFill="background1" w:themeFillShade="D9"/>
            <w:vAlign w:val="center"/>
            <w:hideMark/>
          </w:tcPr>
          <w:p w14:paraId="1E5A676E" w14:textId="77777777" w:rsidR="00904568" w:rsidRPr="00B1222B" w:rsidRDefault="00904568" w:rsidP="00AF65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B1222B">
              <w:rPr>
                <w:rFonts w:ascii="Arial" w:hAnsi="Arial" w:cs="Arial"/>
                <w:sz w:val="16"/>
                <w:szCs w:val="16"/>
                <w:lang w:val="en-GB"/>
              </w:rPr>
              <w:t>26</w:t>
            </w:r>
          </w:p>
        </w:tc>
      </w:tr>
    </w:tbl>
    <w:p w14:paraId="35477167" w14:textId="77777777" w:rsidR="004217EB" w:rsidRPr="00B1222B" w:rsidRDefault="004217EB" w:rsidP="004217EB">
      <w:pPr>
        <w:spacing w:after="0" w:line="240" w:lineRule="auto"/>
        <w:jc w:val="both"/>
        <w:rPr>
          <w:rFonts w:ascii="Arial" w:hAnsi="Arial" w:cs="Arial"/>
          <w:b/>
          <w:sz w:val="16"/>
          <w:szCs w:val="16"/>
          <w:lang w:val="en-GB"/>
        </w:rPr>
      </w:pPr>
      <w:r w:rsidRPr="00B1222B">
        <w:rPr>
          <w:rFonts w:ascii="Arial" w:hAnsi="Arial" w:cs="Arial"/>
          <w:b/>
          <w:sz w:val="16"/>
          <w:szCs w:val="16"/>
          <w:lang w:val="en-GB"/>
        </w:rPr>
        <w:t xml:space="preserve">Abbreviations: </w:t>
      </w:r>
    </w:p>
    <w:p w14:paraId="28BAF7DA" w14:textId="77777777" w:rsidR="001C5F16" w:rsidRPr="00B1222B" w:rsidRDefault="001C5F16" w:rsidP="001C5F16">
      <w:pPr>
        <w:spacing w:after="0" w:line="240" w:lineRule="auto"/>
        <w:jc w:val="both"/>
        <w:rPr>
          <w:rFonts w:ascii="Arial" w:hAnsi="Arial" w:cs="Arial"/>
          <w:sz w:val="16"/>
          <w:szCs w:val="16"/>
          <w:lang w:val="en-GB"/>
        </w:rPr>
      </w:pPr>
      <w:r w:rsidRPr="00B1222B">
        <w:rPr>
          <w:rFonts w:ascii="Arial" w:hAnsi="Arial" w:cs="Arial"/>
          <w:sz w:val="16"/>
          <w:szCs w:val="16"/>
          <w:lang w:val="en-GB"/>
        </w:rPr>
        <w:t>PP=Prioritise Policy (first pillar); PI=Prioritise Infrastructure (second pillar); PFI=Prioritise Further Investigation (third pillar); PCPP=Prioritise Conditions for Planned Policies (fourth pillar).</w:t>
      </w:r>
    </w:p>
    <w:p w14:paraId="19CC2F8D" w14:textId="265DEBEB" w:rsidR="004C3013" w:rsidRPr="00B1222B" w:rsidRDefault="004C3013" w:rsidP="004217EB">
      <w:pPr>
        <w:spacing w:after="0" w:line="240" w:lineRule="auto"/>
        <w:jc w:val="both"/>
        <w:rPr>
          <w:rFonts w:ascii="Arial" w:hAnsi="Arial" w:cs="Arial"/>
          <w:sz w:val="16"/>
          <w:szCs w:val="16"/>
          <w:lang w:val="en-GB"/>
        </w:rPr>
      </w:pPr>
    </w:p>
    <w:bookmarkEnd w:id="0"/>
    <w:p w14:paraId="5ECBDD7B" w14:textId="37F9C0DA" w:rsidR="000C1653" w:rsidRPr="00B1222B" w:rsidRDefault="000C1653" w:rsidP="004217EB">
      <w:pPr>
        <w:spacing w:after="0" w:line="240" w:lineRule="auto"/>
        <w:jc w:val="both"/>
        <w:rPr>
          <w:rFonts w:ascii="Arial" w:hAnsi="Arial" w:cs="Arial"/>
          <w:sz w:val="16"/>
          <w:szCs w:val="16"/>
          <w:lang w:val="en-GB"/>
        </w:rPr>
      </w:pPr>
    </w:p>
    <w:sectPr w:rsidR="000C1653" w:rsidRPr="00B1222B" w:rsidSect="006711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74D0"/>
    <w:multiLevelType w:val="hybridMultilevel"/>
    <w:tmpl w:val="412A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A2549"/>
    <w:multiLevelType w:val="hybridMultilevel"/>
    <w:tmpl w:val="5306A1D4"/>
    <w:lvl w:ilvl="0" w:tplc="67F8FDE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C7C24"/>
    <w:multiLevelType w:val="hybridMultilevel"/>
    <w:tmpl w:val="9154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551E"/>
    <w:multiLevelType w:val="hybridMultilevel"/>
    <w:tmpl w:val="F104C21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CD7995"/>
    <w:multiLevelType w:val="hybridMultilevel"/>
    <w:tmpl w:val="59163A8E"/>
    <w:lvl w:ilvl="0" w:tplc="0409000F">
      <w:start w:val="1"/>
      <w:numFmt w:val="decimal"/>
      <w:lvlText w:val="%1."/>
      <w:lvlJc w:val="left"/>
      <w:pPr>
        <w:ind w:left="360" w:hanging="360"/>
      </w:p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2F"/>
    <w:rsid w:val="00007ECF"/>
    <w:rsid w:val="000157F4"/>
    <w:rsid w:val="00054515"/>
    <w:rsid w:val="000641D0"/>
    <w:rsid w:val="000870A8"/>
    <w:rsid w:val="000A6C50"/>
    <w:rsid w:val="000C1653"/>
    <w:rsid w:val="000C199F"/>
    <w:rsid w:val="00105766"/>
    <w:rsid w:val="00125CC1"/>
    <w:rsid w:val="00142677"/>
    <w:rsid w:val="00147A29"/>
    <w:rsid w:val="00175BEB"/>
    <w:rsid w:val="00193529"/>
    <w:rsid w:val="00195110"/>
    <w:rsid w:val="001B527C"/>
    <w:rsid w:val="001C20AF"/>
    <w:rsid w:val="001C5F16"/>
    <w:rsid w:val="001D52EA"/>
    <w:rsid w:val="00215BEF"/>
    <w:rsid w:val="002229F6"/>
    <w:rsid w:val="00243D13"/>
    <w:rsid w:val="0027497B"/>
    <w:rsid w:val="002770E6"/>
    <w:rsid w:val="002C4B8B"/>
    <w:rsid w:val="002D1442"/>
    <w:rsid w:val="002F0D25"/>
    <w:rsid w:val="00317537"/>
    <w:rsid w:val="003316A8"/>
    <w:rsid w:val="00382D75"/>
    <w:rsid w:val="00387DD5"/>
    <w:rsid w:val="003F2024"/>
    <w:rsid w:val="004217EB"/>
    <w:rsid w:val="00431329"/>
    <w:rsid w:val="004662DE"/>
    <w:rsid w:val="004A1119"/>
    <w:rsid w:val="004A5F1C"/>
    <w:rsid w:val="004C3013"/>
    <w:rsid w:val="004D71DE"/>
    <w:rsid w:val="00500259"/>
    <w:rsid w:val="00500EB6"/>
    <w:rsid w:val="005200AF"/>
    <w:rsid w:val="00550C11"/>
    <w:rsid w:val="00550F34"/>
    <w:rsid w:val="00553E17"/>
    <w:rsid w:val="00591BEF"/>
    <w:rsid w:val="005A368E"/>
    <w:rsid w:val="005C00E0"/>
    <w:rsid w:val="005D6A1E"/>
    <w:rsid w:val="005E794E"/>
    <w:rsid w:val="005F7A95"/>
    <w:rsid w:val="00605600"/>
    <w:rsid w:val="006065DC"/>
    <w:rsid w:val="006711A4"/>
    <w:rsid w:val="00685B62"/>
    <w:rsid w:val="00697C2F"/>
    <w:rsid w:val="006B29D0"/>
    <w:rsid w:val="006D48F9"/>
    <w:rsid w:val="006E4D72"/>
    <w:rsid w:val="006E5370"/>
    <w:rsid w:val="007474AA"/>
    <w:rsid w:val="00757384"/>
    <w:rsid w:val="00774299"/>
    <w:rsid w:val="007852D0"/>
    <w:rsid w:val="007E00BB"/>
    <w:rsid w:val="007F0404"/>
    <w:rsid w:val="007F0F97"/>
    <w:rsid w:val="00850051"/>
    <w:rsid w:val="0086750F"/>
    <w:rsid w:val="00873B11"/>
    <w:rsid w:val="008A0D59"/>
    <w:rsid w:val="008C2C16"/>
    <w:rsid w:val="008D0D05"/>
    <w:rsid w:val="008D2117"/>
    <w:rsid w:val="008D745F"/>
    <w:rsid w:val="00904568"/>
    <w:rsid w:val="00951014"/>
    <w:rsid w:val="00956F9A"/>
    <w:rsid w:val="00984D9F"/>
    <w:rsid w:val="00992FFE"/>
    <w:rsid w:val="00A00312"/>
    <w:rsid w:val="00A03EA8"/>
    <w:rsid w:val="00A15865"/>
    <w:rsid w:val="00A30F00"/>
    <w:rsid w:val="00A34DD6"/>
    <w:rsid w:val="00A94C95"/>
    <w:rsid w:val="00A97A45"/>
    <w:rsid w:val="00AB3571"/>
    <w:rsid w:val="00AD1E6B"/>
    <w:rsid w:val="00AF6593"/>
    <w:rsid w:val="00B1222B"/>
    <w:rsid w:val="00B60BD6"/>
    <w:rsid w:val="00B72506"/>
    <w:rsid w:val="00BA0862"/>
    <w:rsid w:val="00BA2B7D"/>
    <w:rsid w:val="00BA5BED"/>
    <w:rsid w:val="00BC236F"/>
    <w:rsid w:val="00BF71DB"/>
    <w:rsid w:val="00C15B0E"/>
    <w:rsid w:val="00C41273"/>
    <w:rsid w:val="00CB767D"/>
    <w:rsid w:val="00CF4504"/>
    <w:rsid w:val="00D1202C"/>
    <w:rsid w:val="00D1757A"/>
    <w:rsid w:val="00D41F37"/>
    <w:rsid w:val="00D42786"/>
    <w:rsid w:val="00D54799"/>
    <w:rsid w:val="00D7367A"/>
    <w:rsid w:val="00D8508D"/>
    <w:rsid w:val="00DD6EE8"/>
    <w:rsid w:val="00DF2A09"/>
    <w:rsid w:val="00E21B94"/>
    <w:rsid w:val="00E2482C"/>
    <w:rsid w:val="00E36CD2"/>
    <w:rsid w:val="00EF5025"/>
    <w:rsid w:val="00F20811"/>
    <w:rsid w:val="00F27199"/>
    <w:rsid w:val="00F4586B"/>
    <w:rsid w:val="00F51BCF"/>
    <w:rsid w:val="00F56DE0"/>
    <w:rsid w:val="00F62A23"/>
    <w:rsid w:val="00F75C8D"/>
    <w:rsid w:val="00F85D6D"/>
    <w:rsid w:val="00FB751E"/>
    <w:rsid w:val="00FC08DD"/>
    <w:rsid w:val="00FD1A51"/>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17"/>
    <w:pPr>
      <w:ind w:left="720"/>
      <w:contextualSpacing/>
    </w:pPr>
  </w:style>
  <w:style w:type="table" w:styleId="TableGrid">
    <w:name w:val="Table Grid"/>
    <w:basedOn w:val="TableNormal"/>
    <w:uiPriority w:val="39"/>
    <w:rsid w:val="008C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D41F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4217E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547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547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F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1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17"/>
    <w:pPr>
      <w:ind w:left="720"/>
      <w:contextualSpacing/>
    </w:pPr>
  </w:style>
  <w:style w:type="table" w:styleId="TableGrid">
    <w:name w:val="Table Grid"/>
    <w:basedOn w:val="TableNormal"/>
    <w:uiPriority w:val="39"/>
    <w:rsid w:val="008C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D41F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4217E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547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547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F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10801">
      <w:bodyDiv w:val="1"/>
      <w:marLeft w:val="0"/>
      <w:marRight w:val="0"/>
      <w:marTop w:val="0"/>
      <w:marBottom w:val="0"/>
      <w:divBdr>
        <w:top w:val="none" w:sz="0" w:space="0" w:color="auto"/>
        <w:left w:val="none" w:sz="0" w:space="0" w:color="auto"/>
        <w:bottom w:val="none" w:sz="0" w:space="0" w:color="auto"/>
        <w:right w:val="none" w:sz="0" w:space="0" w:color="auto"/>
      </w:divBdr>
    </w:div>
    <w:div w:id="743064969">
      <w:bodyDiv w:val="1"/>
      <w:marLeft w:val="0"/>
      <w:marRight w:val="0"/>
      <w:marTop w:val="0"/>
      <w:marBottom w:val="0"/>
      <w:divBdr>
        <w:top w:val="none" w:sz="0" w:space="0" w:color="auto"/>
        <w:left w:val="none" w:sz="0" w:space="0" w:color="auto"/>
        <w:bottom w:val="none" w:sz="0" w:space="0" w:color="auto"/>
        <w:right w:val="none" w:sz="0" w:space="0" w:color="auto"/>
      </w:divBdr>
    </w:div>
    <w:div w:id="1406150034">
      <w:bodyDiv w:val="1"/>
      <w:marLeft w:val="0"/>
      <w:marRight w:val="0"/>
      <w:marTop w:val="0"/>
      <w:marBottom w:val="0"/>
      <w:divBdr>
        <w:top w:val="none" w:sz="0" w:space="0" w:color="auto"/>
        <w:left w:val="none" w:sz="0" w:space="0" w:color="auto"/>
        <w:bottom w:val="none" w:sz="0" w:space="0" w:color="auto"/>
        <w:right w:val="none" w:sz="0" w:space="0" w:color="auto"/>
      </w:divBdr>
    </w:div>
    <w:div w:id="1706978641">
      <w:bodyDiv w:val="1"/>
      <w:marLeft w:val="0"/>
      <w:marRight w:val="0"/>
      <w:marTop w:val="0"/>
      <w:marBottom w:val="0"/>
      <w:divBdr>
        <w:top w:val="none" w:sz="0" w:space="0" w:color="auto"/>
        <w:left w:val="none" w:sz="0" w:space="0" w:color="auto"/>
        <w:bottom w:val="none" w:sz="0" w:space="0" w:color="auto"/>
        <w:right w:val="none" w:sz="0" w:space="0" w:color="auto"/>
      </w:divBdr>
    </w:div>
    <w:div w:id="18364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Malaysia</cp:lastModifiedBy>
  <cp:revision>9</cp:revision>
  <cp:lastPrinted>2018-04-30T03:15:00Z</cp:lastPrinted>
  <dcterms:created xsi:type="dcterms:W3CDTF">2018-04-30T03:15:00Z</dcterms:created>
  <dcterms:modified xsi:type="dcterms:W3CDTF">2018-07-13T05:28:00Z</dcterms:modified>
</cp:coreProperties>
</file>