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B18AD" w14:textId="680A63B0" w:rsidR="008F1E82" w:rsidRDefault="00F77B6C" w:rsidP="0069113F">
      <w:pPr>
        <w:rPr>
          <w:rFonts w:cs="Times New Roman"/>
          <w:b/>
          <w:szCs w:val="24"/>
        </w:rPr>
      </w:pPr>
      <w:r w:rsidRPr="0069113F">
        <w:rPr>
          <w:rFonts w:cs="Times New Roman"/>
          <w:b/>
          <w:szCs w:val="24"/>
        </w:rPr>
        <w:t>Supplementary</w:t>
      </w:r>
      <w:r w:rsidR="008F1E82" w:rsidRPr="0069113F">
        <w:rPr>
          <w:rFonts w:cs="Times New Roman"/>
          <w:b/>
          <w:szCs w:val="24"/>
        </w:rPr>
        <w:t xml:space="preserve"> Appendix </w:t>
      </w:r>
    </w:p>
    <w:p w14:paraId="526579DF" w14:textId="77777777" w:rsidR="005C196A" w:rsidRPr="0088608D" w:rsidRDefault="005C196A" w:rsidP="0088608D">
      <w:pPr>
        <w:rPr>
          <w:i/>
        </w:rPr>
      </w:pPr>
      <w:r w:rsidRPr="0088608D">
        <w:rPr>
          <w:i/>
        </w:rPr>
        <w:t xml:space="preserve">Estimating DPPs with the IMPACT Food Policy model </w:t>
      </w:r>
    </w:p>
    <w:p w14:paraId="1A015188" w14:textId="77777777" w:rsidR="005C196A" w:rsidRPr="0069113F" w:rsidRDefault="005C196A" w:rsidP="005C196A">
      <w:pPr>
        <w:rPr>
          <w:rFonts w:cs="Times New Roman"/>
          <w:szCs w:val="24"/>
        </w:rPr>
      </w:pPr>
      <w:r w:rsidRPr="0069113F">
        <w:rPr>
          <w:rFonts w:cs="Times New Roman"/>
          <w:szCs w:val="24"/>
        </w:rPr>
        <w:t xml:space="preserve">The effect of the different scenarios on CHD were measured in deaths prevented or postponed (DPPs) stratified by age, sex, and socioeconomic circumstance (SEC). DPPs in each </w:t>
      </w:r>
      <w:r w:rsidRPr="0069113F">
        <w:rPr>
          <w:rFonts w:eastAsia="Times New Roman" w:cs="Times New Roman"/>
          <w:szCs w:val="24"/>
        </w:rPr>
        <w:t>age-sex-SEC group</w:t>
      </w:r>
      <w:r w:rsidRPr="0069113F">
        <w:rPr>
          <w:rFonts w:cs="Times New Roman"/>
          <w:szCs w:val="24"/>
        </w:rPr>
        <w:t xml:space="preserve"> were calculated using the following formula: </w:t>
      </w:r>
    </w:p>
    <w:p w14:paraId="3FA18900" w14:textId="77777777" w:rsidR="005C196A" w:rsidRPr="0069113F" w:rsidRDefault="005C196A" w:rsidP="005C196A">
      <w:pPr>
        <w:jc w:val="center"/>
        <w:rPr>
          <w:rFonts w:cs="Times New Roman"/>
          <w:szCs w:val="24"/>
        </w:rPr>
      </w:pPr>
      <m:oMath>
        <m:r>
          <w:rPr>
            <w:rFonts w:ascii="Cambria Math" w:hAnsi="Cambria Math" w:cs="Times New Roman"/>
            <w:szCs w:val="24"/>
          </w:rPr>
          <m:t>(1-</m:t>
        </m:r>
        <m:sSup>
          <m:sSupPr>
            <m:ctrlPr>
              <w:rPr>
                <w:rFonts w:ascii="Cambria Math" w:hAnsi="Cambria Math" w:cs="Times New Roman"/>
                <w:i/>
                <w:szCs w:val="24"/>
              </w:rPr>
            </m:ctrlPr>
          </m:sSupPr>
          <m:e>
            <m:r>
              <w:rPr>
                <w:rFonts w:ascii="Cambria Math" w:hAnsi="Cambria Math" w:cs="Times New Roman"/>
                <w:szCs w:val="24"/>
              </w:rPr>
              <m:t>e</m:t>
            </m:r>
          </m:e>
          <m:sup>
            <m:r>
              <w:rPr>
                <w:rFonts w:ascii="Cambria Math" w:hAnsi="Cambria Math" w:cs="Times New Roman"/>
                <w:szCs w:val="24"/>
              </w:rPr>
              <m:t>beta×SSBchange</m:t>
            </m:r>
          </m:sup>
        </m:sSup>
        <m:r>
          <w:rPr>
            <w:rFonts w:ascii="Cambria Math" w:hAnsi="Cambria Math" w:cs="Times New Roman"/>
            <w:szCs w:val="24"/>
          </w:rPr>
          <m:t>)×deaths</m:t>
        </m:r>
      </m:oMath>
      <w:r w:rsidRPr="0069113F">
        <w:rPr>
          <w:rFonts w:cs="Times New Roman"/>
          <w:szCs w:val="24"/>
        </w:rPr>
        <w:t>,</w:t>
      </w:r>
    </w:p>
    <w:p w14:paraId="27CA064C" w14:textId="1188DB8E" w:rsidR="005C196A" w:rsidRPr="005C196A" w:rsidRDefault="005C196A" w:rsidP="005C196A">
      <w:pPr>
        <w:rPr>
          <w:rFonts w:cs="Times New Roman"/>
          <w:szCs w:val="24"/>
        </w:rPr>
      </w:pPr>
      <w:proofErr w:type="gramStart"/>
      <w:r w:rsidRPr="0069113F">
        <w:rPr>
          <w:rFonts w:cs="Times New Roman"/>
          <w:szCs w:val="24"/>
        </w:rPr>
        <w:t>where</w:t>
      </w:r>
      <w:proofErr w:type="gramEnd"/>
      <w:r w:rsidRPr="0069113F">
        <w:rPr>
          <w:rFonts w:cs="Times New Roman"/>
          <w:szCs w:val="24"/>
        </w:rPr>
        <w:t xml:space="preserve"> SSB change was the </w:t>
      </w:r>
      <w:r w:rsidRPr="0069113F">
        <w:rPr>
          <w:rFonts w:eastAsia="Times New Roman" w:cs="Times New Roman"/>
          <w:szCs w:val="24"/>
        </w:rPr>
        <w:t>age-sex-SEC specific</w:t>
      </w:r>
      <w:r w:rsidRPr="0069113F">
        <w:rPr>
          <w:rFonts w:cs="Times New Roman"/>
          <w:szCs w:val="24"/>
        </w:rPr>
        <w:t xml:space="preserve"> change in SSB intake due to the policy, and de</w:t>
      </w:r>
      <w:r w:rsidR="00FF3EB9">
        <w:rPr>
          <w:rFonts w:cs="Times New Roman"/>
          <w:szCs w:val="24"/>
        </w:rPr>
        <w:t>aths were the CHD deaths in 2021</w:t>
      </w:r>
      <w:r w:rsidRPr="0069113F">
        <w:rPr>
          <w:rFonts w:cs="Times New Roman"/>
          <w:szCs w:val="24"/>
        </w:rPr>
        <w:t xml:space="preserve"> for each </w:t>
      </w:r>
      <w:r w:rsidRPr="0069113F">
        <w:rPr>
          <w:rFonts w:eastAsia="Times New Roman" w:cs="Times New Roman"/>
          <w:szCs w:val="24"/>
        </w:rPr>
        <w:t>age-sex-SEC group</w:t>
      </w:r>
      <w:r w:rsidRPr="0069113F">
        <w:rPr>
          <w:rFonts w:cs="Times New Roman"/>
          <w:szCs w:val="24"/>
        </w:rPr>
        <w:t xml:space="preserve">. For the BMI-adjusted effect, beta was the natural logarithm of the </w:t>
      </w:r>
      <w:r w:rsidRPr="0069113F">
        <w:rPr>
          <w:rFonts w:eastAsia="Times New Roman" w:cs="Times New Roman"/>
          <w:szCs w:val="24"/>
        </w:rPr>
        <w:t>age specific</w:t>
      </w:r>
      <w:r w:rsidRPr="0069113F">
        <w:rPr>
          <w:rFonts w:cs="Times New Roman"/>
          <w:szCs w:val="24"/>
        </w:rPr>
        <w:t xml:space="preserve"> relative risk for incident CHD per serving of SSB. For the BMI-mediated effect, beta was the natural logarithm of the </w:t>
      </w:r>
      <w:r w:rsidRPr="0069113F">
        <w:rPr>
          <w:rFonts w:eastAsia="Times New Roman" w:cs="Times New Roman"/>
          <w:szCs w:val="24"/>
        </w:rPr>
        <w:t>age specific</w:t>
      </w:r>
      <w:r w:rsidRPr="0069113F">
        <w:rPr>
          <w:rFonts w:cs="Times New Roman"/>
          <w:szCs w:val="24"/>
        </w:rPr>
        <w:t xml:space="preserve"> relative risk for incident CHD per BMI unit multiplied by the effect estimate of SSB intake on BMI. This estimate was adjusted for overweight prevalence of the population, using weighted prevalence estimates from the Health Survey for England 2014</w:t>
      </w:r>
      <w:r w:rsidRPr="0069113F">
        <w:rPr>
          <w:rFonts w:cs="Times New Roman"/>
          <w:szCs w:val="24"/>
        </w:rPr>
        <w:fldChar w:fldCharType="begin"/>
      </w:r>
      <w:r>
        <w:rPr>
          <w:rFonts w:cs="Times New Roman"/>
          <w:szCs w:val="24"/>
        </w:rPr>
        <w:instrText xml:space="preserve"> ADDIN EN.CITE &lt;EndNote&gt;&lt;Cite&gt;&lt;Author&gt;NatCen Social Research&lt;/Author&gt;&lt;Year&gt;2016 &lt;/Year&gt;&lt;RecNum&gt;580&lt;/RecNum&gt;&lt;DisplayText&gt;&lt;style face="superscript"&gt;(1)&lt;/style&gt;&lt;/DisplayText&gt;&lt;record&gt;&lt;rec-number&gt;580&lt;/rec-number&gt;&lt;foreign-keys&gt;&lt;key app="EN" db-id="zdrfrts5sr9296ea90uxsfvhf9zwdwstft0f" timestamp="1497447893"&gt;580&lt;/key&gt;&lt;/foreign-keys&gt;&lt;ref-type name="Dataset"&gt;59&lt;/ref-type&gt;&lt;contributors&gt;&lt;authors&gt;&lt;author&gt;NatCen Social Research, .&lt;/author&gt;&lt;author&gt;University College London, . &lt;/author&gt;&lt;author&gt;Department of Epidemiology and Public Health, .&lt;/author&gt;&lt;/authors&gt;&lt;/contributors&gt;&lt;titles&gt;&lt;title&gt;Health Survey for England, 2014&lt;/title&gt;&lt;/titles&gt;&lt;edition&gt; 2nd Edition &lt;/edition&gt;&lt;dates&gt;&lt;year&gt;2016 &lt;/year&gt;&lt;/dates&gt;&lt;publisher&gt;UK Data Service&lt;/publisher&gt;&lt;accession-num&gt;SN 7919&lt;/accession-num&gt;&lt;urls&gt;&lt;related-urls&gt;&lt;url&gt;http://doi.org/10.5255/UKDA-SN-7919-2&lt;/url&gt;&lt;/related-urls&gt;&lt;/urls&gt;&lt;electronic-resource-num&gt;10.5255/UKDA-SN-7919-2&lt;/electronic-resource-num&gt;&lt;/record&gt;&lt;/Cite&gt;&lt;/EndNote&gt;</w:instrText>
      </w:r>
      <w:r w:rsidRPr="0069113F">
        <w:rPr>
          <w:rFonts w:cs="Times New Roman"/>
          <w:szCs w:val="24"/>
        </w:rPr>
        <w:fldChar w:fldCharType="separate"/>
      </w:r>
      <w:r w:rsidRPr="005C196A">
        <w:rPr>
          <w:rFonts w:cs="Times New Roman"/>
          <w:noProof/>
          <w:szCs w:val="24"/>
          <w:vertAlign w:val="superscript"/>
        </w:rPr>
        <w:t>(1)</w:t>
      </w:r>
      <w:r w:rsidRPr="0069113F">
        <w:rPr>
          <w:rFonts w:cs="Times New Roman"/>
          <w:szCs w:val="24"/>
        </w:rPr>
        <w:fldChar w:fldCharType="end"/>
      </w:r>
      <w:r>
        <w:rPr>
          <w:rFonts w:cs="Times New Roman"/>
          <w:szCs w:val="24"/>
        </w:rPr>
        <w:t>,</w:t>
      </w:r>
      <w:r w:rsidRPr="0069113F">
        <w:rPr>
          <w:rFonts w:cs="Times New Roman"/>
          <w:szCs w:val="24"/>
        </w:rPr>
        <w:t xml:space="preserve"> to account for the different effect magnitude between overweight and non-overweight individuals. </w:t>
      </w:r>
    </w:p>
    <w:p w14:paraId="0C605AF8" w14:textId="77777777" w:rsidR="005C196A" w:rsidRPr="0088608D" w:rsidRDefault="005C196A" w:rsidP="005C196A">
      <w:pPr>
        <w:rPr>
          <w:rFonts w:cs="Times New Roman"/>
          <w:i/>
          <w:szCs w:val="24"/>
        </w:rPr>
      </w:pPr>
      <w:r w:rsidRPr="0088608D">
        <w:rPr>
          <w:rFonts w:cs="Times New Roman"/>
          <w:i/>
          <w:szCs w:val="24"/>
        </w:rPr>
        <w:t xml:space="preserve">Trade data sources </w:t>
      </w:r>
    </w:p>
    <w:p w14:paraId="678E88E6" w14:textId="3525757A" w:rsidR="005C196A" w:rsidRPr="0069113F" w:rsidRDefault="005C196A" w:rsidP="005C196A">
      <w:pPr>
        <w:rPr>
          <w:rFonts w:cs="Times New Roman"/>
          <w:szCs w:val="24"/>
        </w:rPr>
      </w:pPr>
      <w:r w:rsidRPr="0069113F">
        <w:rPr>
          <w:rFonts w:cs="Times New Roman"/>
          <w:szCs w:val="24"/>
        </w:rPr>
        <w:t>We used sugar import data from 2015, available from the HM Revenue &amp; Customs (HMRC)</w:t>
      </w:r>
      <w:r w:rsidRPr="0069113F">
        <w:rPr>
          <w:rFonts w:cs="Times New Roman"/>
          <w:szCs w:val="24"/>
        </w:rPr>
        <w:fldChar w:fldCharType="begin"/>
      </w:r>
      <w:r>
        <w:rPr>
          <w:rFonts w:cs="Times New Roman"/>
          <w:szCs w:val="24"/>
        </w:rPr>
        <w:instrText xml:space="preserve"> ADDIN EN.CITE &lt;EndNote&gt;&lt;Cite&gt;&lt;Author&gt;HM Revenue &amp;amp; Customs.&lt;/Author&gt;&lt;RecNum&gt;406&lt;/RecNum&gt;&lt;DisplayText&gt;&lt;style face="superscript"&gt;(2)&lt;/style&gt;&lt;/DisplayText&gt;&lt;record&gt;&lt;rec-number&gt;406&lt;/rec-number&gt;&lt;foreign-keys&gt;&lt;key app="EN" db-id="zdrfrts5sr9296ea90uxsfvhf9zwdwstft0f" timestamp="1488470734"&gt;406&lt;/key&gt;&lt;/foreign-keys&gt;&lt;ref-type name="Web Page"&gt;12&lt;/ref-type&gt;&lt;contributors&gt;&lt;authors&gt;&lt;author&gt;HM Revenue &amp;amp; Customs.,&lt;/author&gt;&lt;/authors&gt;&lt;/contributors&gt;&lt;titles&gt;&lt;title&gt;UK Trade Statistics&lt;/title&gt;&lt;/titles&gt;&lt;number&gt;February 2017&lt;/number&gt;&lt;dates&gt;&lt;/dates&gt;&lt;urls&gt;&lt;related-urls&gt;&lt;url&gt;https://www.uktradeinfo.com/&lt;/url&gt;&lt;/related-urls&gt;&lt;/urls&gt;&lt;/record&gt;&lt;/Cite&gt;&lt;/EndNote&gt;</w:instrText>
      </w:r>
      <w:r w:rsidRPr="0069113F">
        <w:rPr>
          <w:rFonts w:cs="Times New Roman"/>
          <w:szCs w:val="24"/>
        </w:rPr>
        <w:fldChar w:fldCharType="separate"/>
      </w:r>
      <w:r w:rsidRPr="005C196A">
        <w:rPr>
          <w:rFonts w:cs="Times New Roman"/>
          <w:noProof/>
          <w:szCs w:val="24"/>
          <w:vertAlign w:val="superscript"/>
        </w:rPr>
        <w:t>(2)</w:t>
      </w:r>
      <w:r w:rsidRPr="0069113F">
        <w:rPr>
          <w:rFonts w:cs="Times New Roman"/>
          <w:szCs w:val="24"/>
        </w:rPr>
        <w:fldChar w:fldCharType="end"/>
      </w:r>
      <w:r w:rsidRPr="0069113F">
        <w:rPr>
          <w:rFonts w:cs="Times New Roman"/>
          <w:szCs w:val="24"/>
        </w:rPr>
        <w:t xml:space="preserve"> and the Department for Environment Food &amp; Rural Affairs (DEFRA),</w:t>
      </w:r>
      <w:r w:rsidRPr="0069113F">
        <w:rPr>
          <w:rFonts w:cs="Times New Roman"/>
          <w:szCs w:val="24"/>
        </w:rPr>
        <w:fldChar w:fldCharType="begin"/>
      </w:r>
      <w:r>
        <w:rPr>
          <w:rFonts w:cs="Times New Roman"/>
          <w:szCs w:val="24"/>
        </w:rPr>
        <w:instrText xml:space="preserve"> ADDIN EN.CITE &lt;EndNote&gt;&lt;Cite&gt;&lt;Author&gt;Department for Environment Food &amp;amp; Rural Affairs (DEFRA)&lt;/Author&gt;&lt;Year&gt;2017&lt;/Year&gt;&lt;RecNum&gt;575&lt;/RecNum&gt;&lt;DisplayText&gt;&lt;style face="superscript"&gt;(3)&lt;/style&gt;&lt;/DisplayText&gt;&lt;record&gt;&lt;rec-number&gt;575&lt;/rec-number&gt;&lt;foreign-keys&gt;&lt;key app="EN" db-id="zdrfrts5sr9296ea90uxsfvhf9zwdwstft0f" timestamp="1496920349"&gt;575&lt;/key&gt;&lt;/foreign-keys&gt;&lt;ref-type name="Report"&gt;27&lt;/ref-type&gt;&lt;contributors&gt;&lt;authors&gt;&lt;author&gt;Department for Environment Food &amp;amp; Rural Affairs (DEFRA),.&lt;/author&gt;&lt;/authors&gt;&lt;/contributors&gt;&lt;titles&gt;&lt;title&gt;Agriculture in the United Kingdom 2016.&lt;/title&gt;&lt;/titles&gt;&lt;dates&gt;&lt;year&gt;2017&lt;/year&gt;&lt;/dates&gt;&lt;urls&gt;&lt;related-urls&gt;&lt;url&gt;https://www.gov.uk/government/statistics/agriculture-in-the-united-kingdom-2016&lt;/url&gt;&lt;/related-urls&gt;&lt;/urls&gt;&lt;/record&gt;&lt;/Cite&gt;&lt;/EndNote&gt;</w:instrText>
      </w:r>
      <w:r w:rsidRPr="0069113F">
        <w:rPr>
          <w:rFonts w:cs="Times New Roman"/>
          <w:szCs w:val="24"/>
        </w:rPr>
        <w:fldChar w:fldCharType="separate"/>
      </w:r>
      <w:r w:rsidRPr="005C196A">
        <w:rPr>
          <w:rFonts w:cs="Times New Roman"/>
          <w:noProof/>
          <w:szCs w:val="24"/>
          <w:vertAlign w:val="superscript"/>
        </w:rPr>
        <w:t>(3)</w:t>
      </w:r>
      <w:r w:rsidRPr="0069113F">
        <w:rPr>
          <w:rFonts w:cs="Times New Roman"/>
          <w:szCs w:val="24"/>
        </w:rPr>
        <w:fldChar w:fldCharType="end"/>
      </w:r>
      <w:r w:rsidRPr="0069113F">
        <w:rPr>
          <w:rFonts w:cs="Times New Roman"/>
          <w:szCs w:val="24"/>
        </w:rPr>
        <w:t xml:space="preserve"> to estimate the effect of the Brexit scenarios on price of sugar. We obtained information on EU tariffs and trading agreements from the World Trade Organisation (WTO)</w:t>
      </w:r>
      <w:r w:rsidRPr="0069113F">
        <w:rPr>
          <w:rFonts w:cs="Times New Roman"/>
          <w:szCs w:val="24"/>
        </w:rPr>
        <w:fldChar w:fldCharType="begin"/>
      </w:r>
      <w:r>
        <w:rPr>
          <w:rFonts w:cs="Times New Roman"/>
          <w:szCs w:val="24"/>
        </w:rPr>
        <w:instrText xml:space="preserve"> ADDIN EN.CITE &lt;EndNote&gt;&lt;Cite&gt;&lt;Author&gt;WTO.&lt;/Author&gt;&lt;RecNum&gt;392&lt;/RecNum&gt;&lt;DisplayText&gt;&lt;style face="superscript"&gt;(4)&lt;/style&gt;&lt;/DisplayText&gt;&lt;record&gt;&lt;rec-number&gt;392&lt;/rec-number&gt;&lt;foreign-keys&gt;&lt;key app="EN" db-id="zdrfrts5sr9296ea90uxsfvhf9zwdwstft0f" timestamp="1484218847"&gt;392&lt;/key&gt;&lt;/foreign-keys&gt;&lt;ref-type name="Web Page"&gt;12&lt;/ref-type&gt;&lt;contributors&gt;&lt;authors&gt;&lt;author&gt;WTO.&lt;/author&gt;&lt;/authors&gt;&lt;/contributors&gt;&lt;titles&gt;&lt;title&gt;Tariff Analysis Online&lt;/title&gt;&lt;/titles&gt;&lt;number&gt;February 2017&lt;/number&gt;&lt;dates&gt;&lt;/dates&gt;&lt;urls&gt;&lt;related-urls&gt;&lt;url&gt;http://tao.wto.org/default.aspx&lt;/url&gt;&lt;/related-urls&gt;&lt;/urls&gt;&lt;/record&gt;&lt;/Cite&gt;&lt;/EndNote&gt;</w:instrText>
      </w:r>
      <w:r w:rsidRPr="0069113F">
        <w:rPr>
          <w:rFonts w:cs="Times New Roman"/>
          <w:szCs w:val="24"/>
        </w:rPr>
        <w:fldChar w:fldCharType="separate"/>
      </w:r>
      <w:r w:rsidRPr="005C196A">
        <w:rPr>
          <w:rFonts w:cs="Times New Roman"/>
          <w:noProof/>
          <w:szCs w:val="24"/>
          <w:vertAlign w:val="superscript"/>
        </w:rPr>
        <w:t>(4)</w:t>
      </w:r>
      <w:r w:rsidRPr="0069113F">
        <w:rPr>
          <w:rFonts w:cs="Times New Roman"/>
          <w:szCs w:val="24"/>
        </w:rPr>
        <w:fldChar w:fldCharType="end"/>
      </w:r>
      <w:r w:rsidRPr="0069113F">
        <w:rPr>
          <w:rFonts w:cs="Times New Roman"/>
          <w:szCs w:val="24"/>
        </w:rPr>
        <w:t xml:space="preserve"> and the UK government Trade Tariff service.</w:t>
      </w:r>
      <w:r w:rsidRPr="0069113F">
        <w:rPr>
          <w:rFonts w:cs="Times New Roman"/>
          <w:szCs w:val="24"/>
        </w:rPr>
        <w:fldChar w:fldCharType="begin"/>
      </w:r>
      <w:r>
        <w:rPr>
          <w:rFonts w:cs="Times New Roman"/>
          <w:szCs w:val="24"/>
        </w:rPr>
        <w:instrText xml:space="preserve"> ADDIN EN.CITE &lt;EndNote&gt;&lt;Cite&gt;&lt;Author&gt;HM Government.&lt;/Author&gt;&lt;RecNum&gt;407&lt;/RecNum&gt;&lt;DisplayText&gt;&lt;style face="superscript"&gt;(5)&lt;/style&gt;&lt;/DisplayText&gt;&lt;record&gt;&lt;rec-number&gt;407&lt;/rec-number&gt;&lt;foreign-keys&gt;&lt;key app="EN" db-id="zdrfrts5sr9296ea90uxsfvhf9zwdwstft0f" timestamp="1488470880"&gt;407&lt;/key&gt;&lt;/foreign-keys&gt;&lt;ref-type name="Web Page"&gt;12&lt;/ref-type&gt;&lt;contributors&gt;&lt;authors&gt;&lt;author&gt;HM Government.,&lt;/author&gt;&lt;/authors&gt;&lt;/contributors&gt;&lt;titles&gt;&lt;title&gt;Trade Tariff&lt;/title&gt;&lt;/titles&gt;&lt;number&gt;February 2017&lt;/number&gt;&lt;dates&gt;&lt;/dates&gt;&lt;urls&gt;&lt;related-urls&gt;&lt;url&gt;https://www.gov.uk/trade-tariff/sections&lt;/url&gt;&lt;/related-urls&gt;&lt;/urls&gt;&lt;/record&gt;&lt;/Cite&gt;&lt;/EndNote&gt;</w:instrText>
      </w:r>
      <w:r w:rsidRPr="0069113F">
        <w:rPr>
          <w:rFonts w:cs="Times New Roman"/>
          <w:szCs w:val="24"/>
        </w:rPr>
        <w:fldChar w:fldCharType="separate"/>
      </w:r>
      <w:r w:rsidRPr="005C196A">
        <w:rPr>
          <w:rFonts w:cs="Times New Roman"/>
          <w:noProof/>
          <w:szCs w:val="24"/>
          <w:vertAlign w:val="superscript"/>
        </w:rPr>
        <w:t>(5)</w:t>
      </w:r>
      <w:r w:rsidRPr="0069113F">
        <w:rPr>
          <w:rFonts w:cs="Times New Roman"/>
          <w:szCs w:val="24"/>
        </w:rPr>
        <w:fldChar w:fldCharType="end"/>
      </w:r>
      <w:r w:rsidRPr="0069113F">
        <w:rPr>
          <w:rFonts w:cs="Times New Roman"/>
          <w:szCs w:val="24"/>
        </w:rPr>
        <w:t xml:space="preserve"> We acquired a projected value for sugar price in 202</w:t>
      </w:r>
      <w:r w:rsidR="00FF3EB9">
        <w:rPr>
          <w:rFonts w:cs="Times New Roman"/>
          <w:szCs w:val="24"/>
        </w:rPr>
        <w:t>1</w:t>
      </w:r>
      <w:r w:rsidRPr="0069113F">
        <w:rPr>
          <w:rFonts w:cs="Times New Roman"/>
          <w:szCs w:val="24"/>
        </w:rPr>
        <w:t xml:space="preserve"> from the European Commission</w:t>
      </w:r>
      <w:r w:rsidRPr="0069113F">
        <w:rPr>
          <w:rFonts w:cs="Times New Roman"/>
          <w:szCs w:val="24"/>
        </w:rPr>
        <w:fldChar w:fldCharType="begin"/>
      </w:r>
      <w:r>
        <w:rPr>
          <w:rFonts w:cs="Times New Roman"/>
          <w:szCs w:val="24"/>
        </w:rPr>
        <w:instrText xml:space="preserve"> ADDIN EN.CITE &lt;EndNote&gt;&lt;Cite&gt;&lt;Author&gt;European Commission&lt;/Author&gt;&lt;Year&gt;2016&lt;/Year&gt;&lt;RecNum&gt;379&lt;/RecNum&gt;&lt;DisplayText&gt;&lt;style face="superscript"&gt;(6)&lt;/style&gt;&lt;/DisplayText&gt;&lt;record&gt;&lt;rec-number&gt;379&lt;/rec-number&gt;&lt;foreign-keys&gt;&lt;key app="EN" db-id="zdrfrts5sr9296ea90uxsfvhf9zwdwstft0f" timestamp="1481022905"&gt;379&lt;/key&gt;&lt;/foreign-keys&gt;&lt;ref-type name="Report"&gt;27&lt;/ref-type&gt;&lt;contributors&gt;&lt;authors&gt;&lt;author&gt;European Commission, .&lt;/author&gt;&lt;/authors&gt;&lt;/contributors&gt;&lt;titles&gt;&lt;title&gt;EU Agricultural Outlook. Prospects for EU agricultural markets and income 2016-2026&lt;/title&gt;&lt;/titles&gt;&lt;dates&gt;&lt;year&gt;2016&lt;/year&gt;&lt;/dates&gt;&lt;urls&gt;&lt;related-urls&gt;&lt;url&gt;http://ec.europa.eu/agriculture/markets-and-prices/medium-term-outlook/index_en.htm&lt;/url&gt;&lt;/related-urls&gt;&lt;/urls&gt;&lt;/record&gt;&lt;/Cite&gt;&lt;/EndNote&gt;</w:instrText>
      </w:r>
      <w:r w:rsidRPr="0069113F">
        <w:rPr>
          <w:rFonts w:cs="Times New Roman"/>
          <w:szCs w:val="24"/>
        </w:rPr>
        <w:fldChar w:fldCharType="separate"/>
      </w:r>
      <w:r w:rsidRPr="005C196A">
        <w:rPr>
          <w:rFonts w:cs="Times New Roman"/>
          <w:noProof/>
          <w:szCs w:val="24"/>
          <w:vertAlign w:val="superscript"/>
        </w:rPr>
        <w:t>(6)</w:t>
      </w:r>
      <w:r w:rsidRPr="0069113F">
        <w:rPr>
          <w:rFonts w:cs="Times New Roman"/>
          <w:szCs w:val="24"/>
        </w:rPr>
        <w:fldChar w:fldCharType="end"/>
      </w:r>
      <w:r w:rsidRPr="0069113F">
        <w:rPr>
          <w:rFonts w:cs="Times New Roman"/>
          <w:szCs w:val="24"/>
        </w:rPr>
        <w:t xml:space="preserve"> in €/t which we translated into £/t using the annual average exchange rate in 2016.</w:t>
      </w:r>
      <w:r w:rsidRPr="0069113F">
        <w:rPr>
          <w:rFonts w:cs="Times New Roman"/>
          <w:szCs w:val="24"/>
        </w:rPr>
        <w:fldChar w:fldCharType="begin"/>
      </w:r>
      <w:r>
        <w:rPr>
          <w:rFonts w:cs="Times New Roman"/>
          <w:szCs w:val="24"/>
        </w:rPr>
        <w:instrText xml:space="preserve"> ADDIN EN.CITE &lt;EndNote&gt;&lt;Cite&gt;&lt;Author&gt;HM Revenue &amp;amp; Customs.&lt;/Author&gt;&lt;RecNum&gt;406&lt;/RecNum&gt;&lt;DisplayText&gt;&lt;style face="superscript"&gt;(2)&lt;/style&gt;&lt;/DisplayText&gt;&lt;record&gt;&lt;rec-number&gt;406&lt;/rec-number&gt;&lt;foreign-keys&gt;&lt;key app="EN" db-id="zdrfrts5sr9296ea90uxsfvhf9zwdwstft0f" timestamp="1488470734"&gt;406&lt;/key&gt;&lt;/foreign-keys&gt;&lt;ref-type name="Web Page"&gt;12&lt;/ref-type&gt;&lt;contributors&gt;&lt;authors&gt;&lt;author&gt;HM Revenue &amp;amp; Customs.,&lt;/author&gt;&lt;/authors&gt;&lt;/contributors&gt;&lt;titles&gt;&lt;title&gt;UK Trade Statistics&lt;/title&gt;&lt;/titles&gt;&lt;number&gt;February 2017&lt;/number&gt;&lt;dates&gt;&lt;/dates&gt;&lt;urls&gt;&lt;related-urls&gt;&lt;url&gt;https://www.uktradeinfo.com/&lt;/url&gt;&lt;/related-urls&gt;&lt;/urls&gt;&lt;/record&gt;&lt;/Cite&gt;&lt;/EndNote&gt;</w:instrText>
      </w:r>
      <w:r w:rsidRPr="0069113F">
        <w:rPr>
          <w:rFonts w:cs="Times New Roman"/>
          <w:szCs w:val="24"/>
        </w:rPr>
        <w:fldChar w:fldCharType="separate"/>
      </w:r>
      <w:r w:rsidRPr="005C196A">
        <w:rPr>
          <w:rFonts w:cs="Times New Roman"/>
          <w:noProof/>
          <w:szCs w:val="24"/>
          <w:vertAlign w:val="superscript"/>
        </w:rPr>
        <w:t>(2)</w:t>
      </w:r>
      <w:r w:rsidRPr="0069113F">
        <w:rPr>
          <w:rFonts w:cs="Times New Roman"/>
          <w:szCs w:val="24"/>
        </w:rPr>
        <w:fldChar w:fldCharType="end"/>
      </w:r>
      <w:r w:rsidRPr="0069113F">
        <w:rPr>
          <w:rFonts w:cs="Times New Roman"/>
          <w:szCs w:val="24"/>
        </w:rPr>
        <w:t xml:space="preserve"> </w:t>
      </w:r>
    </w:p>
    <w:p w14:paraId="6226D138" w14:textId="77777777" w:rsidR="005C196A" w:rsidRPr="0088608D" w:rsidRDefault="005C196A" w:rsidP="005C196A">
      <w:pPr>
        <w:rPr>
          <w:rFonts w:cs="Times New Roman"/>
          <w:i/>
          <w:szCs w:val="24"/>
        </w:rPr>
      </w:pPr>
      <w:r w:rsidRPr="0088608D">
        <w:rPr>
          <w:rFonts w:cs="Times New Roman"/>
          <w:i/>
          <w:szCs w:val="24"/>
        </w:rPr>
        <w:t xml:space="preserve">Effect of the Brexit scenarios on price of sugar </w:t>
      </w:r>
    </w:p>
    <w:p w14:paraId="0635403E" w14:textId="443980E4" w:rsidR="005C196A" w:rsidRPr="0069113F" w:rsidRDefault="005C196A" w:rsidP="005C196A">
      <w:pPr>
        <w:rPr>
          <w:rFonts w:cs="Times New Roman"/>
          <w:szCs w:val="24"/>
        </w:rPr>
      </w:pPr>
      <w:r w:rsidRPr="0069113F">
        <w:rPr>
          <w:rFonts w:cs="Times New Roman"/>
          <w:szCs w:val="24"/>
        </w:rPr>
        <w:t>We assumed two potential Brexit scenarios, a “soft” Brexit and a “hard” Brexit. Under these two scenarios, changes in the price of sugar would be driven by two main factors: (1) increased facilitation costs to imports from the EU and (2) applied import tariffs. Increased trade facilitation costs will mostly be due to increased border controls in order to apply rules of origin, in both Brexit scenarios, and to further investigate EU regulation applications</w:t>
      </w:r>
      <w:r w:rsidR="0088608D">
        <w:rPr>
          <w:rFonts w:cs="Times New Roman"/>
          <w:szCs w:val="24"/>
        </w:rPr>
        <w:t>, in the “hard” Brexit scenario</w:t>
      </w:r>
      <w:r w:rsidRPr="0069113F">
        <w:rPr>
          <w:rFonts w:cs="Times New Roman"/>
          <w:szCs w:val="24"/>
        </w:rPr>
        <w:fldChar w:fldCharType="begin"/>
      </w:r>
      <w:r>
        <w:rPr>
          <w:rFonts w:cs="Times New Roman"/>
          <w:szCs w:val="24"/>
        </w:rPr>
        <w:instrText xml:space="preserve"> ADDIN EN.CITE &lt;EndNote&gt;&lt;Cite&gt;&lt;Author&gt;Swinbank&lt;/Author&gt;&lt;Year&gt;2017&lt;/Year&gt;&lt;RecNum&gt;387&lt;/RecNum&gt;&lt;DisplayText&gt;&lt;style face="superscript"&gt;(7)&lt;/style&gt;&lt;/DisplayText&gt;&lt;record&gt;&lt;rec-number&gt;387&lt;/rec-number&gt;&lt;foreign-keys&gt;&lt;key app="EN" db-id="zdrfrts5sr9296ea90uxsfvhf9zwdwstft0f" timestamp="1484044309"&gt;387&lt;/key&gt;&lt;/foreign-keys&gt;&lt;ref-type name="Report"&gt;27&lt;/ref-type&gt;&lt;contributors&gt;&lt;authors&gt;&lt;author&gt;Alan Swinbank&lt;/author&gt;&lt;/authors&gt;&lt;/contributors&gt;&lt;titles&gt;&lt;title&gt;World trade rules and the policy options for British agriculture post-Brexit&lt;/title&gt;&lt;/titles&gt;&lt;dates&gt;&lt;year&gt;2017&lt;/year&gt;&lt;/dates&gt;&lt;publisher&gt;UK Trade Policy Observatory&lt;/publisher&gt;&lt;urls&gt;&lt;/urls&gt;&lt;/record&gt;&lt;/Cite&gt;&lt;/EndNote&gt;</w:instrText>
      </w:r>
      <w:r w:rsidRPr="0069113F">
        <w:rPr>
          <w:rFonts w:cs="Times New Roman"/>
          <w:szCs w:val="24"/>
        </w:rPr>
        <w:fldChar w:fldCharType="separate"/>
      </w:r>
      <w:r w:rsidRPr="005C196A">
        <w:rPr>
          <w:rFonts w:cs="Times New Roman"/>
          <w:noProof/>
          <w:szCs w:val="24"/>
          <w:vertAlign w:val="superscript"/>
        </w:rPr>
        <w:t>(7)</w:t>
      </w:r>
      <w:r w:rsidRPr="0069113F">
        <w:rPr>
          <w:rFonts w:cs="Times New Roman"/>
          <w:szCs w:val="24"/>
        </w:rPr>
        <w:fldChar w:fldCharType="end"/>
      </w:r>
      <w:r w:rsidR="0088608D">
        <w:rPr>
          <w:rFonts w:cs="Times New Roman"/>
          <w:szCs w:val="24"/>
        </w:rPr>
        <w:t>.</w:t>
      </w:r>
      <w:r w:rsidRPr="0069113F">
        <w:rPr>
          <w:rFonts w:cs="Times New Roman"/>
          <w:szCs w:val="24"/>
        </w:rPr>
        <w:t xml:space="preserve"> We hypothesised them at 5% and 8% respectively, based on a previous modelling analysis</w:t>
      </w:r>
      <w:r w:rsidRPr="0069113F">
        <w:rPr>
          <w:rFonts w:cs="Times New Roman"/>
          <w:szCs w:val="24"/>
        </w:rPr>
        <w:fldChar w:fldCharType="begin"/>
      </w:r>
      <w:r>
        <w:rPr>
          <w:rFonts w:cs="Times New Roman"/>
          <w:szCs w:val="24"/>
        </w:rPr>
        <w:instrText xml:space="preserve"> ADDIN EN.CITE &lt;EndNote&gt;&lt;Cite&gt;&lt;Author&gt;Van Berkum&lt;/Author&gt;&lt;Year&gt;2016&lt;/Year&gt;&lt;RecNum&gt;376&lt;/RecNum&gt;&lt;DisplayText&gt;&lt;style face="superscript"&gt;(8)&lt;/style&gt;&lt;/DisplayText&gt;&lt;record&gt;&lt;rec-number&gt;376&lt;/rec-number&gt;&lt;foreign-keys&gt;&lt;key app="EN" db-id="zdrfrts5sr9296ea90uxsfvhf9zwdwstft0f" timestamp="1479220528"&gt;376&lt;/key&gt;&lt;/foreign-keys&gt;&lt;ref-type name="Report"&gt;27&lt;/ref-type&gt;&lt;contributors&gt;&lt;authors&gt;&lt;author&gt;Van Berkum, S&lt;/author&gt;&lt;author&gt;Jongeneel, RA&lt;/author&gt;&lt;author&gt;Vrolijk, HCJ&lt;/author&gt;&lt;author&gt;van Leeuwen, MGA&lt;/author&gt;&lt;author&gt;Jager, JH&lt;/author&gt;&lt;/authors&gt;&lt;/contributors&gt;&lt;titles&gt;&lt;title&gt;Implications of a UK exit from the EU for British agriculture&lt;/title&gt;&lt;/titles&gt;&lt;dates&gt;&lt;year&gt;2016&lt;/year&gt;&lt;/dates&gt;&lt;publisher&gt;LEI Wageningen UR&lt;/publisher&gt;&lt;isbn&gt;9462577730&lt;/isbn&gt;&lt;urls&gt;&lt;/urls&gt;&lt;/record&gt;&lt;/Cite&gt;&lt;/EndNote&gt;</w:instrText>
      </w:r>
      <w:r w:rsidRPr="0069113F">
        <w:rPr>
          <w:rFonts w:cs="Times New Roman"/>
          <w:szCs w:val="24"/>
        </w:rPr>
        <w:fldChar w:fldCharType="separate"/>
      </w:r>
      <w:r w:rsidRPr="005C196A">
        <w:rPr>
          <w:rFonts w:cs="Times New Roman"/>
          <w:noProof/>
          <w:szCs w:val="24"/>
          <w:vertAlign w:val="superscript"/>
        </w:rPr>
        <w:t>(8)</w:t>
      </w:r>
      <w:r w:rsidRPr="0069113F">
        <w:rPr>
          <w:rFonts w:cs="Times New Roman"/>
          <w:szCs w:val="24"/>
        </w:rPr>
        <w:fldChar w:fldCharType="end"/>
      </w:r>
      <w:r w:rsidR="0088608D">
        <w:rPr>
          <w:rFonts w:cs="Times New Roman"/>
          <w:szCs w:val="24"/>
        </w:rPr>
        <w:t>.</w:t>
      </w:r>
      <w:r w:rsidRPr="0069113F">
        <w:rPr>
          <w:rFonts w:cs="Times New Roman"/>
          <w:szCs w:val="24"/>
        </w:rPr>
        <w:t xml:space="preserve"> In both Brexit scenarios, tariffs will increase the price of imports from third countries that were previously under an FTA with the EU, while in the “hard” Brexit scenario, further increases will also occur due to tariffs applied to EU imports. We assumed that these tariffs would be equal to the EU import </w:t>
      </w:r>
      <w:r w:rsidRPr="0069113F">
        <w:rPr>
          <w:rFonts w:cs="Times New Roman"/>
          <w:szCs w:val="24"/>
        </w:rPr>
        <w:lastRenderedPageBreak/>
        <w:t>tariffs currently in place, which are 33</w:t>
      </w:r>
      <w:r>
        <w:rPr>
          <w:rFonts w:cs="Times New Roman"/>
          <w:szCs w:val="24"/>
        </w:rPr>
        <w:t>.</w:t>
      </w:r>
      <w:r w:rsidRPr="0069113F">
        <w:rPr>
          <w:rFonts w:cs="Times New Roman"/>
          <w:szCs w:val="24"/>
        </w:rPr>
        <w:t>9 €/t and 41</w:t>
      </w:r>
      <w:r>
        <w:rPr>
          <w:rFonts w:cs="Times New Roman"/>
          <w:szCs w:val="24"/>
        </w:rPr>
        <w:t>.</w:t>
      </w:r>
      <w:r w:rsidRPr="0069113F">
        <w:rPr>
          <w:rFonts w:cs="Times New Roman"/>
          <w:szCs w:val="24"/>
        </w:rPr>
        <w:t xml:space="preserve">9 €/t depending on the type of sugar imported. The </w:t>
      </w:r>
      <w:r>
        <w:rPr>
          <w:rFonts w:cs="Times New Roman"/>
          <w:szCs w:val="24"/>
        </w:rPr>
        <w:t xml:space="preserve">Appendix </w:t>
      </w:r>
      <w:r w:rsidRPr="0069113F">
        <w:rPr>
          <w:rFonts w:cs="Times New Roman"/>
          <w:szCs w:val="24"/>
        </w:rPr>
        <w:t xml:space="preserve">table </w:t>
      </w:r>
      <w:r w:rsidR="00E32DC9">
        <w:rPr>
          <w:rFonts w:cs="Times New Roman"/>
          <w:szCs w:val="24"/>
        </w:rPr>
        <w:t>4</w:t>
      </w:r>
      <w:bookmarkStart w:id="0" w:name="_GoBack"/>
      <w:bookmarkEnd w:id="0"/>
      <w:r>
        <w:rPr>
          <w:rFonts w:cs="Times New Roman"/>
          <w:szCs w:val="24"/>
        </w:rPr>
        <w:t xml:space="preserve"> </w:t>
      </w:r>
      <w:r w:rsidRPr="0069113F">
        <w:rPr>
          <w:rFonts w:cs="Times New Roman"/>
          <w:szCs w:val="24"/>
        </w:rPr>
        <w:t xml:space="preserve">summarises the changes in the price of sugar under the two Brexit scenarios. </w:t>
      </w:r>
    </w:p>
    <w:p w14:paraId="4312155A" w14:textId="77777777" w:rsidR="005C196A" w:rsidRPr="0069113F" w:rsidRDefault="005C196A" w:rsidP="005C196A">
      <w:pPr>
        <w:rPr>
          <w:rFonts w:cs="Times New Roman"/>
          <w:szCs w:val="24"/>
        </w:rPr>
      </w:pPr>
    </w:p>
    <w:p w14:paraId="76771B76" w14:textId="74ABBC17" w:rsidR="0088608D" w:rsidRDefault="0088608D">
      <w:pPr>
        <w:spacing w:after="160" w:line="259" w:lineRule="auto"/>
        <w:rPr>
          <w:rFonts w:cs="Times New Roman"/>
          <w:b/>
          <w:szCs w:val="24"/>
        </w:rPr>
      </w:pPr>
      <w:r>
        <w:rPr>
          <w:rFonts w:cs="Times New Roman"/>
          <w:b/>
          <w:szCs w:val="24"/>
        </w:rPr>
        <w:br w:type="page"/>
      </w:r>
    </w:p>
    <w:p w14:paraId="7B5BC60C" w14:textId="2B5E4340" w:rsidR="005C196A" w:rsidRDefault="0088608D" w:rsidP="0069113F">
      <w:pPr>
        <w:rPr>
          <w:rFonts w:cs="Times New Roman"/>
          <w:b/>
          <w:szCs w:val="24"/>
        </w:rPr>
      </w:pPr>
      <w:r w:rsidRPr="0069113F">
        <w:rPr>
          <w:rFonts w:cs="Times New Roman"/>
          <w:b/>
          <w:szCs w:val="24"/>
        </w:rPr>
        <w:lastRenderedPageBreak/>
        <w:t xml:space="preserve">Supplementary Appendix </w:t>
      </w:r>
      <w:r>
        <w:rPr>
          <w:rFonts w:cs="Times New Roman"/>
          <w:b/>
          <w:szCs w:val="24"/>
        </w:rPr>
        <w:t xml:space="preserve">– Tables </w:t>
      </w:r>
    </w:p>
    <w:p w14:paraId="3D2A3F67" w14:textId="77777777" w:rsidR="007C57A8" w:rsidRPr="00221863" w:rsidRDefault="007C57A8" w:rsidP="007C57A8">
      <w:pPr>
        <w:rPr>
          <w:rFonts w:cs="Times New Roman"/>
          <w:szCs w:val="24"/>
        </w:rPr>
      </w:pPr>
      <w:r w:rsidRPr="00221863">
        <w:rPr>
          <w:rFonts w:cs="Times New Roman"/>
          <w:szCs w:val="24"/>
        </w:rPr>
        <w:t>Appendix Table 1. Model assumptions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C57A8" w:rsidRPr="00455301" w14:paraId="5DCADE31" w14:textId="77777777" w:rsidTr="004A4CA8">
        <w:tc>
          <w:tcPr>
            <w:tcW w:w="9016" w:type="dxa"/>
            <w:tcBorders>
              <w:top w:val="single" w:sz="4" w:space="0" w:color="auto"/>
              <w:bottom w:val="single" w:sz="4" w:space="0" w:color="auto"/>
            </w:tcBorders>
            <w:vAlign w:val="center"/>
          </w:tcPr>
          <w:p w14:paraId="18CF24FE" w14:textId="77777777" w:rsidR="007C57A8" w:rsidRPr="00455301" w:rsidRDefault="007C57A8" w:rsidP="004A4CA8">
            <w:pPr>
              <w:spacing w:before="120" w:line="240" w:lineRule="auto"/>
              <w:rPr>
                <w:rFonts w:cs="Times New Roman"/>
                <w:b/>
                <w:i/>
              </w:rPr>
            </w:pPr>
            <w:r w:rsidRPr="00455301">
              <w:rPr>
                <w:rFonts w:cs="Times New Roman"/>
                <w:b/>
                <w:i/>
              </w:rPr>
              <w:t xml:space="preserve">Policy </w:t>
            </w:r>
            <w:r>
              <w:rPr>
                <w:rFonts w:cs="Times New Roman"/>
                <w:b/>
                <w:i/>
              </w:rPr>
              <w:t>scenarios</w:t>
            </w:r>
          </w:p>
        </w:tc>
      </w:tr>
      <w:tr w:rsidR="007C57A8" w:rsidRPr="00455301" w14:paraId="7F484538" w14:textId="77777777" w:rsidTr="004A4CA8">
        <w:tc>
          <w:tcPr>
            <w:tcW w:w="9016" w:type="dxa"/>
            <w:tcBorders>
              <w:top w:val="single" w:sz="4" w:space="0" w:color="auto"/>
            </w:tcBorders>
            <w:vAlign w:val="center"/>
          </w:tcPr>
          <w:p w14:paraId="4ABAE74D" w14:textId="77777777" w:rsidR="007C57A8" w:rsidRPr="00455301" w:rsidRDefault="007C57A8" w:rsidP="004A4CA8">
            <w:pPr>
              <w:spacing w:before="120" w:line="240" w:lineRule="auto"/>
              <w:rPr>
                <w:rFonts w:cs="Times New Roman"/>
              </w:rPr>
            </w:pPr>
            <w:r w:rsidRPr="00455301">
              <w:rPr>
                <w:rFonts w:cs="Times New Roman"/>
              </w:rPr>
              <w:t>The industry pass</w:t>
            </w:r>
            <w:r>
              <w:rPr>
                <w:rFonts w:cs="Times New Roman"/>
              </w:rPr>
              <w:t>es</w:t>
            </w:r>
            <w:r w:rsidRPr="00455301">
              <w:rPr>
                <w:rFonts w:cs="Times New Roman"/>
              </w:rPr>
              <w:t xml:space="preserve"> the cost increase to the consumer</w:t>
            </w:r>
            <w:r>
              <w:rPr>
                <w:rFonts w:cs="Times New Roman"/>
              </w:rPr>
              <w:t>.</w:t>
            </w:r>
          </w:p>
        </w:tc>
      </w:tr>
      <w:tr w:rsidR="007C57A8" w:rsidRPr="00455301" w14:paraId="61C50C54" w14:textId="77777777" w:rsidTr="004A4CA8">
        <w:tc>
          <w:tcPr>
            <w:tcW w:w="9016" w:type="dxa"/>
            <w:vAlign w:val="center"/>
          </w:tcPr>
          <w:p w14:paraId="129463CB" w14:textId="42B24BD5" w:rsidR="007C57A8" w:rsidRPr="00455301" w:rsidRDefault="007C57A8" w:rsidP="007C57A8">
            <w:pPr>
              <w:spacing w:before="120" w:line="240" w:lineRule="auto"/>
              <w:rPr>
                <w:rFonts w:cs="Times New Roman"/>
              </w:rPr>
            </w:pPr>
            <w:r w:rsidRPr="00455301">
              <w:rPr>
                <w:rFonts w:cs="Times New Roman"/>
              </w:rPr>
              <w:t xml:space="preserve">The </w:t>
            </w:r>
            <w:r>
              <w:rPr>
                <w:rFonts w:cs="Times New Roman"/>
              </w:rPr>
              <w:t>proportion of SSBs with sugar content 5-8 g/100 mL and SSBs with sugar content &gt;8 g/100 mL in the SSB market in 2021 is approximated using 2016 sales data</w:t>
            </w:r>
            <w:r>
              <w:rPr>
                <w:rFonts w:cs="Times New Roman"/>
              </w:rPr>
              <w:fldChar w:fldCharType="begin"/>
            </w:r>
            <w:r>
              <w:rPr>
                <w:rFonts w:cs="Times New Roman"/>
              </w:rPr>
              <w:instrText xml:space="preserve"> ADDIN EN.CITE &lt;EndNote&gt;&lt;Cite&gt;&lt;Author&gt;British Soft Drinks Association.&lt;/Author&gt;&lt;Year&gt;2017&lt;/Year&gt;&lt;RecNum&gt;769&lt;/RecNum&gt;&lt;DisplayText&gt;&lt;style face="superscript"&gt;(9)&lt;/style&gt;&lt;/DisplayText&gt;&lt;record&gt;&lt;rec-number&gt;769&lt;/rec-number&gt;&lt;foreign-keys&gt;&lt;key app="EN" db-id="zdrfrts5sr9296ea90uxsfvhf9zwdwstft0f" timestamp="1525182604"&gt;769&lt;/key&gt;&lt;/foreign-keys&gt;&lt;ref-type name="Web Page"&gt;12&lt;/ref-type&gt;&lt;contributors&gt;&lt;authors&gt;&lt;author&gt;British Soft Drinks Association.,&lt;/author&gt;&lt;/authors&gt;&lt;/contributors&gt;&lt;titles&gt;&lt;title&gt;Making it Happen. Annual report 2017&lt;/title&gt;&lt;/titles&gt;&lt;dates&gt;&lt;year&gt;2017&lt;/year&gt;&lt;/dates&gt;&lt;urls&gt;&lt;related-urls&gt;&lt;url&gt;http://www.britishsoftdrinks.com/write/MediaUploads/Publications/BSDA_Drinks_Report_2017.pdf&lt;/url&gt;&lt;/related-urls&gt;&lt;/urls&gt;&lt;/record&gt;&lt;/Cite&gt;&lt;/EndNote&gt;</w:instrText>
            </w:r>
            <w:r>
              <w:rPr>
                <w:rFonts w:cs="Times New Roman"/>
              </w:rPr>
              <w:fldChar w:fldCharType="separate"/>
            </w:r>
            <w:r w:rsidRPr="007C57A8">
              <w:rPr>
                <w:rFonts w:cs="Times New Roman"/>
                <w:noProof/>
                <w:vertAlign w:val="superscript"/>
              </w:rPr>
              <w:t>(9)</w:t>
            </w:r>
            <w:r>
              <w:rPr>
                <w:rFonts w:cs="Times New Roman"/>
              </w:rPr>
              <w:fldChar w:fldCharType="end"/>
            </w:r>
            <w:r>
              <w:rPr>
                <w:rFonts w:cs="Times New Roman"/>
              </w:rPr>
              <w:t xml:space="preserve">. </w:t>
            </w:r>
          </w:p>
        </w:tc>
      </w:tr>
      <w:tr w:rsidR="007C57A8" w:rsidRPr="00455301" w14:paraId="70337B0F" w14:textId="77777777" w:rsidTr="004A4CA8">
        <w:tc>
          <w:tcPr>
            <w:tcW w:w="9016" w:type="dxa"/>
            <w:vAlign w:val="center"/>
          </w:tcPr>
          <w:p w14:paraId="5F76EB73" w14:textId="77777777" w:rsidR="007C57A8" w:rsidRPr="00455301" w:rsidRDefault="007C57A8" w:rsidP="004A4CA8">
            <w:pPr>
              <w:spacing w:before="120" w:line="240" w:lineRule="auto"/>
              <w:rPr>
                <w:rFonts w:cs="Times New Roman"/>
              </w:rPr>
            </w:pPr>
            <w:r>
              <w:rPr>
                <w:rFonts w:cs="Times New Roman"/>
              </w:rPr>
              <w:t>The ratio of imported and domestically produced sugar used by the SSB industry is the same as their ratio in the overall market in 2021 and is approximated using 2015 data.</w:t>
            </w:r>
          </w:p>
        </w:tc>
      </w:tr>
      <w:tr w:rsidR="007C57A8" w:rsidRPr="00455301" w14:paraId="0EDD5587" w14:textId="77777777" w:rsidTr="004A4CA8">
        <w:tc>
          <w:tcPr>
            <w:tcW w:w="9016" w:type="dxa"/>
            <w:tcBorders>
              <w:bottom w:val="single" w:sz="4" w:space="0" w:color="auto"/>
            </w:tcBorders>
            <w:vAlign w:val="center"/>
          </w:tcPr>
          <w:p w14:paraId="0204D7F4" w14:textId="77777777" w:rsidR="007C57A8" w:rsidRPr="00455301" w:rsidRDefault="007C57A8" w:rsidP="004A4CA8">
            <w:pPr>
              <w:spacing w:before="120" w:line="240" w:lineRule="auto"/>
              <w:rPr>
                <w:rFonts w:cs="Times New Roman"/>
              </w:rPr>
            </w:pPr>
            <w:r w:rsidRPr="00455301">
              <w:rPr>
                <w:rFonts w:cs="Times New Roman"/>
              </w:rPr>
              <w:t>The difference in responsiveness to price among socioeconomic groups in Mexico is the same as in the UK</w:t>
            </w:r>
            <w:r>
              <w:rPr>
                <w:rFonts w:cs="Times New Roman"/>
              </w:rPr>
              <w:t>.</w:t>
            </w:r>
          </w:p>
        </w:tc>
      </w:tr>
      <w:tr w:rsidR="007C57A8" w:rsidRPr="00455301" w14:paraId="5B0A866D" w14:textId="77777777" w:rsidTr="004A4CA8">
        <w:tc>
          <w:tcPr>
            <w:tcW w:w="9016" w:type="dxa"/>
            <w:tcBorders>
              <w:top w:val="single" w:sz="4" w:space="0" w:color="auto"/>
              <w:bottom w:val="single" w:sz="4" w:space="0" w:color="auto"/>
            </w:tcBorders>
            <w:vAlign w:val="center"/>
          </w:tcPr>
          <w:p w14:paraId="5C26E420" w14:textId="77777777" w:rsidR="007C57A8" w:rsidRPr="00455301" w:rsidRDefault="007C57A8" w:rsidP="004A4CA8">
            <w:pPr>
              <w:spacing w:before="120" w:line="240" w:lineRule="auto"/>
              <w:rPr>
                <w:rFonts w:cs="Times New Roman"/>
                <w:b/>
                <w:i/>
              </w:rPr>
            </w:pPr>
            <w:r>
              <w:rPr>
                <w:rFonts w:cs="Times New Roman"/>
                <w:b/>
                <w:i/>
              </w:rPr>
              <w:t>Effects on m</w:t>
            </w:r>
            <w:r w:rsidRPr="00455301">
              <w:rPr>
                <w:rFonts w:cs="Times New Roman"/>
                <w:b/>
                <w:i/>
              </w:rPr>
              <w:t>ortality</w:t>
            </w:r>
          </w:p>
        </w:tc>
      </w:tr>
      <w:tr w:rsidR="007C57A8" w:rsidRPr="00455301" w14:paraId="05195565" w14:textId="77777777" w:rsidTr="004A4CA8">
        <w:tc>
          <w:tcPr>
            <w:tcW w:w="9016" w:type="dxa"/>
            <w:tcBorders>
              <w:top w:val="single" w:sz="4" w:space="0" w:color="auto"/>
            </w:tcBorders>
            <w:vAlign w:val="center"/>
          </w:tcPr>
          <w:p w14:paraId="3DD3E588" w14:textId="77777777" w:rsidR="007C57A8" w:rsidRPr="00455301" w:rsidRDefault="007C57A8" w:rsidP="004A4CA8">
            <w:pPr>
              <w:spacing w:before="120" w:line="240" w:lineRule="auto"/>
              <w:rPr>
                <w:rFonts w:cs="Times New Roman"/>
              </w:rPr>
            </w:pPr>
            <w:r w:rsidRPr="00455301">
              <w:rPr>
                <w:rFonts w:cs="Times New Roman"/>
              </w:rPr>
              <w:t xml:space="preserve">There is an immediate effect of reducing SSB consumption on CHD mortality. </w:t>
            </w:r>
          </w:p>
        </w:tc>
      </w:tr>
      <w:tr w:rsidR="007C57A8" w:rsidRPr="00455301" w14:paraId="37D1E4B0" w14:textId="77777777" w:rsidTr="004A4CA8">
        <w:tc>
          <w:tcPr>
            <w:tcW w:w="9016" w:type="dxa"/>
            <w:vAlign w:val="center"/>
          </w:tcPr>
          <w:p w14:paraId="37EDC601" w14:textId="77777777" w:rsidR="007C57A8" w:rsidRPr="00455301" w:rsidRDefault="007C57A8" w:rsidP="004A4CA8">
            <w:pPr>
              <w:spacing w:before="120" w:line="240" w:lineRule="auto"/>
              <w:rPr>
                <w:rFonts w:cs="Times New Roman"/>
              </w:rPr>
            </w:pPr>
            <w:r w:rsidRPr="00455301">
              <w:rPr>
                <w:rFonts w:cs="Times New Roman"/>
              </w:rPr>
              <w:t xml:space="preserve">The differential mortality between England and Wales and between socioeconomic groups in 2013 </w:t>
            </w:r>
            <w:r>
              <w:rPr>
                <w:rFonts w:cs="Times New Roman"/>
              </w:rPr>
              <w:t>is</w:t>
            </w:r>
            <w:r w:rsidRPr="00455301">
              <w:rPr>
                <w:rFonts w:cs="Times New Roman"/>
              </w:rPr>
              <w:t xml:space="preserve"> </w:t>
            </w:r>
            <w:r>
              <w:rPr>
                <w:rFonts w:cs="Times New Roman"/>
              </w:rPr>
              <w:t>sustained</w:t>
            </w:r>
            <w:r w:rsidRPr="00455301">
              <w:rPr>
                <w:rFonts w:cs="Times New Roman"/>
              </w:rPr>
              <w:t xml:space="preserve"> in 2021.</w:t>
            </w:r>
          </w:p>
        </w:tc>
      </w:tr>
      <w:tr w:rsidR="007C57A8" w:rsidRPr="00455301" w14:paraId="2E626F97" w14:textId="77777777" w:rsidTr="004A4CA8">
        <w:tc>
          <w:tcPr>
            <w:tcW w:w="9016" w:type="dxa"/>
            <w:vAlign w:val="center"/>
          </w:tcPr>
          <w:p w14:paraId="0A3F02FE" w14:textId="77777777" w:rsidR="007C57A8" w:rsidRPr="00455301" w:rsidRDefault="007C57A8" w:rsidP="004A4CA8">
            <w:pPr>
              <w:spacing w:before="120" w:line="240" w:lineRule="auto"/>
              <w:rPr>
                <w:rFonts w:cs="Times New Roman"/>
              </w:rPr>
            </w:pPr>
            <w:r w:rsidRPr="00455301">
              <w:rPr>
                <w:rFonts w:cs="Times New Roman"/>
              </w:rPr>
              <w:t>There is a linear association between CHD risk and CHD mortality.</w:t>
            </w:r>
          </w:p>
        </w:tc>
      </w:tr>
      <w:tr w:rsidR="007C57A8" w:rsidRPr="00455301" w14:paraId="2043DB4A" w14:textId="77777777" w:rsidTr="004A4CA8">
        <w:tc>
          <w:tcPr>
            <w:tcW w:w="9016" w:type="dxa"/>
            <w:tcBorders>
              <w:bottom w:val="single" w:sz="4" w:space="0" w:color="auto"/>
            </w:tcBorders>
            <w:vAlign w:val="center"/>
          </w:tcPr>
          <w:p w14:paraId="115FB8DE" w14:textId="77777777" w:rsidR="007C57A8" w:rsidRPr="00455301" w:rsidRDefault="007C57A8" w:rsidP="004A4CA8">
            <w:pPr>
              <w:spacing w:before="120" w:line="240" w:lineRule="auto"/>
              <w:rPr>
                <w:rFonts w:cs="Times New Roman"/>
              </w:rPr>
            </w:pPr>
            <w:r w:rsidRPr="00E72E1E">
              <w:rPr>
                <w:rFonts w:cs="Times New Roman"/>
              </w:rPr>
              <w:t>The B</w:t>
            </w:r>
            <w:r>
              <w:rPr>
                <w:rFonts w:cs="Times New Roman"/>
              </w:rPr>
              <w:t xml:space="preserve">ayesian </w:t>
            </w:r>
            <w:r w:rsidRPr="00E72E1E">
              <w:rPr>
                <w:rFonts w:cs="Times New Roman"/>
              </w:rPr>
              <w:t>A</w:t>
            </w:r>
            <w:r>
              <w:rPr>
                <w:rFonts w:cs="Times New Roman"/>
              </w:rPr>
              <w:t>ge-</w:t>
            </w:r>
            <w:r w:rsidRPr="00E72E1E">
              <w:rPr>
                <w:rFonts w:cs="Times New Roman"/>
              </w:rPr>
              <w:t>P</w:t>
            </w:r>
            <w:r>
              <w:rPr>
                <w:rFonts w:cs="Times New Roman"/>
              </w:rPr>
              <w:t>eriod-</w:t>
            </w:r>
            <w:r w:rsidRPr="00E72E1E">
              <w:rPr>
                <w:rFonts w:cs="Times New Roman"/>
              </w:rPr>
              <w:t>C</w:t>
            </w:r>
            <w:r>
              <w:rPr>
                <w:rFonts w:cs="Times New Roman"/>
              </w:rPr>
              <w:t>ohort</w:t>
            </w:r>
            <w:r w:rsidRPr="00E72E1E">
              <w:rPr>
                <w:rFonts w:cs="Times New Roman"/>
              </w:rPr>
              <w:t xml:space="preserve"> model </w:t>
            </w:r>
            <w:r>
              <w:rPr>
                <w:rFonts w:cs="Times New Roman"/>
              </w:rPr>
              <w:t xml:space="preserve">used to project mortality to 2021 </w:t>
            </w:r>
            <w:r w:rsidRPr="00E72E1E">
              <w:rPr>
                <w:rFonts w:cs="Times New Roman"/>
              </w:rPr>
              <w:t xml:space="preserve">assumes that the </w:t>
            </w:r>
            <w:r>
              <w:rPr>
                <w:rFonts w:cs="Times New Roman"/>
              </w:rPr>
              <w:t xml:space="preserve">observed </w:t>
            </w:r>
            <w:r w:rsidRPr="00E72E1E">
              <w:rPr>
                <w:rFonts w:cs="Times New Roman"/>
              </w:rPr>
              <w:t>age, period, and cohort effects on mortality remain unchanged into the future</w:t>
            </w:r>
            <w:r>
              <w:rPr>
                <w:rFonts w:cs="Times New Roman"/>
              </w:rPr>
              <w:t>.</w:t>
            </w:r>
          </w:p>
        </w:tc>
      </w:tr>
    </w:tbl>
    <w:p w14:paraId="66407A06" w14:textId="77777777" w:rsidR="007C57A8" w:rsidRDefault="007C57A8" w:rsidP="007C57A8">
      <w:pPr>
        <w:rPr>
          <w:rFonts w:cs="Times New Roman"/>
        </w:rPr>
      </w:pPr>
    </w:p>
    <w:p w14:paraId="6F0E8D82" w14:textId="7685D5B0" w:rsidR="005C196A" w:rsidRPr="00AF24BA" w:rsidRDefault="005C196A" w:rsidP="005C196A">
      <w:pPr>
        <w:rPr>
          <w:rFonts w:cs="Times New Roman"/>
          <w:szCs w:val="24"/>
        </w:rPr>
      </w:pPr>
      <w:r w:rsidRPr="00AF24BA">
        <w:rPr>
          <w:rFonts w:cs="Times New Roman"/>
          <w:szCs w:val="24"/>
        </w:rPr>
        <w:t xml:space="preserve">Appendix Table </w:t>
      </w:r>
      <w:r w:rsidR="000A648F">
        <w:rPr>
          <w:rFonts w:cs="Times New Roman"/>
          <w:szCs w:val="24"/>
        </w:rPr>
        <w:t>2</w:t>
      </w:r>
      <w:r w:rsidRPr="00AF24BA">
        <w:rPr>
          <w:rFonts w:cs="Times New Roman"/>
          <w:szCs w:val="24"/>
        </w:rPr>
        <w:t xml:space="preserve">. Data Sources for </w:t>
      </w:r>
      <w:r w:rsidR="0088608D">
        <w:rPr>
          <w:rFonts w:cs="Times New Roman"/>
          <w:szCs w:val="24"/>
        </w:rPr>
        <w:t xml:space="preserve">all </w:t>
      </w:r>
      <w:r w:rsidRPr="00AF24BA">
        <w:rPr>
          <w:rFonts w:cs="Times New Roman"/>
          <w:szCs w:val="24"/>
        </w:rPr>
        <w:t>model inputs</w:t>
      </w:r>
    </w:p>
    <w:tbl>
      <w:tblPr>
        <w:tblStyle w:val="TableGrid"/>
        <w:tblW w:w="9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98"/>
      </w:tblGrid>
      <w:tr w:rsidR="005C196A" w:rsidRPr="0069113F" w14:paraId="311E3CE2" w14:textId="77777777" w:rsidTr="001E2BB9">
        <w:trPr>
          <w:trHeight w:val="315"/>
        </w:trPr>
        <w:tc>
          <w:tcPr>
            <w:tcW w:w="4536" w:type="dxa"/>
            <w:tcBorders>
              <w:top w:val="single" w:sz="4" w:space="0" w:color="auto"/>
              <w:bottom w:val="single" w:sz="4" w:space="0" w:color="auto"/>
            </w:tcBorders>
            <w:noWrap/>
            <w:hideMark/>
          </w:tcPr>
          <w:p w14:paraId="1C57A166" w14:textId="77777777" w:rsidR="005C196A" w:rsidRPr="0069113F" w:rsidRDefault="005C196A" w:rsidP="00221863">
            <w:pPr>
              <w:spacing w:before="120" w:line="240" w:lineRule="auto"/>
              <w:rPr>
                <w:rFonts w:cs="Times New Roman"/>
                <w:szCs w:val="24"/>
              </w:rPr>
            </w:pPr>
            <w:r w:rsidRPr="0069113F">
              <w:rPr>
                <w:rFonts w:cs="Times New Roman"/>
                <w:szCs w:val="24"/>
              </w:rPr>
              <w:t>Model input</w:t>
            </w:r>
          </w:p>
        </w:tc>
        <w:tc>
          <w:tcPr>
            <w:tcW w:w="4598" w:type="dxa"/>
            <w:tcBorders>
              <w:top w:val="single" w:sz="4" w:space="0" w:color="auto"/>
              <w:bottom w:val="single" w:sz="4" w:space="0" w:color="auto"/>
            </w:tcBorders>
            <w:noWrap/>
            <w:hideMark/>
          </w:tcPr>
          <w:p w14:paraId="68D7928E" w14:textId="77777777" w:rsidR="005C196A" w:rsidRPr="0069113F" w:rsidRDefault="005C196A" w:rsidP="00221863">
            <w:pPr>
              <w:spacing w:before="120" w:line="240" w:lineRule="auto"/>
              <w:rPr>
                <w:rFonts w:cs="Times New Roman"/>
                <w:szCs w:val="24"/>
              </w:rPr>
            </w:pPr>
            <w:r w:rsidRPr="0069113F">
              <w:rPr>
                <w:rFonts w:cs="Times New Roman"/>
                <w:szCs w:val="24"/>
              </w:rPr>
              <w:t>Source</w:t>
            </w:r>
          </w:p>
        </w:tc>
      </w:tr>
      <w:tr w:rsidR="005C196A" w:rsidRPr="0069113F" w14:paraId="44FD3C20" w14:textId="77777777" w:rsidTr="001E2BB9">
        <w:trPr>
          <w:trHeight w:val="315"/>
        </w:trPr>
        <w:tc>
          <w:tcPr>
            <w:tcW w:w="4536" w:type="dxa"/>
            <w:tcBorders>
              <w:top w:val="single" w:sz="4" w:space="0" w:color="auto"/>
            </w:tcBorders>
            <w:hideMark/>
          </w:tcPr>
          <w:p w14:paraId="70128822" w14:textId="77777777" w:rsidR="005C196A" w:rsidRPr="0069113F" w:rsidRDefault="005C196A" w:rsidP="00221863">
            <w:pPr>
              <w:spacing w:before="120" w:line="240" w:lineRule="auto"/>
              <w:rPr>
                <w:rFonts w:cs="Times New Roman"/>
                <w:szCs w:val="24"/>
              </w:rPr>
            </w:pPr>
            <w:r w:rsidRPr="0069113F">
              <w:rPr>
                <w:rFonts w:cs="Times New Roman"/>
                <w:szCs w:val="24"/>
              </w:rPr>
              <w:t>Sugar imports to the UK by sugar type and country of import</w:t>
            </w:r>
          </w:p>
        </w:tc>
        <w:tc>
          <w:tcPr>
            <w:tcW w:w="4598" w:type="dxa"/>
            <w:tcBorders>
              <w:top w:val="single" w:sz="4" w:space="0" w:color="auto"/>
            </w:tcBorders>
            <w:noWrap/>
            <w:hideMark/>
          </w:tcPr>
          <w:p w14:paraId="11FD7EFC" w14:textId="7BB8D2A3" w:rsidR="005C196A" w:rsidRPr="0069113F" w:rsidRDefault="005C196A" w:rsidP="00221863">
            <w:pPr>
              <w:spacing w:before="120" w:line="240" w:lineRule="auto"/>
              <w:rPr>
                <w:rFonts w:cs="Times New Roman"/>
                <w:szCs w:val="24"/>
              </w:rPr>
            </w:pPr>
            <w:r w:rsidRPr="0069113F">
              <w:rPr>
                <w:rFonts w:cs="Times New Roman"/>
                <w:szCs w:val="24"/>
              </w:rPr>
              <w:t>HM Revenue and Customs</w:t>
            </w:r>
            <w:r w:rsidRPr="0069113F">
              <w:rPr>
                <w:rFonts w:cs="Times New Roman"/>
                <w:szCs w:val="24"/>
              </w:rPr>
              <w:fldChar w:fldCharType="begin"/>
            </w:r>
            <w:r>
              <w:rPr>
                <w:rFonts w:cs="Times New Roman"/>
                <w:szCs w:val="24"/>
              </w:rPr>
              <w:instrText xml:space="preserve"> ADDIN EN.CITE &lt;EndNote&gt;&lt;Cite&gt;&lt;Author&gt;HM Revenue &amp;amp; Customs.&lt;/Author&gt;&lt;RecNum&gt;406&lt;/RecNum&gt;&lt;DisplayText&gt;&lt;style face="superscript"&gt;(2)&lt;/style&gt;&lt;/DisplayText&gt;&lt;record&gt;&lt;rec-number&gt;406&lt;/rec-number&gt;&lt;foreign-keys&gt;&lt;key app="EN" db-id="zdrfrts5sr9296ea90uxsfvhf9zwdwstft0f" timestamp="1488470734"&gt;406&lt;/key&gt;&lt;/foreign-keys&gt;&lt;ref-type name="Web Page"&gt;12&lt;/ref-type&gt;&lt;contributors&gt;&lt;authors&gt;&lt;author&gt;HM Revenue &amp;amp; Customs.,&lt;/author&gt;&lt;/authors&gt;&lt;/contributors&gt;&lt;titles&gt;&lt;title&gt;UK Trade Statistics&lt;/title&gt;&lt;/titles&gt;&lt;number&gt;February 2017&lt;/number&gt;&lt;dates&gt;&lt;/dates&gt;&lt;urls&gt;&lt;related-urls&gt;&lt;url&gt;https://www.uktradeinfo.com/&lt;/url&gt;&lt;/related-urls&gt;&lt;/urls&gt;&lt;/record&gt;&lt;/Cite&gt;&lt;/EndNote&gt;</w:instrText>
            </w:r>
            <w:r w:rsidRPr="0069113F">
              <w:rPr>
                <w:rFonts w:cs="Times New Roman"/>
                <w:szCs w:val="24"/>
              </w:rPr>
              <w:fldChar w:fldCharType="separate"/>
            </w:r>
            <w:r w:rsidRPr="005C196A">
              <w:rPr>
                <w:rFonts w:cs="Times New Roman"/>
                <w:noProof/>
                <w:szCs w:val="24"/>
                <w:vertAlign w:val="superscript"/>
              </w:rPr>
              <w:t>(2)</w:t>
            </w:r>
            <w:r w:rsidRPr="0069113F">
              <w:rPr>
                <w:rFonts w:cs="Times New Roman"/>
                <w:szCs w:val="24"/>
              </w:rPr>
              <w:fldChar w:fldCharType="end"/>
            </w:r>
          </w:p>
        </w:tc>
      </w:tr>
      <w:tr w:rsidR="005C196A" w:rsidRPr="0069113F" w14:paraId="732A5A48" w14:textId="77777777" w:rsidTr="001E2BB9">
        <w:trPr>
          <w:trHeight w:val="315"/>
        </w:trPr>
        <w:tc>
          <w:tcPr>
            <w:tcW w:w="4536" w:type="dxa"/>
            <w:hideMark/>
          </w:tcPr>
          <w:p w14:paraId="41F86267" w14:textId="77777777" w:rsidR="005C196A" w:rsidRPr="0069113F" w:rsidRDefault="005C196A" w:rsidP="00221863">
            <w:pPr>
              <w:spacing w:before="120" w:line="240" w:lineRule="auto"/>
              <w:rPr>
                <w:rFonts w:cs="Times New Roman"/>
                <w:szCs w:val="24"/>
              </w:rPr>
            </w:pPr>
            <w:r w:rsidRPr="0069113F">
              <w:rPr>
                <w:rFonts w:cs="Times New Roman"/>
                <w:szCs w:val="24"/>
              </w:rPr>
              <w:t>Countries with a FTA with the EU</w:t>
            </w:r>
          </w:p>
        </w:tc>
        <w:tc>
          <w:tcPr>
            <w:tcW w:w="4598" w:type="dxa"/>
            <w:noWrap/>
            <w:hideMark/>
          </w:tcPr>
          <w:p w14:paraId="70E3EDE5" w14:textId="1AA5F51C" w:rsidR="005C196A" w:rsidRPr="0069113F" w:rsidRDefault="005C196A" w:rsidP="00221863">
            <w:pPr>
              <w:spacing w:before="120" w:line="240" w:lineRule="auto"/>
              <w:rPr>
                <w:rFonts w:cs="Times New Roman"/>
                <w:szCs w:val="24"/>
              </w:rPr>
            </w:pPr>
            <w:r w:rsidRPr="0069113F">
              <w:rPr>
                <w:rFonts w:cs="Times New Roman"/>
                <w:szCs w:val="24"/>
              </w:rPr>
              <w:t>Gov.uk</w:t>
            </w:r>
            <w:r w:rsidRPr="0069113F">
              <w:rPr>
                <w:rFonts w:cs="Times New Roman"/>
                <w:szCs w:val="24"/>
              </w:rPr>
              <w:fldChar w:fldCharType="begin"/>
            </w:r>
            <w:r>
              <w:rPr>
                <w:rFonts w:cs="Times New Roman"/>
                <w:szCs w:val="24"/>
              </w:rPr>
              <w:instrText xml:space="preserve"> ADDIN EN.CITE &lt;EndNote&gt;&lt;Cite&gt;&lt;Author&gt;HM Government.&lt;/Author&gt;&lt;RecNum&gt;407&lt;/RecNum&gt;&lt;DisplayText&gt;&lt;style face="superscript"&gt;(5)&lt;/style&gt;&lt;/DisplayText&gt;&lt;record&gt;&lt;rec-number&gt;407&lt;/rec-number&gt;&lt;foreign-keys&gt;&lt;key app="EN" db-id="zdrfrts5sr9296ea90uxsfvhf9zwdwstft0f" timestamp="1488470880"&gt;407&lt;/key&gt;&lt;/foreign-keys&gt;&lt;ref-type name="Web Page"&gt;12&lt;/ref-type&gt;&lt;contributors&gt;&lt;authors&gt;&lt;author&gt;HM Government.,&lt;/author&gt;&lt;/authors&gt;&lt;/contributors&gt;&lt;titles&gt;&lt;title&gt;Trade Tariff&lt;/title&gt;&lt;/titles&gt;&lt;number&gt;February 2017&lt;/number&gt;&lt;dates&gt;&lt;/dates&gt;&lt;urls&gt;&lt;related-urls&gt;&lt;url&gt;https://www.gov.uk/trade-tariff/sections&lt;/url&gt;&lt;/related-urls&gt;&lt;/urls&gt;&lt;/record&gt;&lt;/Cite&gt;&lt;/EndNote&gt;</w:instrText>
            </w:r>
            <w:r w:rsidRPr="0069113F">
              <w:rPr>
                <w:rFonts w:cs="Times New Roman"/>
                <w:szCs w:val="24"/>
              </w:rPr>
              <w:fldChar w:fldCharType="separate"/>
            </w:r>
            <w:r w:rsidRPr="005C196A">
              <w:rPr>
                <w:rFonts w:cs="Times New Roman"/>
                <w:noProof/>
                <w:szCs w:val="24"/>
                <w:vertAlign w:val="superscript"/>
              </w:rPr>
              <w:t>(5)</w:t>
            </w:r>
            <w:r w:rsidRPr="0069113F">
              <w:rPr>
                <w:rFonts w:cs="Times New Roman"/>
                <w:szCs w:val="24"/>
              </w:rPr>
              <w:fldChar w:fldCharType="end"/>
            </w:r>
          </w:p>
        </w:tc>
      </w:tr>
      <w:tr w:rsidR="005C196A" w:rsidRPr="0069113F" w14:paraId="614ABBD9" w14:textId="77777777" w:rsidTr="001E2BB9">
        <w:trPr>
          <w:trHeight w:val="315"/>
        </w:trPr>
        <w:tc>
          <w:tcPr>
            <w:tcW w:w="4536" w:type="dxa"/>
            <w:hideMark/>
          </w:tcPr>
          <w:p w14:paraId="3AD6722B" w14:textId="77777777" w:rsidR="005C196A" w:rsidRPr="0069113F" w:rsidRDefault="005C196A" w:rsidP="00221863">
            <w:pPr>
              <w:spacing w:before="120" w:line="240" w:lineRule="auto"/>
              <w:rPr>
                <w:rFonts w:cs="Times New Roman"/>
                <w:szCs w:val="24"/>
              </w:rPr>
            </w:pPr>
            <w:r w:rsidRPr="0069113F">
              <w:rPr>
                <w:rFonts w:cs="Times New Roman"/>
                <w:szCs w:val="24"/>
              </w:rPr>
              <w:t>Sugar imports in the UK as percentage of total sugar supply</w:t>
            </w:r>
          </w:p>
        </w:tc>
        <w:tc>
          <w:tcPr>
            <w:tcW w:w="4598" w:type="dxa"/>
            <w:noWrap/>
            <w:hideMark/>
          </w:tcPr>
          <w:p w14:paraId="4FE6B8C2" w14:textId="08214E87" w:rsidR="005C196A" w:rsidRPr="0069113F" w:rsidRDefault="005C196A" w:rsidP="00221863">
            <w:pPr>
              <w:spacing w:before="120" w:line="240" w:lineRule="auto"/>
              <w:rPr>
                <w:rFonts w:cs="Times New Roman"/>
                <w:szCs w:val="24"/>
              </w:rPr>
            </w:pPr>
            <w:r w:rsidRPr="0069113F">
              <w:rPr>
                <w:rFonts w:cs="Times New Roman"/>
                <w:szCs w:val="24"/>
              </w:rPr>
              <w:t>Department for Environment, Food &amp; Rural Affairs</w:t>
            </w:r>
            <w:r w:rsidRPr="0069113F">
              <w:rPr>
                <w:rFonts w:cs="Times New Roman"/>
                <w:szCs w:val="24"/>
              </w:rPr>
              <w:fldChar w:fldCharType="begin"/>
            </w:r>
            <w:r>
              <w:rPr>
                <w:rFonts w:cs="Times New Roman"/>
                <w:szCs w:val="24"/>
              </w:rPr>
              <w:instrText xml:space="preserve"> ADDIN EN.CITE &lt;EndNote&gt;&lt;Cite&gt;&lt;Author&gt;Department for Environment Food &amp;amp; Rural Affairs (DEFRA)&lt;/Author&gt;&lt;Year&gt;2017&lt;/Year&gt;&lt;RecNum&gt;575&lt;/RecNum&gt;&lt;DisplayText&gt;&lt;style face="superscript"&gt;(3)&lt;/style&gt;&lt;/DisplayText&gt;&lt;record&gt;&lt;rec-number&gt;575&lt;/rec-number&gt;&lt;foreign-keys&gt;&lt;key app="EN" db-id="zdrfrts5sr9296ea90uxsfvhf9zwdwstft0f" timestamp="1496920349"&gt;575&lt;/key&gt;&lt;/foreign-keys&gt;&lt;ref-type name="Report"&gt;27&lt;/ref-type&gt;&lt;contributors&gt;&lt;authors&gt;&lt;author&gt;Department for Environment Food &amp;amp; Rural Affairs (DEFRA),.&lt;/author&gt;&lt;/authors&gt;&lt;/contributors&gt;&lt;titles&gt;&lt;title&gt;Agriculture in the United Kingdom 2016.&lt;/title&gt;&lt;/titles&gt;&lt;dates&gt;&lt;year&gt;2017&lt;/year&gt;&lt;/dates&gt;&lt;urls&gt;&lt;related-urls&gt;&lt;url&gt;https://www.gov.uk/government/statistics/agriculture-in-the-united-kingdom-2016&lt;/url&gt;&lt;/related-urls&gt;&lt;/urls&gt;&lt;/record&gt;&lt;/Cite&gt;&lt;/EndNote&gt;</w:instrText>
            </w:r>
            <w:r w:rsidRPr="0069113F">
              <w:rPr>
                <w:rFonts w:cs="Times New Roman"/>
                <w:szCs w:val="24"/>
              </w:rPr>
              <w:fldChar w:fldCharType="separate"/>
            </w:r>
            <w:r w:rsidRPr="005C196A">
              <w:rPr>
                <w:rFonts w:cs="Times New Roman"/>
                <w:noProof/>
                <w:szCs w:val="24"/>
                <w:vertAlign w:val="superscript"/>
              </w:rPr>
              <w:t>(3)</w:t>
            </w:r>
            <w:r w:rsidRPr="0069113F">
              <w:rPr>
                <w:rFonts w:cs="Times New Roman"/>
                <w:szCs w:val="24"/>
              </w:rPr>
              <w:fldChar w:fldCharType="end"/>
            </w:r>
          </w:p>
        </w:tc>
      </w:tr>
      <w:tr w:rsidR="005C196A" w:rsidRPr="0069113F" w14:paraId="4C15F245" w14:textId="77777777" w:rsidTr="001E2BB9">
        <w:trPr>
          <w:trHeight w:val="263"/>
        </w:trPr>
        <w:tc>
          <w:tcPr>
            <w:tcW w:w="4536" w:type="dxa"/>
            <w:hideMark/>
          </w:tcPr>
          <w:p w14:paraId="0B1557B7" w14:textId="77777777" w:rsidR="005C196A" w:rsidRPr="0069113F" w:rsidRDefault="005C196A" w:rsidP="00221863">
            <w:pPr>
              <w:spacing w:before="120" w:line="240" w:lineRule="auto"/>
              <w:rPr>
                <w:rFonts w:cs="Times New Roman"/>
                <w:szCs w:val="24"/>
              </w:rPr>
            </w:pPr>
            <w:r w:rsidRPr="0069113F">
              <w:rPr>
                <w:rFonts w:cs="Times New Roman"/>
                <w:szCs w:val="24"/>
              </w:rPr>
              <w:t xml:space="preserve">EU Most-Favoured Nation tariff for sugar </w:t>
            </w:r>
          </w:p>
        </w:tc>
        <w:tc>
          <w:tcPr>
            <w:tcW w:w="4598" w:type="dxa"/>
            <w:noWrap/>
            <w:hideMark/>
          </w:tcPr>
          <w:p w14:paraId="4CD2BFD3" w14:textId="7D43E4D2" w:rsidR="005C196A" w:rsidRPr="0069113F" w:rsidRDefault="005C196A" w:rsidP="00221863">
            <w:pPr>
              <w:spacing w:before="120" w:line="240" w:lineRule="auto"/>
              <w:rPr>
                <w:rFonts w:cs="Times New Roman"/>
                <w:szCs w:val="24"/>
              </w:rPr>
            </w:pPr>
            <w:r w:rsidRPr="0069113F">
              <w:rPr>
                <w:rFonts w:cs="Times New Roman"/>
                <w:szCs w:val="24"/>
              </w:rPr>
              <w:t>World Trade Organisation</w:t>
            </w:r>
            <w:r w:rsidRPr="0069113F">
              <w:rPr>
                <w:rFonts w:cs="Times New Roman"/>
                <w:szCs w:val="24"/>
              </w:rPr>
              <w:fldChar w:fldCharType="begin"/>
            </w:r>
            <w:r>
              <w:rPr>
                <w:rFonts w:cs="Times New Roman"/>
                <w:szCs w:val="24"/>
              </w:rPr>
              <w:instrText xml:space="preserve"> ADDIN EN.CITE &lt;EndNote&gt;&lt;Cite&gt;&lt;Author&gt;WTO.&lt;/Author&gt;&lt;RecNum&gt;392&lt;/RecNum&gt;&lt;DisplayText&gt;&lt;style face="superscript"&gt;(4)&lt;/style&gt;&lt;/DisplayText&gt;&lt;record&gt;&lt;rec-number&gt;392&lt;/rec-number&gt;&lt;foreign-keys&gt;&lt;key app="EN" db-id="zdrfrts5sr9296ea90uxsfvhf9zwdwstft0f" timestamp="1484218847"&gt;392&lt;/key&gt;&lt;/foreign-keys&gt;&lt;ref-type name="Web Page"&gt;12&lt;/ref-type&gt;&lt;contributors&gt;&lt;authors&gt;&lt;author&gt;WTO.&lt;/author&gt;&lt;/authors&gt;&lt;/contributors&gt;&lt;titles&gt;&lt;title&gt;Tariff Analysis Online&lt;/title&gt;&lt;/titles&gt;&lt;number&gt;February 2017&lt;/number&gt;&lt;dates&gt;&lt;/dates&gt;&lt;urls&gt;&lt;related-urls&gt;&lt;url&gt;http://tao.wto.org/default.aspx&lt;/url&gt;&lt;/related-urls&gt;&lt;/urls&gt;&lt;/record&gt;&lt;/Cite&gt;&lt;/EndNote&gt;</w:instrText>
            </w:r>
            <w:r w:rsidRPr="0069113F">
              <w:rPr>
                <w:rFonts w:cs="Times New Roman"/>
                <w:szCs w:val="24"/>
              </w:rPr>
              <w:fldChar w:fldCharType="separate"/>
            </w:r>
            <w:r w:rsidRPr="005C196A">
              <w:rPr>
                <w:rFonts w:cs="Times New Roman"/>
                <w:noProof/>
                <w:szCs w:val="24"/>
                <w:vertAlign w:val="superscript"/>
              </w:rPr>
              <w:t>(4)</w:t>
            </w:r>
            <w:r w:rsidRPr="0069113F">
              <w:rPr>
                <w:rFonts w:cs="Times New Roman"/>
                <w:szCs w:val="24"/>
              </w:rPr>
              <w:fldChar w:fldCharType="end"/>
            </w:r>
          </w:p>
        </w:tc>
      </w:tr>
      <w:tr w:rsidR="005C196A" w:rsidRPr="0069113F" w14:paraId="218E32B5" w14:textId="77777777" w:rsidTr="001E2BB9">
        <w:trPr>
          <w:trHeight w:val="315"/>
        </w:trPr>
        <w:tc>
          <w:tcPr>
            <w:tcW w:w="4536" w:type="dxa"/>
            <w:hideMark/>
          </w:tcPr>
          <w:p w14:paraId="00FC1B22" w14:textId="3F412433" w:rsidR="005C196A" w:rsidRPr="0069113F" w:rsidRDefault="005C196A" w:rsidP="00221863">
            <w:pPr>
              <w:spacing w:before="120" w:line="240" w:lineRule="auto"/>
              <w:rPr>
                <w:rFonts w:cs="Times New Roman"/>
                <w:szCs w:val="24"/>
              </w:rPr>
            </w:pPr>
            <w:r w:rsidRPr="0069113F">
              <w:rPr>
                <w:rFonts w:cs="Times New Roman"/>
                <w:szCs w:val="24"/>
              </w:rPr>
              <w:t>EU sugar price, prediction for 202</w:t>
            </w:r>
            <w:r w:rsidR="00FF3EB9">
              <w:rPr>
                <w:rFonts w:cs="Times New Roman"/>
                <w:szCs w:val="24"/>
              </w:rPr>
              <w:t>1</w:t>
            </w:r>
          </w:p>
        </w:tc>
        <w:tc>
          <w:tcPr>
            <w:tcW w:w="4598" w:type="dxa"/>
            <w:noWrap/>
            <w:hideMark/>
          </w:tcPr>
          <w:p w14:paraId="62A9A790" w14:textId="44D52AF7" w:rsidR="005C196A" w:rsidRPr="0069113F" w:rsidRDefault="005C196A" w:rsidP="00221863">
            <w:pPr>
              <w:spacing w:before="120" w:line="240" w:lineRule="auto"/>
              <w:rPr>
                <w:rFonts w:cs="Times New Roman"/>
                <w:szCs w:val="24"/>
              </w:rPr>
            </w:pPr>
            <w:r w:rsidRPr="0069113F">
              <w:rPr>
                <w:rFonts w:cs="Times New Roman"/>
                <w:szCs w:val="24"/>
              </w:rPr>
              <w:t>European Commission</w:t>
            </w:r>
            <w:r w:rsidRPr="0069113F">
              <w:rPr>
                <w:rFonts w:cs="Times New Roman"/>
                <w:szCs w:val="24"/>
              </w:rPr>
              <w:fldChar w:fldCharType="begin"/>
            </w:r>
            <w:r>
              <w:rPr>
                <w:rFonts w:cs="Times New Roman"/>
                <w:szCs w:val="24"/>
              </w:rPr>
              <w:instrText xml:space="preserve"> ADDIN EN.CITE &lt;EndNote&gt;&lt;Cite&gt;&lt;Author&gt;European Commission&lt;/Author&gt;&lt;Year&gt;2016&lt;/Year&gt;&lt;RecNum&gt;379&lt;/RecNum&gt;&lt;DisplayText&gt;&lt;style face="superscript"&gt;(6)&lt;/style&gt;&lt;/DisplayText&gt;&lt;record&gt;&lt;rec-number&gt;379&lt;/rec-number&gt;&lt;foreign-keys&gt;&lt;key app="EN" db-id="zdrfrts5sr9296ea90uxsfvhf9zwdwstft0f" timestamp="1481022905"&gt;379&lt;/key&gt;&lt;/foreign-keys&gt;&lt;ref-type name="Report"&gt;27&lt;/ref-type&gt;&lt;contributors&gt;&lt;authors&gt;&lt;author&gt;European Commission, .&lt;/author&gt;&lt;/authors&gt;&lt;/contributors&gt;&lt;titles&gt;&lt;title&gt;EU Agricultural Outlook. Prospects for EU agricultural markets and income 2016-2026&lt;/title&gt;&lt;/titles&gt;&lt;dates&gt;&lt;year&gt;2016&lt;/year&gt;&lt;/dates&gt;&lt;urls&gt;&lt;related-urls&gt;&lt;url&gt;http://ec.europa.eu/agriculture/markets-and-prices/medium-term-outlook/index_en.htm&lt;/url&gt;&lt;/related-urls&gt;&lt;/urls&gt;&lt;/record&gt;&lt;/Cite&gt;&lt;/EndNote&gt;</w:instrText>
            </w:r>
            <w:r w:rsidRPr="0069113F">
              <w:rPr>
                <w:rFonts w:cs="Times New Roman"/>
                <w:szCs w:val="24"/>
              </w:rPr>
              <w:fldChar w:fldCharType="separate"/>
            </w:r>
            <w:r w:rsidRPr="005C196A">
              <w:rPr>
                <w:rFonts w:cs="Times New Roman"/>
                <w:noProof/>
                <w:szCs w:val="24"/>
                <w:vertAlign w:val="superscript"/>
              </w:rPr>
              <w:t>(6)</w:t>
            </w:r>
            <w:r w:rsidRPr="0069113F">
              <w:rPr>
                <w:rFonts w:cs="Times New Roman"/>
                <w:szCs w:val="24"/>
              </w:rPr>
              <w:fldChar w:fldCharType="end"/>
            </w:r>
          </w:p>
        </w:tc>
      </w:tr>
      <w:tr w:rsidR="005C196A" w:rsidRPr="0069113F" w14:paraId="5D7B4FC6" w14:textId="77777777" w:rsidTr="001E2BB9">
        <w:trPr>
          <w:trHeight w:val="315"/>
        </w:trPr>
        <w:tc>
          <w:tcPr>
            <w:tcW w:w="4536" w:type="dxa"/>
            <w:hideMark/>
          </w:tcPr>
          <w:p w14:paraId="673BFE34" w14:textId="77777777" w:rsidR="005C196A" w:rsidRPr="0069113F" w:rsidRDefault="005C196A" w:rsidP="00221863">
            <w:pPr>
              <w:spacing w:before="120" w:line="240" w:lineRule="auto"/>
              <w:rPr>
                <w:rFonts w:cs="Times New Roman"/>
                <w:szCs w:val="24"/>
              </w:rPr>
            </w:pPr>
            <w:r w:rsidRPr="0069113F">
              <w:rPr>
                <w:rFonts w:cs="Times New Roman"/>
                <w:szCs w:val="24"/>
              </w:rPr>
              <w:t xml:space="preserve">€ to £ exchange rate </w:t>
            </w:r>
          </w:p>
        </w:tc>
        <w:tc>
          <w:tcPr>
            <w:tcW w:w="4598" w:type="dxa"/>
            <w:noWrap/>
            <w:hideMark/>
          </w:tcPr>
          <w:p w14:paraId="0393F06E" w14:textId="2130447F" w:rsidR="005C196A" w:rsidRPr="0069113F" w:rsidRDefault="005C196A" w:rsidP="00221863">
            <w:pPr>
              <w:spacing w:before="120" w:line="240" w:lineRule="auto"/>
              <w:rPr>
                <w:rFonts w:cs="Times New Roman"/>
                <w:szCs w:val="24"/>
              </w:rPr>
            </w:pPr>
            <w:r w:rsidRPr="0069113F">
              <w:rPr>
                <w:rFonts w:cs="Times New Roman"/>
                <w:szCs w:val="24"/>
              </w:rPr>
              <w:t>HM Revenue and Customs</w:t>
            </w:r>
            <w:r w:rsidRPr="0069113F">
              <w:rPr>
                <w:rFonts w:cs="Times New Roman"/>
                <w:szCs w:val="24"/>
              </w:rPr>
              <w:fldChar w:fldCharType="begin"/>
            </w:r>
            <w:r>
              <w:rPr>
                <w:rFonts w:cs="Times New Roman"/>
                <w:szCs w:val="24"/>
              </w:rPr>
              <w:instrText xml:space="preserve"> ADDIN EN.CITE &lt;EndNote&gt;&lt;Cite&gt;&lt;Author&gt;HM Revenue &amp;amp; Customs.&lt;/Author&gt;&lt;RecNum&gt;406&lt;/RecNum&gt;&lt;DisplayText&gt;&lt;style face="superscript"&gt;(2)&lt;/style&gt;&lt;/DisplayText&gt;&lt;record&gt;&lt;rec-number&gt;406&lt;/rec-number&gt;&lt;foreign-keys&gt;&lt;key app="EN" db-id="zdrfrts5sr9296ea90uxsfvhf9zwdwstft0f" timestamp="1488470734"&gt;406&lt;/key&gt;&lt;/foreign-keys&gt;&lt;ref-type name="Web Page"&gt;12&lt;/ref-type&gt;&lt;contributors&gt;&lt;authors&gt;&lt;author&gt;HM Revenue &amp;amp; Customs.,&lt;/author&gt;&lt;/authors&gt;&lt;/contributors&gt;&lt;titles&gt;&lt;title&gt;UK Trade Statistics&lt;/title&gt;&lt;/titles&gt;&lt;number&gt;February 2017&lt;/number&gt;&lt;dates&gt;&lt;/dates&gt;&lt;urls&gt;&lt;related-urls&gt;&lt;url&gt;https://www.uktradeinfo.com/&lt;/url&gt;&lt;/related-urls&gt;&lt;/urls&gt;&lt;/record&gt;&lt;/Cite&gt;&lt;/EndNote&gt;</w:instrText>
            </w:r>
            <w:r w:rsidRPr="0069113F">
              <w:rPr>
                <w:rFonts w:cs="Times New Roman"/>
                <w:szCs w:val="24"/>
              </w:rPr>
              <w:fldChar w:fldCharType="separate"/>
            </w:r>
            <w:r w:rsidRPr="005C196A">
              <w:rPr>
                <w:rFonts w:cs="Times New Roman"/>
                <w:noProof/>
                <w:szCs w:val="24"/>
                <w:vertAlign w:val="superscript"/>
              </w:rPr>
              <w:t>(2)</w:t>
            </w:r>
            <w:r w:rsidRPr="0069113F">
              <w:rPr>
                <w:rFonts w:cs="Times New Roman"/>
                <w:szCs w:val="24"/>
              </w:rPr>
              <w:fldChar w:fldCharType="end"/>
            </w:r>
          </w:p>
        </w:tc>
      </w:tr>
      <w:tr w:rsidR="005C196A" w:rsidRPr="0069113F" w14:paraId="44281E69" w14:textId="77777777" w:rsidTr="001E2BB9">
        <w:trPr>
          <w:trHeight w:val="315"/>
        </w:trPr>
        <w:tc>
          <w:tcPr>
            <w:tcW w:w="4536" w:type="dxa"/>
            <w:hideMark/>
          </w:tcPr>
          <w:p w14:paraId="5EB05863" w14:textId="77777777" w:rsidR="005C196A" w:rsidRPr="0069113F" w:rsidRDefault="005C196A" w:rsidP="00221863">
            <w:pPr>
              <w:spacing w:before="120" w:line="240" w:lineRule="auto"/>
              <w:rPr>
                <w:rFonts w:cs="Times New Roman"/>
                <w:szCs w:val="24"/>
              </w:rPr>
            </w:pPr>
            <w:r w:rsidRPr="0069113F">
              <w:rPr>
                <w:rFonts w:cs="Times New Roman"/>
                <w:szCs w:val="24"/>
              </w:rPr>
              <w:t>SSB sales by brand</w:t>
            </w:r>
          </w:p>
        </w:tc>
        <w:tc>
          <w:tcPr>
            <w:tcW w:w="4598" w:type="dxa"/>
            <w:noWrap/>
            <w:hideMark/>
          </w:tcPr>
          <w:p w14:paraId="2E3BB8AA" w14:textId="5291EA56" w:rsidR="005C196A" w:rsidRPr="0069113F" w:rsidRDefault="005C196A" w:rsidP="00221863">
            <w:pPr>
              <w:spacing w:before="120" w:line="240" w:lineRule="auto"/>
              <w:rPr>
                <w:rFonts w:cs="Times New Roman"/>
                <w:szCs w:val="24"/>
              </w:rPr>
            </w:pPr>
            <w:proofErr w:type="spellStart"/>
            <w:r w:rsidRPr="0069113F">
              <w:rPr>
                <w:rFonts w:cs="Times New Roman"/>
                <w:szCs w:val="24"/>
              </w:rPr>
              <w:t>Euromonitor</w:t>
            </w:r>
            <w:proofErr w:type="spellEnd"/>
            <w:r w:rsidRPr="0069113F">
              <w:rPr>
                <w:rFonts w:cs="Times New Roman"/>
                <w:szCs w:val="24"/>
              </w:rPr>
              <w:t xml:space="preserve"> International</w:t>
            </w:r>
            <w:r w:rsidRPr="0069113F">
              <w:rPr>
                <w:rFonts w:cs="Times New Roman"/>
                <w:szCs w:val="24"/>
              </w:rPr>
              <w:fldChar w:fldCharType="begin"/>
            </w:r>
            <w:r w:rsidR="007C57A8">
              <w:rPr>
                <w:rFonts w:cs="Times New Roman"/>
                <w:szCs w:val="24"/>
              </w:rPr>
              <w:instrText xml:space="preserve"> ADDIN EN.CITE &lt;EndNote&gt;&lt;Cite&gt;&lt;Year&gt;2015&lt;/Year&gt;&lt;RecNum&gt;13&lt;/RecNum&gt;&lt;DisplayText&gt;&lt;style face="superscript"&gt;(10)&lt;/style&gt;&lt;/DisplayText&gt;&lt;record&gt;&lt;rec-number&gt;13&lt;/rec-number&gt;&lt;foreign-keys&gt;&lt;key app="EN" db-id="zdrfrts5sr9296ea90uxsfvhf9zwdwstft0f" timestamp="1457359007"&gt;13&lt;/key&gt;&lt;/foreign-keys&gt;&lt;ref-type name="Web Page"&gt;12&lt;/ref-type&gt;&lt;contributors&gt;&lt;/contributors&gt;&lt;titles&gt;&lt;title&gt;Market research provider, Euromonitor International&lt;/title&gt;&lt;/titles&gt;&lt;dates&gt;&lt;year&gt;2015&lt;/year&gt;&lt;/dates&gt;&lt;urls&gt;&lt;related-urls&gt;&lt;url&gt;www.euromonitor.com&lt;/url&gt;&lt;/related-urls&gt;&lt;/urls&gt;&lt;/record&gt;&lt;/Cite&gt;&lt;/EndNote&gt;</w:instrText>
            </w:r>
            <w:r w:rsidRPr="0069113F">
              <w:rPr>
                <w:rFonts w:cs="Times New Roman"/>
                <w:szCs w:val="24"/>
              </w:rPr>
              <w:fldChar w:fldCharType="separate"/>
            </w:r>
            <w:r w:rsidR="007C57A8" w:rsidRPr="007C57A8">
              <w:rPr>
                <w:rFonts w:cs="Times New Roman"/>
                <w:noProof/>
                <w:szCs w:val="24"/>
                <w:vertAlign w:val="superscript"/>
              </w:rPr>
              <w:t>(10)</w:t>
            </w:r>
            <w:r w:rsidRPr="0069113F">
              <w:rPr>
                <w:rFonts w:cs="Times New Roman"/>
                <w:szCs w:val="24"/>
              </w:rPr>
              <w:fldChar w:fldCharType="end"/>
            </w:r>
          </w:p>
        </w:tc>
      </w:tr>
      <w:tr w:rsidR="005C196A" w:rsidRPr="0069113F" w14:paraId="63A979E6" w14:textId="77777777" w:rsidTr="001E2BB9">
        <w:trPr>
          <w:trHeight w:val="102"/>
        </w:trPr>
        <w:tc>
          <w:tcPr>
            <w:tcW w:w="4536" w:type="dxa"/>
            <w:hideMark/>
          </w:tcPr>
          <w:p w14:paraId="52237504" w14:textId="77777777" w:rsidR="005C196A" w:rsidRPr="0069113F" w:rsidRDefault="005C196A" w:rsidP="00221863">
            <w:pPr>
              <w:spacing w:before="120" w:line="240" w:lineRule="auto"/>
              <w:rPr>
                <w:rFonts w:cs="Times New Roman"/>
                <w:szCs w:val="24"/>
              </w:rPr>
            </w:pPr>
            <w:r w:rsidRPr="0069113F">
              <w:rPr>
                <w:rFonts w:cs="Times New Roman"/>
                <w:szCs w:val="24"/>
              </w:rPr>
              <w:t>Mean SSB sugar content by brand</w:t>
            </w:r>
          </w:p>
        </w:tc>
        <w:tc>
          <w:tcPr>
            <w:tcW w:w="4598" w:type="dxa"/>
            <w:noWrap/>
            <w:hideMark/>
          </w:tcPr>
          <w:p w14:paraId="354CF03F" w14:textId="77777777" w:rsidR="005C196A" w:rsidRPr="0069113F" w:rsidRDefault="005C196A" w:rsidP="00221863">
            <w:pPr>
              <w:spacing w:before="120" w:line="240" w:lineRule="auto"/>
              <w:rPr>
                <w:rFonts w:cs="Times New Roman"/>
                <w:szCs w:val="24"/>
              </w:rPr>
            </w:pPr>
            <w:r w:rsidRPr="0069113F">
              <w:rPr>
                <w:rFonts w:cs="Times New Roman"/>
                <w:szCs w:val="24"/>
              </w:rPr>
              <w:t>brand websites</w:t>
            </w:r>
          </w:p>
        </w:tc>
      </w:tr>
      <w:tr w:rsidR="005C196A" w:rsidRPr="0069113F" w14:paraId="6B647F26" w14:textId="77777777" w:rsidTr="001E2BB9">
        <w:trPr>
          <w:trHeight w:val="185"/>
        </w:trPr>
        <w:tc>
          <w:tcPr>
            <w:tcW w:w="4536" w:type="dxa"/>
            <w:hideMark/>
          </w:tcPr>
          <w:p w14:paraId="77B664A9" w14:textId="77777777" w:rsidR="005C196A" w:rsidRPr="0069113F" w:rsidRDefault="005C196A" w:rsidP="00221863">
            <w:pPr>
              <w:spacing w:before="120" w:line="240" w:lineRule="auto"/>
              <w:rPr>
                <w:rFonts w:cs="Times New Roman"/>
                <w:szCs w:val="24"/>
              </w:rPr>
            </w:pPr>
            <w:r w:rsidRPr="0069113F">
              <w:rPr>
                <w:rFonts w:cs="Times New Roman"/>
                <w:szCs w:val="24"/>
              </w:rPr>
              <w:lastRenderedPageBreak/>
              <w:t xml:space="preserve">SSB industry levy rate </w:t>
            </w:r>
          </w:p>
        </w:tc>
        <w:tc>
          <w:tcPr>
            <w:tcW w:w="4598" w:type="dxa"/>
            <w:noWrap/>
            <w:hideMark/>
          </w:tcPr>
          <w:p w14:paraId="2B40AE1E" w14:textId="1A5B1029" w:rsidR="005C196A" w:rsidRPr="0069113F" w:rsidRDefault="005C196A" w:rsidP="00221863">
            <w:pPr>
              <w:spacing w:before="120" w:line="240" w:lineRule="auto"/>
              <w:rPr>
                <w:rFonts w:cs="Times New Roman"/>
                <w:szCs w:val="24"/>
              </w:rPr>
            </w:pPr>
            <w:r w:rsidRPr="0069113F">
              <w:rPr>
                <w:rFonts w:cs="Times New Roman"/>
                <w:noProof/>
                <w:szCs w:val="24"/>
              </w:rPr>
              <w:t>Office for Budget Responsibility</w:t>
            </w:r>
            <w:r w:rsidRPr="0069113F">
              <w:rPr>
                <w:rFonts w:cs="Times New Roman"/>
                <w:szCs w:val="24"/>
              </w:rPr>
              <w:fldChar w:fldCharType="begin"/>
            </w:r>
            <w:r w:rsidR="007C57A8">
              <w:rPr>
                <w:rFonts w:cs="Times New Roman"/>
                <w:szCs w:val="24"/>
              </w:rPr>
              <w:instrText xml:space="preserve"> ADDIN EN.CITE &lt;EndNote&gt;&lt;Cite&gt;&lt;Author&gt;Office for Budget Responsibility&lt;/Author&gt;&lt;Year&gt;2016&lt;/Year&gt;&lt;RecNum&gt;215&lt;/RecNum&gt;&lt;DisplayText&gt;&lt;style face="superscript"&gt;(11)&lt;/style&gt;&lt;/DisplayText&gt;&lt;record&gt;&lt;rec-number&gt;215&lt;/rec-number&gt;&lt;foreign-keys&gt;&lt;key app="EN" db-id="zdrfrts5sr9296ea90uxsfvhf9zwdwstft0f" timestamp="1465463396"&gt;215&lt;/key&gt;&lt;/foreign-keys&gt;&lt;ref-type name="Government Document"&gt;46&lt;/ref-type&gt;&lt;contributors&gt;&lt;authors&gt;&lt;author&gt;Office for Budget Responsibility, .&lt;/author&gt;&lt;/authors&gt;&lt;/contributors&gt;&lt;titles&gt;&lt;title&gt;Economic and fiscal outlook - March 2016&lt;/title&gt;&lt;/titles&gt;&lt;dates&gt;&lt;year&gt;2016&lt;/year&gt;&lt;/dates&gt;&lt;urls&gt;&lt;/urls&gt;&lt;/record&gt;&lt;/Cite&gt;&lt;/EndNote&gt;</w:instrText>
            </w:r>
            <w:r w:rsidRPr="0069113F">
              <w:rPr>
                <w:rFonts w:cs="Times New Roman"/>
                <w:szCs w:val="24"/>
              </w:rPr>
              <w:fldChar w:fldCharType="separate"/>
            </w:r>
            <w:r w:rsidR="007C57A8" w:rsidRPr="007C57A8">
              <w:rPr>
                <w:rFonts w:cs="Times New Roman"/>
                <w:noProof/>
                <w:szCs w:val="24"/>
                <w:vertAlign w:val="superscript"/>
              </w:rPr>
              <w:t>(11)</w:t>
            </w:r>
            <w:r w:rsidRPr="0069113F">
              <w:rPr>
                <w:rFonts w:cs="Times New Roman"/>
                <w:szCs w:val="24"/>
              </w:rPr>
              <w:fldChar w:fldCharType="end"/>
            </w:r>
          </w:p>
        </w:tc>
      </w:tr>
      <w:tr w:rsidR="005C196A" w:rsidRPr="0069113F" w14:paraId="527342DB" w14:textId="77777777" w:rsidTr="001E2BB9">
        <w:trPr>
          <w:trHeight w:val="315"/>
        </w:trPr>
        <w:tc>
          <w:tcPr>
            <w:tcW w:w="4536" w:type="dxa"/>
            <w:hideMark/>
          </w:tcPr>
          <w:p w14:paraId="096ED53C" w14:textId="77777777" w:rsidR="005C196A" w:rsidRPr="0069113F" w:rsidRDefault="005C196A" w:rsidP="00221863">
            <w:pPr>
              <w:spacing w:before="120" w:line="240" w:lineRule="auto"/>
              <w:rPr>
                <w:rFonts w:cs="Times New Roman"/>
                <w:szCs w:val="24"/>
              </w:rPr>
            </w:pPr>
            <w:r w:rsidRPr="0069113F">
              <w:rPr>
                <w:rFonts w:cs="Times New Roman"/>
                <w:szCs w:val="24"/>
              </w:rPr>
              <w:t>Market share of mid-sugar and high-sugar SSBs</w:t>
            </w:r>
          </w:p>
        </w:tc>
        <w:tc>
          <w:tcPr>
            <w:tcW w:w="4598" w:type="dxa"/>
            <w:noWrap/>
            <w:hideMark/>
          </w:tcPr>
          <w:p w14:paraId="7BF71F28" w14:textId="59D5683B" w:rsidR="005C196A" w:rsidRPr="0069113F" w:rsidRDefault="005C196A" w:rsidP="00221863">
            <w:pPr>
              <w:spacing w:before="120" w:line="240" w:lineRule="auto"/>
              <w:rPr>
                <w:rFonts w:cs="Times New Roman"/>
                <w:szCs w:val="24"/>
              </w:rPr>
            </w:pPr>
            <w:r w:rsidRPr="0069113F">
              <w:rPr>
                <w:rFonts w:cs="Times New Roman"/>
                <w:szCs w:val="24"/>
              </w:rPr>
              <w:t>Briti</w:t>
            </w:r>
            <w:r w:rsidR="007C57A8">
              <w:rPr>
                <w:rFonts w:cs="Times New Roman"/>
                <w:szCs w:val="24"/>
              </w:rPr>
              <w:t>sh Soft Drinks Association, 2017</w:t>
            </w:r>
            <w:r w:rsidR="007C57A8">
              <w:rPr>
                <w:rFonts w:cs="Times New Roman"/>
                <w:szCs w:val="24"/>
              </w:rPr>
              <w:fldChar w:fldCharType="begin"/>
            </w:r>
            <w:r w:rsidR="007C57A8">
              <w:rPr>
                <w:rFonts w:cs="Times New Roman"/>
                <w:szCs w:val="24"/>
              </w:rPr>
              <w:instrText xml:space="preserve"> ADDIN EN.CITE &lt;EndNote&gt;&lt;Cite&gt;&lt;Author&gt;British Soft Drinks Association.&lt;/Author&gt;&lt;Year&gt;2017&lt;/Year&gt;&lt;RecNum&gt;769&lt;/RecNum&gt;&lt;DisplayText&gt;&lt;style face="superscript"&gt;(9)&lt;/style&gt;&lt;/DisplayText&gt;&lt;record&gt;&lt;rec-number&gt;769&lt;/rec-number&gt;&lt;foreign-keys&gt;&lt;key app="EN" db-id="zdrfrts5sr9296ea90uxsfvhf9zwdwstft0f" timestamp="1525182604"&gt;769&lt;/key&gt;&lt;/foreign-keys&gt;&lt;ref-type name="Web Page"&gt;12&lt;/ref-type&gt;&lt;contributors&gt;&lt;authors&gt;&lt;author&gt;British Soft Drinks Association.,&lt;/author&gt;&lt;/authors&gt;&lt;/contributors&gt;&lt;titles&gt;&lt;title&gt;Making it Happen. Annual report 2017&lt;/title&gt;&lt;/titles&gt;&lt;dates&gt;&lt;year&gt;2017&lt;/year&gt;&lt;/dates&gt;&lt;urls&gt;&lt;related-urls&gt;&lt;url&gt;http://www.britishsoftdrinks.com/write/MediaUploads/Publications/BSDA_Drinks_Report_2017.pdf&lt;/url&gt;&lt;/related-urls&gt;&lt;/urls&gt;&lt;/record&gt;&lt;/Cite&gt;&lt;/EndNote&gt;</w:instrText>
            </w:r>
            <w:r w:rsidR="007C57A8">
              <w:rPr>
                <w:rFonts w:cs="Times New Roman"/>
                <w:szCs w:val="24"/>
              </w:rPr>
              <w:fldChar w:fldCharType="separate"/>
            </w:r>
            <w:r w:rsidR="007C57A8" w:rsidRPr="007C57A8">
              <w:rPr>
                <w:rFonts w:cs="Times New Roman"/>
                <w:noProof/>
                <w:szCs w:val="24"/>
                <w:vertAlign w:val="superscript"/>
              </w:rPr>
              <w:t>(9)</w:t>
            </w:r>
            <w:r w:rsidR="007C57A8">
              <w:rPr>
                <w:rFonts w:cs="Times New Roman"/>
                <w:szCs w:val="24"/>
              </w:rPr>
              <w:fldChar w:fldCharType="end"/>
            </w:r>
          </w:p>
        </w:tc>
      </w:tr>
      <w:tr w:rsidR="005C196A" w:rsidRPr="0069113F" w14:paraId="09C1EB19" w14:textId="77777777" w:rsidTr="001E2BB9">
        <w:trPr>
          <w:trHeight w:val="315"/>
        </w:trPr>
        <w:tc>
          <w:tcPr>
            <w:tcW w:w="4536" w:type="dxa"/>
          </w:tcPr>
          <w:p w14:paraId="2AD8B92E" w14:textId="18C37FCA" w:rsidR="005C196A" w:rsidRPr="0069113F" w:rsidRDefault="005C196A" w:rsidP="00221863">
            <w:pPr>
              <w:spacing w:before="120" w:line="240" w:lineRule="auto"/>
              <w:rPr>
                <w:rFonts w:cs="Times New Roman"/>
                <w:szCs w:val="24"/>
              </w:rPr>
            </w:pPr>
            <w:r w:rsidRPr="0069113F">
              <w:rPr>
                <w:rFonts w:cs="Times New Roman"/>
                <w:szCs w:val="24"/>
              </w:rPr>
              <w:t>CHD mortality predictions for 202</w:t>
            </w:r>
            <w:r w:rsidR="00FF3EB9">
              <w:rPr>
                <w:rFonts w:cs="Times New Roman"/>
                <w:szCs w:val="24"/>
              </w:rPr>
              <w:t>1</w:t>
            </w:r>
          </w:p>
        </w:tc>
        <w:tc>
          <w:tcPr>
            <w:tcW w:w="4598" w:type="dxa"/>
            <w:noWrap/>
          </w:tcPr>
          <w:p w14:paraId="5744E995" w14:textId="01C208BA" w:rsidR="005C196A" w:rsidRPr="0069113F" w:rsidRDefault="005C196A" w:rsidP="00221863">
            <w:pPr>
              <w:spacing w:before="120" w:line="240" w:lineRule="auto"/>
              <w:rPr>
                <w:rFonts w:cs="Times New Roman"/>
                <w:szCs w:val="24"/>
              </w:rPr>
            </w:pPr>
            <w:r w:rsidRPr="0069113F">
              <w:rPr>
                <w:rFonts w:cs="Times New Roman"/>
                <w:szCs w:val="24"/>
              </w:rPr>
              <w:t>Guzman-Castillo, 2014</w:t>
            </w:r>
            <w:r w:rsidRPr="0069113F">
              <w:rPr>
                <w:rFonts w:cs="Times New Roman"/>
                <w:szCs w:val="24"/>
              </w:rPr>
              <w:fldChar w:fldCharType="begin"/>
            </w:r>
            <w:r w:rsidR="007C57A8">
              <w:rPr>
                <w:rFonts w:cs="Times New Roman"/>
                <w:szCs w:val="24"/>
              </w:rPr>
              <w:instrText xml:space="preserve"> ADDIN EN.CITE &lt;EndNote&gt;&lt;Cite&gt;&lt;Author&gt;Guzman Castillo&lt;/Author&gt;&lt;Year&gt;2014&lt;/Year&gt;&lt;RecNum&gt;358&lt;/RecNum&gt;&lt;DisplayText&gt;&lt;style face="superscript"&gt;(12)&lt;/style&gt;&lt;/DisplayText&gt;&lt;record&gt;&lt;rec-number&gt;358&lt;/rec-number&gt;&lt;foreign-keys&gt;&lt;key app="EN" db-id="zdrfrts5sr9296ea90uxsfvhf9zwdwstft0f" timestamp="1474465865"&gt;358&lt;/key&gt;&lt;/foreign-keys&gt;&lt;ref-type name="Journal Article"&gt;17&lt;/ref-type&gt;&lt;contributors&gt;&lt;authors&gt;&lt;author&gt;Guzman Castillo, Maria&lt;/author&gt;&lt;author&gt;Gillespie, Duncan O. S.&lt;/author&gt;&lt;author&gt;Allen, Kirk&lt;/author&gt;&lt;author&gt;Bandosz, Piotr&lt;/author&gt;&lt;author&gt;Schmid, Volker&lt;/author&gt;&lt;author&gt;Capewell, Simon&lt;/author&gt;&lt;author&gt;O’Flaherty, Martin&lt;/author&gt;&lt;/authors&gt;&lt;/contributors&gt;&lt;titles&gt;&lt;title&gt;Future Declines of Coronary Heart Disease Mortality in England and Wales Could Counter the Burden of Population Ageing&lt;/title&gt;&lt;secondary-title&gt;PLoS ONE&lt;/secondary-title&gt;&lt;/titles&gt;&lt;periodical&gt;&lt;full-title&gt;PLoS One&lt;/full-title&gt;&lt;abbr-1&gt;PloS one&lt;/abbr-1&gt;&lt;/periodical&gt;&lt;pages&gt;e99482&lt;/pages&gt;&lt;volume&gt;9&lt;/volume&gt;&lt;number&gt;6&lt;/number&gt;&lt;dates&gt;&lt;year&gt;2014&lt;/year&gt;&lt;/dates&gt;&lt;publisher&gt;Public Library of Science&lt;/publisher&gt;&lt;urls&gt;&lt;related-urls&gt;&lt;url&gt;http://dx.doi.org/10.1371%2Fjournal.pone.0099482&lt;/url&gt;&lt;/related-urls&gt;&lt;/urls&gt;&lt;electronic-resource-num&gt;10.1371/journal.pone.0099482&lt;/electronic-resource-num&gt;&lt;/record&gt;&lt;/Cite&gt;&lt;/EndNote&gt;</w:instrText>
            </w:r>
            <w:r w:rsidRPr="0069113F">
              <w:rPr>
                <w:rFonts w:cs="Times New Roman"/>
                <w:szCs w:val="24"/>
              </w:rPr>
              <w:fldChar w:fldCharType="separate"/>
            </w:r>
            <w:r w:rsidR="007C57A8" w:rsidRPr="007C57A8">
              <w:rPr>
                <w:rFonts w:cs="Times New Roman"/>
                <w:noProof/>
                <w:szCs w:val="24"/>
                <w:vertAlign w:val="superscript"/>
              </w:rPr>
              <w:t>(12)</w:t>
            </w:r>
            <w:r w:rsidRPr="0069113F">
              <w:rPr>
                <w:rFonts w:cs="Times New Roman"/>
                <w:szCs w:val="24"/>
              </w:rPr>
              <w:fldChar w:fldCharType="end"/>
            </w:r>
          </w:p>
        </w:tc>
      </w:tr>
      <w:tr w:rsidR="005C196A" w:rsidRPr="0069113F" w14:paraId="1C2CFBD0" w14:textId="77777777" w:rsidTr="001E2BB9">
        <w:trPr>
          <w:trHeight w:val="315"/>
        </w:trPr>
        <w:tc>
          <w:tcPr>
            <w:tcW w:w="4536" w:type="dxa"/>
          </w:tcPr>
          <w:p w14:paraId="6F64DC1F" w14:textId="77777777" w:rsidR="005C196A" w:rsidRPr="0069113F" w:rsidRDefault="005C196A" w:rsidP="00221863">
            <w:pPr>
              <w:spacing w:before="120" w:line="240" w:lineRule="auto"/>
              <w:rPr>
                <w:rFonts w:cs="Times New Roman"/>
                <w:szCs w:val="24"/>
              </w:rPr>
            </w:pPr>
            <w:r w:rsidRPr="0069113F">
              <w:rPr>
                <w:rFonts w:cs="Times New Roman"/>
                <w:szCs w:val="24"/>
              </w:rPr>
              <w:t>CHD mortality in 2013 by country, age, sex, and IMD</w:t>
            </w:r>
          </w:p>
        </w:tc>
        <w:tc>
          <w:tcPr>
            <w:tcW w:w="4598" w:type="dxa"/>
            <w:noWrap/>
          </w:tcPr>
          <w:p w14:paraId="0B5D7A64" w14:textId="15A8E1E3" w:rsidR="005C196A" w:rsidRPr="0069113F" w:rsidRDefault="005C196A" w:rsidP="00221863">
            <w:pPr>
              <w:spacing w:before="120" w:line="240" w:lineRule="auto"/>
              <w:rPr>
                <w:rFonts w:cs="Times New Roman"/>
                <w:szCs w:val="24"/>
              </w:rPr>
            </w:pPr>
            <w:r w:rsidRPr="0069113F">
              <w:rPr>
                <w:rFonts w:cs="Times New Roman"/>
                <w:szCs w:val="24"/>
              </w:rPr>
              <w:t>Office for National Statistics</w:t>
            </w:r>
            <w:r w:rsidRPr="0069113F">
              <w:rPr>
                <w:rFonts w:cs="Times New Roman"/>
                <w:szCs w:val="24"/>
              </w:rPr>
              <w:fldChar w:fldCharType="begin"/>
            </w:r>
            <w:r w:rsidR="007C57A8">
              <w:rPr>
                <w:rFonts w:cs="Times New Roman"/>
                <w:szCs w:val="24"/>
              </w:rPr>
              <w:instrText xml:space="preserve"> ADDIN EN.CITE &lt;EndNote&gt;&lt;Cite&gt;&lt;Author&gt;Office for National Statistics (ONS)&lt;/Author&gt;&lt;RecNum&gt;579&lt;/RecNum&gt;&lt;DisplayText&gt;&lt;style face="superscript"&gt;(13,14)&lt;/style&gt;&lt;/DisplayText&gt;&lt;record&gt;&lt;rec-number&gt;579&lt;/rec-number&gt;&lt;foreign-keys&gt;&lt;key app="EN" db-id="zdrfrts5sr9296ea90uxsfvhf9zwdwstft0f" timestamp="1497446078"&gt;579&lt;/key&gt;&lt;/foreign-keys&gt;&lt;ref-type name="Dataset"&gt;59&lt;/ref-type&gt;&lt;contributors&gt;&lt;authors&gt;&lt;author&gt;Office for National Statistics (ONS),.&lt;/author&gt;&lt;/authors&gt;&lt;/contributors&gt;&lt;titles&gt;&lt;title&gt;Number of registered deaths by sex, cause, year, the Adjusted Index of Multiple Deprivation 2010 quintiles (fifths) of Lower Super Output Areas and age group, England, 2002 to 2013&lt;/title&gt;&lt;/titles&gt;&lt;number&gt;June 2017&lt;/number&gt;&lt;dates&gt;&lt;/dates&gt;&lt;urls&gt;&lt;related-urls&gt;&lt;url&gt;http://www.ons.gov.uk/ons/about-ons/business-transparency/freedom-of-information/what-can-i-request/published-ad-hoc-data/health/december-2014/number-of-registered-deaths-by-sex--cause--year--the-adjusted-index.xls&lt;/url&gt;&lt;/related-urls&gt;&lt;/urls&gt;&lt;/record&gt;&lt;/Cite&gt;&lt;Cite&gt;&lt;Author&gt;Office for National Statistics&lt;/Author&gt;&lt;RecNum&gt;669&lt;/RecNum&gt;&lt;record&gt;&lt;rec-number&gt;669&lt;/rec-number&gt;&lt;foreign-keys&gt;&lt;key app="EN" db-id="zdrfrts5sr9296ea90uxsfvhf9zwdwstft0f" timestamp="1498139993"&gt;669&lt;/key&gt;&lt;/foreign-keys&gt;&lt;ref-type name="Dataset"&gt;59&lt;/ref-type&gt;&lt;contributors&gt;&lt;authors&gt;&lt;author&gt;Office for National Statistics, .&lt;/author&gt;&lt;/authors&gt;&lt;/contributors&gt;&lt;titles&gt;&lt;title&gt;Deaths registered in England and Wales: 2013&lt;/title&gt;&lt;/titles&gt;&lt;dates&gt;&lt;/dates&gt;&lt;urls&gt;&lt;related-urls&gt;&lt;url&gt;https://www.ons.gov.uk/peoplepopulationandcommunity/birthsdeathsandmarriages/deaths/datasets/deathsregisteredinenglandandwalesseriesdrreferencetables&lt;/url&gt;&lt;/related-urls&gt;&lt;/urls&gt;&lt;/record&gt;&lt;/Cite&gt;&lt;/EndNote&gt;</w:instrText>
            </w:r>
            <w:r w:rsidRPr="0069113F">
              <w:rPr>
                <w:rFonts w:cs="Times New Roman"/>
                <w:szCs w:val="24"/>
              </w:rPr>
              <w:fldChar w:fldCharType="separate"/>
            </w:r>
            <w:r w:rsidR="007C57A8" w:rsidRPr="007C57A8">
              <w:rPr>
                <w:rFonts w:cs="Times New Roman"/>
                <w:noProof/>
                <w:szCs w:val="24"/>
                <w:vertAlign w:val="superscript"/>
              </w:rPr>
              <w:t>(13,14)</w:t>
            </w:r>
            <w:r w:rsidRPr="0069113F">
              <w:rPr>
                <w:rFonts w:cs="Times New Roman"/>
                <w:szCs w:val="24"/>
              </w:rPr>
              <w:fldChar w:fldCharType="end"/>
            </w:r>
          </w:p>
        </w:tc>
      </w:tr>
      <w:tr w:rsidR="005C196A" w:rsidRPr="0069113F" w14:paraId="29682467" w14:textId="77777777" w:rsidTr="001E2BB9">
        <w:trPr>
          <w:trHeight w:val="315"/>
        </w:trPr>
        <w:tc>
          <w:tcPr>
            <w:tcW w:w="4536" w:type="dxa"/>
          </w:tcPr>
          <w:p w14:paraId="04C517DC" w14:textId="77777777" w:rsidR="005C196A" w:rsidRPr="0069113F" w:rsidRDefault="005C196A" w:rsidP="00221863">
            <w:pPr>
              <w:spacing w:before="120" w:line="240" w:lineRule="auto"/>
              <w:rPr>
                <w:rFonts w:cs="Times New Roman"/>
                <w:szCs w:val="24"/>
              </w:rPr>
            </w:pPr>
            <w:r w:rsidRPr="0069113F">
              <w:rPr>
                <w:rFonts w:cs="Times New Roman"/>
                <w:szCs w:val="24"/>
              </w:rPr>
              <w:t>SSB purchase and expenditure (2015)</w:t>
            </w:r>
          </w:p>
        </w:tc>
        <w:tc>
          <w:tcPr>
            <w:tcW w:w="4598" w:type="dxa"/>
            <w:noWrap/>
          </w:tcPr>
          <w:p w14:paraId="1830F65E" w14:textId="6E79CCD2" w:rsidR="005C196A" w:rsidRPr="0069113F" w:rsidRDefault="005C196A" w:rsidP="00221863">
            <w:pPr>
              <w:spacing w:before="120" w:line="240" w:lineRule="auto"/>
              <w:rPr>
                <w:rFonts w:cs="Times New Roman"/>
                <w:szCs w:val="24"/>
              </w:rPr>
            </w:pPr>
            <w:r w:rsidRPr="0069113F">
              <w:rPr>
                <w:rFonts w:cs="Times New Roman"/>
                <w:szCs w:val="24"/>
              </w:rPr>
              <w:t>Family Food datasets, 2017</w:t>
            </w:r>
            <w:r w:rsidRPr="0069113F">
              <w:rPr>
                <w:rFonts w:cs="Times New Roman"/>
                <w:szCs w:val="24"/>
              </w:rPr>
              <w:fldChar w:fldCharType="begin"/>
            </w:r>
            <w:r w:rsidR="007C57A8">
              <w:rPr>
                <w:rFonts w:cs="Times New Roman"/>
                <w:szCs w:val="24"/>
              </w:rPr>
              <w:instrText xml:space="preserve"> ADDIN EN.CITE &lt;EndNote&gt;&lt;Cite&gt;&lt;Author&gt;Department for Environment Food &amp;amp; Rural Affairs (DEFRA)&lt;/Author&gt;&lt;Year&gt;2017&lt;/Year&gt;&lt;RecNum&gt;408&lt;/RecNum&gt;&lt;DisplayText&gt;&lt;style face="superscript"&gt;(15)&lt;/style&gt;&lt;/DisplayText&gt;&lt;record&gt;&lt;rec-number&gt;408&lt;/rec-number&gt;&lt;foreign-keys&gt;&lt;key app="EN" db-id="zdrfrts5sr9296ea90uxsfvhf9zwdwstft0f" timestamp="1488472757"&gt;408&lt;/key&gt;&lt;/foreign-keys&gt;&lt;ref-type name="Web Page"&gt;12&lt;/ref-type&gt;&lt;contributors&gt;&lt;authors&gt;&lt;author&gt;Department for Environment Food &amp;amp; Rural Affairs (DEFRA),.&lt;/author&gt;&lt;/authors&gt;&lt;/contributors&gt;&lt;titles&gt;&lt;title&gt;Family food datasets&lt;/title&gt;&lt;/titles&gt;&lt;dates&gt;&lt;year&gt;2017&lt;/year&gt;&lt;/dates&gt;&lt;urls&gt;&lt;related-urls&gt;&lt;url&gt;https://www.gov.uk/government/statistical-data-sets/family-food-datasets&lt;/url&gt;&lt;/related-urls&gt;&lt;/urls&gt;&lt;/record&gt;&lt;/Cite&gt;&lt;/EndNote&gt;</w:instrText>
            </w:r>
            <w:r w:rsidRPr="0069113F">
              <w:rPr>
                <w:rFonts w:cs="Times New Roman"/>
                <w:szCs w:val="24"/>
              </w:rPr>
              <w:fldChar w:fldCharType="separate"/>
            </w:r>
            <w:r w:rsidR="007C57A8" w:rsidRPr="007C57A8">
              <w:rPr>
                <w:rFonts w:cs="Times New Roman"/>
                <w:noProof/>
                <w:szCs w:val="24"/>
                <w:vertAlign w:val="superscript"/>
              </w:rPr>
              <w:t>(15)</w:t>
            </w:r>
            <w:r w:rsidRPr="0069113F">
              <w:rPr>
                <w:rFonts w:cs="Times New Roman"/>
                <w:szCs w:val="24"/>
              </w:rPr>
              <w:fldChar w:fldCharType="end"/>
            </w:r>
            <w:r w:rsidRPr="0069113F">
              <w:rPr>
                <w:rFonts w:cs="Times New Roman"/>
                <w:szCs w:val="24"/>
              </w:rPr>
              <w:t>; provide aggregated data from the Living Costs and Food Survey, 2015</w:t>
            </w:r>
          </w:p>
        </w:tc>
      </w:tr>
      <w:tr w:rsidR="005C196A" w:rsidRPr="0069113F" w14:paraId="1F398902" w14:textId="77777777" w:rsidTr="001E2BB9">
        <w:trPr>
          <w:trHeight w:val="315"/>
        </w:trPr>
        <w:tc>
          <w:tcPr>
            <w:tcW w:w="4536" w:type="dxa"/>
          </w:tcPr>
          <w:p w14:paraId="1B495C5C" w14:textId="77777777" w:rsidR="005C196A" w:rsidRPr="0069113F" w:rsidRDefault="005C196A" w:rsidP="00221863">
            <w:pPr>
              <w:spacing w:before="120" w:line="240" w:lineRule="auto"/>
              <w:rPr>
                <w:rFonts w:cs="Times New Roman"/>
                <w:szCs w:val="24"/>
              </w:rPr>
            </w:pPr>
            <w:r w:rsidRPr="0069113F">
              <w:rPr>
                <w:rFonts w:cs="Times New Roman"/>
                <w:szCs w:val="24"/>
              </w:rPr>
              <w:t>Price change effect on consumption</w:t>
            </w:r>
          </w:p>
        </w:tc>
        <w:tc>
          <w:tcPr>
            <w:tcW w:w="4598" w:type="dxa"/>
            <w:noWrap/>
          </w:tcPr>
          <w:p w14:paraId="68690033" w14:textId="46B1AB6E" w:rsidR="005C196A" w:rsidRPr="0069113F" w:rsidRDefault="005C196A" w:rsidP="00221863">
            <w:pPr>
              <w:spacing w:before="120" w:line="240" w:lineRule="auto"/>
              <w:rPr>
                <w:rFonts w:cs="Times New Roman"/>
                <w:szCs w:val="24"/>
              </w:rPr>
            </w:pPr>
            <w:r w:rsidRPr="0069113F">
              <w:rPr>
                <w:rFonts w:cs="Times New Roman"/>
                <w:szCs w:val="24"/>
              </w:rPr>
              <w:t>Afshin, 2017</w:t>
            </w:r>
            <w:r w:rsidRPr="0069113F">
              <w:rPr>
                <w:rFonts w:cs="Times New Roman"/>
                <w:szCs w:val="24"/>
              </w:rPr>
              <w:fldChar w:fldCharType="begin"/>
            </w:r>
            <w:r w:rsidR="007C57A8">
              <w:rPr>
                <w:rFonts w:cs="Times New Roman"/>
                <w:szCs w:val="24"/>
              </w:rPr>
              <w:instrText xml:space="preserve"> ADDIN EN.CITE &lt;EndNote&gt;&lt;Cite&gt;&lt;Author&gt;Afshin&lt;/Author&gt;&lt;Year&gt;2017&lt;/Year&gt;&lt;RecNum&gt;405&lt;/RecNum&gt;&lt;DisplayText&gt;&lt;style face="superscript"&gt;(16)&lt;/style&gt;&lt;/DisplayText&gt;&lt;record&gt;&lt;rec-number&gt;405&lt;/rec-number&gt;&lt;foreign-keys&gt;&lt;key app="EN" db-id="zdrfrts5sr9296ea90uxsfvhf9zwdwstft0f" timestamp="1488453469"&gt;405&lt;/key&gt;&lt;/foreign-keys&gt;&lt;ref-type name="Journal Article"&gt;17&lt;/ref-type&gt;&lt;contributors&gt;&lt;authors&gt;&lt;author&gt;Afshin, Ashkan&lt;/author&gt;&lt;author&gt;Peñalvo, José L.&lt;/author&gt;&lt;author&gt;Del Gobbo, Liana&lt;/author&gt;&lt;author&gt;Silva, Jose&lt;/author&gt;&lt;author&gt;Michaelson, Melody&lt;/author&gt;&lt;author&gt;O&amp;apos;Flaherty, Martin&lt;/author&gt;&lt;author&gt;Capewell, Simon&lt;/author&gt;&lt;author&gt;Spiegelman, Donna&lt;/author&gt;&lt;author&gt;Danaei, Goodarz&lt;/author&gt;&lt;author&gt;Mozaffarian, Dariush&lt;/author&gt;&lt;/authors&gt;&lt;/contributors&gt;&lt;titles&gt;&lt;title&gt;The prospective impact of food pricing on improving dietary consumption: A systematic review and meta-analysis&lt;/title&gt;&lt;secondary-title&gt;PLOS ONE&lt;/secondary-title&gt;&lt;/titles&gt;&lt;periodical&gt;&lt;full-title&gt;PLoS One&lt;/full-title&gt;&lt;abbr-1&gt;PloS one&lt;/abbr-1&gt;&lt;/periodical&gt;&lt;pages&gt;e0172277&lt;/pages&gt;&lt;volume&gt;12&lt;/volume&gt;&lt;number&gt;3&lt;/number&gt;&lt;dates&gt;&lt;year&gt;2017&lt;/year&gt;&lt;/dates&gt;&lt;publisher&gt;Public Library of Science&lt;/publisher&gt;&lt;urls&gt;&lt;related-urls&gt;&lt;url&gt;http://dx.doi.org/10.1371%2Fjournal.pone.0172277&lt;/url&gt;&lt;/related-urls&gt;&lt;/urls&gt;&lt;electronic-resource-num&gt;10.1371/journal.pone.0172277&lt;/electronic-resource-num&gt;&lt;/record&gt;&lt;/Cite&gt;&lt;/EndNote&gt;</w:instrText>
            </w:r>
            <w:r w:rsidRPr="0069113F">
              <w:rPr>
                <w:rFonts w:cs="Times New Roman"/>
                <w:szCs w:val="24"/>
              </w:rPr>
              <w:fldChar w:fldCharType="separate"/>
            </w:r>
            <w:r w:rsidR="007C57A8" w:rsidRPr="007C57A8">
              <w:rPr>
                <w:rFonts w:cs="Times New Roman"/>
                <w:noProof/>
                <w:szCs w:val="24"/>
                <w:vertAlign w:val="superscript"/>
              </w:rPr>
              <w:t>(16)</w:t>
            </w:r>
            <w:r w:rsidRPr="0069113F">
              <w:rPr>
                <w:rFonts w:cs="Times New Roman"/>
                <w:szCs w:val="24"/>
              </w:rPr>
              <w:fldChar w:fldCharType="end"/>
            </w:r>
          </w:p>
        </w:tc>
      </w:tr>
      <w:tr w:rsidR="005C196A" w:rsidRPr="0069113F" w14:paraId="40D4A04E" w14:textId="77777777" w:rsidTr="001E2BB9">
        <w:trPr>
          <w:trHeight w:val="315"/>
        </w:trPr>
        <w:tc>
          <w:tcPr>
            <w:tcW w:w="4536" w:type="dxa"/>
          </w:tcPr>
          <w:p w14:paraId="7D49DB74" w14:textId="77777777" w:rsidR="005C196A" w:rsidRPr="0069113F" w:rsidRDefault="005C196A" w:rsidP="00221863">
            <w:pPr>
              <w:spacing w:before="120" w:line="240" w:lineRule="auto"/>
              <w:rPr>
                <w:rFonts w:cs="Times New Roman"/>
                <w:szCs w:val="24"/>
              </w:rPr>
            </w:pPr>
            <w:r w:rsidRPr="0069113F">
              <w:rPr>
                <w:rFonts w:cs="Times New Roman"/>
                <w:szCs w:val="24"/>
              </w:rPr>
              <w:t>Price change effect on consumption by SEC</w:t>
            </w:r>
          </w:p>
        </w:tc>
        <w:tc>
          <w:tcPr>
            <w:tcW w:w="4598" w:type="dxa"/>
            <w:noWrap/>
          </w:tcPr>
          <w:p w14:paraId="1574E728" w14:textId="64465586" w:rsidR="005C196A" w:rsidRPr="0069113F" w:rsidRDefault="005C196A" w:rsidP="00221863">
            <w:pPr>
              <w:spacing w:before="120" w:line="240" w:lineRule="auto"/>
              <w:rPr>
                <w:rFonts w:cs="Times New Roman"/>
                <w:szCs w:val="24"/>
              </w:rPr>
            </w:pPr>
            <w:r w:rsidRPr="0069113F">
              <w:rPr>
                <w:rFonts w:cs="Times New Roman"/>
                <w:noProof/>
                <w:szCs w:val="24"/>
              </w:rPr>
              <w:t>Colchero, 2016</w:t>
            </w:r>
            <w:r w:rsidRPr="0069113F">
              <w:rPr>
                <w:rFonts w:cs="Times New Roman"/>
                <w:szCs w:val="24"/>
              </w:rPr>
              <w:fldChar w:fldCharType="begin"/>
            </w:r>
            <w:r w:rsidR="007C57A8">
              <w:rPr>
                <w:rFonts w:cs="Times New Roman"/>
                <w:szCs w:val="24"/>
              </w:rPr>
              <w:instrText xml:space="preserve"> ADDIN EN.CITE &lt;EndNote&gt;&lt;Cite&gt;&lt;Author&gt;Colchero&lt;/Author&gt;&lt;Year&gt;2016&lt;/Year&gt;&lt;RecNum&gt;61&lt;/RecNum&gt;&lt;DisplayText&gt;&lt;style face="superscript"&gt;(17)&lt;/style&gt;&lt;/DisplayText&gt;&lt;record&gt;&lt;rec-number&gt;61&lt;/rec-number&gt;&lt;foreign-keys&gt;&lt;key app="EN" db-id="zdrfrts5sr9296ea90uxsfvhf9zwdwstft0f" timestamp="1457361518"&gt;61&lt;/key&gt;&lt;/foreign-keys&gt;&lt;ref-type name="Journal Article"&gt;17&lt;/ref-type&gt;&lt;contributors&gt;&lt;authors&gt;&lt;author&gt;Colchero, M Arantxa&lt;/author&gt;&lt;author&gt;Popkin, Barry M&lt;/author&gt;&lt;author&gt;Rivera, Juan A&lt;/author&gt;&lt;author&gt;Ng, Shu Wen&lt;/author&gt;&lt;/authors&gt;&lt;/contributors&gt;&lt;titles&gt;&lt;title&gt;Beverage purchases from stores in Mexico under the excise tax on sugar sweetened beverages: observational study&lt;/title&gt;&lt;secondary-title&gt;BMJ&lt;/secondary-title&gt;&lt;/titles&gt;&lt;periodical&gt;&lt;full-title&gt;BMJ&lt;/full-title&gt;&lt;/periodical&gt;&lt;pages&gt;h6704&lt;/pages&gt;&lt;volume&gt;352&lt;/volume&gt;&lt;dates&gt;&lt;year&gt;2016&lt;/year&gt;&lt;pub-dates&gt;&lt;date&gt;2016-01-06 23:00:54&lt;/date&gt;&lt;/pub-dates&gt;&lt;/dates&gt;&lt;urls&gt;&lt;related-urls&gt;&lt;url&gt;http://www.bmj.com/content/bmj/352/bmj.h6704.full&lt;/url&gt;&lt;/related-urls&gt;&lt;/urls&gt;&lt;electronic-resource-num&gt;10.1136/bmj.h6704&lt;/electronic-resource-num&gt;&lt;/record&gt;&lt;/Cite&gt;&lt;/EndNote&gt;</w:instrText>
            </w:r>
            <w:r w:rsidRPr="0069113F">
              <w:rPr>
                <w:rFonts w:cs="Times New Roman"/>
                <w:szCs w:val="24"/>
              </w:rPr>
              <w:fldChar w:fldCharType="separate"/>
            </w:r>
            <w:r w:rsidR="007C57A8" w:rsidRPr="007C57A8">
              <w:rPr>
                <w:rFonts w:cs="Times New Roman"/>
                <w:noProof/>
                <w:szCs w:val="24"/>
                <w:vertAlign w:val="superscript"/>
              </w:rPr>
              <w:t>(17)</w:t>
            </w:r>
            <w:r w:rsidRPr="0069113F">
              <w:rPr>
                <w:rFonts w:cs="Times New Roman"/>
                <w:szCs w:val="24"/>
              </w:rPr>
              <w:fldChar w:fldCharType="end"/>
            </w:r>
          </w:p>
        </w:tc>
      </w:tr>
      <w:tr w:rsidR="005C196A" w:rsidRPr="0069113F" w14:paraId="46C1A590" w14:textId="77777777" w:rsidTr="001E2BB9">
        <w:trPr>
          <w:trHeight w:val="315"/>
        </w:trPr>
        <w:tc>
          <w:tcPr>
            <w:tcW w:w="4536" w:type="dxa"/>
          </w:tcPr>
          <w:p w14:paraId="3816A1B5" w14:textId="77777777" w:rsidR="005C196A" w:rsidRPr="0069113F" w:rsidRDefault="005C196A" w:rsidP="00221863">
            <w:pPr>
              <w:spacing w:before="120" w:line="240" w:lineRule="auto"/>
              <w:rPr>
                <w:rFonts w:cs="Times New Roman"/>
                <w:szCs w:val="24"/>
              </w:rPr>
            </w:pPr>
            <w:r w:rsidRPr="0069113F">
              <w:rPr>
                <w:rFonts w:cs="Times New Roman"/>
                <w:szCs w:val="24"/>
              </w:rPr>
              <w:t>Weighted SSB intake by age, sex, and IMD (1/2, 3, 4/5)</w:t>
            </w:r>
          </w:p>
        </w:tc>
        <w:tc>
          <w:tcPr>
            <w:tcW w:w="4598" w:type="dxa"/>
            <w:noWrap/>
          </w:tcPr>
          <w:p w14:paraId="574680A2" w14:textId="5CA7C5DD" w:rsidR="005C196A" w:rsidRPr="0069113F" w:rsidRDefault="005C196A" w:rsidP="00221863">
            <w:pPr>
              <w:spacing w:before="120" w:line="240" w:lineRule="auto"/>
              <w:rPr>
                <w:rFonts w:cs="Times New Roman"/>
                <w:szCs w:val="24"/>
              </w:rPr>
            </w:pPr>
            <w:r w:rsidRPr="0069113F">
              <w:rPr>
                <w:rFonts w:cs="Times New Roman"/>
                <w:noProof/>
                <w:szCs w:val="24"/>
              </w:rPr>
              <w:t>National Diet and Nutrition Survey Rolling Programme Years 1-4</w:t>
            </w:r>
            <w:r w:rsidRPr="0069113F">
              <w:rPr>
                <w:rFonts w:cs="Times New Roman"/>
                <w:szCs w:val="24"/>
              </w:rPr>
              <w:fldChar w:fldCharType="begin"/>
            </w:r>
            <w:r w:rsidR="007C57A8">
              <w:rPr>
                <w:rFonts w:cs="Times New Roman"/>
                <w:szCs w:val="24"/>
              </w:rPr>
              <w:instrText xml:space="preserve"> ADDIN EN.CITE &lt;EndNote&gt;&lt;Cite&gt;&lt;Author&gt;NatCen Social Research&lt;/Author&gt;&lt;Year&gt;2015 &lt;/Year&gt;&lt;RecNum&gt;351&lt;/RecNum&gt;&lt;DisplayText&gt;&lt;style face="superscript"&gt;(18)&lt;/style&gt;&lt;/DisplayText&gt;&lt;record&gt;&lt;rec-number&gt;351&lt;/rec-number&gt;&lt;foreign-keys&gt;&lt;key app="EN" db-id="zdrfrts5sr9296ea90uxsfvhf9zwdwstft0f" timestamp="1473088108"&gt;351&lt;/key&gt;&lt;/foreign-keys&gt;&lt;ref-type name="Dataset"&gt;59&lt;/ref-type&gt;&lt;contributors&gt;&lt;authors&gt;&lt;author&gt;NatCen Social Research,&lt;/author&gt;&lt;author&gt;MRC Human Nutrition Research,&lt;/author&gt;&lt;author&gt;University College London Medical School ,.&lt;/author&gt;&lt;/authors&gt;&lt;/contributors&gt;&lt;titles&gt;&lt;title&gt;National Diet and Nutrition Survey Years 1-4, 2008/09-2011/12&lt;/title&gt;&lt;/titles&gt;&lt;edition&gt; 7th Edition &lt;/edition&gt;&lt;dates&gt;&lt;year&gt;2015 &lt;/year&gt;&lt;/dates&gt;&lt;publisher&gt;UK Data Service&lt;/publisher&gt;&lt;accession-num&gt;SN 6533&lt;/accession-num&gt;&lt;urls&gt;&lt;related-urls&gt;&lt;url&gt;http://dx.doi.org/10.5255/UKDA-SN-6533-6&lt;/url&gt;&lt;/related-urls&gt;&lt;/urls&gt;&lt;electronic-resource-num&gt;10.5255/UKDA-SN-6533-6&lt;/electronic-resource-num&gt;&lt;/record&gt;&lt;/Cite&gt;&lt;/EndNote&gt;</w:instrText>
            </w:r>
            <w:r w:rsidRPr="0069113F">
              <w:rPr>
                <w:rFonts w:cs="Times New Roman"/>
                <w:szCs w:val="24"/>
              </w:rPr>
              <w:fldChar w:fldCharType="separate"/>
            </w:r>
            <w:r w:rsidR="007C57A8" w:rsidRPr="007C57A8">
              <w:rPr>
                <w:rFonts w:cs="Times New Roman"/>
                <w:noProof/>
                <w:szCs w:val="24"/>
                <w:vertAlign w:val="superscript"/>
              </w:rPr>
              <w:t>(18)</w:t>
            </w:r>
            <w:r w:rsidRPr="0069113F">
              <w:rPr>
                <w:rFonts w:cs="Times New Roman"/>
                <w:szCs w:val="24"/>
              </w:rPr>
              <w:fldChar w:fldCharType="end"/>
            </w:r>
          </w:p>
        </w:tc>
      </w:tr>
      <w:tr w:rsidR="005C196A" w:rsidRPr="0069113F" w14:paraId="11C3043D" w14:textId="77777777" w:rsidTr="001E2BB9">
        <w:trPr>
          <w:trHeight w:val="315"/>
        </w:trPr>
        <w:tc>
          <w:tcPr>
            <w:tcW w:w="4536" w:type="dxa"/>
          </w:tcPr>
          <w:p w14:paraId="0DF94F92" w14:textId="77777777" w:rsidR="005C196A" w:rsidRPr="0069113F" w:rsidRDefault="005C196A" w:rsidP="00221863">
            <w:pPr>
              <w:spacing w:before="120" w:line="240" w:lineRule="auto"/>
              <w:rPr>
                <w:rFonts w:cs="Times New Roman"/>
                <w:szCs w:val="24"/>
              </w:rPr>
            </w:pPr>
            <w:r w:rsidRPr="0069113F">
              <w:rPr>
                <w:rFonts w:cs="Times New Roman"/>
                <w:szCs w:val="24"/>
              </w:rPr>
              <w:t>RR for CHD per SSB serving by age</w:t>
            </w:r>
          </w:p>
        </w:tc>
        <w:tc>
          <w:tcPr>
            <w:tcW w:w="4598" w:type="dxa"/>
            <w:noWrap/>
          </w:tcPr>
          <w:p w14:paraId="306E47BE" w14:textId="08CC5AA1" w:rsidR="005C196A" w:rsidRPr="0069113F" w:rsidRDefault="005C196A" w:rsidP="00221863">
            <w:pPr>
              <w:spacing w:before="120" w:line="240" w:lineRule="auto"/>
              <w:rPr>
                <w:rFonts w:cs="Times New Roman"/>
                <w:szCs w:val="24"/>
              </w:rPr>
            </w:pPr>
            <w:proofErr w:type="spellStart"/>
            <w:r w:rsidRPr="0069113F">
              <w:rPr>
                <w:rFonts w:cs="Times New Roman"/>
                <w:szCs w:val="24"/>
              </w:rPr>
              <w:t>Micha</w:t>
            </w:r>
            <w:proofErr w:type="spellEnd"/>
            <w:r w:rsidRPr="0069113F">
              <w:rPr>
                <w:rFonts w:cs="Times New Roman"/>
                <w:szCs w:val="24"/>
              </w:rPr>
              <w:t>, 2017</w:t>
            </w:r>
            <w:r w:rsidRPr="0069113F">
              <w:rPr>
                <w:rFonts w:cs="Times New Roman"/>
                <w:szCs w:val="24"/>
              </w:rPr>
              <w:fldChar w:fldCharType="begin"/>
            </w:r>
            <w:r w:rsidR="007C57A8">
              <w:rPr>
                <w:rFonts w:cs="Times New Roman"/>
                <w:szCs w:val="24"/>
              </w:rPr>
              <w:instrText xml:space="preserve"> ADDIN EN.CITE &lt;EndNote&gt;&lt;Cite&gt;&lt;Author&gt;Micha&lt;/Author&gt;&lt;Year&gt;2017&lt;/Year&gt;&lt;RecNum&gt;411&lt;/RecNum&gt;&lt;DisplayText&gt;&lt;style face="superscript"&gt;(19)&lt;/style&gt;&lt;/DisplayText&gt;&lt;record&gt;&lt;rec-number&gt;411&lt;/rec-number&gt;&lt;foreign-keys&gt;&lt;key app="EN" db-id="zdrfrts5sr9296ea90uxsfvhf9zwdwstft0f" timestamp="1488990666"&gt;411&lt;/key&gt;&lt;/foreign-keys&gt;&lt;ref-type name="Journal Article"&gt;17&lt;/ref-type&gt;&lt;contributors&gt;&lt;authors&gt;&lt;author&gt;Micha, R.&lt;/author&gt;&lt;author&gt;Peñalvo, J. L.&lt;/author&gt;&lt;author&gt;Cudhea, F.&lt;/author&gt;&lt;author&gt;Imamura, F.&lt;/author&gt;&lt;author&gt;Rehm, C. D.&lt;/author&gt;&lt;author&gt;Mozaffarian, D.&lt;/author&gt;&lt;/authors&gt;&lt;/contributors&gt;&lt;titles&gt;&lt;title&gt;Association between dietary factors and mortality from heart disease, stroke, and type 2 diabetes in the united states&lt;/title&gt;&lt;secondary-title&gt;JAMA&lt;/secondary-title&gt;&lt;/titles&gt;&lt;periodical&gt;&lt;full-title&gt;JAMA&lt;/full-title&gt;&lt;/periodical&gt;&lt;pages&gt;912-924&lt;/pages&gt;&lt;volume&gt;317&lt;/volume&gt;&lt;number&gt;9&lt;/number&gt;&lt;dates&gt;&lt;year&gt;2017&lt;/year&gt;&lt;/dates&gt;&lt;isbn&gt;0098-7484&lt;/isbn&gt;&lt;urls&gt;&lt;related-urls&gt;&lt;url&gt;http://dx.doi.org/10.1001/jama.2017.0947&lt;/url&gt;&lt;/related-urls&gt;&lt;/urls&gt;&lt;electronic-resource-num&gt;10.1001/jama.2017.0947&lt;/electronic-resource-num&gt;&lt;/record&gt;&lt;/Cite&gt;&lt;/EndNote&gt;</w:instrText>
            </w:r>
            <w:r w:rsidRPr="0069113F">
              <w:rPr>
                <w:rFonts w:cs="Times New Roman"/>
                <w:szCs w:val="24"/>
              </w:rPr>
              <w:fldChar w:fldCharType="separate"/>
            </w:r>
            <w:r w:rsidR="007C57A8" w:rsidRPr="007C57A8">
              <w:rPr>
                <w:rFonts w:cs="Times New Roman"/>
                <w:noProof/>
                <w:szCs w:val="24"/>
                <w:vertAlign w:val="superscript"/>
              </w:rPr>
              <w:t>(19)</w:t>
            </w:r>
            <w:r w:rsidRPr="0069113F">
              <w:rPr>
                <w:rFonts w:cs="Times New Roman"/>
                <w:szCs w:val="24"/>
              </w:rPr>
              <w:fldChar w:fldCharType="end"/>
            </w:r>
          </w:p>
        </w:tc>
      </w:tr>
      <w:tr w:rsidR="005C196A" w:rsidRPr="0069113F" w14:paraId="2F855393" w14:textId="77777777" w:rsidTr="001E2BB9">
        <w:trPr>
          <w:trHeight w:val="315"/>
        </w:trPr>
        <w:tc>
          <w:tcPr>
            <w:tcW w:w="4536" w:type="dxa"/>
          </w:tcPr>
          <w:p w14:paraId="01866531" w14:textId="77777777" w:rsidR="005C196A" w:rsidRPr="0069113F" w:rsidRDefault="005C196A" w:rsidP="00221863">
            <w:pPr>
              <w:spacing w:before="120" w:line="240" w:lineRule="auto"/>
              <w:rPr>
                <w:rFonts w:cs="Times New Roman"/>
                <w:szCs w:val="24"/>
              </w:rPr>
            </w:pPr>
            <w:r w:rsidRPr="0069113F">
              <w:rPr>
                <w:rFonts w:cs="Times New Roman"/>
                <w:szCs w:val="24"/>
              </w:rPr>
              <w:t>RR for CHD per 5 kg/m</w:t>
            </w:r>
            <w:r w:rsidRPr="0069113F">
              <w:rPr>
                <w:rFonts w:cs="Times New Roman"/>
                <w:szCs w:val="24"/>
                <w:vertAlign w:val="superscript"/>
              </w:rPr>
              <w:t>2</w:t>
            </w:r>
            <w:r w:rsidRPr="0069113F">
              <w:rPr>
                <w:rFonts w:cs="Times New Roman"/>
                <w:szCs w:val="24"/>
              </w:rPr>
              <w:t xml:space="preserve"> increase in BMI by age</w:t>
            </w:r>
          </w:p>
        </w:tc>
        <w:tc>
          <w:tcPr>
            <w:tcW w:w="4598" w:type="dxa"/>
            <w:noWrap/>
          </w:tcPr>
          <w:p w14:paraId="1BE4B1CA" w14:textId="7225EA92" w:rsidR="005C196A" w:rsidRPr="0069113F" w:rsidRDefault="005C196A" w:rsidP="00221863">
            <w:pPr>
              <w:spacing w:before="120" w:line="240" w:lineRule="auto"/>
              <w:rPr>
                <w:rFonts w:cs="Times New Roman"/>
                <w:szCs w:val="24"/>
              </w:rPr>
            </w:pPr>
            <w:proofErr w:type="spellStart"/>
            <w:r w:rsidRPr="0069113F">
              <w:rPr>
                <w:rFonts w:cs="Times New Roman"/>
                <w:szCs w:val="24"/>
              </w:rPr>
              <w:t>Micha</w:t>
            </w:r>
            <w:proofErr w:type="spellEnd"/>
            <w:r w:rsidRPr="0069113F">
              <w:rPr>
                <w:rFonts w:cs="Times New Roman"/>
                <w:szCs w:val="24"/>
              </w:rPr>
              <w:t>. 2017</w:t>
            </w:r>
            <w:r w:rsidRPr="0069113F">
              <w:rPr>
                <w:rFonts w:cs="Times New Roman"/>
                <w:szCs w:val="24"/>
              </w:rPr>
              <w:fldChar w:fldCharType="begin"/>
            </w:r>
            <w:r w:rsidR="007C57A8">
              <w:rPr>
                <w:rFonts w:cs="Times New Roman"/>
                <w:szCs w:val="24"/>
              </w:rPr>
              <w:instrText xml:space="preserve"> ADDIN EN.CITE &lt;EndNote&gt;&lt;Cite&gt;&lt;Author&gt;Micha&lt;/Author&gt;&lt;Year&gt;2017&lt;/Year&gt;&lt;RecNum&gt;411&lt;/RecNum&gt;&lt;DisplayText&gt;&lt;style face="superscript"&gt;(19)&lt;/style&gt;&lt;/DisplayText&gt;&lt;record&gt;&lt;rec-number&gt;411&lt;/rec-number&gt;&lt;foreign-keys&gt;&lt;key app="EN" db-id="zdrfrts5sr9296ea90uxsfvhf9zwdwstft0f" timestamp="1488990666"&gt;411&lt;/key&gt;&lt;/foreign-keys&gt;&lt;ref-type name="Journal Article"&gt;17&lt;/ref-type&gt;&lt;contributors&gt;&lt;authors&gt;&lt;author&gt;Micha, R.&lt;/author&gt;&lt;author&gt;Peñalvo, J. L.&lt;/author&gt;&lt;author&gt;Cudhea, F.&lt;/author&gt;&lt;author&gt;Imamura, F.&lt;/author&gt;&lt;author&gt;Rehm, C. D.&lt;/author&gt;&lt;author&gt;Mozaffarian, D.&lt;/author&gt;&lt;/authors&gt;&lt;/contributors&gt;&lt;titles&gt;&lt;title&gt;Association between dietary factors and mortality from heart disease, stroke, and type 2 diabetes in the united states&lt;/title&gt;&lt;secondary-title&gt;JAMA&lt;/secondary-title&gt;&lt;/titles&gt;&lt;periodical&gt;&lt;full-title&gt;JAMA&lt;/full-title&gt;&lt;/periodical&gt;&lt;pages&gt;912-924&lt;/pages&gt;&lt;volume&gt;317&lt;/volume&gt;&lt;number&gt;9&lt;/number&gt;&lt;dates&gt;&lt;year&gt;2017&lt;/year&gt;&lt;/dates&gt;&lt;isbn&gt;0098-7484&lt;/isbn&gt;&lt;urls&gt;&lt;related-urls&gt;&lt;url&gt;http://dx.doi.org/10.1001/jama.2017.0947&lt;/url&gt;&lt;/related-urls&gt;&lt;/urls&gt;&lt;electronic-resource-num&gt;10.1001/jama.2017.0947&lt;/electronic-resource-num&gt;&lt;/record&gt;&lt;/Cite&gt;&lt;/EndNote&gt;</w:instrText>
            </w:r>
            <w:r w:rsidRPr="0069113F">
              <w:rPr>
                <w:rFonts w:cs="Times New Roman"/>
                <w:szCs w:val="24"/>
              </w:rPr>
              <w:fldChar w:fldCharType="separate"/>
            </w:r>
            <w:r w:rsidR="007C57A8" w:rsidRPr="007C57A8">
              <w:rPr>
                <w:rFonts w:cs="Times New Roman"/>
                <w:noProof/>
                <w:szCs w:val="24"/>
                <w:vertAlign w:val="superscript"/>
              </w:rPr>
              <w:t>(19)</w:t>
            </w:r>
            <w:r w:rsidRPr="0069113F">
              <w:rPr>
                <w:rFonts w:cs="Times New Roman"/>
                <w:szCs w:val="24"/>
              </w:rPr>
              <w:fldChar w:fldCharType="end"/>
            </w:r>
          </w:p>
        </w:tc>
      </w:tr>
      <w:tr w:rsidR="005C196A" w:rsidRPr="0069113F" w14:paraId="41754C38" w14:textId="77777777" w:rsidTr="001E2BB9">
        <w:trPr>
          <w:trHeight w:val="315"/>
        </w:trPr>
        <w:tc>
          <w:tcPr>
            <w:tcW w:w="4536" w:type="dxa"/>
          </w:tcPr>
          <w:p w14:paraId="28E3EE6E" w14:textId="77777777" w:rsidR="005C196A" w:rsidRPr="0069113F" w:rsidRDefault="005C196A" w:rsidP="00221863">
            <w:pPr>
              <w:spacing w:before="120" w:line="240" w:lineRule="auto"/>
              <w:rPr>
                <w:rFonts w:cs="Times New Roman"/>
                <w:szCs w:val="24"/>
              </w:rPr>
            </w:pPr>
            <w:r w:rsidRPr="0069113F">
              <w:rPr>
                <w:rFonts w:cs="Times New Roman"/>
                <w:szCs w:val="24"/>
              </w:rPr>
              <w:t>BMI change (kg/m</w:t>
            </w:r>
            <w:r w:rsidRPr="0069113F">
              <w:rPr>
                <w:rFonts w:cs="Times New Roman"/>
                <w:szCs w:val="24"/>
                <w:vertAlign w:val="superscript"/>
              </w:rPr>
              <w:t>2</w:t>
            </w:r>
            <w:r w:rsidRPr="0069113F">
              <w:rPr>
                <w:rFonts w:cs="Times New Roman"/>
                <w:szCs w:val="24"/>
              </w:rPr>
              <w:t>) per SSB serving/d by BMI</w:t>
            </w:r>
          </w:p>
        </w:tc>
        <w:tc>
          <w:tcPr>
            <w:tcW w:w="4598" w:type="dxa"/>
            <w:noWrap/>
          </w:tcPr>
          <w:p w14:paraId="4B3EC0BF" w14:textId="6022135A" w:rsidR="005C196A" w:rsidRPr="0069113F" w:rsidRDefault="005C196A" w:rsidP="00221863">
            <w:pPr>
              <w:spacing w:before="120" w:line="240" w:lineRule="auto"/>
              <w:rPr>
                <w:rFonts w:cs="Times New Roman"/>
                <w:szCs w:val="24"/>
              </w:rPr>
            </w:pPr>
            <w:proofErr w:type="spellStart"/>
            <w:r w:rsidRPr="0069113F">
              <w:rPr>
                <w:rFonts w:cs="Times New Roman"/>
                <w:szCs w:val="24"/>
              </w:rPr>
              <w:t>Micha</w:t>
            </w:r>
            <w:proofErr w:type="spellEnd"/>
            <w:r w:rsidRPr="0069113F">
              <w:rPr>
                <w:rFonts w:cs="Times New Roman"/>
                <w:szCs w:val="24"/>
              </w:rPr>
              <w:t>, 2017</w:t>
            </w:r>
            <w:r w:rsidRPr="0069113F">
              <w:rPr>
                <w:rFonts w:cs="Times New Roman"/>
                <w:szCs w:val="24"/>
              </w:rPr>
              <w:fldChar w:fldCharType="begin"/>
            </w:r>
            <w:r w:rsidR="007C57A8">
              <w:rPr>
                <w:rFonts w:cs="Times New Roman"/>
                <w:szCs w:val="24"/>
              </w:rPr>
              <w:instrText xml:space="preserve"> ADDIN EN.CITE &lt;EndNote&gt;&lt;Cite&gt;&lt;Author&gt;Micha&lt;/Author&gt;&lt;Year&gt;2017&lt;/Year&gt;&lt;RecNum&gt;411&lt;/RecNum&gt;&lt;DisplayText&gt;&lt;style face="superscript"&gt;(19)&lt;/style&gt;&lt;/DisplayText&gt;&lt;record&gt;&lt;rec-number&gt;411&lt;/rec-number&gt;&lt;foreign-keys&gt;&lt;key app="EN" db-id="zdrfrts5sr9296ea90uxsfvhf9zwdwstft0f" timestamp="1488990666"&gt;411&lt;/key&gt;&lt;/foreign-keys&gt;&lt;ref-type name="Journal Article"&gt;17&lt;/ref-type&gt;&lt;contributors&gt;&lt;authors&gt;&lt;author&gt;Micha, R.&lt;/author&gt;&lt;author&gt;Peñalvo, J. L.&lt;/author&gt;&lt;author&gt;Cudhea, F.&lt;/author&gt;&lt;author&gt;Imamura, F.&lt;/author&gt;&lt;author&gt;Rehm, C. D.&lt;/author&gt;&lt;author&gt;Mozaffarian, D.&lt;/author&gt;&lt;/authors&gt;&lt;/contributors&gt;&lt;titles&gt;&lt;title&gt;Association between dietary factors and mortality from heart disease, stroke, and type 2 diabetes in the united states&lt;/title&gt;&lt;secondary-title&gt;JAMA&lt;/secondary-title&gt;&lt;/titles&gt;&lt;periodical&gt;&lt;full-title&gt;JAMA&lt;/full-title&gt;&lt;/periodical&gt;&lt;pages&gt;912-924&lt;/pages&gt;&lt;volume&gt;317&lt;/volume&gt;&lt;number&gt;9&lt;/number&gt;&lt;dates&gt;&lt;year&gt;2017&lt;/year&gt;&lt;/dates&gt;&lt;isbn&gt;0098-7484&lt;/isbn&gt;&lt;urls&gt;&lt;related-urls&gt;&lt;url&gt;http://dx.doi.org/10.1001/jama.2017.0947&lt;/url&gt;&lt;/related-urls&gt;&lt;/urls&gt;&lt;electronic-resource-num&gt;10.1001/jama.2017.0947&lt;/electronic-resource-num&gt;&lt;/record&gt;&lt;/Cite&gt;&lt;/EndNote&gt;</w:instrText>
            </w:r>
            <w:r w:rsidRPr="0069113F">
              <w:rPr>
                <w:rFonts w:cs="Times New Roman"/>
                <w:szCs w:val="24"/>
              </w:rPr>
              <w:fldChar w:fldCharType="separate"/>
            </w:r>
            <w:r w:rsidR="007C57A8" w:rsidRPr="007C57A8">
              <w:rPr>
                <w:rFonts w:cs="Times New Roman"/>
                <w:noProof/>
                <w:szCs w:val="24"/>
                <w:vertAlign w:val="superscript"/>
              </w:rPr>
              <w:t>(19)</w:t>
            </w:r>
            <w:r w:rsidRPr="0069113F">
              <w:rPr>
                <w:rFonts w:cs="Times New Roman"/>
                <w:szCs w:val="24"/>
              </w:rPr>
              <w:fldChar w:fldCharType="end"/>
            </w:r>
          </w:p>
        </w:tc>
      </w:tr>
      <w:tr w:rsidR="005C196A" w:rsidRPr="0069113F" w14:paraId="502F4A14" w14:textId="77777777" w:rsidTr="001E2BB9">
        <w:trPr>
          <w:trHeight w:val="315"/>
        </w:trPr>
        <w:tc>
          <w:tcPr>
            <w:tcW w:w="4536" w:type="dxa"/>
          </w:tcPr>
          <w:p w14:paraId="4BF9E6FF" w14:textId="77777777" w:rsidR="005C196A" w:rsidRPr="0069113F" w:rsidRDefault="005C196A" w:rsidP="00221863">
            <w:pPr>
              <w:spacing w:before="120" w:line="240" w:lineRule="auto"/>
              <w:rPr>
                <w:rFonts w:cs="Times New Roman"/>
                <w:szCs w:val="24"/>
              </w:rPr>
            </w:pPr>
            <w:r w:rsidRPr="0069113F">
              <w:rPr>
                <w:rFonts w:cs="Times New Roman"/>
                <w:szCs w:val="24"/>
              </w:rPr>
              <w:t>Overweight and obesity prevalence</w:t>
            </w:r>
          </w:p>
        </w:tc>
        <w:tc>
          <w:tcPr>
            <w:tcW w:w="4598" w:type="dxa"/>
            <w:noWrap/>
          </w:tcPr>
          <w:p w14:paraId="4D1F98A2" w14:textId="74DD8738" w:rsidR="005C196A" w:rsidRPr="0069113F" w:rsidRDefault="005C196A" w:rsidP="00221863">
            <w:pPr>
              <w:spacing w:before="120" w:line="240" w:lineRule="auto"/>
              <w:rPr>
                <w:rFonts w:cs="Times New Roman"/>
                <w:szCs w:val="24"/>
              </w:rPr>
            </w:pPr>
            <w:r w:rsidRPr="0069113F">
              <w:rPr>
                <w:rFonts w:cs="Times New Roman"/>
                <w:szCs w:val="24"/>
              </w:rPr>
              <w:t>Health Survey for England 2014</w:t>
            </w:r>
            <w:r w:rsidRPr="0069113F">
              <w:rPr>
                <w:rFonts w:cs="Times New Roman"/>
                <w:szCs w:val="24"/>
              </w:rPr>
              <w:fldChar w:fldCharType="begin"/>
            </w:r>
            <w:r>
              <w:rPr>
                <w:rFonts w:cs="Times New Roman"/>
                <w:szCs w:val="24"/>
              </w:rPr>
              <w:instrText xml:space="preserve"> ADDIN EN.CITE &lt;EndNote&gt;&lt;Cite&gt;&lt;Author&gt;NatCen Social Research&lt;/Author&gt;&lt;Year&gt;2016 &lt;/Year&gt;&lt;RecNum&gt;580&lt;/RecNum&gt;&lt;DisplayText&gt;&lt;style face="superscript"&gt;(1)&lt;/style&gt;&lt;/DisplayText&gt;&lt;record&gt;&lt;rec-number&gt;580&lt;/rec-number&gt;&lt;foreign-keys&gt;&lt;key app="EN" db-id="zdrfrts5sr9296ea90uxsfvhf9zwdwstft0f" timestamp="1497447893"&gt;580&lt;/key&gt;&lt;/foreign-keys&gt;&lt;ref-type name="Dataset"&gt;59&lt;/ref-type&gt;&lt;contributors&gt;&lt;authors&gt;&lt;author&gt;NatCen Social Research, .&lt;/author&gt;&lt;author&gt;University College London, . &lt;/author&gt;&lt;author&gt;Department of Epidemiology and Public Health, .&lt;/author&gt;&lt;/authors&gt;&lt;/contributors&gt;&lt;titles&gt;&lt;title&gt;Health Survey for England, 2014&lt;/title&gt;&lt;/titles&gt;&lt;edition&gt; 2nd Edition &lt;/edition&gt;&lt;dates&gt;&lt;year&gt;2016 &lt;/year&gt;&lt;/dates&gt;&lt;publisher&gt;UK Data Service&lt;/publisher&gt;&lt;accession-num&gt;SN 7919&lt;/accession-num&gt;&lt;urls&gt;&lt;related-urls&gt;&lt;url&gt;http://doi.org/10.5255/UKDA-SN-7919-2&lt;/url&gt;&lt;/related-urls&gt;&lt;/urls&gt;&lt;electronic-resource-num&gt;10.5255/UKDA-SN-7919-2&lt;/electronic-resource-num&gt;&lt;/record&gt;&lt;/Cite&gt;&lt;/EndNote&gt;</w:instrText>
            </w:r>
            <w:r w:rsidRPr="0069113F">
              <w:rPr>
                <w:rFonts w:cs="Times New Roman"/>
                <w:szCs w:val="24"/>
              </w:rPr>
              <w:fldChar w:fldCharType="separate"/>
            </w:r>
            <w:r w:rsidRPr="005C196A">
              <w:rPr>
                <w:rFonts w:cs="Times New Roman"/>
                <w:noProof/>
                <w:szCs w:val="24"/>
                <w:vertAlign w:val="superscript"/>
              </w:rPr>
              <w:t>(1)</w:t>
            </w:r>
            <w:r w:rsidRPr="0069113F">
              <w:rPr>
                <w:rFonts w:cs="Times New Roman"/>
                <w:szCs w:val="24"/>
              </w:rPr>
              <w:fldChar w:fldCharType="end"/>
            </w:r>
          </w:p>
        </w:tc>
      </w:tr>
      <w:tr w:rsidR="005C196A" w:rsidRPr="0069113F" w14:paraId="47262785" w14:textId="77777777" w:rsidTr="001E2BB9">
        <w:trPr>
          <w:trHeight w:val="315"/>
        </w:trPr>
        <w:tc>
          <w:tcPr>
            <w:tcW w:w="4536" w:type="dxa"/>
          </w:tcPr>
          <w:p w14:paraId="4139C931" w14:textId="77777777" w:rsidR="005C196A" w:rsidRPr="0069113F" w:rsidRDefault="005C196A" w:rsidP="00221863">
            <w:pPr>
              <w:spacing w:before="120" w:line="240" w:lineRule="auto"/>
              <w:rPr>
                <w:rFonts w:cs="Times New Roman"/>
                <w:szCs w:val="24"/>
              </w:rPr>
            </w:pPr>
            <w:r w:rsidRPr="0069113F">
              <w:rPr>
                <w:rFonts w:cs="Times New Roman"/>
                <w:szCs w:val="24"/>
              </w:rPr>
              <w:t>Median survival (years) by age, sex, IMD for each of three CHD disease states and proportion of CHD deaths in each</w:t>
            </w:r>
          </w:p>
        </w:tc>
        <w:tc>
          <w:tcPr>
            <w:tcW w:w="4598" w:type="dxa"/>
            <w:noWrap/>
          </w:tcPr>
          <w:p w14:paraId="60E8342A" w14:textId="1BB7635B" w:rsidR="005C196A" w:rsidRPr="0069113F" w:rsidRDefault="005C196A" w:rsidP="00221863">
            <w:pPr>
              <w:spacing w:before="120" w:line="240" w:lineRule="auto"/>
              <w:rPr>
                <w:rFonts w:cs="Times New Roman"/>
                <w:szCs w:val="24"/>
              </w:rPr>
            </w:pPr>
            <w:r w:rsidRPr="0069113F">
              <w:rPr>
                <w:rFonts w:cs="Times New Roman"/>
                <w:szCs w:val="24"/>
              </w:rPr>
              <w:t>Allen, 2015</w:t>
            </w:r>
            <w:r w:rsidRPr="0069113F">
              <w:rPr>
                <w:rFonts w:cs="Times New Roman"/>
                <w:szCs w:val="24"/>
              </w:rPr>
              <w:fldChar w:fldCharType="begin">
                <w:fldData xml:space="preserve">PEVuZE5vdGU+PENpdGU+PEF1dGhvcj5BbGxlbjwvQXV0aG9yPjxZZWFyPjIwMTU8L1llYXI+PFJl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</w:fldData>
              </w:fldChar>
            </w:r>
            <w:r w:rsidR="007C57A8">
              <w:rPr>
                <w:rFonts w:cs="Times New Roman"/>
                <w:szCs w:val="24"/>
              </w:rPr>
              <w:instrText xml:space="preserve"> ADDIN EN.CITE </w:instrText>
            </w:r>
            <w:r w:rsidR="007C57A8">
              <w:rPr>
                <w:rFonts w:cs="Times New Roman"/>
                <w:szCs w:val="24"/>
              </w:rPr>
              <w:fldChar w:fldCharType="begin">
                <w:fldData xml:space="preserve">PEVuZE5vdGU+PENpdGU+PEF1dGhvcj5BbGxlbjwvQXV0aG9yPjxZZWFyPjIwMTU8L1llYXI+PFJl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</w:fldData>
              </w:fldChar>
            </w:r>
            <w:r w:rsidR="007C57A8">
              <w:rPr>
                <w:rFonts w:cs="Times New Roman"/>
                <w:szCs w:val="24"/>
              </w:rPr>
              <w:instrText xml:space="preserve"> ADDIN EN.CITE.DATA </w:instrText>
            </w:r>
            <w:r w:rsidR="007C57A8">
              <w:rPr>
                <w:rFonts w:cs="Times New Roman"/>
                <w:szCs w:val="24"/>
              </w:rPr>
            </w:r>
            <w:r w:rsidR="007C57A8">
              <w:rPr>
                <w:rFonts w:cs="Times New Roman"/>
                <w:szCs w:val="24"/>
              </w:rPr>
              <w:fldChar w:fldCharType="end"/>
            </w:r>
            <w:r w:rsidRPr="0069113F">
              <w:rPr>
                <w:rFonts w:cs="Times New Roman"/>
                <w:szCs w:val="24"/>
              </w:rPr>
            </w:r>
            <w:r w:rsidRPr="0069113F">
              <w:rPr>
                <w:rFonts w:cs="Times New Roman"/>
                <w:szCs w:val="24"/>
              </w:rPr>
              <w:fldChar w:fldCharType="separate"/>
            </w:r>
            <w:r w:rsidR="007C57A8" w:rsidRPr="007C57A8">
              <w:rPr>
                <w:rFonts w:cs="Times New Roman"/>
                <w:noProof/>
                <w:szCs w:val="24"/>
                <w:vertAlign w:val="superscript"/>
              </w:rPr>
              <w:t>(20)</w:t>
            </w:r>
            <w:r w:rsidRPr="0069113F">
              <w:rPr>
                <w:rFonts w:cs="Times New Roman"/>
                <w:szCs w:val="24"/>
              </w:rPr>
              <w:fldChar w:fldCharType="end"/>
            </w:r>
          </w:p>
        </w:tc>
      </w:tr>
    </w:tbl>
    <w:p w14:paraId="1DC6E140" w14:textId="77777777" w:rsidR="005C196A" w:rsidRDefault="005C196A" w:rsidP="005C196A">
      <w:pPr>
        <w:rPr>
          <w:rFonts w:cs="Times New Roman"/>
          <w:szCs w:val="24"/>
        </w:rPr>
      </w:pPr>
      <w:r>
        <w:rPr>
          <w:rFonts w:cs="Times New Roman"/>
          <w:szCs w:val="24"/>
        </w:rPr>
        <w:t>FTA, Free Trading Agreement; SSB, sugar-sweetened beverage; CHD, coronary heart disease; IMD, Index of Multiple Deprivation</w:t>
      </w:r>
    </w:p>
    <w:p w14:paraId="13945F69" w14:textId="77777777" w:rsidR="005C196A" w:rsidRPr="0069113F" w:rsidRDefault="005C196A" w:rsidP="005C196A">
      <w:pPr>
        <w:rPr>
          <w:rFonts w:cs="Times New Roman"/>
          <w:szCs w:val="24"/>
        </w:rPr>
      </w:pPr>
    </w:p>
    <w:p w14:paraId="79DE1250" w14:textId="607EFC43" w:rsidR="005C196A" w:rsidRPr="0069113F" w:rsidRDefault="005C196A" w:rsidP="005C196A">
      <w:pPr>
        <w:rPr>
          <w:rFonts w:cs="Times New Roman"/>
          <w:szCs w:val="24"/>
        </w:rPr>
      </w:pPr>
      <w:r>
        <w:rPr>
          <w:rFonts w:cs="Times New Roman"/>
          <w:szCs w:val="24"/>
        </w:rPr>
        <w:t xml:space="preserve">Appendix Table </w:t>
      </w:r>
      <w:r w:rsidR="000A648F">
        <w:rPr>
          <w:rFonts w:cs="Times New Roman"/>
          <w:szCs w:val="24"/>
        </w:rPr>
        <w:t>3</w:t>
      </w:r>
      <w:r w:rsidRPr="0069113F">
        <w:rPr>
          <w:rFonts w:cs="Times New Roman"/>
          <w:szCs w:val="24"/>
        </w:rPr>
        <w:t xml:space="preserve">. Effect of 1% change in SSB price on SSB intake overall, obtained from </w:t>
      </w:r>
      <w:proofErr w:type="spellStart"/>
      <w:r w:rsidRPr="0069113F">
        <w:rPr>
          <w:rFonts w:cs="Times New Roman"/>
          <w:szCs w:val="24"/>
        </w:rPr>
        <w:t>Afhsin</w:t>
      </w:r>
      <w:proofErr w:type="spellEnd"/>
      <w:r w:rsidRPr="0069113F">
        <w:rPr>
          <w:rFonts w:cs="Times New Roman"/>
          <w:szCs w:val="24"/>
        </w:rPr>
        <w:t xml:space="preserve"> et al,</w:t>
      </w:r>
      <w:r w:rsidRPr="0069113F">
        <w:rPr>
          <w:rFonts w:cs="Times New Roman"/>
          <w:szCs w:val="24"/>
        </w:rPr>
        <w:fldChar w:fldCharType="begin"/>
      </w:r>
      <w:r w:rsidR="007C57A8">
        <w:rPr>
          <w:rFonts w:cs="Times New Roman"/>
          <w:szCs w:val="24"/>
        </w:rPr>
        <w:instrText xml:space="preserve"> ADDIN EN.CITE &lt;EndNote&gt;&lt;Cite&gt;&lt;Author&gt;Afshin&lt;/Author&gt;&lt;Year&gt;2017&lt;/Year&gt;&lt;RecNum&gt;405&lt;/RecNum&gt;&lt;DisplayText&gt;&lt;style face="superscript"&gt;(16)&lt;/style&gt;&lt;/DisplayText&gt;&lt;record&gt;&lt;rec-number&gt;405&lt;/rec-number&gt;&lt;foreign-keys&gt;&lt;key app="EN" db-id="zdrfrts5sr9296ea90uxsfvhf9zwdwstft0f" timestamp="1488453469"&gt;405&lt;/key&gt;&lt;/foreign-keys&gt;&lt;ref-type name="Journal Article"&gt;17&lt;/ref-type&gt;&lt;contributors&gt;&lt;authors&gt;&lt;author&gt;Afshin, Ashkan&lt;/author&gt;&lt;author&gt;Peñalvo, José L.&lt;/author&gt;&lt;author&gt;Del Gobbo, Liana&lt;/author&gt;&lt;author&gt;Silva, Jose&lt;/author&gt;&lt;author&gt;Michaelson, Melody&lt;/author&gt;&lt;author&gt;O&amp;apos;Flaherty, Martin&lt;/author&gt;&lt;author&gt;Capewell, Simon&lt;/author&gt;&lt;author&gt;Spiegelman, Donna&lt;/author&gt;&lt;author&gt;Danaei, Goodarz&lt;/author&gt;&lt;author&gt;Mozaffarian, Dariush&lt;/author&gt;&lt;/authors&gt;&lt;/contributors&gt;&lt;titles&gt;&lt;title&gt;The prospective impact of food pricing on improving dietary consumption: A systematic review and meta-analysis&lt;/title&gt;&lt;secondary-title&gt;PLOS ONE&lt;/secondary-title&gt;&lt;/titles&gt;&lt;periodical&gt;&lt;full-title&gt;PLoS One&lt;/full-title&gt;&lt;abbr-1&gt;PloS one&lt;/abbr-1&gt;&lt;/periodical&gt;&lt;pages&gt;e0172277&lt;/pages&gt;&lt;volume&gt;12&lt;/volume&gt;&lt;number&gt;3&lt;/number&gt;&lt;dates&gt;&lt;year&gt;2017&lt;/year&gt;&lt;/dates&gt;&lt;publisher&gt;Public Library of Science&lt;/publisher&gt;&lt;urls&gt;&lt;related-urls&gt;&lt;url&gt;http://dx.doi.org/10.1371%2Fjournal.pone.0172277&lt;/url&gt;&lt;/related-urls&gt;&lt;/urls&gt;&lt;electronic-resource-num&gt;10.1371/journal.pone.0172277&lt;/electronic-resource-num&gt;&lt;/record&gt;&lt;/Cite&gt;&lt;/EndNote&gt;</w:instrText>
      </w:r>
      <w:r w:rsidRPr="0069113F">
        <w:rPr>
          <w:rFonts w:cs="Times New Roman"/>
          <w:szCs w:val="24"/>
        </w:rPr>
        <w:fldChar w:fldCharType="separate"/>
      </w:r>
      <w:r w:rsidR="007C57A8" w:rsidRPr="007C57A8">
        <w:rPr>
          <w:rFonts w:cs="Times New Roman"/>
          <w:noProof/>
          <w:szCs w:val="24"/>
          <w:vertAlign w:val="superscript"/>
        </w:rPr>
        <w:t>(16)</w:t>
      </w:r>
      <w:r w:rsidRPr="0069113F">
        <w:rPr>
          <w:rFonts w:cs="Times New Roman"/>
          <w:szCs w:val="24"/>
        </w:rPr>
        <w:fldChar w:fldCharType="end"/>
      </w:r>
      <w:r w:rsidRPr="0069113F">
        <w:rPr>
          <w:rFonts w:cs="Times New Roman"/>
          <w:szCs w:val="24"/>
        </w:rPr>
        <w:t xml:space="preserve"> and adjusted by </w:t>
      </w:r>
      <w:r w:rsidR="0088608D">
        <w:rPr>
          <w:rFonts w:cs="Times New Roman"/>
          <w:szCs w:val="24"/>
        </w:rPr>
        <w:t>socioeconomic circumstance</w:t>
      </w:r>
      <w:r w:rsidRPr="0069113F">
        <w:rPr>
          <w:rFonts w:cs="Times New Roman"/>
          <w:szCs w:val="24"/>
        </w:rPr>
        <w:t xml:space="preserve"> using information from </w:t>
      </w:r>
      <w:proofErr w:type="spellStart"/>
      <w:r w:rsidRPr="0069113F">
        <w:rPr>
          <w:rFonts w:cs="Times New Roman"/>
          <w:szCs w:val="24"/>
        </w:rPr>
        <w:t>Colchero</w:t>
      </w:r>
      <w:proofErr w:type="spellEnd"/>
      <w:r w:rsidRPr="0069113F">
        <w:rPr>
          <w:rFonts w:cs="Times New Roman"/>
          <w:szCs w:val="24"/>
        </w:rPr>
        <w:t xml:space="preserve"> et al.</w:t>
      </w:r>
      <w:r w:rsidRPr="0069113F">
        <w:rPr>
          <w:rFonts w:cs="Times New Roman"/>
          <w:szCs w:val="24"/>
        </w:rPr>
        <w:fldChar w:fldCharType="begin"/>
      </w:r>
      <w:r w:rsidR="007C57A8">
        <w:rPr>
          <w:rFonts w:cs="Times New Roman"/>
          <w:szCs w:val="24"/>
        </w:rPr>
        <w:instrText xml:space="preserve"> ADDIN EN.CITE &lt;EndNote&gt;&lt;Cite&gt;&lt;Author&gt;Colchero&lt;/Author&gt;&lt;Year&gt;2016&lt;/Year&gt;&lt;RecNum&gt;61&lt;/RecNum&gt;&lt;DisplayText&gt;&lt;style face="superscript"&gt;(17)&lt;/style&gt;&lt;/DisplayText&gt;&lt;record&gt;&lt;rec-number&gt;61&lt;/rec-number&gt;&lt;foreign-keys&gt;&lt;key app="EN" db-id="zdrfrts5sr9296ea90uxsfvhf9zwdwstft0f" timestamp="1457361518"&gt;61&lt;/key&gt;&lt;/foreign-keys&gt;&lt;ref-type name="Journal Article"&gt;17&lt;/ref-type&gt;&lt;contributors&gt;&lt;authors&gt;&lt;author&gt;Colchero, M Arantxa&lt;/author&gt;&lt;author&gt;Popkin, Barry M&lt;/author&gt;&lt;author&gt;Rivera, Juan A&lt;/author&gt;&lt;author&gt;Ng, Shu Wen&lt;/author&gt;&lt;/authors&gt;&lt;/contributors&gt;&lt;titles&gt;&lt;title&gt;Beverage purchases from stores in Mexico under the excise tax on sugar sweetened beverages: observational study&lt;/title&gt;&lt;secondary-title&gt;BMJ&lt;/secondary-title&gt;&lt;/titles&gt;&lt;periodical&gt;&lt;full-title&gt;BMJ&lt;/full-title&gt;&lt;/periodical&gt;&lt;pages&gt;h6704&lt;/pages&gt;&lt;volume&gt;352&lt;/volume&gt;&lt;dates&gt;&lt;year&gt;2016&lt;/year&gt;&lt;pub-dates&gt;&lt;date&gt;2016-01-06 23:00:54&lt;/date&gt;&lt;/pub-dates&gt;&lt;/dates&gt;&lt;urls&gt;&lt;related-urls&gt;&lt;url&gt;http://www.bmj.com/content/bmj/352/bmj.h6704.full&lt;/url&gt;&lt;/related-urls&gt;&lt;/urls&gt;&lt;electronic-resource-num&gt;10.1136/bmj.h6704&lt;/electronic-resource-num&gt;&lt;/record&gt;&lt;/Cite&gt;&lt;/EndNote&gt;</w:instrText>
      </w:r>
      <w:r w:rsidRPr="0069113F">
        <w:rPr>
          <w:rFonts w:cs="Times New Roman"/>
          <w:szCs w:val="24"/>
        </w:rPr>
        <w:fldChar w:fldCharType="separate"/>
      </w:r>
      <w:r w:rsidR="007C57A8" w:rsidRPr="007C57A8">
        <w:rPr>
          <w:rFonts w:cs="Times New Roman"/>
          <w:noProof/>
          <w:szCs w:val="24"/>
          <w:vertAlign w:val="superscript"/>
        </w:rPr>
        <w:t>(17)</w:t>
      </w:r>
      <w:r w:rsidRPr="0069113F">
        <w:rPr>
          <w:rFonts w:cs="Times New Roman"/>
          <w:szCs w:val="24"/>
        </w:rPr>
        <w:fldChar w:fldCharType="end"/>
      </w:r>
    </w:p>
    <w:tbl>
      <w:tblPr>
        <w:tblW w:w="8584" w:type="dxa"/>
        <w:tblLook w:val="04A0" w:firstRow="1" w:lastRow="0" w:firstColumn="1" w:lastColumn="0" w:noHBand="0" w:noVBand="1"/>
      </w:tblPr>
      <w:tblGrid>
        <w:gridCol w:w="2056"/>
        <w:gridCol w:w="2176"/>
        <w:gridCol w:w="2176"/>
        <w:gridCol w:w="2176"/>
      </w:tblGrid>
      <w:tr w:rsidR="005C196A" w:rsidRPr="0069113F" w14:paraId="47E30C6F" w14:textId="77777777" w:rsidTr="001E2BB9">
        <w:trPr>
          <w:trHeight w:val="227"/>
        </w:trPr>
        <w:tc>
          <w:tcPr>
            <w:tcW w:w="2056" w:type="dxa"/>
            <w:tcBorders>
              <w:top w:val="single" w:sz="4" w:space="0" w:color="auto"/>
              <w:bottom w:val="single" w:sz="4" w:space="0" w:color="auto"/>
            </w:tcBorders>
            <w:vAlign w:val="center"/>
          </w:tcPr>
          <w:p w14:paraId="57719068" w14:textId="77777777" w:rsidR="005C196A" w:rsidRPr="0069113F" w:rsidRDefault="005C196A" w:rsidP="00221863">
            <w:pPr>
              <w:spacing w:before="120" w:line="240" w:lineRule="auto"/>
              <w:jc w:val="center"/>
              <w:rPr>
                <w:rFonts w:cs="Times New Roman"/>
                <w:szCs w:val="24"/>
                <w:lang w:eastAsia="en-GB"/>
              </w:rPr>
            </w:pPr>
            <w:r w:rsidRPr="0069113F">
              <w:rPr>
                <w:rFonts w:cs="Times New Roman"/>
                <w:szCs w:val="24"/>
                <w:lang w:eastAsia="en-GB"/>
              </w:rPr>
              <w:t>Overall</w:t>
            </w:r>
          </w:p>
        </w:tc>
        <w:tc>
          <w:tcPr>
            <w:tcW w:w="2176" w:type="dxa"/>
            <w:tcBorders>
              <w:top w:val="single" w:sz="4" w:space="0" w:color="auto"/>
              <w:bottom w:val="single" w:sz="4" w:space="0" w:color="auto"/>
            </w:tcBorders>
            <w:vAlign w:val="center"/>
          </w:tcPr>
          <w:p w14:paraId="3ABDBDAC" w14:textId="77777777" w:rsidR="005C196A" w:rsidRPr="0069113F" w:rsidRDefault="005C196A" w:rsidP="00221863">
            <w:pPr>
              <w:spacing w:before="120" w:line="240" w:lineRule="auto"/>
              <w:jc w:val="center"/>
              <w:rPr>
                <w:rFonts w:cs="Times New Roman"/>
                <w:szCs w:val="24"/>
                <w:lang w:eastAsia="en-GB"/>
              </w:rPr>
            </w:pPr>
            <w:r>
              <w:rPr>
                <w:rFonts w:cs="Times New Roman"/>
                <w:szCs w:val="24"/>
                <w:lang w:eastAsia="en-GB"/>
              </w:rPr>
              <w:t>Most affluent</w:t>
            </w:r>
          </w:p>
        </w:tc>
        <w:tc>
          <w:tcPr>
            <w:tcW w:w="2176" w:type="dxa"/>
            <w:tcBorders>
              <w:top w:val="single" w:sz="4" w:space="0" w:color="auto"/>
              <w:bottom w:val="single" w:sz="4" w:space="0" w:color="auto"/>
            </w:tcBorders>
            <w:vAlign w:val="center"/>
          </w:tcPr>
          <w:p w14:paraId="1C224BCC" w14:textId="77777777" w:rsidR="005C196A" w:rsidRPr="0069113F" w:rsidRDefault="005C196A" w:rsidP="00221863">
            <w:pPr>
              <w:spacing w:before="120" w:line="240" w:lineRule="auto"/>
              <w:jc w:val="center"/>
              <w:rPr>
                <w:rFonts w:cs="Times New Roman"/>
                <w:szCs w:val="24"/>
                <w:lang w:eastAsia="en-GB"/>
              </w:rPr>
            </w:pPr>
            <w:r w:rsidRPr="00541554">
              <w:rPr>
                <w:rFonts w:cs="Times New Roman"/>
                <w:szCs w:val="24"/>
                <w:lang w:eastAsia="en-GB"/>
              </w:rPr>
              <w:t>Middle</w:t>
            </w:r>
          </w:p>
        </w:tc>
        <w:tc>
          <w:tcPr>
            <w:tcW w:w="2176" w:type="dxa"/>
            <w:tcBorders>
              <w:top w:val="single" w:sz="4" w:space="0" w:color="auto"/>
              <w:bottom w:val="single" w:sz="4" w:space="0" w:color="auto"/>
            </w:tcBorders>
            <w:shd w:val="clear" w:color="auto" w:fill="auto"/>
            <w:noWrap/>
            <w:vAlign w:val="center"/>
            <w:hideMark/>
          </w:tcPr>
          <w:p w14:paraId="6AC2A28E" w14:textId="77777777" w:rsidR="005C196A" w:rsidRPr="0069113F" w:rsidRDefault="005C196A" w:rsidP="00221863">
            <w:pPr>
              <w:spacing w:before="120" w:line="240" w:lineRule="auto"/>
              <w:jc w:val="center"/>
              <w:rPr>
                <w:rFonts w:cs="Times New Roman"/>
                <w:szCs w:val="24"/>
                <w:lang w:eastAsia="en-GB"/>
              </w:rPr>
            </w:pPr>
            <w:r w:rsidRPr="00541554">
              <w:rPr>
                <w:rFonts w:cs="Times New Roman"/>
                <w:szCs w:val="24"/>
                <w:lang w:eastAsia="en-GB"/>
              </w:rPr>
              <w:t>Most deprived</w:t>
            </w:r>
          </w:p>
        </w:tc>
      </w:tr>
      <w:tr w:rsidR="005C196A" w:rsidRPr="0069113F" w14:paraId="5EE618AD" w14:textId="77777777" w:rsidTr="001E2BB9">
        <w:trPr>
          <w:trHeight w:val="227"/>
        </w:trPr>
        <w:tc>
          <w:tcPr>
            <w:tcW w:w="2056" w:type="dxa"/>
            <w:tcBorders>
              <w:top w:val="single" w:sz="4" w:space="0" w:color="auto"/>
              <w:bottom w:val="single" w:sz="4" w:space="0" w:color="auto"/>
            </w:tcBorders>
            <w:vAlign w:val="center"/>
          </w:tcPr>
          <w:p w14:paraId="6C60D8E9" w14:textId="77777777" w:rsidR="005C196A" w:rsidRPr="0069113F" w:rsidRDefault="005C196A" w:rsidP="00221863">
            <w:pPr>
              <w:spacing w:before="120" w:line="240" w:lineRule="auto"/>
              <w:jc w:val="center"/>
              <w:rPr>
                <w:rFonts w:cs="Times New Roman"/>
                <w:szCs w:val="24"/>
                <w:lang w:eastAsia="en-GB"/>
              </w:rPr>
            </w:pPr>
            <w:r w:rsidRPr="0069113F">
              <w:rPr>
                <w:rFonts w:cs="Times New Roman"/>
                <w:szCs w:val="24"/>
                <w:lang w:eastAsia="en-GB"/>
              </w:rPr>
              <w:t>-0</w:t>
            </w:r>
            <w:r>
              <w:rPr>
                <w:rFonts w:cs="Times New Roman"/>
                <w:szCs w:val="24"/>
                <w:lang w:eastAsia="en-GB"/>
              </w:rPr>
              <w:t>.</w:t>
            </w:r>
            <w:r w:rsidRPr="0069113F">
              <w:rPr>
                <w:rFonts w:cs="Times New Roman"/>
                <w:szCs w:val="24"/>
                <w:lang w:eastAsia="en-GB"/>
              </w:rPr>
              <w:t>67 (-1</w:t>
            </w:r>
            <w:r>
              <w:rPr>
                <w:rFonts w:cs="Times New Roman"/>
                <w:szCs w:val="24"/>
                <w:lang w:eastAsia="en-GB"/>
              </w:rPr>
              <w:t>.</w:t>
            </w:r>
            <w:r w:rsidRPr="0069113F">
              <w:rPr>
                <w:rFonts w:cs="Times New Roman"/>
                <w:szCs w:val="24"/>
                <w:lang w:eastAsia="en-GB"/>
              </w:rPr>
              <w:t>0, -0</w:t>
            </w:r>
            <w:r>
              <w:rPr>
                <w:rFonts w:cs="Times New Roman"/>
                <w:szCs w:val="24"/>
                <w:lang w:eastAsia="en-GB"/>
              </w:rPr>
              <w:t>.</w:t>
            </w:r>
            <w:r w:rsidRPr="0069113F">
              <w:rPr>
                <w:rFonts w:cs="Times New Roman"/>
                <w:szCs w:val="24"/>
                <w:lang w:eastAsia="en-GB"/>
              </w:rPr>
              <w:t>31)</w:t>
            </w:r>
          </w:p>
        </w:tc>
        <w:tc>
          <w:tcPr>
            <w:tcW w:w="2176" w:type="dxa"/>
            <w:tcBorders>
              <w:top w:val="single" w:sz="4" w:space="0" w:color="auto"/>
              <w:bottom w:val="single" w:sz="4" w:space="0" w:color="auto"/>
            </w:tcBorders>
            <w:vAlign w:val="center"/>
          </w:tcPr>
          <w:p w14:paraId="5A6E53A3" w14:textId="77777777" w:rsidR="005C196A" w:rsidRPr="0069113F" w:rsidRDefault="005C196A" w:rsidP="00221863">
            <w:pPr>
              <w:spacing w:before="120" w:line="240" w:lineRule="auto"/>
              <w:jc w:val="center"/>
              <w:rPr>
                <w:rFonts w:cs="Times New Roman"/>
                <w:szCs w:val="24"/>
                <w:lang w:eastAsia="en-GB"/>
              </w:rPr>
            </w:pPr>
            <w:r w:rsidRPr="0069113F">
              <w:rPr>
                <w:rFonts w:cs="Times New Roman"/>
                <w:szCs w:val="24"/>
                <w:lang w:eastAsia="en-GB"/>
              </w:rPr>
              <w:t>-0</w:t>
            </w:r>
            <w:r>
              <w:rPr>
                <w:rFonts w:cs="Times New Roman"/>
                <w:szCs w:val="24"/>
                <w:lang w:eastAsia="en-GB"/>
              </w:rPr>
              <w:t>.</w:t>
            </w:r>
            <w:r w:rsidRPr="0069113F">
              <w:rPr>
                <w:rFonts w:cs="Times New Roman"/>
                <w:szCs w:val="24"/>
                <w:lang w:eastAsia="en-GB"/>
              </w:rPr>
              <w:t>61 (-0</w:t>
            </w:r>
            <w:r>
              <w:rPr>
                <w:rFonts w:cs="Times New Roman"/>
                <w:szCs w:val="24"/>
                <w:lang w:eastAsia="en-GB"/>
              </w:rPr>
              <w:t>.</w:t>
            </w:r>
            <w:r w:rsidRPr="0069113F">
              <w:rPr>
                <w:rFonts w:cs="Times New Roman"/>
                <w:szCs w:val="24"/>
                <w:lang w:eastAsia="en-GB"/>
              </w:rPr>
              <w:t>94, -0</w:t>
            </w:r>
            <w:r>
              <w:rPr>
                <w:rFonts w:cs="Times New Roman"/>
                <w:szCs w:val="24"/>
                <w:lang w:eastAsia="en-GB"/>
              </w:rPr>
              <w:t>.</w:t>
            </w:r>
            <w:r w:rsidRPr="0069113F">
              <w:rPr>
                <w:rFonts w:cs="Times New Roman"/>
                <w:szCs w:val="24"/>
                <w:lang w:eastAsia="en-GB"/>
              </w:rPr>
              <w:t>28)</w:t>
            </w:r>
          </w:p>
        </w:tc>
        <w:tc>
          <w:tcPr>
            <w:tcW w:w="2176" w:type="dxa"/>
            <w:tcBorders>
              <w:top w:val="single" w:sz="4" w:space="0" w:color="auto"/>
              <w:bottom w:val="single" w:sz="4" w:space="0" w:color="auto"/>
            </w:tcBorders>
            <w:vAlign w:val="center"/>
          </w:tcPr>
          <w:p w14:paraId="558B6AC2" w14:textId="77777777" w:rsidR="005C196A" w:rsidRPr="0069113F" w:rsidRDefault="005C196A" w:rsidP="00221863">
            <w:pPr>
              <w:spacing w:before="120" w:line="240" w:lineRule="auto"/>
              <w:jc w:val="center"/>
              <w:rPr>
                <w:rFonts w:cs="Times New Roman"/>
                <w:szCs w:val="24"/>
                <w:lang w:eastAsia="en-GB"/>
              </w:rPr>
            </w:pPr>
            <w:r w:rsidRPr="0069113F">
              <w:rPr>
                <w:rFonts w:cs="Times New Roman"/>
                <w:szCs w:val="24"/>
                <w:lang w:eastAsia="en-GB"/>
              </w:rPr>
              <w:t>-0</w:t>
            </w:r>
            <w:r>
              <w:rPr>
                <w:rFonts w:cs="Times New Roman"/>
                <w:szCs w:val="24"/>
                <w:lang w:eastAsia="en-GB"/>
              </w:rPr>
              <w:t>.</w:t>
            </w:r>
            <w:r w:rsidRPr="0069113F">
              <w:rPr>
                <w:rFonts w:cs="Times New Roman"/>
                <w:szCs w:val="24"/>
                <w:lang w:eastAsia="en-GB"/>
              </w:rPr>
              <w:t>62 (-0</w:t>
            </w:r>
            <w:r>
              <w:rPr>
                <w:rFonts w:cs="Times New Roman"/>
                <w:szCs w:val="24"/>
                <w:lang w:eastAsia="en-GB"/>
              </w:rPr>
              <w:t>.</w:t>
            </w:r>
            <w:r w:rsidRPr="0069113F">
              <w:rPr>
                <w:rFonts w:cs="Times New Roman"/>
                <w:szCs w:val="24"/>
                <w:lang w:eastAsia="en-GB"/>
              </w:rPr>
              <w:t>95, -0</w:t>
            </w:r>
            <w:r>
              <w:rPr>
                <w:rFonts w:cs="Times New Roman"/>
                <w:szCs w:val="24"/>
                <w:lang w:eastAsia="en-GB"/>
              </w:rPr>
              <w:t>.</w:t>
            </w:r>
            <w:r w:rsidRPr="0069113F">
              <w:rPr>
                <w:rFonts w:cs="Times New Roman"/>
                <w:szCs w:val="24"/>
                <w:lang w:eastAsia="en-GB"/>
              </w:rPr>
              <w:t>28)</w:t>
            </w:r>
          </w:p>
        </w:tc>
        <w:tc>
          <w:tcPr>
            <w:tcW w:w="2176" w:type="dxa"/>
            <w:tcBorders>
              <w:top w:val="single" w:sz="4" w:space="0" w:color="auto"/>
              <w:bottom w:val="single" w:sz="4" w:space="0" w:color="auto"/>
            </w:tcBorders>
            <w:shd w:val="clear" w:color="auto" w:fill="auto"/>
            <w:noWrap/>
            <w:vAlign w:val="center"/>
            <w:hideMark/>
          </w:tcPr>
          <w:p w14:paraId="608B6672" w14:textId="77777777" w:rsidR="005C196A" w:rsidRPr="0069113F" w:rsidRDefault="005C196A" w:rsidP="00221863">
            <w:pPr>
              <w:spacing w:before="120" w:line="240" w:lineRule="auto"/>
              <w:jc w:val="center"/>
              <w:rPr>
                <w:rFonts w:cs="Times New Roman"/>
                <w:szCs w:val="24"/>
                <w:lang w:eastAsia="en-GB"/>
              </w:rPr>
            </w:pPr>
            <w:r w:rsidRPr="0069113F">
              <w:rPr>
                <w:rFonts w:cs="Times New Roman"/>
                <w:szCs w:val="24"/>
                <w:lang w:eastAsia="en-GB"/>
              </w:rPr>
              <w:t>-1</w:t>
            </w:r>
            <w:r>
              <w:rPr>
                <w:rFonts w:cs="Times New Roman"/>
                <w:szCs w:val="24"/>
                <w:lang w:eastAsia="en-GB"/>
              </w:rPr>
              <w:t>.</w:t>
            </w:r>
            <w:r w:rsidRPr="0069113F">
              <w:rPr>
                <w:rFonts w:cs="Times New Roman"/>
                <w:szCs w:val="24"/>
                <w:lang w:eastAsia="en-GB"/>
              </w:rPr>
              <w:t>01 (-1</w:t>
            </w:r>
            <w:r>
              <w:rPr>
                <w:rFonts w:cs="Times New Roman"/>
                <w:szCs w:val="24"/>
                <w:lang w:eastAsia="en-GB"/>
              </w:rPr>
              <w:t>.</w:t>
            </w:r>
            <w:r w:rsidRPr="0069113F">
              <w:rPr>
                <w:rFonts w:cs="Times New Roman"/>
                <w:szCs w:val="24"/>
                <w:lang w:eastAsia="en-GB"/>
              </w:rPr>
              <w:t>55, -0</w:t>
            </w:r>
            <w:r>
              <w:rPr>
                <w:rFonts w:cs="Times New Roman"/>
                <w:szCs w:val="24"/>
                <w:lang w:eastAsia="en-GB"/>
              </w:rPr>
              <w:t>.</w:t>
            </w:r>
            <w:r w:rsidRPr="0069113F">
              <w:rPr>
                <w:rFonts w:cs="Times New Roman"/>
                <w:szCs w:val="24"/>
                <w:lang w:eastAsia="en-GB"/>
              </w:rPr>
              <w:t>46)</w:t>
            </w:r>
          </w:p>
        </w:tc>
      </w:tr>
    </w:tbl>
    <w:p w14:paraId="3C4D88F4" w14:textId="438A1AC2" w:rsidR="005C196A" w:rsidRDefault="0088608D" w:rsidP="005C196A">
      <w:pPr>
        <w:rPr>
          <w:rFonts w:cs="Times New Roman"/>
          <w:szCs w:val="24"/>
        </w:rPr>
      </w:pPr>
      <w:r>
        <w:rPr>
          <w:rFonts w:cs="Times New Roman"/>
          <w:szCs w:val="24"/>
        </w:rPr>
        <w:t>SSB. Sugar-sweetened beverage</w:t>
      </w:r>
    </w:p>
    <w:p w14:paraId="7850A707" w14:textId="77777777" w:rsidR="007A5807" w:rsidRDefault="007A5807" w:rsidP="0069113F">
      <w:pPr>
        <w:rPr>
          <w:rFonts w:cs="Times New Roman"/>
          <w:szCs w:val="24"/>
        </w:rPr>
      </w:pPr>
    </w:p>
    <w:p w14:paraId="62C1AC29" w14:textId="77777777" w:rsidR="00221863" w:rsidRDefault="00221863" w:rsidP="0069113F">
      <w:pPr>
        <w:rPr>
          <w:rFonts w:cs="Times New Roman"/>
          <w:szCs w:val="24"/>
        </w:rPr>
      </w:pPr>
    </w:p>
    <w:p w14:paraId="63D842F2" w14:textId="3CE3134E" w:rsidR="008F1E82" w:rsidRPr="0069113F" w:rsidRDefault="00A36BDA" w:rsidP="0069113F">
      <w:pPr>
        <w:rPr>
          <w:rFonts w:cs="Times New Roman"/>
          <w:szCs w:val="24"/>
        </w:rPr>
      </w:pPr>
      <w:r w:rsidRPr="0069113F">
        <w:rPr>
          <w:rFonts w:cs="Times New Roman"/>
          <w:szCs w:val="24"/>
        </w:rPr>
        <w:lastRenderedPageBreak/>
        <w:t>Appendix T</w:t>
      </w:r>
      <w:r w:rsidR="008F1E82" w:rsidRPr="0069113F">
        <w:rPr>
          <w:rFonts w:cs="Times New Roman"/>
          <w:szCs w:val="24"/>
        </w:rPr>
        <w:t>able</w:t>
      </w:r>
      <w:r w:rsidRPr="0069113F">
        <w:rPr>
          <w:rFonts w:cs="Times New Roman"/>
          <w:szCs w:val="24"/>
        </w:rPr>
        <w:t xml:space="preserve"> </w:t>
      </w:r>
      <w:r w:rsidR="000A648F">
        <w:rPr>
          <w:rFonts w:cs="Times New Roman"/>
          <w:szCs w:val="24"/>
        </w:rPr>
        <w:t>4</w:t>
      </w:r>
      <w:r w:rsidR="008F1E82" w:rsidRPr="0069113F">
        <w:rPr>
          <w:rFonts w:cs="Times New Roman"/>
          <w:szCs w:val="24"/>
        </w:rPr>
        <w:t>. Added costs to sugar imports in each Brexit scenario</w:t>
      </w:r>
    </w:p>
    <w:tbl>
      <w:tblPr>
        <w:tblStyle w:val="TableGrid"/>
        <w:tblW w:w="9224" w:type="dxa"/>
        <w:tblLook w:val="04A0" w:firstRow="1" w:lastRow="0" w:firstColumn="1" w:lastColumn="0" w:noHBand="0" w:noVBand="1"/>
      </w:tblPr>
      <w:tblGrid>
        <w:gridCol w:w="1288"/>
        <w:gridCol w:w="1683"/>
        <w:gridCol w:w="301"/>
        <w:gridCol w:w="1984"/>
        <w:gridCol w:w="1984"/>
        <w:gridCol w:w="1984"/>
      </w:tblGrid>
      <w:tr w:rsidR="008F1E82" w:rsidRPr="0069113F" w14:paraId="1F784ADA" w14:textId="77777777" w:rsidTr="003175DC">
        <w:tc>
          <w:tcPr>
            <w:tcW w:w="1288" w:type="dxa"/>
            <w:vMerge w:val="restart"/>
            <w:vAlign w:val="center"/>
          </w:tcPr>
          <w:p w14:paraId="7A8D17FA" w14:textId="77777777" w:rsidR="008F1E82" w:rsidRPr="0069113F" w:rsidRDefault="008F1E82" w:rsidP="00221863">
            <w:pPr>
              <w:spacing w:before="120" w:line="240" w:lineRule="auto"/>
              <w:rPr>
                <w:rFonts w:cs="Times New Roman"/>
                <w:szCs w:val="24"/>
              </w:rPr>
            </w:pPr>
          </w:p>
        </w:tc>
        <w:tc>
          <w:tcPr>
            <w:tcW w:w="3968" w:type="dxa"/>
            <w:gridSpan w:val="3"/>
            <w:vAlign w:val="center"/>
          </w:tcPr>
          <w:p w14:paraId="11DDB866" w14:textId="77777777" w:rsidR="008F1E82" w:rsidRPr="0069113F" w:rsidRDefault="008F1E82" w:rsidP="00221863">
            <w:pPr>
              <w:spacing w:before="120" w:line="240" w:lineRule="auto"/>
              <w:jc w:val="center"/>
              <w:rPr>
                <w:rFonts w:cs="Times New Roman"/>
                <w:szCs w:val="24"/>
              </w:rPr>
            </w:pPr>
            <w:r w:rsidRPr="0069113F">
              <w:rPr>
                <w:rFonts w:cs="Times New Roman"/>
                <w:szCs w:val="24"/>
              </w:rPr>
              <w:t>EU imports of sugar</w:t>
            </w:r>
          </w:p>
        </w:tc>
        <w:tc>
          <w:tcPr>
            <w:tcW w:w="3968" w:type="dxa"/>
            <w:gridSpan w:val="2"/>
            <w:vAlign w:val="center"/>
          </w:tcPr>
          <w:p w14:paraId="01F7EE29" w14:textId="77777777" w:rsidR="008F1E82" w:rsidRPr="0069113F" w:rsidRDefault="008F1E82" w:rsidP="00221863">
            <w:pPr>
              <w:spacing w:before="120" w:line="240" w:lineRule="auto"/>
              <w:jc w:val="center"/>
              <w:rPr>
                <w:rFonts w:cs="Times New Roman"/>
                <w:szCs w:val="24"/>
              </w:rPr>
            </w:pPr>
            <w:r w:rsidRPr="0069113F">
              <w:rPr>
                <w:rFonts w:cs="Times New Roman"/>
                <w:szCs w:val="24"/>
              </w:rPr>
              <w:t>Third country imports of sugar under preferential arrangements</w:t>
            </w:r>
          </w:p>
        </w:tc>
      </w:tr>
      <w:tr w:rsidR="008F1E82" w:rsidRPr="0069113F" w14:paraId="43ADDE8C" w14:textId="77777777" w:rsidTr="003175DC">
        <w:tc>
          <w:tcPr>
            <w:tcW w:w="1288" w:type="dxa"/>
            <w:vMerge/>
            <w:vAlign w:val="center"/>
          </w:tcPr>
          <w:p w14:paraId="64DC4A43" w14:textId="77777777" w:rsidR="008F1E82" w:rsidRPr="0069113F" w:rsidRDefault="008F1E82" w:rsidP="00221863">
            <w:pPr>
              <w:spacing w:before="120" w:line="240" w:lineRule="auto"/>
              <w:rPr>
                <w:rFonts w:cs="Times New Roman"/>
                <w:szCs w:val="24"/>
              </w:rPr>
            </w:pPr>
          </w:p>
        </w:tc>
        <w:tc>
          <w:tcPr>
            <w:tcW w:w="1683" w:type="dxa"/>
            <w:vAlign w:val="center"/>
          </w:tcPr>
          <w:p w14:paraId="7219DE9A" w14:textId="77777777" w:rsidR="008F1E82" w:rsidRPr="0069113F" w:rsidRDefault="008F1E82" w:rsidP="00221863">
            <w:pPr>
              <w:spacing w:before="120" w:line="240" w:lineRule="auto"/>
              <w:jc w:val="center"/>
              <w:rPr>
                <w:rFonts w:cs="Times New Roman"/>
                <w:szCs w:val="24"/>
              </w:rPr>
            </w:pPr>
            <w:r w:rsidRPr="0069113F">
              <w:rPr>
                <w:rFonts w:cs="Times New Roman"/>
                <w:szCs w:val="24"/>
              </w:rPr>
              <w:t>Unrefined sugar imports</w:t>
            </w:r>
          </w:p>
        </w:tc>
        <w:tc>
          <w:tcPr>
            <w:tcW w:w="2285" w:type="dxa"/>
            <w:gridSpan w:val="2"/>
            <w:vAlign w:val="center"/>
          </w:tcPr>
          <w:p w14:paraId="657DBA38" w14:textId="77777777" w:rsidR="008F1E82" w:rsidRPr="0069113F" w:rsidRDefault="008F1E82" w:rsidP="00221863">
            <w:pPr>
              <w:spacing w:before="120" w:line="240" w:lineRule="auto"/>
              <w:jc w:val="center"/>
              <w:rPr>
                <w:rFonts w:cs="Times New Roman"/>
                <w:szCs w:val="24"/>
              </w:rPr>
            </w:pPr>
            <w:r w:rsidRPr="0069113F">
              <w:rPr>
                <w:rFonts w:cs="Times New Roman"/>
                <w:szCs w:val="24"/>
              </w:rPr>
              <w:t>Refined sugar imports</w:t>
            </w:r>
          </w:p>
        </w:tc>
        <w:tc>
          <w:tcPr>
            <w:tcW w:w="1984" w:type="dxa"/>
            <w:vAlign w:val="center"/>
          </w:tcPr>
          <w:p w14:paraId="235DF559" w14:textId="77777777" w:rsidR="008F1E82" w:rsidRPr="0069113F" w:rsidRDefault="008F1E82" w:rsidP="00221863">
            <w:pPr>
              <w:spacing w:before="120" w:line="240" w:lineRule="auto"/>
              <w:jc w:val="center"/>
              <w:rPr>
                <w:rFonts w:cs="Times New Roman"/>
                <w:szCs w:val="24"/>
              </w:rPr>
            </w:pPr>
            <w:r w:rsidRPr="0069113F">
              <w:rPr>
                <w:rFonts w:cs="Times New Roman"/>
                <w:szCs w:val="24"/>
              </w:rPr>
              <w:t>Unrefined sugar imports</w:t>
            </w:r>
          </w:p>
        </w:tc>
        <w:tc>
          <w:tcPr>
            <w:tcW w:w="1984" w:type="dxa"/>
            <w:vAlign w:val="center"/>
          </w:tcPr>
          <w:p w14:paraId="669A2C99" w14:textId="77777777" w:rsidR="008F1E82" w:rsidRPr="0069113F" w:rsidRDefault="008F1E82" w:rsidP="00221863">
            <w:pPr>
              <w:spacing w:before="120" w:line="240" w:lineRule="auto"/>
              <w:jc w:val="center"/>
              <w:rPr>
                <w:rFonts w:cs="Times New Roman"/>
                <w:szCs w:val="24"/>
              </w:rPr>
            </w:pPr>
            <w:r w:rsidRPr="0069113F">
              <w:rPr>
                <w:rFonts w:cs="Times New Roman"/>
                <w:szCs w:val="24"/>
              </w:rPr>
              <w:t>Refined sugar imports</w:t>
            </w:r>
          </w:p>
        </w:tc>
      </w:tr>
      <w:tr w:rsidR="008F1E82" w:rsidRPr="0069113F" w14:paraId="42E7B34A" w14:textId="77777777" w:rsidTr="003175DC">
        <w:tc>
          <w:tcPr>
            <w:tcW w:w="1288" w:type="dxa"/>
            <w:vAlign w:val="center"/>
          </w:tcPr>
          <w:p w14:paraId="003F6918" w14:textId="29BE75BA" w:rsidR="008F1E82" w:rsidRPr="0069113F" w:rsidRDefault="00B26D2C" w:rsidP="00221863">
            <w:pPr>
              <w:spacing w:before="120" w:line="240" w:lineRule="auto"/>
              <w:rPr>
                <w:rFonts w:cs="Times New Roman"/>
                <w:szCs w:val="24"/>
              </w:rPr>
            </w:pPr>
            <w:r w:rsidRPr="0069113F">
              <w:rPr>
                <w:rFonts w:cs="Times New Roman"/>
                <w:szCs w:val="24"/>
              </w:rPr>
              <w:t>“Soft”</w:t>
            </w:r>
            <w:r w:rsidR="008F1E82" w:rsidRPr="0069113F">
              <w:rPr>
                <w:rFonts w:cs="Times New Roman"/>
                <w:szCs w:val="24"/>
              </w:rPr>
              <w:t xml:space="preserve"> Brexit</w:t>
            </w:r>
          </w:p>
        </w:tc>
        <w:tc>
          <w:tcPr>
            <w:tcW w:w="3968" w:type="dxa"/>
            <w:gridSpan w:val="3"/>
            <w:vAlign w:val="center"/>
          </w:tcPr>
          <w:p w14:paraId="1BAF7518" w14:textId="77777777" w:rsidR="008F1E82" w:rsidRPr="0069113F" w:rsidRDefault="008F1E82" w:rsidP="00221863">
            <w:pPr>
              <w:spacing w:before="120" w:line="240" w:lineRule="auto"/>
              <w:jc w:val="center"/>
              <w:rPr>
                <w:rFonts w:cs="Times New Roman"/>
                <w:szCs w:val="24"/>
              </w:rPr>
            </w:pPr>
            <w:r w:rsidRPr="0069113F">
              <w:rPr>
                <w:rFonts w:cs="Times New Roman"/>
                <w:szCs w:val="24"/>
              </w:rPr>
              <w:t>+5% of EU sugar price for facilitation costs increase</w:t>
            </w:r>
          </w:p>
        </w:tc>
        <w:tc>
          <w:tcPr>
            <w:tcW w:w="1984" w:type="dxa"/>
            <w:vAlign w:val="center"/>
          </w:tcPr>
          <w:p w14:paraId="352BD61D" w14:textId="7E10D346" w:rsidR="008F1E82" w:rsidRPr="0069113F" w:rsidRDefault="008F1E82" w:rsidP="00221863">
            <w:pPr>
              <w:spacing w:before="120" w:line="240" w:lineRule="auto"/>
              <w:jc w:val="center"/>
              <w:rPr>
                <w:rFonts w:cs="Times New Roman"/>
                <w:szCs w:val="24"/>
              </w:rPr>
            </w:pPr>
            <w:r w:rsidRPr="0069113F">
              <w:rPr>
                <w:rFonts w:cs="Times New Roman"/>
                <w:szCs w:val="24"/>
              </w:rPr>
              <w:t>Tariff of 33</w:t>
            </w:r>
            <w:r w:rsidR="004B2F8D">
              <w:rPr>
                <w:rFonts w:cs="Times New Roman"/>
                <w:szCs w:val="24"/>
              </w:rPr>
              <w:t>.</w:t>
            </w:r>
            <w:r w:rsidRPr="0069113F">
              <w:rPr>
                <w:rFonts w:cs="Times New Roman"/>
                <w:szCs w:val="24"/>
              </w:rPr>
              <w:t>9 €/100 Kg applied</w:t>
            </w:r>
          </w:p>
        </w:tc>
        <w:tc>
          <w:tcPr>
            <w:tcW w:w="1984" w:type="dxa"/>
            <w:vAlign w:val="center"/>
          </w:tcPr>
          <w:p w14:paraId="6DC1E7D4" w14:textId="4540751E" w:rsidR="008F1E82" w:rsidRPr="0069113F" w:rsidRDefault="008F1E82" w:rsidP="00221863">
            <w:pPr>
              <w:spacing w:before="120" w:line="240" w:lineRule="auto"/>
              <w:jc w:val="center"/>
              <w:rPr>
                <w:rFonts w:cs="Times New Roman"/>
                <w:szCs w:val="24"/>
              </w:rPr>
            </w:pPr>
            <w:r w:rsidRPr="0069113F">
              <w:rPr>
                <w:rFonts w:cs="Times New Roman"/>
                <w:szCs w:val="24"/>
              </w:rPr>
              <w:t>Tariff of 41</w:t>
            </w:r>
            <w:r w:rsidR="004B2F8D">
              <w:rPr>
                <w:rFonts w:cs="Times New Roman"/>
                <w:szCs w:val="24"/>
              </w:rPr>
              <w:t>.</w:t>
            </w:r>
            <w:r w:rsidRPr="0069113F">
              <w:rPr>
                <w:rFonts w:cs="Times New Roman"/>
                <w:szCs w:val="24"/>
              </w:rPr>
              <w:t>9 €/100 Kg applied</w:t>
            </w:r>
          </w:p>
        </w:tc>
      </w:tr>
      <w:tr w:rsidR="008F1E82" w:rsidRPr="0069113F" w14:paraId="09B3F004" w14:textId="77777777" w:rsidTr="003175DC">
        <w:trPr>
          <w:trHeight w:val="405"/>
        </w:trPr>
        <w:tc>
          <w:tcPr>
            <w:tcW w:w="1288" w:type="dxa"/>
            <w:vMerge w:val="restart"/>
            <w:vAlign w:val="center"/>
          </w:tcPr>
          <w:p w14:paraId="4DD600B6" w14:textId="56AA7745" w:rsidR="008F1E82" w:rsidRPr="0069113F" w:rsidRDefault="00B26D2C" w:rsidP="00221863">
            <w:pPr>
              <w:spacing w:before="120" w:line="240" w:lineRule="auto"/>
              <w:rPr>
                <w:rFonts w:cs="Times New Roman"/>
                <w:szCs w:val="24"/>
              </w:rPr>
            </w:pPr>
            <w:r w:rsidRPr="0069113F">
              <w:rPr>
                <w:rFonts w:cs="Times New Roman"/>
                <w:szCs w:val="24"/>
              </w:rPr>
              <w:t>“</w:t>
            </w:r>
            <w:r w:rsidR="008F1E82" w:rsidRPr="0069113F">
              <w:rPr>
                <w:rFonts w:cs="Times New Roman"/>
                <w:szCs w:val="24"/>
              </w:rPr>
              <w:t>Hard</w:t>
            </w:r>
            <w:r w:rsidRPr="0069113F">
              <w:rPr>
                <w:rFonts w:cs="Times New Roman"/>
                <w:szCs w:val="24"/>
              </w:rPr>
              <w:t>”</w:t>
            </w:r>
            <w:r w:rsidR="008F1E82" w:rsidRPr="0069113F">
              <w:rPr>
                <w:rFonts w:cs="Times New Roman"/>
                <w:szCs w:val="24"/>
              </w:rPr>
              <w:t xml:space="preserve"> Brexit</w:t>
            </w:r>
          </w:p>
        </w:tc>
        <w:tc>
          <w:tcPr>
            <w:tcW w:w="3968" w:type="dxa"/>
            <w:gridSpan w:val="3"/>
            <w:vAlign w:val="center"/>
          </w:tcPr>
          <w:p w14:paraId="25E6365D" w14:textId="77777777" w:rsidR="008F1E82" w:rsidRPr="0069113F" w:rsidRDefault="008F1E82" w:rsidP="00221863">
            <w:pPr>
              <w:spacing w:before="120" w:line="240" w:lineRule="auto"/>
              <w:jc w:val="center"/>
              <w:rPr>
                <w:rFonts w:cs="Times New Roman"/>
                <w:szCs w:val="24"/>
              </w:rPr>
            </w:pPr>
            <w:r w:rsidRPr="0069113F">
              <w:rPr>
                <w:rFonts w:cs="Times New Roman"/>
                <w:szCs w:val="24"/>
              </w:rPr>
              <w:t>+8% of EU sugar price for facilitation costs increase</w:t>
            </w:r>
          </w:p>
        </w:tc>
        <w:tc>
          <w:tcPr>
            <w:tcW w:w="1984" w:type="dxa"/>
            <w:vMerge w:val="restart"/>
            <w:vAlign w:val="center"/>
          </w:tcPr>
          <w:p w14:paraId="0BC04503" w14:textId="41E53777" w:rsidR="008F1E82" w:rsidRPr="0069113F" w:rsidRDefault="008F1E82" w:rsidP="00221863">
            <w:pPr>
              <w:spacing w:before="120" w:line="240" w:lineRule="auto"/>
              <w:jc w:val="center"/>
              <w:rPr>
                <w:rFonts w:cs="Times New Roman"/>
                <w:szCs w:val="24"/>
              </w:rPr>
            </w:pPr>
            <w:r w:rsidRPr="0069113F">
              <w:rPr>
                <w:rFonts w:cs="Times New Roman"/>
                <w:szCs w:val="24"/>
              </w:rPr>
              <w:t>Tariff of 33</w:t>
            </w:r>
            <w:r w:rsidR="004B2F8D">
              <w:rPr>
                <w:rFonts w:cs="Times New Roman"/>
                <w:szCs w:val="24"/>
              </w:rPr>
              <w:t>.</w:t>
            </w:r>
            <w:r w:rsidRPr="0069113F">
              <w:rPr>
                <w:rFonts w:cs="Times New Roman"/>
                <w:szCs w:val="24"/>
              </w:rPr>
              <w:t>9 €/100 Kg applied</w:t>
            </w:r>
          </w:p>
        </w:tc>
        <w:tc>
          <w:tcPr>
            <w:tcW w:w="1984" w:type="dxa"/>
            <w:vMerge w:val="restart"/>
            <w:vAlign w:val="center"/>
          </w:tcPr>
          <w:p w14:paraId="6A24328B" w14:textId="02DC250D" w:rsidR="008F1E82" w:rsidRPr="0069113F" w:rsidRDefault="008F1E82" w:rsidP="00221863">
            <w:pPr>
              <w:spacing w:before="120" w:line="240" w:lineRule="auto"/>
              <w:jc w:val="center"/>
              <w:rPr>
                <w:rFonts w:cs="Times New Roman"/>
                <w:szCs w:val="24"/>
              </w:rPr>
            </w:pPr>
            <w:r w:rsidRPr="0069113F">
              <w:rPr>
                <w:rFonts w:cs="Times New Roman"/>
                <w:szCs w:val="24"/>
              </w:rPr>
              <w:t>Tariff of 41</w:t>
            </w:r>
            <w:r w:rsidR="004B2F8D">
              <w:rPr>
                <w:rFonts w:cs="Times New Roman"/>
                <w:szCs w:val="24"/>
              </w:rPr>
              <w:t>.</w:t>
            </w:r>
            <w:r w:rsidRPr="0069113F">
              <w:rPr>
                <w:rFonts w:cs="Times New Roman"/>
                <w:szCs w:val="24"/>
              </w:rPr>
              <w:t>9 €/100 Kg applied</w:t>
            </w:r>
          </w:p>
        </w:tc>
      </w:tr>
      <w:tr w:rsidR="008F1E82" w:rsidRPr="0069113F" w14:paraId="18771953" w14:textId="77777777" w:rsidTr="003175DC">
        <w:trPr>
          <w:trHeight w:val="405"/>
        </w:trPr>
        <w:tc>
          <w:tcPr>
            <w:tcW w:w="1288" w:type="dxa"/>
            <w:vMerge/>
            <w:vAlign w:val="center"/>
          </w:tcPr>
          <w:p w14:paraId="570B840C" w14:textId="77777777" w:rsidR="008F1E82" w:rsidRPr="0069113F" w:rsidRDefault="008F1E82" w:rsidP="00221863">
            <w:pPr>
              <w:spacing w:before="120" w:line="240" w:lineRule="auto"/>
              <w:rPr>
                <w:rFonts w:cs="Times New Roman"/>
                <w:szCs w:val="24"/>
              </w:rPr>
            </w:pPr>
          </w:p>
        </w:tc>
        <w:tc>
          <w:tcPr>
            <w:tcW w:w="1984" w:type="dxa"/>
            <w:gridSpan w:val="2"/>
            <w:vAlign w:val="center"/>
          </w:tcPr>
          <w:p w14:paraId="6FD59BD8" w14:textId="7D546FC7" w:rsidR="008F1E82" w:rsidRPr="0069113F" w:rsidRDefault="008F1E82" w:rsidP="00221863">
            <w:pPr>
              <w:spacing w:before="120" w:line="240" w:lineRule="auto"/>
              <w:jc w:val="center"/>
              <w:rPr>
                <w:rFonts w:cs="Times New Roman"/>
                <w:szCs w:val="24"/>
              </w:rPr>
            </w:pPr>
            <w:r w:rsidRPr="0069113F">
              <w:rPr>
                <w:rFonts w:cs="Times New Roman"/>
                <w:szCs w:val="24"/>
              </w:rPr>
              <w:t>Tariff of 33</w:t>
            </w:r>
            <w:r w:rsidR="004B2F8D">
              <w:rPr>
                <w:rFonts w:cs="Times New Roman"/>
                <w:szCs w:val="24"/>
              </w:rPr>
              <w:t>.</w:t>
            </w:r>
            <w:r w:rsidRPr="0069113F">
              <w:rPr>
                <w:rFonts w:cs="Times New Roman"/>
                <w:szCs w:val="24"/>
              </w:rPr>
              <w:t>9 €/100 Kg applied</w:t>
            </w:r>
          </w:p>
        </w:tc>
        <w:tc>
          <w:tcPr>
            <w:tcW w:w="1984" w:type="dxa"/>
            <w:vAlign w:val="center"/>
          </w:tcPr>
          <w:p w14:paraId="70C8A55A" w14:textId="5FAE7232" w:rsidR="008F1E82" w:rsidRPr="0069113F" w:rsidRDefault="008F1E82" w:rsidP="00221863">
            <w:pPr>
              <w:spacing w:before="120" w:line="240" w:lineRule="auto"/>
              <w:jc w:val="center"/>
              <w:rPr>
                <w:rFonts w:cs="Times New Roman"/>
                <w:szCs w:val="24"/>
              </w:rPr>
            </w:pPr>
            <w:r w:rsidRPr="0069113F">
              <w:rPr>
                <w:rFonts w:cs="Times New Roman"/>
                <w:szCs w:val="24"/>
              </w:rPr>
              <w:t>Tariff of 41</w:t>
            </w:r>
            <w:r w:rsidR="004B2F8D">
              <w:rPr>
                <w:rFonts w:cs="Times New Roman"/>
                <w:szCs w:val="24"/>
              </w:rPr>
              <w:t>.</w:t>
            </w:r>
            <w:r w:rsidRPr="0069113F">
              <w:rPr>
                <w:rFonts w:cs="Times New Roman"/>
                <w:szCs w:val="24"/>
              </w:rPr>
              <w:t>9 €/100 Kg applied</w:t>
            </w:r>
          </w:p>
        </w:tc>
        <w:tc>
          <w:tcPr>
            <w:tcW w:w="1984" w:type="dxa"/>
            <w:vMerge/>
            <w:vAlign w:val="center"/>
          </w:tcPr>
          <w:p w14:paraId="5C7C5F83" w14:textId="77777777" w:rsidR="008F1E82" w:rsidRPr="0069113F" w:rsidRDefault="008F1E82" w:rsidP="00221863">
            <w:pPr>
              <w:spacing w:before="120" w:line="240" w:lineRule="auto"/>
              <w:rPr>
                <w:rFonts w:cs="Times New Roman"/>
                <w:szCs w:val="24"/>
              </w:rPr>
            </w:pPr>
          </w:p>
        </w:tc>
        <w:tc>
          <w:tcPr>
            <w:tcW w:w="1984" w:type="dxa"/>
            <w:vMerge/>
            <w:vAlign w:val="center"/>
          </w:tcPr>
          <w:p w14:paraId="2A68FB22" w14:textId="77777777" w:rsidR="008F1E82" w:rsidRPr="0069113F" w:rsidRDefault="008F1E82" w:rsidP="00221863">
            <w:pPr>
              <w:spacing w:before="120" w:line="240" w:lineRule="auto"/>
              <w:rPr>
                <w:rFonts w:cs="Times New Roman"/>
                <w:szCs w:val="24"/>
              </w:rPr>
            </w:pPr>
          </w:p>
        </w:tc>
      </w:tr>
    </w:tbl>
    <w:p w14:paraId="6B82F0BD" w14:textId="77777777" w:rsidR="00F02264" w:rsidRPr="0069113F" w:rsidRDefault="00F02264" w:rsidP="0069113F">
      <w:pPr>
        <w:rPr>
          <w:rFonts w:cs="Times New Roman"/>
          <w:b/>
          <w:szCs w:val="24"/>
        </w:rPr>
      </w:pPr>
    </w:p>
    <w:p w14:paraId="7BEFFA55" w14:textId="379F7EF6" w:rsidR="00F77B6C" w:rsidRPr="004D7FB3" w:rsidRDefault="00F77B6C" w:rsidP="0069113F">
      <w:pPr>
        <w:rPr>
          <w:rStyle w:val="NoSpacingChar"/>
        </w:rPr>
      </w:pPr>
      <w:r w:rsidRPr="00AF24BA">
        <w:rPr>
          <w:rFonts w:cs="Times New Roman"/>
          <w:szCs w:val="24"/>
        </w:rPr>
        <w:t xml:space="preserve">Appendix Table </w:t>
      </w:r>
      <w:r w:rsidR="000A648F">
        <w:rPr>
          <w:rFonts w:cs="Times New Roman"/>
          <w:szCs w:val="24"/>
        </w:rPr>
        <w:t>5</w:t>
      </w:r>
      <w:r w:rsidRPr="00AF24BA">
        <w:rPr>
          <w:rFonts w:cs="Times New Roman"/>
          <w:szCs w:val="24"/>
        </w:rPr>
        <w:t xml:space="preserve">. Parameters and corresponding statistical distribution for model inputs used in the </w:t>
      </w:r>
      <w:r w:rsidRPr="004D7FB3">
        <w:rPr>
          <w:rStyle w:val="NoSpacingChar"/>
        </w:rPr>
        <w:t>probabilistic sensitivity analysis</w:t>
      </w:r>
    </w:p>
    <w:tbl>
      <w:tblPr>
        <w:tblStyle w:val="TableGrid"/>
        <w:tblW w:w="8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1377"/>
        <w:gridCol w:w="3935"/>
        <w:gridCol w:w="1632"/>
      </w:tblGrid>
      <w:tr w:rsidR="00F77B6C" w:rsidRPr="00AF24BA" w14:paraId="481EDE4D" w14:textId="77777777" w:rsidTr="00AF24BA">
        <w:trPr>
          <w:trHeight w:val="170"/>
        </w:trPr>
        <w:tc>
          <w:tcPr>
            <w:tcW w:w="1984" w:type="dxa"/>
            <w:tcBorders>
              <w:top w:val="single" w:sz="4" w:space="0" w:color="auto"/>
              <w:bottom w:val="single" w:sz="4" w:space="0" w:color="auto"/>
            </w:tcBorders>
          </w:tcPr>
          <w:p w14:paraId="4063953A" w14:textId="77777777" w:rsidR="00F77B6C" w:rsidRPr="00AF24BA" w:rsidRDefault="00F77B6C" w:rsidP="004B2F8D">
            <w:pPr>
              <w:spacing w:line="240" w:lineRule="auto"/>
              <w:rPr>
                <w:rFonts w:cs="Times New Roman"/>
                <w:szCs w:val="24"/>
              </w:rPr>
            </w:pPr>
            <w:r w:rsidRPr="00AF24BA">
              <w:rPr>
                <w:rFonts w:cs="Times New Roman"/>
                <w:szCs w:val="24"/>
              </w:rPr>
              <w:t>Inputs</w:t>
            </w:r>
          </w:p>
        </w:tc>
        <w:tc>
          <w:tcPr>
            <w:tcW w:w="990" w:type="dxa"/>
            <w:tcBorders>
              <w:top w:val="single" w:sz="4" w:space="0" w:color="auto"/>
              <w:bottom w:val="single" w:sz="4" w:space="0" w:color="auto"/>
            </w:tcBorders>
          </w:tcPr>
          <w:p w14:paraId="47609FC5" w14:textId="77777777" w:rsidR="00F77B6C" w:rsidRPr="00AF24BA" w:rsidRDefault="00F77B6C" w:rsidP="004B2F8D">
            <w:pPr>
              <w:spacing w:line="240" w:lineRule="auto"/>
              <w:rPr>
                <w:rFonts w:cs="Times New Roman"/>
                <w:szCs w:val="24"/>
              </w:rPr>
            </w:pPr>
            <w:r w:rsidRPr="00AF24BA">
              <w:rPr>
                <w:rFonts w:cs="Times New Roman"/>
                <w:szCs w:val="24"/>
              </w:rPr>
              <w:t>Distribution</w:t>
            </w:r>
          </w:p>
        </w:tc>
        <w:tc>
          <w:tcPr>
            <w:tcW w:w="4252" w:type="dxa"/>
            <w:tcBorders>
              <w:top w:val="single" w:sz="4" w:space="0" w:color="auto"/>
              <w:bottom w:val="single" w:sz="4" w:space="0" w:color="auto"/>
            </w:tcBorders>
          </w:tcPr>
          <w:p w14:paraId="60DE3044" w14:textId="77777777" w:rsidR="00F77B6C" w:rsidRPr="00AF24BA" w:rsidRDefault="00F77B6C" w:rsidP="004B2F8D">
            <w:pPr>
              <w:spacing w:line="240" w:lineRule="auto"/>
              <w:rPr>
                <w:rFonts w:cs="Times New Roman"/>
                <w:szCs w:val="24"/>
              </w:rPr>
            </w:pPr>
            <w:r w:rsidRPr="00AF24BA">
              <w:rPr>
                <w:rFonts w:cs="Times New Roman"/>
                <w:szCs w:val="24"/>
              </w:rPr>
              <w:t>Parameters</w:t>
            </w:r>
          </w:p>
        </w:tc>
        <w:tc>
          <w:tcPr>
            <w:tcW w:w="1644" w:type="dxa"/>
            <w:tcBorders>
              <w:top w:val="single" w:sz="4" w:space="0" w:color="auto"/>
              <w:bottom w:val="single" w:sz="4" w:space="0" w:color="auto"/>
            </w:tcBorders>
          </w:tcPr>
          <w:p w14:paraId="46EE8987" w14:textId="77777777" w:rsidR="00F77B6C" w:rsidRPr="00AF24BA" w:rsidRDefault="00F77B6C" w:rsidP="004B2F8D">
            <w:pPr>
              <w:spacing w:line="240" w:lineRule="auto"/>
              <w:rPr>
                <w:rFonts w:cs="Times New Roman"/>
                <w:szCs w:val="24"/>
              </w:rPr>
            </w:pPr>
            <w:r w:rsidRPr="00AF24BA">
              <w:rPr>
                <w:rFonts w:cs="Times New Roman"/>
                <w:szCs w:val="24"/>
              </w:rPr>
              <w:t>Source</w:t>
            </w:r>
          </w:p>
        </w:tc>
      </w:tr>
      <w:tr w:rsidR="00F77B6C" w:rsidRPr="0069113F" w14:paraId="731B0EB5" w14:textId="77777777" w:rsidTr="00AF24BA">
        <w:trPr>
          <w:trHeight w:val="170"/>
        </w:trPr>
        <w:tc>
          <w:tcPr>
            <w:tcW w:w="1984" w:type="dxa"/>
            <w:tcBorders>
              <w:top w:val="single" w:sz="4" w:space="0" w:color="auto"/>
            </w:tcBorders>
          </w:tcPr>
          <w:p w14:paraId="63431D24" w14:textId="77777777" w:rsidR="00F77B6C" w:rsidRPr="0069113F" w:rsidRDefault="00F77B6C" w:rsidP="004B2F8D">
            <w:pPr>
              <w:spacing w:line="240" w:lineRule="auto"/>
              <w:rPr>
                <w:rFonts w:cs="Times New Roman"/>
                <w:szCs w:val="24"/>
              </w:rPr>
            </w:pPr>
            <w:r w:rsidRPr="0069113F">
              <w:rPr>
                <w:rFonts w:cs="Times New Roman"/>
                <w:szCs w:val="24"/>
              </w:rPr>
              <w:t>Sugar Imports as % of total UK supply</w:t>
            </w:r>
          </w:p>
        </w:tc>
        <w:tc>
          <w:tcPr>
            <w:tcW w:w="990" w:type="dxa"/>
            <w:tcBorders>
              <w:top w:val="single" w:sz="4" w:space="0" w:color="auto"/>
            </w:tcBorders>
          </w:tcPr>
          <w:p w14:paraId="20C1E0DF" w14:textId="77777777" w:rsidR="00F77B6C" w:rsidRPr="0069113F" w:rsidRDefault="00F77B6C" w:rsidP="004B2F8D">
            <w:pPr>
              <w:spacing w:line="240" w:lineRule="auto"/>
              <w:rPr>
                <w:rFonts w:cs="Times New Roman"/>
                <w:szCs w:val="24"/>
              </w:rPr>
            </w:pPr>
            <w:r w:rsidRPr="0069113F">
              <w:rPr>
                <w:rFonts w:cs="Times New Roman"/>
                <w:szCs w:val="24"/>
              </w:rPr>
              <w:t>Normal</w:t>
            </w:r>
          </w:p>
        </w:tc>
        <w:tc>
          <w:tcPr>
            <w:tcW w:w="4252" w:type="dxa"/>
            <w:tcBorders>
              <w:top w:val="single" w:sz="4" w:space="0" w:color="auto"/>
            </w:tcBorders>
          </w:tcPr>
          <w:p w14:paraId="48DC88FA" w14:textId="677CAB60" w:rsidR="00F77B6C" w:rsidRPr="0069113F" w:rsidRDefault="00F77B6C" w:rsidP="004B2F8D">
            <w:pPr>
              <w:spacing w:line="240" w:lineRule="auto"/>
              <w:rPr>
                <w:rFonts w:cs="Times New Roman"/>
                <w:szCs w:val="24"/>
              </w:rPr>
            </w:pPr>
            <w:r w:rsidRPr="0069113F">
              <w:rPr>
                <w:rFonts w:cs="Times New Roman"/>
                <w:szCs w:val="24"/>
              </w:rPr>
              <w:t xml:space="preserve">Mean and </w:t>
            </w:r>
            <w:r w:rsidR="004B2F8D">
              <w:rPr>
                <w:rFonts w:cs="Times New Roman"/>
                <w:szCs w:val="24"/>
              </w:rPr>
              <w:t>SE</w:t>
            </w:r>
            <w:r w:rsidRPr="0069113F">
              <w:rPr>
                <w:rFonts w:cs="Times New Roman"/>
                <w:szCs w:val="24"/>
              </w:rPr>
              <w:t xml:space="preserve"> estimated from import data between 2008 and 2016</w:t>
            </w:r>
          </w:p>
        </w:tc>
        <w:tc>
          <w:tcPr>
            <w:tcW w:w="1644" w:type="dxa"/>
            <w:tcBorders>
              <w:top w:val="single" w:sz="4" w:space="0" w:color="auto"/>
            </w:tcBorders>
          </w:tcPr>
          <w:p w14:paraId="4F7FC0FA" w14:textId="4241754D" w:rsidR="00F77B6C" w:rsidRPr="0069113F" w:rsidRDefault="00446135" w:rsidP="005C196A">
            <w:pPr>
              <w:spacing w:line="240" w:lineRule="auto"/>
              <w:rPr>
                <w:rFonts w:cs="Times New Roman"/>
                <w:szCs w:val="24"/>
              </w:rPr>
            </w:pPr>
            <w:r w:rsidRPr="0069113F">
              <w:rPr>
                <w:rFonts w:cs="Times New Roman"/>
                <w:szCs w:val="24"/>
              </w:rPr>
              <w:t>Department for Environment, Food &amp; Rural Affairs</w:t>
            </w:r>
            <w:r w:rsidR="00F77B6C" w:rsidRPr="0069113F">
              <w:rPr>
                <w:rFonts w:cs="Times New Roman"/>
                <w:szCs w:val="24"/>
                <w:vertAlign w:val="superscript"/>
              </w:rPr>
              <w:fldChar w:fldCharType="begin"/>
            </w:r>
            <w:r w:rsidR="005C196A">
              <w:rPr>
                <w:rFonts w:cs="Times New Roman"/>
                <w:szCs w:val="24"/>
                <w:vertAlign w:val="superscript"/>
              </w:rPr>
              <w:instrText xml:space="preserve"> ADDIN EN.CITE &lt;EndNote&gt;&lt;Cite&gt;&lt;Author&gt;Department for Environment Food &amp;amp; Rural Affairs (DEFRA)&lt;/Author&gt;&lt;Year&gt;2017&lt;/Year&gt;&lt;RecNum&gt;575&lt;/RecNum&gt;&lt;DisplayText&gt;&lt;style face="superscript"&gt;(3)&lt;/style&gt;&lt;/DisplayText&gt;&lt;record&gt;&lt;rec-number&gt;575&lt;/rec-number&gt;&lt;foreign-keys&gt;&lt;key app="EN" db-id="zdrfrts5sr9296ea90uxsfvhf9zwdwstft0f" timestamp="1496920349"&gt;575&lt;/key&gt;&lt;/foreign-keys&gt;&lt;ref-type name="Report"&gt;27&lt;/ref-type&gt;&lt;contributors&gt;&lt;authors&gt;&lt;author&gt;Department for Environment Food &amp;amp; Rural Affairs (DEFRA),.&lt;/author&gt;&lt;/authors&gt;&lt;/contributors&gt;&lt;titles&gt;&lt;title&gt;Agriculture in the United Kingdom 2016.&lt;/title&gt;&lt;/titles&gt;&lt;dates&gt;&lt;year&gt;2017&lt;/year&gt;&lt;/dates&gt;&lt;urls&gt;&lt;related-urls&gt;&lt;url&gt;https://www.gov.uk/government/statistics/agriculture-in-the-united-kingdom-2016&lt;/url&gt;&lt;/related-urls&gt;&lt;/urls&gt;&lt;/record&gt;&lt;/Cite&gt;&lt;/EndNote&gt;</w:instrText>
            </w:r>
            <w:r w:rsidR="00F77B6C" w:rsidRPr="0069113F">
              <w:rPr>
                <w:rFonts w:cs="Times New Roman"/>
                <w:szCs w:val="24"/>
                <w:vertAlign w:val="superscript"/>
              </w:rPr>
              <w:fldChar w:fldCharType="separate"/>
            </w:r>
            <w:r w:rsidR="005C196A">
              <w:rPr>
                <w:rFonts w:cs="Times New Roman"/>
                <w:noProof/>
                <w:szCs w:val="24"/>
                <w:vertAlign w:val="superscript"/>
              </w:rPr>
              <w:t>(3)</w:t>
            </w:r>
            <w:r w:rsidR="00F77B6C" w:rsidRPr="0069113F">
              <w:rPr>
                <w:rFonts w:cs="Times New Roman"/>
                <w:szCs w:val="24"/>
                <w:vertAlign w:val="superscript"/>
              </w:rPr>
              <w:fldChar w:fldCharType="end"/>
            </w:r>
          </w:p>
        </w:tc>
      </w:tr>
      <w:tr w:rsidR="00F77B6C" w:rsidRPr="0069113F" w14:paraId="3DFEC4F0" w14:textId="77777777" w:rsidTr="00AF24BA">
        <w:trPr>
          <w:trHeight w:val="170"/>
        </w:trPr>
        <w:tc>
          <w:tcPr>
            <w:tcW w:w="1984" w:type="dxa"/>
          </w:tcPr>
          <w:p w14:paraId="7010386D" w14:textId="77777777" w:rsidR="00F77B6C" w:rsidRPr="0069113F" w:rsidRDefault="00F77B6C" w:rsidP="004B2F8D">
            <w:pPr>
              <w:spacing w:line="240" w:lineRule="auto"/>
              <w:rPr>
                <w:rFonts w:cs="Times New Roman"/>
                <w:szCs w:val="24"/>
              </w:rPr>
            </w:pPr>
            <w:r w:rsidRPr="0069113F">
              <w:rPr>
                <w:rFonts w:cs="Times New Roman"/>
                <w:szCs w:val="24"/>
              </w:rPr>
              <w:t>Exchange Rate</w:t>
            </w:r>
          </w:p>
        </w:tc>
        <w:tc>
          <w:tcPr>
            <w:tcW w:w="990" w:type="dxa"/>
          </w:tcPr>
          <w:p w14:paraId="3951A569" w14:textId="77777777" w:rsidR="00F77B6C" w:rsidRPr="0069113F" w:rsidRDefault="00F77B6C" w:rsidP="004B2F8D">
            <w:pPr>
              <w:spacing w:line="240" w:lineRule="auto"/>
              <w:rPr>
                <w:rFonts w:cs="Times New Roman"/>
                <w:szCs w:val="24"/>
              </w:rPr>
            </w:pPr>
            <w:r w:rsidRPr="0069113F">
              <w:rPr>
                <w:rFonts w:cs="Times New Roman"/>
                <w:szCs w:val="24"/>
              </w:rPr>
              <w:t>Beta</w:t>
            </w:r>
          </w:p>
          <w:p w14:paraId="0C4371B5" w14:textId="77777777" w:rsidR="00F77B6C" w:rsidRPr="0069113F" w:rsidRDefault="00F77B6C" w:rsidP="004B2F8D">
            <w:pPr>
              <w:spacing w:line="240" w:lineRule="auto"/>
              <w:rPr>
                <w:rFonts w:cs="Times New Roman"/>
                <w:szCs w:val="24"/>
              </w:rPr>
            </w:pPr>
          </w:p>
        </w:tc>
        <w:tc>
          <w:tcPr>
            <w:tcW w:w="4252" w:type="dxa"/>
          </w:tcPr>
          <w:p w14:paraId="126DE7F3" w14:textId="77777777" w:rsidR="00F77B6C" w:rsidRPr="0069113F" w:rsidRDefault="00F77B6C" w:rsidP="004B2F8D">
            <w:pPr>
              <w:spacing w:line="240" w:lineRule="auto"/>
              <w:rPr>
                <w:rFonts w:cs="Times New Roman"/>
                <w:szCs w:val="24"/>
              </w:rPr>
            </w:pPr>
            <w:r w:rsidRPr="0069113F">
              <w:rPr>
                <w:rFonts w:cs="Times New Roman"/>
                <w:szCs w:val="24"/>
              </w:rPr>
              <w:t>α1, α2 calculated from mean and standard deviation of monthly exchange rates in 2016</w:t>
            </w:r>
          </w:p>
        </w:tc>
        <w:tc>
          <w:tcPr>
            <w:tcW w:w="1644" w:type="dxa"/>
          </w:tcPr>
          <w:p w14:paraId="1D681BCA" w14:textId="67C403A2" w:rsidR="00F77B6C" w:rsidRPr="0069113F" w:rsidRDefault="00F77B6C" w:rsidP="005C196A">
            <w:pPr>
              <w:spacing w:line="240" w:lineRule="auto"/>
              <w:rPr>
                <w:rFonts w:cs="Times New Roman"/>
                <w:szCs w:val="24"/>
              </w:rPr>
            </w:pPr>
            <w:r w:rsidRPr="0069113F">
              <w:rPr>
                <w:rFonts w:cs="Times New Roman"/>
                <w:szCs w:val="24"/>
              </w:rPr>
              <w:t>HM</w:t>
            </w:r>
            <w:r w:rsidR="00446135" w:rsidRPr="0069113F">
              <w:rPr>
                <w:rFonts w:cs="Times New Roman"/>
                <w:szCs w:val="24"/>
              </w:rPr>
              <w:t xml:space="preserve"> Revenue and Customs</w:t>
            </w:r>
            <w:r w:rsidRPr="0069113F">
              <w:rPr>
                <w:rFonts w:cs="Times New Roman"/>
                <w:szCs w:val="24"/>
                <w:vertAlign w:val="superscript"/>
              </w:rPr>
              <w:fldChar w:fldCharType="begin"/>
            </w:r>
            <w:r w:rsidR="005C196A">
              <w:rPr>
                <w:rFonts w:cs="Times New Roman"/>
                <w:szCs w:val="24"/>
                <w:vertAlign w:val="superscript"/>
              </w:rPr>
              <w:instrText xml:space="preserve"> ADDIN EN.CITE &lt;EndNote&gt;&lt;Cite&gt;&lt;Author&gt;HM Revenue &amp;amp; Customs.&lt;/Author&gt;&lt;RecNum&gt;406&lt;/RecNum&gt;&lt;DisplayText&gt;&lt;style face="superscript"&gt;(2)&lt;/style&gt;&lt;/DisplayText&gt;&lt;record&gt;&lt;rec-number&gt;406&lt;/rec-number&gt;&lt;foreign-keys&gt;&lt;key app="EN" db-id="zdrfrts5sr9296ea90uxsfvhf9zwdwstft0f" timestamp="1488470734"&gt;406&lt;/key&gt;&lt;/foreign-keys&gt;&lt;ref-type name="Web Page"&gt;12&lt;/ref-type&gt;&lt;contributors&gt;&lt;authors&gt;&lt;author&gt;HM Revenue &amp;amp; Customs.,&lt;/author&gt;&lt;/authors&gt;&lt;/contributors&gt;&lt;titles&gt;&lt;title&gt;UK Trade Statistics&lt;/title&gt;&lt;/titles&gt;&lt;number&gt;February 2017&lt;/number&gt;&lt;dates&gt;&lt;/dates&gt;&lt;urls&gt;&lt;related-urls&gt;&lt;url&gt;https://www.uktradeinfo.com/&lt;/url&gt;&lt;/related-urls&gt;&lt;/urls&gt;&lt;/record&gt;&lt;/Cite&gt;&lt;/EndNote&gt;</w:instrText>
            </w:r>
            <w:r w:rsidRPr="0069113F">
              <w:rPr>
                <w:rFonts w:cs="Times New Roman"/>
                <w:szCs w:val="24"/>
                <w:vertAlign w:val="superscript"/>
              </w:rPr>
              <w:fldChar w:fldCharType="separate"/>
            </w:r>
            <w:r w:rsidR="005C196A">
              <w:rPr>
                <w:rFonts w:cs="Times New Roman"/>
                <w:noProof/>
                <w:szCs w:val="24"/>
                <w:vertAlign w:val="superscript"/>
              </w:rPr>
              <w:t>(2)</w:t>
            </w:r>
            <w:r w:rsidRPr="0069113F">
              <w:rPr>
                <w:rFonts w:cs="Times New Roman"/>
                <w:szCs w:val="24"/>
                <w:vertAlign w:val="superscript"/>
              </w:rPr>
              <w:fldChar w:fldCharType="end"/>
            </w:r>
          </w:p>
        </w:tc>
      </w:tr>
      <w:tr w:rsidR="00F77B6C" w:rsidRPr="0069113F" w14:paraId="27D2A71D" w14:textId="77777777" w:rsidTr="00AF24BA">
        <w:trPr>
          <w:trHeight w:val="170"/>
        </w:trPr>
        <w:tc>
          <w:tcPr>
            <w:tcW w:w="1984" w:type="dxa"/>
          </w:tcPr>
          <w:p w14:paraId="71D5F9A2" w14:textId="77777777" w:rsidR="00F77B6C" w:rsidRPr="0069113F" w:rsidRDefault="00F77B6C" w:rsidP="004B2F8D">
            <w:pPr>
              <w:spacing w:line="240" w:lineRule="auto"/>
              <w:rPr>
                <w:rFonts w:cs="Times New Roman"/>
                <w:szCs w:val="24"/>
              </w:rPr>
            </w:pPr>
            <w:r w:rsidRPr="0069113F">
              <w:rPr>
                <w:rFonts w:cs="Times New Roman"/>
                <w:szCs w:val="24"/>
              </w:rPr>
              <w:t>SSB price</w:t>
            </w:r>
          </w:p>
        </w:tc>
        <w:tc>
          <w:tcPr>
            <w:tcW w:w="990" w:type="dxa"/>
          </w:tcPr>
          <w:p w14:paraId="38D6C2E0" w14:textId="77777777" w:rsidR="00F77B6C" w:rsidRPr="0069113F" w:rsidRDefault="00F77B6C" w:rsidP="004B2F8D">
            <w:pPr>
              <w:spacing w:line="240" w:lineRule="auto"/>
              <w:rPr>
                <w:rFonts w:cs="Times New Roman"/>
                <w:szCs w:val="24"/>
              </w:rPr>
            </w:pPr>
            <w:r w:rsidRPr="0069113F">
              <w:rPr>
                <w:rFonts w:cs="Times New Roman"/>
                <w:szCs w:val="24"/>
              </w:rPr>
              <w:t>Normal</w:t>
            </w:r>
          </w:p>
        </w:tc>
        <w:tc>
          <w:tcPr>
            <w:tcW w:w="4252" w:type="dxa"/>
          </w:tcPr>
          <w:p w14:paraId="21FECB24" w14:textId="77777777" w:rsidR="00F77B6C" w:rsidRPr="0069113F" w:rsidRDefault="00F77B6C" w:rsidP="004B2F8D">
            <w:pPr>
              <w:spacing w:line="240" w:lineRule="auto"/>
              <w:rPr>
                <w:rFonts w:cs="Times New Roman"/>
                <w:szCs w:val="24"/>
              </w:rPr>
            </w:pPr>
            <w:r w:rsidRPr="0069113F">
              <w:rPr>
                <w:rFonts w:cs="Times New Roman"/>
                <w:szCs w:val="24"/>
              </w:rPr>
              <w:t>Mean: SSB price in 2015</w:t>
            </w:r>
          </w:p>
          <w:p w14:paraId="46C3EDA8" w14:textId="77777777" w:rsidR="00F77B6C" w:rsidRPr="0069113F" w:rsidRDefault="00F77B6C" w:rsidP="004B2F8D">
            <w:pPr>
              <w:spacing w:line="240" w:lineRule="auto"/>
              <w:rPr>
                <w:rFonts w:cs="Times New Roman"/>
                <w:szCs w:val="24"/>
              </w:rPr>
            </w:pPr>
            <w:r w:rsidRPr="0069113F">
              <w:rPr>
                <w:rFonts w:cs="Times New Roman"/>
                <w:szCs w:val="24"/>
              </w:rPr>
              <w:t>SE: assumed at 10% of the mean (no published uncertainty estimates available)</w:t>
            </w:r>
          </w:p>
        </w:tc>
        <w:tc>
          <w:tcPr>
            <w:tcW w:w="1644" w:type="dxa"/>
          </w:tcPr>
          <w:p w14:paraId="65812E1B" w14:textId="2B562E61" w:rsidR="00F77B6C" w:rsidRPr="0069113F" w:rsidRDefault="00F77B6C" w:rsidP="007C57A8">
            <w:pPr>
              <w:spacing w:line="240" w:lineRule="auto"/>
              <w:rPr>
                <w:rFonts w:cs="Times New Roman"/>
                <w:szCs w:val="24"/>
              </w:rPr>
            </w:pPr>
            <w:r w:rsidRPr="0069113F">
              <w:rPr>
                <w:rFonts w:cs="Times New Roman"/>
                <w:szCs w:val="24"/>
              </w:rPr>
              <w:t>Family Food datasets, 2017</w:t>
            </w:r>
            <w:r w:rsidRPr="0069113F">
              <w:rPr>
                <w:rFonts w:cs="Times New Roman"/>
                <w:szCs w:val="24"/>
              </w:rPr>
              <w:fldChar w:fldCharType="begin"/>
            </w:r>
            <w:r w:rsidR="007C57A8">
              <w:rPr>
                <w:rFonts w:cs="Times New Roman"/>
                <w:szCs w:val="24"/>
              </w:rPr>
              <w:instrText xml:space="preserve"> ADDIN EN.CITE &lt;EndNote&gt;&lt;Cite&gt;&lt;Author&gt;Department for Environment Food &amp;amp; Rural Affairs (DEFRA)&lt;/Author&gt;&lt;Year&gt;2017&lt;/Year&gt;&lt;RecNum&gt;408&lt;/RecNum&gt;&lt;DisplayText&gt;&lt;style face="superscript"&gt;(15)&lt;/style&gt;&lt;/DisplayText&gt;&lt;record&gt;&lt;rec-number&gt;408&lt;/rec-number&gt;&lt;foreign-keys&gt;&lt;key app="EN" db-id="zdrfrts5sr9296ea90uxsfvhf9zwdwstft0f" timestamp="1488472757"&gt;408&lt;/key&gt;&lt;/foreign-keys&gt;&lt;ref-type name="Web Page"&gt;12&lt;/ref-type&gt;&lt;contributors&gt;&lt;authors&gt;&lt;author&gt;Department for Environment Food &amp;amp; Rural Affairs (DEFRA),.&lt;/author&gt;&lt;/authors&gt;&lt;/contributors&gt;&lt;titles&gt;&lt;title&gt;Family food datasets&lt;/title&gt;&lt;/titles&gt;&lt;dates&gt;&lt;year&gt;2017&lt;/year&gt;&lt;/dates&gt;&lt;urls&gt;&lt;related-urls&gt;&lt;url&gt;https://www.gov.uk/government/statistical-data-sets/family-food-datasets&lt;/url&gt;&lt;/related-urls&gt;&lt;/urls&gt;&lt;/record&gt;&lt;/Cite&gt;&lt;/EndNote&gt;</w:instrText>
            </w:r>
            <w:r w:rsidRPr="0069113F">
              <w:rPr>
                <w:rFonts w:cs="Times New Roman"/>
                <w:szCs w:val="24"/>
              </w:rPr>
              <w:fldChar w:fldCharType="separate"/>
            </w:r>
            <w:r w:rsidR="007C57A8" w:rsidRPr="007C57A8">
              <w:rPr>
                <w:rFonts w:cs="Times New Roman"/>
                <w:noProof/>
                <w:szCs w:val="24"/>
                <w:vertAlign w:val="superscript"/>
              </w:rPr>
              <w:t>(15)</w:t>
            </w:r>
            <w:r w:rsidRPr="0069113F">
              <w:rPr>
                <w:rFonts w:cs="Times New Roman"/>
                <w:szCs w:val="24"/>
              </w:rPr>
              <w:fldChar w:fldCharType="end"/>
            </w:r>
          </w:p>
        </w:tc>
      </w:tr>
      <w:tr w:rsidR="00F77B6C" w:rsidRPr="0069113F" w14:paraId="1B95F25F" w14:textId="77777777" w:rsidTr="00AF24BA">
        <w:trPr>
          <w:trHeight w:val="170"/>
        </w:trPr>
        <w:tc>
          <w:tcPr>
            <w:tcW w:w="1984" w:type="dxa"/>
          </w:tcPr>
          <w:p w14:paraId="5761CD30" w14:textId="77777777" w:rsidR="00F77B6C" w:rsidRPr="0069113F" w:rsidRDefault="00F77B6C" w:rsidP="004B2F8D">
            <w:pPr>
              <w:spacing w:line="240" w:lineRule="auto"/>
              <w:rPr>
                <w:rFonts w:cs="Times New Roman"/>
                <w:szCs w:val="24"/>
              </w:rPr>
            </w:pPr>
            <w:r w:rsidRPr="0069113F">
              <w:rPr>
                <w:rFonts w:cs="Times New Roman"/>
                <w:szCs w:val="24"/>
              </w:rPr>
              <w:t>Price effect on consumption</w:t>
            </w:r>
          </w:p>
        </w:tc>
        <w:tc>
          <w:tcPr>
            <w:tcW w:w="990" w:type="dxa"/>
          </w:tcPr>
          <w:p w14:paraId="5E09997B" w14:textId="77777777" w:rsidR="00F77B6C" w:rsidRPr="0069113F" w:rsidRDefault="00F77B6C" w:rsidP="004B2F8D">
            <w:pPr>
              <w:spacing w:line="240" w:lineRule="auto"/>
              <w:rPr>
                <w:rFonts w:cs="Times New Roman"/>
                <w:szCs w:val="24"/>
              </w:rPr>
            </w:pPr>
            <w:r w:rsidRPr="0069113F">
              <w:rPr>
                <w:rFonts w:cs="Times New Roman"/>
                <w:szCs w:val="24"/>
              </w:rPr>
              <w:t>Normal</w:t>
            </w:r>
          </w:p>
        </w:tc>
        <w:tc>
          <w:tcPr>
            <w:tcW w:w="4252" w:type="dxa"/>
          </w:tcPr>
          <w:p w14:paraId="3151E4DE" w14:textId="4EBD1818" w:rsidR="00F77B6C" w:rsidRPr="0069113F" w:rsidRDefault="00F77B6C" w:rsidP="004B2F8D">
            <w:pPr>
              <w:spacing w:line="240" w:lineRule="auto"/>
              <w:rPr>
                <w:rFonts w:cs="Times New Roman"/>
                <w:szCs w:val="24"/>
              </w:rPr>
            </w:pPr>
            <w:r w:rsidRPr="0069113F">
              <w:rPr>
                <w:rFonts w:cs="Times New Roman"/>
                <w:szCs w:val="24"/>
              </w:rPr>
              <w:t>Effect estimate and SE estimated from 95% CI</w:t>
            </w:r>
            <w:r w:rsidR="004D7FB3">
              <w:rPr>
                <w:rFonts w:cs="Times New Roman"/>
                <w:szCs w:val="24"/>
              </w:rPr>
              <w:t>, by SEC</w:t>
            </w:r>
          </w:p>
        </w:tc>
        <w:tc>
          <w:tcPr>
            <w:tcW w:w="1644" w:type="dxa"/>
          </w:tcPr>
          <w:p w14:paraId="2DC5E2AE" w14:textId="3F916050" w:rsidR="00F77B6C" w:rsidRPr="0069113F" w:rsidRDefault="00F77B6C" w:rsidP="007C57A8">
            <w:pPr>
              <w:spacing w:line="240" w:lineRule="auto"/>
              <w:rPr>
                <w:rFonts w:cs="Times New Roman"/>
                <w:szCs w:val="24"/>
              </w:rPr>
            </w:pPr>
            <w:r w:rsidRPr="0069113F">
              <w:rPr>
                <w:rFonts w:cs="Times New Roman"/>
                <w:szCs w:val="24"/>
              </w:rPr>
              <w:t>Afshin, 2017</w:t>
            </w:r>
            <w:r w:rsidRPr="0069113F">
              <w:rPr>
                <w:rFonts w:cs="Times New Roman"/>
                <w:szCs w:val="24"/>
                <w:vertAlign w:val="superscript"/>
              </w:rPr>
              <w:fldChar w:fldCharType="begin"/>
            </w:r>
            <w:r w:rsidR="007C57A8">
              <w:rPr>
                <w:rFonts w:cs="Times New Roman"/>
                <w:szCs w:val="24"/>
                <w:vertAlign w:val="superscript"/>
              </w:rPr>
              <w:instrText xml:space="preserve"> ADDIN EN.CITE &lt;EndNote&gt;&lt;Cite&gt;&lt;Author&gt;Afshin&lt;/Author&gt;&lt;Year&gt;2017&lt;/Year&gt;&lt;RecNum&gt;405&lt;/RecNum&gt;&lt;DisplayText&gt;&lt;style face="superscript"&gt;(16)&lt;/style&gt;&lt;/DisplayText&gt;&lt;record&gt;&lt;rec-number&gt;405&lt;/rec-number&gt;&lt;foreign-keys&gt;&lt;key app="EN" db-id="zdrfrts5sr9296ea90uxsfvhf9zwdwstft0f" timestamp="1488453469"&gt;405&lt;/key&gt;&lt;/foreign-keys&gt;&lt;ref-type name="Journal Article"&gt;17&lt;/ref-type&gt;&lt;contributors&gt;&lt;authors&gt;&lt;author&gt;Afshin, Ashkan&lt;/author&gt;&lt;author&gt;Peñalvo, José L.&lt;/author&gt;&lt;author&gt;Del Gobbo, Liana&lt;/author&gt;&lt;author&gt;Silva, Jose&lt;/author&gt;&lt;author&gt;Michaelson, Melody&lt;/author&gt;&lt;author&gt;O&amp;apos;Flaherty, Martin&lt;/author&gt;&lt;author&gt;Capewell, Simon&lt;/author&gt;&lt;author&gt;Spiegelman, Donna&lt;/author&gt;&lt;author&gt;Danaei, Goodarz&lt;/author&gt;&lt;author&gt;Mozaffarian, Dariush&lt;/author&gt;&lt;/authors&gt;&lt;/contributors&gt;&lt;titles&gt;&lt;title&gt;The prospective impact of food pricing on improving dietary consumption: A systematic review and meta-analysis&lt;/title&gt;&lt;secondary-title&gt;PLOS ONE&lt;/secondary-title&gt;&lt;/titles&gt;&lt;periodical&gt;&lt;full-title&gt;PLoS One&lt;/full-title&gt;&lt;abbr-1&gt;PloS one&lt;/abbr-1&gt;&lt;/periodical&gt;&lt;pages&gt;e0172277&lt;/pages&gt;&lt;volume&gt;12&lt;/volume&gt;&lt;number&gt;3&lt;/number&gt;&lt;dates&gt;&lt;year&gt;2017&lt;/year&gt;&lt;/dates&gt;&lt;publisher&gt;Public Library of Science&lt;/publisher&gt;&lt;urls&gt;&lt;related-urls&gt;&lt;url&gt;http://dx.doi.org/10.1371%2Fjournal.pone.0172277&lt;/url&gt;&lt;/related-urls&gt;&lt;/urls&gt;&lt;electronic-resource-num&gt;10.1371/journal.pone.0172277&lt;/electronic-resource-num&gt;&lt;/record&gt;&lt;/Cite&gt;&lt;/EndNote&gt;</w:instrText>
            </w:r>
            <w:r w:rsidRPr="0069113F">
              <w:rPr>
                <w:rFonts w:cs="Times New Roman"/>
                <w:szCs w:val="24"/>
                <w:vertAlign w:val="superscript"/>
              </w:rPr>
              <w:fldChar w:fldCharType="separate"/>
            </w:r>
            <w:r w:rsidR="007C57A8">
              <w:rPr>
                <w:rFonts w:cs="Times New Roman"/>
                <w:noProof/>
                <w:szCs w:val="24"/>
                <w:vertAlign w:val="superscript"/>
              </w:rPr>
              <w:t>(16)</w:t>
            </w:r>
            <w:r w:rsidRPr="0069113F">
              <w:rPr>
                <w:rFonts w:cs="Times New Roman"/>
                <w:szCs w:val="24"/>
                <w:vertAlign w:val="superscript"/>
              </w:rPr>
              <w:fldChar w:fldCharType="end"/>
            </w:r>
          </w:p>
        </w:tc>
      </w:tr>
      <w:tr w:rsidR="00F77B6C" w:rsidRPr="0069113F" w14:paraId="1698FDD5" w14:textId="77777777" w:rsidTr="00AF24BA">
        <w:trPr>
          <w:trHeight w:val="170"/>
        </w:trPr>
        <w:tc>
          <w:tcPr>
            <w:tcW w:w="1984" w:type="dxa"/>
          </w:tcPr>
          <w:p w14:paraId="627FF316" w14:textId="77777777" w:rsidR="00F77B6C" w:rsidRPr="0069113F" w:rsidRDefault="00F77B6C" w:rsidP="004B2F8D">
            <w:pPr>
              <w:spacing w:line="240" w:lineRule="auto"/>
              <w:rPr>
                <w:rFonts w:cs="Times New Roman"/>
                <w:szCs w:val="24"/>
              </w:rPr>
            </w:pPr>
            <w:r w:rsidRPr="0069113F">
              <w:rPr>
                <w:rFonts w:cs="Times New Roman"/>
                <w:szCs w:val="24"/>
              </w:rPr>
              <w:t>Mean SSB intake</w:t>
            </w:r>
          </w:p>
          <w:p w14:paraId="619D8542" w14:textId="77777777" w:rsidR="00F77B6C" w:rsidRPr="0069113F" w:rsidRDefault="00F77B6C" w:rsidP="004B2F8D">
            <w:pPr>
              <w:spacing w:line="240" w:lineRule="auto"/>
              <w:rPr>
                <w:rFonts w:cs="Times New Roman"/>
                <w:szCs w:val="24"/>
              </w:rPr>
            </w:pPr>
            <w:r w:rsidRPr="0069113F">
              <w:rPr>
                <w:rFonts w:cs="Times New Roman"/>
                <w:szCs w:val="24"/>
              </w:rPr>
              <w:t>(weighted)</w:t>
            </w:r>
          </w:p>
        </w:tc>
        <w:tc>
          <w:tcPr>
            <w:tcW w:w="990" w:type="dxa"/>
          </w:tcPr>
          <w:p w14:paraId="730E0EE3" w14:textId="49E96DF3" w:rsidR="00F77B6C" w:rsidRPr="004B2F8D" w:rsidRDefault="00F77B6C" w:rsidP="004B2F8D">
            <w:pPr>
              <w:spacing w:line="240" w:lineRule="auto"/>
              <w:rPr>
                <w:rFonts w:cs="Times New Roman"/>
                <w:szCs w:val="24"/>
              </w:rPr>
            </w:pPr>
            <w:r w:rsidRPr="0069113F">
              <w:rPr>
                <w:rFonts w:cs="Times New Roman"/>
                <w:szCs w:val="24"/>
              </w:rPr>
              <w:t>Normal</w:t>
            </w:r>
            <w:r w:rsidR="004B2F8D">
              <w:rPr>
                <w:rFonts w:cs="Times New Roman"/>
                <w:szCs w:val="24"/>
              </w:rPr>
              <w:t>*</w:t>
            </w:r>
          </w:p>
        </w:tc>
        <w:tc>
          <w:tcPr>
            <w:tcW w:w="4252" w:type="dxa"/>
          </w:tcPr>
          <w:p w14:paraId="7D5E1977" w14:textId="1E533E8A" w:rsidR="00F77B6C" w:rsidRPr="0069113F" w:rsidRDefault="00F77B6C" w:rsidP="004D7FB3">
            <w:pPr>
              <w:spacing w:line="240" w:lineRule="auto"/>
              <w:rPr>
                <w:rFonts w:cs="Times New Roman"/>
                <w:szCs w:val="24"/>
              </w:rPr>
            </w:pPr>
            <w:r w:rsidRPr="0069113F">
              <w:rPr>
                <w:rFonts w:cs="Times New Roman"/>
                <w:szCs w:val="24"/>
              </w:rPr>
              <w:t>Weighted means and SEs</w:t>
            </w:r>
            <w:r w:rsidR="004D7FB3">
              <w:rPr>
                <w:rFonts w:cs="Times New Roman"/>
                <w:szCs w:val="24"/>
              </w:rPr>
              <w:t>, by age, sex, and SEC</w:t>
            </w:r>
          </w:p>
        </w:tc>
        <w:tc>
          <w:tcPr>
            <w:tcW w:w="1644" w:type="dxa"/>
          </w:tcPr>
          <w:p w14:paraId="1E03E5F1" w14:textId="12704853" w:rsidR="00F77B6C" w:rsidRPr="0069113F" w:rsidRDefault="00446135" w:rsidP="007C57A8">
            <w:pPr>
              <w:spacing w:line="240" w:lineRule="auto"/>
              <w:rPr>
                <w:rFonts w:cs="Times New Roman"/>
                <w:szCs w:val="24"/>
              </w:rPr>
            </w:pPr>
            <w:r w:rsidRPr="0069113F">
              <w:rPr>
                <w:rFonts w:cs="Times New Roman"/>
                <w:noProof/>
                <w:szCs w:val="24"/>
              </w:rPr>
              <w:t>National Diet and Nutrition Survey Rolling Programme Years 1-4</w:t>
            </w:r>
            <w:r w:rsidR="00F77B6C" w:rsidRPr="0069113F">
              <w:rPr>
                <w:rFonts w:cs="Times New Roman"/>
                <w:szCs w:val="24"/>
                <w:vertAlign w:val="superscript"/>
              </w:rPr>
              <w:fldChar w:fldCharType="begin"/>
            </w:r>
            <w:r w:rsidR="007C57A8">
              <w:rPr>
                <w:rFonts w:cs="Times New Roman"/>
                <w:szCs w:val="24"/>
                <w:vertAlign w:val="superscript"/>
              </w:rPr>
              <w:instrText xml:space="preserve"> ADDIN EN.CITE &lt;EndNote&gt;&lt;Cite&gt;&lt;Author&gt;NatCen Social Research&lt;/Author&gt;&lt;Year&gt;2015 &lt;/Year&gt;&lt;RecNum&gt;351&lt;/RecNum&gt;&lt;DisplayText&gt;&lt;style face="superscript"&gt;(18)&lt;/style&gt;&lt;/DisplayText&gt;&lt;record&gt;&lt;rec-number&gt;351&lt;/rec-number&gt;&lt;foreign-keys&gt;&lt;key app="EN" db-id="zdrfrts5sr9296ea90uxsfvhf9zwdwstft0f" timestamp="1473088108"&gt;351&lt;/key&gt;&lt;/foreign-keys&gt;&lt;ref-type name="Dataset"&gt;59&lt;/ref-type&gt;&lt;contributors&gt;&lt;authors&gt;&lt;author&gt;NatCen Social Research,&lt;/author&gt;&lt;author&gt;MRC Human Nutrition Research,&lt;/author&gt;&lt;author&gt;University College London Medical School ,.&lt;/author&gt;&lt;/authors&gt;&lt;/contributors&gt;&lt;titles&gt;&lt;title&gt;National Diet and Nutrition Survey Years 1-4, 2008/09-2011/12&lt;/title&gt;&lt;/titles&gt;&lt;edition&gt; 7th Edition &lt;/edition&gt;&lt;dates&gt;&lt;year&gt;2015 &lt;/year&gt;&lt;/dates&gt;&lt;publisher&gt;UK Data Service&lt;/publisher&gt;&lt;accession-num&gt;SN 6533&lt;/accession-num&gt;&lt;urls&gt;&lt;related-urls&gt;&lt;url&gt;http://dx.doi.org/10.5255/UKDA-SN-6533-6&lt;/url&gt;&lt;/related-urls&gt;&lt;/urls&gt;&lt;electronic-resource-num&gt;10.5255/UKDA-SN-6533-6&lt;/electronic-resource-num&gt;&lt;/record&gt;&lt;/Cite&gt;&lt;/EndNote&gt;</w:instrText>
            </w:r>
            <w:r w:rsidR="00F77B6C" w:rsidRPr="0069113F">
              <w:rPr>
                <w:rFonts w:cs="Times New Roman"/>
                <w:szCs w:val="24"/>
                <w:vertAlign w:val="superscript"/>
              </w:rPr>
              <w:fldChar w:fldCharType="separate"/>
            </w:r>
            <w:r w:rsidR="007C57A8">
              <w:rPr>
                <w:rFonts w:cs="Times New Roman"/>
                <w:noProof/>
                <w:szCs w:val="24"/>
                <w:vertAlign w:val="superscript"/>
              </w:rPr>
              <w:t>(18)</w:t>
            </w:r>
            <w:r w:rsidR="00F77B6C" w:rsidRPr="0069113F">
              <w:rPr>
                <w:rFonts w:cs="Times New Roman"/>
                <w:szCs w:val="24"/>
                <w:vertAlign w:val="superscript"/>
              </w:rPr>
              <w:fldChar w:fldCharType="end"/>
            </w:r>
          </w:p>
        </w:tc>
      </w:tr>
      <w:tr w:rsidR="00F77B6C" w:rsidRPr="0069113F" w14:paraId="6782E247" w14:textId="77777777" w:rsidTr="00AF24BA">
        <w:trPr>
          <w:trHeight w:val="170"/>
        </w:trPr>
        <w:tc>
          <w:tcPr>
            <w:tcW w:w="1984" w:type="dxa"/>
          </w:tcPr>
          <w:p w14:paraId="064E9F76" w14:textId="77777777" w:rsidR="00F77B6C" w:rsidRPr="0069113F" w:rsidRDefault="00F77B6C" w:rsidP="004B2F8D">
            <w:pPr>
              <w:spacing w:line="240" w:lineRule="auto"/>
              <w:rPr>
                <w:rFonts w:cs="Times New Roman"/>
                <w:szCs w:val="24"/>
              </w:rPr>
            </w:pPr>
            <w:r w:rsidRPr="0069113F">
              <w:rPr>
                <w:rFonts w:cs="Times New Roman"/>
                <w:szCs w:val="24"/>
              </w:rPr>
              <w:t>BMI-adjusted RR for CHD per SSB serving</w:t>
            </w:r>
          </w:p>
        </w:tc>
        <w:tc>
          <w:tcPr>
            <w:tcW w:w="990" w:type="dxa"/>
          </w:tcPr>
          <w:p w14:paraId="1148257F" w14:textId="77777777" w:rsidR="00F77B6C" w:rsidRPr="0069113F" w:rsidRDefault="00F77B6C" w:rsidP="004B2F8D">
            <w:pPr>
              <w:spacing w:line="240" w:lineRule="auto"/>
              <w:rPr>
                <w:rFonts w:cs="Times New Roman"/>
                <w:szCs w:val="24"/>
              </w:rPr>
            </w:pPr>
            <w:r w:rsidRPr="0069113F">
              <w:rPr>
                <w:rFonts w:cs="Times New Roman"/>
                <w:szCs w:val="24"/>
              </w:rPr>
              <w:t>Lognormal</w:t>
            </w:r>
          </w:p>
          <w:p w14:paraId="17D33262" w14:textId="77777777" w:rsidR="00F77B6C" w:rsidRPr="0069113F" w:rsidRDefault="00F77B6C" w:rsidP="004B2F8D">
            <w:pPr>
              <w:spacing w:line="240" w:lineRule="auto"/>
              <w:rPr>
                <w:rFonts w:cs="Times New Roman"/>
                <w:szCs w:val="24"/>
              </w:rPr>
            </w:pPr>
          </w:p>
        </w:tc>
        <w:tc>
          <w:tcPr>
            <w:tcW w:w="4252" w:type="dxa"/>
          </w:tcPr>
          <w:p w14:paraId="1C40AAC0" w14:textId="7024169A" w:rsidR="00F77B6C" w:rsidRPr="0069113F" w:rsidRDefault="00F77B6C" w:rsidP="004D7FB3">
            <w:pPr>
              <w:spacing w:line="240" w:lineRule="auto"/>
              <w:rPr>
                <w:rFonts w:cs="Times New Roman"/>
                <w:szCs w:val="24"/>
              </w:rPr>
            </w:pPr>
            <w:r w:rsidRPr="0069113F">
              <w:rPr>
                <w:rFonts w:cs="Times New Roman"/>
                <w:szCs w:val="24"/>
              </w:rPr>
              <w:t>RR and SE(</w:t>
            </w:r>
            <w:proofErr w:type="spellStart"/>
            <w:r w:rsidRPr="0069113F">
              <w:rPr>
                <w:rFonts w:cs="Times New Roman"/>
                <w:szCs w:val="24"/>
              </w:rPr>
              <w:t>lnRR</w:t>
            </w:r>
            <w:proofErr w:type="spellEnd"/>
            <w:r w:rsidRPr="0069113F">
              <w:rPr>
                <w:rFonts w:cs="Times New Roman"/>
                <w:szCs w:val="24"/>
              </w:rPr>
              <w:t>) estimated from 95% CI</w:t>
            </w:r>
            <w:r w:rsidR="004D7FB3">
              <w:rPr>
                <w:rFonts w:cs="Times New Roman"/>
                <w:szCs w:val="24"/>
              </w:rPr>
              <w:t>, by age</w:t>
            </w:r>
          </w:p>
        </w:tc>
        <w:tc>
          <w:tcPr>
            <w:tcW w:w="1644" w:type="dxa"/>
          </w:tcPr>
          <w:p w14:paraId="77E356B9" w14:textId="75EB4BE4" w:rsidR="00F77B6C" w:rsidRPr="0069113F" w:rsidRDefault="00F77B6C" w:rsidP="007C57A8">
            <w:pPr>
              <w:spacing w:line="240" w:lineRule="auto"/>
              <w:rPr>
                <w:rFonts w:cs="Times New Roman"/>
                <w:szCs w:val="24"/>
              </w:rPr>
            </w:pPr>
            <w:proofErr w:type="spellStart"/>
            <w:r w:rsidRPr="0069113F">
              <w:rPr>
                <w:rFonts w:cs="Times New Roman"/>
                <w:szCs w:val="24"/>
              </w:rPr>
              <w:t>Micha</w:t>
            </w:r>
            <w:proofErr w:type="spellEnd"/>
            <w:r w:rsidRPr="0069113F">
              <w:rPr>
                <w:rFonts w:cs="Times New Roman"/>
                <w:szCs w:val="24"/>
              </w:rPr>
              <w:t>, 2017</w:t>
            </w:r>
            <w:r w:rsidRPr="0069113F">
              <w:rPr>
                <w:rFonts w:cs="Times New Roman"/>
                <w:szCs w:val="24"/>
              </w:rPr>
              <w:fldChar w:fldCharType="begin"/>
            </w:r>
            <w:r w:rsidR="007C57A8">
              <w:rPr>
                <w:rFonts w:cs="Times New Roman"/>
                <w:szCs w:val="24"/>
              </w:rPr>
              <w:instrText xml:space="preserve"> ADDIN EN.CITE &lt;EndNote&gt;&lt;Cite&gt;&lt;Author&gt;Micha&lt;/Author&gt;&lt;Year&gt;2017&lt;/Year&gt;&lt;RecNum&gt;411&lt;/RecNum&gt;&lt;DisplayText&gt;&lt;style face="superscript"&gt;(19)&lt;/style&gt;&lt;/DisplayText&gt;&lt;record&gt;&lt;rec-number&gt;411&lt;/rec-number&gt;&lt;foreign-keys&gt;&lt;key app="EN" db-id="zdrfrts5sr9296ea90uxsfvhf9zwdwstft0f" timestamp="1488990666"&gt;411&lt;/key&gt;&lt;/foreign-keys&gt;&lt;ref-type name="Journal Article"&gt;17&lt;/ref-type&gt;&lt;contributors&gt;&lt;authors&gt;&lt;author&gt;Micha, R.&lt;/author&gt;&lt;author&gt;Peñalvo, J. L.&lt;/author&gt;&lt;author&gt;Cudhea, F.&lt;/author&gt;&lt;author&gt;Imamura, F.&lt;/author&gt;&lt;author&gt;Rehm, C. D.&lt;/author&gt;&lt;author&gt;Mozaffarian, D.&lt;/author&gt;&lt;/authors&gt;&lt;/contributors&gt;&lt;titles&gt;&lt;title&gt;Association between dietary factors and mortality from heart disease, stroke, and type 2 diabetes in the united states&lt;/title&gt;&lt;secondary-title&gt;JAMA&lt;/secondary-title&gt;&lt;/titles&gt;&lt;periodical&gt;&lt;full-title&gt;JAMA&lt;/full-title&gt;&lt;/periodical&gt;&lt;pages&gt;912-924&lt;/pages&gt;&lt;volume&gt;317&lt;/volume&gt;&lt;number&gt;9&lt;/number&gt;&lt;dates&gt;&lt;year&gt;2017&lt;/year&gt;&lt;/dates&gt;&lt;isbn&gt;0098-7484&lt;/isbn&gt;&lt;urls&gt;&lt;related-urls&gt;&lt;url&gt;http://dx.doi.org/10.1001/jama.2017.0947&lt;/url&gt;&lt;/related-urls&gt;&lt;/urls&gt;&lt;electronic-resource-num&gt;10.1001/jama.2017.0947&lt;/electronic-resource-num&gt;&lt;/record&gt;&lt;/Cite&gt;&lt;/EndNote&gt;</w:instrText>
            </w:r>
            <w:r w:rsidRPr="0069113F">
              <w:rPr>
                <w:rFonts w:cs="Times New Roman"/>
                <w:szCs w:val="24"/>
              </w:rPr>
              <w:fldChar w:fldCharType="separate"/>
            </w:r>
            <w:r w:rsidR="007C57A8" w:rsidRPr="007C57A8">
              <w:rPr>
                <w:rFonts w:cs="Times New Roman"/>
                <w:noProof/>
                <w:szCs w:val="24"/>
                <w:vertAlign w:val="superscript"/>
              </w:rPr>
              <w:t>(19)</w:t>
            </w:r>
            <w:r w:rsidRPr="0069113F">
              <w:rPr>
                <w:rFonts w:cs="Times New Roman"/>
                <w:szCs w:val="24"/>
              </w:rPr>
              <w:fldChar w:fldCharType="end"/>
            </w:r>
          </w:p>
        </w:tc>
      </w:tr>
      <w:tr w:rsidR="00F77B6C" w:rsidRPr="0069113F" w14:paraId="77A820D5" w14:textId="77777777" w:rsidTr="00AF24BA">
        <w:trPr>
          <w:trHeight w:val="170"/>
        </w:trPr>
        <w:tc>
          <w:tcPr>
            <w:tcW w:w="1984" w:type="dxa"/>
          </w:tcPr>
          <w:p w14:paraId="232FAD5D" w14:textId="77777777" w:rsidR="00F77B6C" w:rsidRPr="0069113F" w:rsidRDefault="00F77B6C" w:rsidP="004B2F8D">
            <w:pPr>
              <w:spacing w:line="240" w:lineRule="auto"/>
              <w:rPr>
                <w:rFonts w:cs="Times New Roman"/>
                <w:szCs w:val="24"/>
              </w:rPr>
            </w:pPr>
            <w:r w:rsidRPr="0069113F">
              <w:rPr>
                <w:rFonts w:cs="Times New Roman"/>
                <w:szCs w:val="24"/>
              </w:rPr>
              <w:lastRenderedPageBreak/>
              <w:t>RR for CHD per 5 kg/m2 increase in BMI</w:t>
            </w:r>
          </w:p>
        </w:tc>
        <w:tc>
          <w:tcPr>
            <w:tcW w:w="990" w:type="dxa"/>
          </w:tcPr>
          <w:p w14:paraId="771A8E04" w14:textId="77777777" w:rsidR="00F77B6C" w:rsidRPr="0069113F" w:rsidRDefault="00F77B6C" w:rsidP="004B2F8D">
            <w:pPr>
              <w:spacing w:line="240" w:lineRule="auto"/>
              <w:rPr>
                <w:rFonts w:cs="Times New Roman"/>
                <w:szCs w:val="24"/>
              </w:rPr>
            </w:pPr>
            <w:r w:rsidRPr="0069113F">
              <w:rPr>
                <w:rFonts w:cs="Times New Roman"/>
                <w:szCs w:val="24"/>
              </w:rPr>
              <w:t>Lognormal</w:t>
            </w:r>
          </w:p>
        </w:tc>
        <w:tc>
          <w:tcPr>
            <w:tcW w:w="4252" w:type="dxa"/>
          </w:tcPr>
          <w:p w14:paraId="50C7295C" w14:textId="3383FB25" w:rsidR="00F77B6C" w:rsidRPr="0069113F" w:rsidRDefault="00F77B6C" w:rsidP="004B2F8D">
            <w:pPr>
              <w:spacing w:line="240" w:lineRule="auto"/>
              <w:rPr>
                <w:rFonts w:cs="Times New Roman"/>
                <w:szCs w:val="24"/>
              </w:rPr>
            </w:pPr>
            <w:r w:rsidRPr="0069113F">
              <w:rPr>
                <w:rFonts w:cs="Times New Roman"/>
                <w:szCs w:val="24"/>
              </w:rPr>
              <w:t>RR and SE(</w:t>
            </w:r>
            <w:proofErr w:type="spellStart"/>
            <w:r w:rsidRPr="0069113F">
              <w:rPr>
                <w:rFonts w:cs="Times New Roman"/>
                <w:szCs w:val="24"/>
              </w:rPr>
              <w:t>lnRR</w:t>
            </w:r>
            <w:proofErr w:type="spellEnd"/>
            <w:r w:rsidRPr="0069113F">
              <w:rPr>
                <w:rFonts w:cs="Times New Roman"/>
                <w:szCs w:val="24"/>
              </w:rPr>
              <w:t>) estimated from 95% CI</w:t>
            </w:r>
            <w:r w:rsidR="004D7FB3">
              <w:rPr>
                <w:rFonts w:cs="Times New Roman"/>
                <w:szCs w:val="24"/>
              </w:rPr>
              <w:t>, by age</w:t>
            </w:r>
          </w:p>
        </w:tc>
        <w:tc>
          <w:tcPr>
            <w:tcW w:w="1644" w:type="dxa"/>
          </w:tcPr>
          <w:p w14:paraId="038A9CA5" w14:textId="6720FA97" w:rsidR="00F77B6C" w:rsidRPr="0069113F" w:rsidRDefault="00F77B6C" w:rsidP="007C57A8">
            <w:pPr>
              <w:spacing w:line="240" w:lineRule="auto"/>
              <w:rPr>
                <w:rFonts w:cs="Times New Roman"/>
                <w:szCs w:val="24"/>
              </w:rPr>
            </w:pPr>
            <w:proofErr w:type="spellStart"/>
            <w:r w:rsidRPr="0069113F">
              <w:rPr>
                <w:rFonts w:cs="Times New Roman"/>
                <w:szCs w:val="24"/>
              </w:rPr>
              <w:t>Micha</w:t>
            </w:r>
            <w:proofErr w:type="spellEnd"/>
            <w:r w:rsidRPr="0069113F">
              <w:rPr>
                <w:rFonts w:cs="Times New Roman"/>
                <w:szCs w:val="24"/>
              </w:rPr>
              <w:t>, 2017</w:t>
            </w:r>
            <w:r w:rsidRPr="0069113F">
              <w:rPr>
                <w:rFonts w:cs="Times New Roman"/>
                <w:szCs w:val="24"/>
              </w:rPr>
              <w:fldChar w:fldCharType="begin"/>
            </w:r>
            <w:r w:rsidR="007C57A8">
              <w:rPr>
                <w:rFonts w:cs="Times New Roman"/>
                <w:szCs w:val="24"/>
              </w:rPr>
              <w:instrText xml:space="preserve"> ADDIN EN.CITE &lt;EndNote&gt;&lt;Cite&gt;&lt;Author&gt;Micha&lt;/Author&gt;&lt;Year&gt;2017&lt;/Year&gt;&lt;RecNum&gt;411&lt;/RecNum&gt;&lt;DisplayText&gt;&lt;style face="superscript"&gt;(19)&lt;/style&gt;&lt;/DisplayText&gt;&lt;record&gt;&lt;rec-number&gt;411&lt;/rec-number&gt;&lt;foreign-keys&gt;&lt;key app="EN" db-id="zdrfrts5sr9296ea90uxsfvhf9zwdwstft0f" timestamp="1488990666"&gt;411&lt;/key&gt;&lt;/foreign-keys&gt;&lt;ref-type name="Journal Article"&gt;17&lt;/ref-type&gt;&lt;contributors&gt;&lt;authors&gt;&lt;author&gt;Micha, R.&lt;/author&gt;&lt;author&gt;Peñalvo, J. L.&lt;/author&gt;&lt;author&gt;Cudhea, F.&lt;/author&gt;&lt;author&gt;Imamura, F.&lt;/author&gt;&lt;author&gt;Rehm, C. D.&lt;/author&gt;&lt;author&gt;Mozaffarian, D.&lt;/author&gt;&lt;/authors&gt;&lt;/contributors&gt;&lt;titles&gt;&lt;title&gt;Association between dietary factors and mortality from heart disease, stroke, and type 2 diabetes in the united states&lt;/title&gt;&lt;secondary-title&gt;JAMA&lt;/secondary-title&gt;&lt;/titles&gt;&lt;periodical&gt;&lt;full-title&gt;JAMA&lt;/full-title&gt;&lt;/periodical&gt;&lt;pages&gt;912-924&lt;/pages&gt;&lt;volume&gt;317&lt;/volume&gt;&lt;number&gt;9&lt;/number&gt;&lt;dates&gt;&lt;year&gt;2017&lt;/year&gt;&lt;/dates&gt;&lt;isbn&gt;0098-7484&lt;/isbn&gt;&lt;urls&gt;&lt;related-urls&gt;&lt;url&gt;http://dx.doi.org/10.1001/jama.2017.0947&lt;/url&gt;&lt;/related-urls&gt;&lt;/urls&gt;&lt;electronic-resource-num&gt;10.1001/jama.2017.0947&lt;/electronic-resource-num&gt;&lt;/record&gt;&lt;/Cite&gt;&lt;/EndNote&gt;</w:instrText>
            </w:r>
            <w:r w:rsidRPr="0069113F">
              <w:rPr>
                <w:rFonts w:cs="Times New Roman"/>
                <w:szCs w:val="24"/>
              </w:rPr>
              <w:fldChar w:fldCharType="separate"/>
            </w:r>
            <w:r w:rsidR="007C57A8" w:rsidRPr="007C57A8">
              <w:rPr>
                <w:rFonts w:cs="Times New Roman"/>
                <w:noProof/>
                <w:szCs w:val="24"/>
                <w:vertAlign w:val="superscript"/>
              </w:rPr>
              <w:t>(19)</w:t>
            </w:r>
            <w:r w:rsidRPr="0069113F">
              <w:rPr>
                <w:rFonts w:cs="Times New Roman"/>
                <w:szCs w:val="24"/>
              </w:rPr>
              <w:fldChar w:fldCharType="end"/>
            </w:r>
          </w:p>
        </w:tc>
      </w:tr>
      <w:tr w:rsidR="00F77B6C" w:rsidRPr="0069113F" w14:paraId="0B384102" w14:textId="77777777" w:rsidTr="00AF24BA">
        <w:trPr>
          <w:trHeight w:val="170"/>
        </w:trPr>
        <w:tc>
          <w:tcPr>
            <w:tcW w:w="1984" w:type="dxa"/>
          </w:tcPr>
          <w:p w14:paraId="080082BE" w14:textId="77777777" w:rsidR="00F77B6C" w:rsidRPr="0069113F" w:rsidRDefault="00F77B6C" w:rsidP="004B2F8D">
            <w:pPr>
              <w:spacing w:line="240" w:lineRule="auto"/>
              <w:rPr>
                <w:rFonts w:cs="Times New Roman"/>
                <w:szCs w:val="24"/>
              </w:rPr>
            </w:pPr>
            <w:r w:rsidRPr="0069113F">
              <w:rPr>
                <w:rFonts w:cs="Times New Roman"/>
                <w:szCs w:val="24"/>
              </w:rPr>
              <w:t>BMI change (kg/m2) per SSB serving/d</w:t>
            </w:r>
          </w:p>
        </w:tc>
        <w:tc>
          <w:tcPr>
            <w:tcW w:w="990" w:type="dxa"/>
          </w:tcPr>
          <w:p w14:paraId="16A47424" w14:textId="77777777" w:rsidR="00F77B6C" w:rsidRPr="0069113F" w:rsidRDefault="00F77B6C" w:rsidP="004B2F8D">
            <w:pPr>
              <w:spacing w:line="240" w:lineRule="auto"/>
              <w:rPr>
                <w:rFonts w:cs="Times New Roman"/>
                <w:szCs w:val="24"/>
              </w:rPr>
            </w:pPr>
            <w:r w:rsidRPr="0069113F">
              <w:rPr>
                <w:rFonts w:cs="Times New Roman"/>
                <w:szCs w:val="24"/>
              </w:rPr>
              <w:t>Lognormal</w:t>
            </w:r>
          </w:p>
        </w:tc>
        <w:tc>
          <w:tcPr>
            <w:tcW w:w="4252" w:type="dxa"/>
          </w:tcPr>
          <w:p w14:paraId="3E0836A3" w14:textId="6281804F" w:rsidR="00F77B6C" w:rsidRPr="0069113F" w:rsidRDefault="00F77B6C" w:rsidP="004D7FB3">
            <w:pPr>
              <w:spacing w:line="240" w:lineRule="auto"/>
              <w:rPr>
                <w:rFonts w:cs="Times New Roman"/>
                <w:szCs w:val="24"/>
              </w:rPr>
            </w:pPr>
            <w:r w:rsidRPr="0069113F">
              <w:rPr>
                <w:rFonts w:cs="Times New Roman"/>
                <w:szCs w:val="24"/>
              </w:rPr>
              <w:t>RR and SE(</w:t>
            </w:r>
            <w:proofErr w:type="spellStart"/>
            <w:r w:rsidRPr="0069113F">
              <w:rPr>
                <w:rFonts w:cs="Times New Roman"/>
                <w:szCs w:val="24"/>
              </w:rPr>
              <w:t>lnRR</w:t>
            </w:r>
            <w:proofErr w:type="spellEnd"/>
            <w:r w:rsidRPr="0069113F">
              <w:rPr>
                <w:rFonts w:cs="Times New Roman"/>
                <w:szCs w:val="24"/>
              </w:rPr>
              <w:t>) estimated from 95% CI</w:t>
            </w:r>
            <w:r w:rsidR="004D7FB3">
              <w:rPr>
                <w:rFonts w:cs="Times New Roman"/>
                <w:szCs w:val="24"/>
              </w:rPr>
              <w:t>, by BMI categories</w:t>
            </w:r>
          </w:p>
        </w:tc>
        <w:tc>
          <w:tcPr>
            <w:tcW w:w="1644" w:type="dxa"/>
          </w:tcPr>
          <w:p w14:paraId="5C24CF79" w14:textId="4829EADE" w:rsidR="00F77B6C" w:rsidRPr="0069113F" w:rsidRDefault="00F77B6C" w:rsidP="007C57A8">
            <w:pPr>
              <w:spacing w:line="240" w:lineRule="auto"/>
              <w:rPr>
                <w:rFonts w:cs="Times New Roman"/>
                <w:szCs w:val="24"/>
              </w:rPr>
            </w:pPr>
            <w:proofErr w:type="spellStart"/>
            <w:r w:rsidRPr="0069113F">
              <w:rPr>
                <w:rFonts w:cs="Times New Roman"/>
                <w:szCs w:val="24"/>
              </w:rPr>
              <w:t>Micha</w:t>
            </w:r>
            <w:proofErr w:type="spellEnd"/>
            <w:r w:rsidRPr="0069113F">
              <w:rPr>
                <w:rFonts w:cs="Times New Roman"/>
                <w:szCs w:val="24"/>
              </w:rPr>
              <w:t>, 2017</w:t>
            </w:r>
            <w:r w:rsidRPr="0069113F">
              <w:rPr>
                <w:rFonts w:cs="Times New Roman"/>
                <w:szCs w:val="24"/>
                <w:vertAlign w:val="superscript"/>
              </w:rPr>
              <w:fldChar w:fldCharType="begin"/>
            </w:r>
            <w:r w:rsidR="007C57A8">
              <w:rPr>
                <w:rFonts w:cs="Times New Roman"/>
                <w:szCs w:val="24"/>
                <w:vertAlign w:val="superscript"/>
              </w:rPr>
              <w:instrText xml:space="preserve"> ADDIN EN.CITE &lt;EndNote&gt;&lt;Cite&gt;&lt;Author&gt;Micha&lt;/Author&gt;&lt;Year&gt;2017&lt;/Year&gt;&lt;RecNum&gt;411&lt;/RecNum&gt;&lt;DisplayText&gt;&lt;style face="superscript"&gt;(19)&lt;/style&gt;&lt;/DisplayText&gt;&lt;record&gt;&lt;rec-number&gt;411&lt;/rec-number&gt;&lt;foreign-keys&gt;&lt;key app="EN" db-id="zdrfrts5sr9296ea90uxsfvhf9zwdwstft0f" timestamp="1488990666"&gt;411&lt;/key&gt;&lt;/foreign-keys&gt;&lt;ref-type name="Journal Article"&gt;17&lt;/ref-type&gt;&lt;contributors&gt;&lt;authors&gt;&lt;author&gt;Micha, R.&lt;/author&gt;&lt;author&gt;Peñalvo, J. L.&lt;/author&gt;&lt;author&gt;Cudhea, F.&lt;/author&gt;&lt;author&gt;Imamura, F.&lt;/author&gt;&lt;author&gt;Rehm, C. D.&lt;/author&gt;&lt;author&gt;Mozaffarian, D.&lt;/author&gt;&lt;/authors&gt;&lt;/contributors&gt;&lt;titles&gt;&lt;title&gt;Association between dietary factors and mortality from heart disease, stroke, and type 2 diabetes in the united states&lt;/title&gt;&lt;secondary-title&gt;JAMA&lt;/secondary-title&gt;&lt;/titles&gt;&lt;periodical&gt;&lt;full-title&gt;JAMA&lt;/full-title&gt;&lt;/periodical&gt;&lt;pages&gt;912-924&lt;/pages&gt;&lt;volume&gt;317&lt;/volume&gt;&lt;number&gt;9&lt;/number&gt;&lt;dates&gt;&lt;year&gt;2017&lt;/year&gt;&lt;/dates&gt;&lt;isbn&gt;0098-7484&lt;/isbn&gt;&lt;urls&gt;&lt;related-urls&gt;&lt;url&gt;http://dx.doi.org/10.1001/jama.2017.0947&lt;/url&gt;&lt;/related-urls&gt;&lt;/urls&gt;&lt;electronic-resource-num&gt;10.1001/jama.2017.0947&lt;/electronic-resource-num&gt;&lt;/record&gt;&lt;/Cite&gt;&lt;/EndNote&gt;</w:instrText>
            </w:r>
            <w:r w:rsidRPr="0069113F">
              <w:rPr>
                <w:rFonts w:cs="Times New Roman"/>
                <w:szCs w:val="24"/>
                <w:vertAlign w:val="superscript"/>
              </w:rPr>
              <w:fldChar w:fldCharType="separate"/>
            </w:r>
            <w:r w:rsidR="007C57A8">
              <w:rPr>
                <w:rFonts w:cs="Times New Roman"/>
                <w:noProof/>
                <w:szCs w:val="24"/>
                <w:vertAlign w:val="superscript"/>
              </w:rPr>
              <w:t>(19)</w:t>
            </w:r>
            <w:r w:rsidRPr="0069113F">
              <w:rPr>
                <w:rFonts w:cs="Times New Roman"/>
                <w:szCs w:val="24"/>
                <w:vertAlign w:val="superscript"/>
              </w:rPr>
              <w:fldChar w:fldCharType="end"/>
            </w:r>
          </w:p>
        </w:tc>
      </w:tr>
      <w:tr w:rsidR="00F77B6C" w:rsidRPr="0069113F" w14:paraId="56769A21" w14:textId="77777777" w:rsidTr="00AF24BA">
        <w:trPr>
          <w:trHeight w:val="170"/>
        </w:trPr>
        <w:tc>
          <w:tcPr>
            <w:tcW w:w="1984" w:type="dxa"/>
          </w:tcPr>
          <w:p w14:paraId="08229A5C" w14:textId="77777777" w:rsidR="00F77B6C" w:rsidRPr="0069113F" w:rsidRDefault="00F77B6C" w:rsidP="004B2F8D">
            <w:pPr>
              <w:spacing w:line="240" w:lineRule="auto"/>
              <w:rPr>
                <w:rFonts w:cs="Times New Roman"/>
                <w:szCs w:val="24"/>
              </w:rPr>
            </w:pPr>
            <w:r w:rsidRPr="0069113F">
              <w:rPr>
                <w:rFonts w:cs="Times New Roman"/>
                <w:szCs w:val="24"/>
              </w:rPr>
              <w:t>Overweight prevalence (weighted)</w:t>
            </w:r>
          </w:p>
        </w:tc>
        <w:tc>
          <w:tcPr>
            <w:tcW w:w="990" w:type="dxa"/>
          </w:tcPr>
          <w:p w14:paraId="32886A7A" w14:textId="77777777" w:rsidR="00F77B6C" w:rsidRPr="0069113F" w:rsidRDefault="00F77B6C" w:rsidP="004B2F8D">
            <w:pPr>
              <w:spacing w:line="240" w:lineRule="auto"/>
              <w:rPr>
                <w:rFonts w:cs="Times New Roman"/>
                <w:szCs w:val="24"/>
              </w:rPr>
            </w:pPr>
            <w:r w:rsidRPr="0069113F">
              <w:rPr>
                <w:rFonts w:cs="Times New Roman"/>
                <w:szCs w:val="24"/>
              </w:rPr>
              <w:t>Binomial</w:t>
            </w:r>
          </w:p>
        </w:tc>
        <w:tc>
          <w:tcPr>
            <w:tcW w:w="4252" w:type="dxa"/>
          </w:tcPr>
          <w:p w14:paraId="3669A6DC" w14:textId="1D245375" w:rsidR="00F77B6C" w:rsidRPr="0069113F" w:rsidRDefault="00F77B6C" w:rsidP="004B2F8D">
            <w:pPr>
              <w:spacing w:line="240" w:lineRule="auto"/>
              <w:rPr>
                <w:rFonts w:cs="Times New Roman"/>
                <w:szCs w:val="24"/>
              </w:rPr>
            </w:pPr>
            <w:r w:rsidRPr="0069113F">
              <w:rPr>
                <w:rFonts w:cs="Times New Roman"/>
                <w:szCs w:val="24"/>
              </w:rPr>
              <w:t>Prevalence and N</w:t>
            </w:r>
            <w:r w:rsidR="004D7FB3">
              <w:rPr>
                <w:rFonts w:cs="Times New Roman"/>
                <w:szCs w:val="24"/>
              </w:rPr>
              <w:t>, by age and sex</w:t>
            </w:r>
          </w:p>
        </w:tc>
        <w:tc>
          <w:tcPr>
            <w:tcW w:w="1644" w:type="dxa"/>
          </w:tcPr>
          <w:p w14:paraId="0E3305EA" w14:textId="0028CD97" w:rsidR="00F77B6C" w:rsidRPr="0069113F" w:rsidRDefault="00446135" w:rsidP="005C196A">
            <w:pPr>
              <w:spacing w:line="240" w:lineRule="auto"/>
              <w:rPr>
                <w:rFonts w:cs="Times New Roman"/>
                <w:szCs w:val="24"/>
              </w:rPr>
            </w:pPr>
            <w:r w:rsidRPr="0069113F">
              <w:rPr>
                <w:rFonts w:cs="Times New Roman"/>
                <w:szCs w:val="24"/>
              </w:rPr>
              <w:t>Health Survey for England</w:t>
            </w:r>
            <w:r w:rsidR="00F77B6C" w:rsidRPr="0069113F">
              <w:rPr>
                <w:rFonts w:cs="Times New Roman"/>
                <w:szCs w:val="24"/>
              </w:rPr>
              <w:t>, 2014</w:t>
            </w:r>
            <w:r w:rsidR="00F77B6C" w:rsidRPr="0069113F">
              <w:rPr>
                <w:rFonts w:cs="Times New Roman"/>
                <w:szCs w:val="24"/>
                <w:vertAlign w:val="superscript"/>
              </w:rPr>
              <w:fldChar w:fldCharType="begin"/>
            </w:r>
            <w:r w:rsidR="005C196A">
              <w:rPr>
                <w:rFonts w:cs="Times New Roman"/>
                <w:szCs w:val="24"/>
                <w:vertAlign w:val="superscript"/>
              </w:rPr>
              <w:instrText xml:space="preserve"> ADDIN EN.CITE &lt;EndNote&gt;&lt;Cite&gt;&lt;Author&gt;NatCen Social Research&lt;/Author&gt;&lt;Year&gt;2016 &lt;/Year&gt;&lt;RecNum&gt;580&lt;/RecNum&gt;&lt;DisplayText&gt;&lt;style face="superscript"&gt;(1)&lt;/style&gt;&lt;/DisplayText&gt;&lt;record&gt;&lt;rec-number&gt;580&lt;/rec-number&gt;&lt;foreign-keys&gt;&lt;key app="EN" db-id="zdrfrts5sr9296ea90uxsfvhf9zwdwstft0f" timestamp="1497447893"&gt;580&lt;/key&gt;&lt;/foreign-keys&gt;&lt;ref-type name="Dataset"&gt;59&lt;/ref-type&gt;&lt;contributors&gt;&lt;authors&gt;&lt;author&gt;NatCen Social Research, .&lt;/author&gt;&lt;author&gt;University College London, . &lt;/author&gt;&lt;author&gt;Department of Epidemiology and Public Health, .&lt;/author&gt;&lt;/authors&gt;&lt;/contributors&gt;&lt;titles&gt;&lt;title&gt;Health Survey for England, 2014&lt;/title&gt;&lt;/titles&gt;&lt;edition&gt; 2nd Edition &lt;/edition&gt;&lt;dates&gt;&lt;year&gt;2016 &lt;/year&gt;&lt;/dates&gt;&lt;publisher&gt;UK Data Service&lt;/publisher&gt;&lt;accession-num&gt;SN 7919&lt;/accession-num&gt;&lt;urls&gt;&lt;related-urls&gt;&lt;url&gt;http://doi.org/10.5255/UKDA-SN-7919-2&lt;/url&gt;&lt;/related-urls&gt;&lt;/urls&gt;&lt;electronic-resource-num&gt;10.5255/UKDA-SN-7919-2&lt;/electronic-resource-num&gt;&lt;/record&gt;&lt;/Cite&gt;&lt;/EndNote&gt;</w:instrText>
            </w:r>
            <w:r w:rsidR="00F77B6C" w:rsidRPr="0069113F">
              <w:rPr>
                <w:rFonts w:cs="Times New Roman"/>
                <w:szCs w:val="24"/>
                <w:vertAlign w:val="superscript"/>
              </w:rPr>
              <w:fldChar w:fldCharType="separate"/>
            </w:r>
            <w:r w:rsidR="005C196A">
              <w:rPr>
                <w:rFonts w:cs="Times New Roman"/>
                <w:noProof/>
                <w:szCs w:val="24"/>
                <w:vertAlign w:val="superscript"/>
              </w:rPr>
              <w:t>(1)</w:t>
            </w:r>
            <w:r w:rsidR="00F77B6C" w:rsidRPr="0069113F">
              <w:rPr>
                <w:rFonts w:cs="Times New Roman"/>
                <w:szCs w:val="24"/>
                <w:vertAlign w:val="superscript"/>
              </w:rPr>
              <w:fldChar w:fldCharType="end"/>
            </w:r>
          </w:p>
        </w:tc>
      </w:tr>
      <w:tr w:rsidR="00F77B6C" w:rsidRPr="0069113F" w14:paraId="4676A01B" w14:textId="77777777" w:rsidTr="00AF24BA">
        <w:trPr>
          <w:trHeight w:val="170"/>
        </w:trPr>
        <w:tc>
          <w:tcPr>
            <w:tcW w:w="1984" w:type="dxa"/>
          </w:tcPr>
          <w:p w14:paraId="1F03BFB4" w14:textId="7E7D82BD" w:rsidR="00F77B6C" w:rsidRPr="004B2F8D" w:rsidRDefault="00F77B6C" w:rsidP="00FF3EB9">
            <w:pPr>
              <w:spacing w:line="240" w:lineRule="auto"/>
              <w:rPr>
                <w:rFonts w:cs="Times New Roman"/>
                <w:szCs w:val="24"/>
              </w:rPr>
            </w:pPr>
            <w:r w:rsidRPr="0069113F">
              <w:rPr>
                <w:rFonts w:cs="Times New Roman"/>
                <w:szCs w:val="24"/>
              </w:rPr>
              <w:t>CHD deaths 202</w:t>
            </w:r>
            <w:r w:rsidR="00FF3EB9">
              <w:rPr>
                <w:rFonts w:cs="Times New Roman"/>
                <w:szCs w:val="24"/>
              </w:rPr>
              <w:t>1</w:t>
            </w:r>
            <w:r w:rsidRPr="0069113F">
              <w:rPr>
                <w:rFonts w:cs="Times New Roman"/>
                <w:szCs w:val="24"/>
              </w:rPr>
              <w:t xml:space="preserve">, projected using a </w:t>
            </w:r>
            <w:r w:rsidR="004B2F8D">
              <w:rPr>
                <w:rFonts w:cs="Times New Roman"/>
                <w:szCs w:val="24"/>
              </w:rPr>
              <w:t>BAPC</w:t>
            </w:r>
            <w:r w:rsidRPr="0069113F">
              <w:rPr>
                <w:rFonts w:cs="Times New Roman"/>
                <w:szCs w:val="24"/>
              </w:rPr>
              <w:t xml:space="preserve"> model</w:t>
            </w:r>
            <w:r w:rsidR="004B2F8D">
              <w:rPr>
                <w:rFonts w:cs="Times New Roman"/>
                <w:szCs w:val="24"/>
              </w:rPr>
              <w:t>†</w:t>
            </w:r>
          </w:p>
        </w:tc>
        <w:tc>
          <w:tcPr>
            <w:tcW w:w="990" w:type="dxa"/>
          </w:tcPr>
          <w:p w14:paraId="6DDE1C74" w14:textId="77777777" w:rsidR="00F77B6C" w:rsidRPr="0069113F" w:rsidRDefault="00F77B6C" w:rsidP="004B2F8D">
            <w:pPr>
              <w:spacing w:line="240" w:lineRule="auto"/>
              <w:rPr>
                <w:rFonts w:cs="Times New Roman"/>
                <w:szCs w:val="24"/>
              </w:rPr>
            </w:pPr>
            <w:r w:rsidRPr="0069113F">
              <w:rPr>
                <w:rFonts w:cs="Times New Roman"/>
                <w:szCs w:val="24"/>
              </w:rPr>
              <w:t>Pert</w:t>
            </w:r>
          </w:p>
        </w:tc>
        <w:tc>
          <w:tcPr>
            <w:tcW w:w="4252" w:type="dxa"/>
          </w:tcPr>
          <w:p w14:paraId="7CF67397" w14:textId="77777777" w:rsidR="00F77B6C" w:rsidRPr="0069113F" w:rsidRDefault="00F77B6C" w:rsidP="004B2F8D">
            <w:pPr>
              <w:spacing w:line="240" w:lineRule="auto"/>
              <w:rPr>
                <w:rFonts w:cs="Times New Roman"/>
                <w:szCs w:val="24"/>
              </w:rPr>
            </w:pPr>
            <w:r w:rsidRPr="0069113F">
              <w:rPr>
                <w:rFonts w:cs="Times New Roman"/>
                <w:szCs w:val="24"/>
              </w:rPr>
              <w:t>m: death projections, best estimate</w:t>
            </w:r>
          </w:p>
          <w:p w14:paraId="15BD65F6" w14:textId="77777777" w:rsidR="00F77B6C" w:rsidRPr="0069113F" w:rsidRDefault="00F77B6C" w:rsidP="004B2F8D">
            <w:pPr>
              <w:spacing w:line="240" w:lineRule="auto"/>
              <w:rPr>
                <w:rFonts w:cs="Times New Roman"/>
                <w:szCs w:val="24"/>
              </w:rPr>
            </w:pPr>
            <w:r w:rsidRPr="0069113F">
              <w:rPr>
                <w:rFonts w:cs="Times New Roman"/>
                <w:szCs w:val="24"/>
              </w:rPr>
              <w:t>a: death projections, lower 95% confidence limit</w:t>
            </w:r>
          </w:p>
          <w:p w14:paraId="15A2738B" w14:textId="77777777" w:rsidR="00F77B6C" w:rsidRDefault="00F77B6C" w:rsidP="004B2F8D">
            <w:pPr>
              <w:spacing w:line="240" w:lineRule="auto"/>
              <w:rPr>
                <w:rFonts w:cs="Times New Roman"/>
                <w:szCs w:val="24"/>
              </w:rPr>
            </w:pPr>
            <w:r w:rsidRPr="0069113F">
              <w:rPr>
                <w:rFonts w:cs="Times New Roman"/>
                <w:szCs w:val="24"/>
              </w:rPr>
              <w:t>b: death projections, upper 95% confidence limit</w:t>
            </w:r>
          </w:p>
          <w:p w14:paraId="1DFD5CD2" w14:textId="14374C47" w:rsidR="004D7FB3" w:rsidRPr="0069113F" w:rsidRDefault="004D7FB3" w:rsidP="004B2F8D">
            <w:pPr>
              <w:spacing w:line="240" w:lineRule="auto"/>
              <w:rPr>
                <w:rFonts w:cs="Times New Roman"/>
                <w:szCs w:val="24"/>
              </w:rPr>
            </w:pPr>
            <w:r>
              <w:rPr>
                <w:rFonts w:cs="Times New Roman"/>
                <w:szCs w:val="24"/>
              </w:rPr>
              <w:t>by age, sex, and SEC</w:t>
            </w:r>
          </w:p>
        </w:tc>
        <w:tc>
          <w:tcPr>
            <w:tcW w:w="1644" w:type="dxa"/>
          </w:tcPr>
          <w:p w14:paraId="1BDE9E96" w14:textId="4246EBBB" w:rsidR="00F77B6C" w:rsidRPr="0069113F" w:rsidRDefault="00F77B6C" w:rsidP="007C57A8">
            <w:pPr>
              <w:spacing w:line="240" w:lineRule="auto"/>
              <w:rPr>
                <w:rFonts w:cs="Times New Roman"/>
                <w:szCs w:val="24"/>
              </w:rPr>
            </w:pPr>
            <w:r w:rsidRPr="0069113F">
              <w:rPr>
                <w:rFonts w:cs="Times New Roman"/>
                <w:szCs w:val="24"/>
              </w:rPr>
              <w:t>Guzman Castillo, 2014</w:t>
            </w:r>
            <w:r w:rsidRPr="0069113F">
              <w:rPr>
                <w:rFonts w:cs="Times New Roman"/>
                <w:szCs w:val="24"/>
              </w:rPr>
              <w:fldChar w:fldCharType="begin"/>
            </w:r>
            <w:r w:rsidR="007C57A8">
              <w:rPr>
                <w:rFonts w:cs="Times New Roman"/>
                <w:szCs w:val="24"/>
              </w:rPr>
              <w:instrText xml:space="preserve"> ADDIN EN.CITE &lt;EndNote&gt;&lt;Cite&gt;&lt;Author&gt;Guzman Castillo&lt;/Author&gt;&lt;Year&gt;2014&lt;/Year&gt;&lt;RecNum&gt;358&lt;/RecNum&gt;&lt;DisplayText&gt;&lt;style face="superscript"&gt;(12)&lt;/style&gt;&lt;/DisplayText&gt;&lt;record&gt;&lt;rec-number&gt;358&lt;/rec-number&gt;&lt;foreign-keys&gt;&lt;key app="EN" db-id="zdrfrts5sr9296ea90uxsfvhf9zwdwstft0f" timestamp="1474465865"&gt;358&lt;/key&gt;&lt;/foreign-keys&gt;&lt;ref-type name="Journal Article"&gt;17&lt;/ref-type&gt;&lt;contributors&gt;&lt;authors&gt;&lt;author&gt;Guzman Castillo, Maria&lt;/author&gt;&lt;author&gt;Gillespie, Duncan O. S.&lt;/author&gt;&lt;author&gt;Allen, Kirk&lt;/author&gt;&lt;author&gt;Bandosz, Piotr&lt;/author&gt;&lt;author&gt;Schmid, Volker&lt;/author&gt;&lt;author&gt;Capewell, Simon&lt;/author&gt;&lt;author&gt;O’Flaherty, Martin&lt;/author&gt;&lt;/authors&gt;&lt;/contributors&gt;&lt;titles&gt;&lt;title&gt;Future Declines of Coronary Heart Disease Mortality in England and Wales Could Counter the Burden of Population Ageing&lt;/title&gt;&lt;secondary-title&gt;PLoS ONE&lt;/secondary-title&gt;&lt;/titles&gt;&lt;periodical&gt;&lt;full-title&gt;PLoS One&lt;/full-title&gt;&lt;abbr-1&gt;PloS one&lt;/abbr-1&gt;&lt;/periodical&gt;&lt;pages&gt;e99482&lt;/pages&gt;&lt;volume&gt;9&lt;/volume&gt;&lt;number&gt;6&lt;/number&gt;&lt;dates&gt;&lt;year&gt;2014&lt;/year&gt;&lt;/dates&gt;&lt;publisher&gt;Public Library of Science&lt;/publisher&gt;&lt;urls&gt;&lt;related-urls&gt;&lt;url&gt;http://dx.doi.org/10.1371%2Fjournal.pone.0099482&lt;/url&gt;&lt;/related-urls&gt;&lt;/urls&gt;&lt;electronic-resource-num&gt;10.1371/journal.pone.0099482&lt;/electronic-resource-num&gt;&lt;/record&gt;&lt;/Cite&gt;&lt;/EndNote&gt;</w:instrText>
            </w:r>
            <w:r w:rsidRPr="0069113F">
              <w:rPr>
                <w:rFonts w:cs="Times New Roman"/>
                <w:szCs w:val="24"/>
              </w:rPr>
              <w:fldChar w:fldCharType="separate"/>
            </w:r>
            <w:r w:rsidR="007C57A8" w:rsidRPr="007C57A8">
              <w:rPr>
                <w:rFonts w:cs="Times New Roman"/>
                <w:noProof/>
                <w:szCs w:val="24"/>
                <w:vertAlign w:val="superscript"/>
              </w:rPr>
              <w:t>(12)</w:t>
            </w:r>
            <w:r w:rsidRPr="0069113F">
              <w:rPr>
                <w:rFonts w:cs="Times New Roman"/>
                <w:szCs w:val="24"/>
              </w:rPr>
              <w:fldChar w:fldCharType="end"/>
            </w:r>
          </w:p>
        </w:tc>
      </w:tr>
      <w:tr w:rsidR="00F77B6C" w:rsidRPr="0069113F" w14:paraId="6D3F464A" w14:textId="77777777" w:rsidTr="00AF24BA">
        <w:trPr>
          <w:trHeight w:val="170"/>
        </w:trPr>
        <w:tc>
          <w:tcPr>
            <w:tcW w:w="1984" w:type="dxa"/>
            <w:tcBorders>
              <w:bottom w:val="single" w:sz="4" w:space="0" w:color="auto"/>
            </w:tcBorders>
          </w:tcPr>
          <w:p w14:paraId="4FE90DD0" w14:textId="77777777" w:rsidR="00F77B6C" w:rsidRPr="0069113F" w:rsidRDefault="00F77B6C" w:rsidP="004B2F8D">
            <w:pPr>
              <w:spacing w:line="240" w:lineRule="auto"/>
              <w:rPr>
                <w:rFonts w:cs="Times New Roman"/>
                <w:szCs w:val="24"/>
              </w:rPr>
            </w:pPr>
            <w:r w:rsidRPr="0069113F">
              <w:rPr>
                <w:rFonts w:cs="Times New Roman"/>
                <w:szCs w:val="24"/>
              </w:rPr>
              <w:t>Median Survival</w:t>
            </w:r>
          </w:p>
        </w:tc>
        <w:tc>
          <w:tcPr>
            <w:tcW w:w="990" w:type="dxa"/>
            <w:tcBorders>
              <w:bottom w:val="single" w:sz="4" w:space="0" w:color="auto"/>
            </w:tcBorders>
          </w:tcPr>
          <w:p w14:paraId="3AC3D4E1" w14:textId="77777777" w:rsidR="00F77B6C" w:rsidRPr="0069113F" w:rsidRDefault="00F77B6C" w:rsidP="004B2F8D">
            <w:pPr>
              <w:spacing w:line="240" w:lineRule="auto"/>
              <w:rPr>
                <w:rFonts w:cs="Times New Roman"/>
                <w:szCs w:val="24"/>
              </w:rPr>
            </w:pPr>
            <w:r w:rsidRPr="0069113F">
              <w:rPr>
                <w:rFonts w:cs="Times New Roman"/>
                <w:szCs w:val="24"/>
              </w:rPr>
              <w:t>Pert</w:t>
            </w:r>
          </w:p>
        </w:tc>
        <w:tc>
          <w:tcPr>
            <w:tcW w:w="4252" w:type="dxa"/>
            <w:tcBorders>
              <w:bottom w:val="single" w:sz="4" w:space="0" w:color="auto"/>
            </w:tcBorders>
          </w:tcPr>
          <w:p w14:paraId="05CAA04C" w14:textId="77777777" w:rsidR="00F77B6C" w:rsidRPr="0069113F" w:rsidRDefault="00F77B6C" w:rsidP="004B2F8D">
            <w:pPr>
              <w:spacing w:line="240" w:lineRule="auto"/>
              <w:rPr>
                <w:rFonts w:cs="Times New Roman"/>
                <w:szCs w:val="24"/>
              </w:rPr>
            </w:pPr>
            <w:r w:rsidRPr="0069113F">
              <w:rPr>
                <w:rFonts w:cs="Times New Roman"/>
                <w:szCs w:val="24"/>
              </w:rPr>
              <w:t xml:space="preserve">m: median survival estimate </w:t>
            </w:r>
          </w:p>
          <w:p w14:paraId="49742DF2" w14:textId="77777777" w:rsidR="00F77B6C" w:rsidRPr="0069113F" w:rsidRDefault="00F77B6C" w:rsidP="004B2F8D">
            <w:pPr>
              <w:spacing w:line="240" w:lineRule="auto"/>
              <w:rPr>
                <w:rFonts w:cs="Times New Roman"/>
                <w:szCs w:val="24"/>
              </w:rPr>
            </w:pPr>
            <w:r w:rsidRPr="0069113F">
              <w:rPr>
                <w:rFonts w:cs="Times New Roman"/>
                <w:szCs w:val="24"/>
              </w:rPr>
              <w:t>a: median survival estimate -20%</w:t>
            </w:r>
          </w:p>
          <w:p w14:paraId="3D74072A" w14:textId="77777777" w:rsidR="00F77B6C" w:rsidRDefault="00F77B6C" w:rsidP="004B2F8D">
            <w:pPr>
              <w:spacing w:line="240" w:lineRule="auto"/>
              <w:rPr>
                <w:rFonts w:cs="Times New Roman"/>
                <w:szCs w:val="24"/>
              </w:rPr>
            </w:pPr>
            <w:r w:rsidRPr="0069113F">
              <w:rPr>
                <w:rFonts w:cs="Times New Roman"/>
                <w:szCs w:val="24"/>
              </w:rPr>
              <w:t>b: median survival estimate +20%</w:t>
            </w:r>
          </w:p>
          <w:p w14:paraId="09136872" w14:textId="7462889E" w:rsidR="004D7FB3" w:rsidRPr="0069113F" w:rsidRDefault="004D7FB3" w:rsidP="004D7FB3">
            <w:pPr>
              <w:spacing w:line="240" w:lineRule="auto"/>
              <w:rPr>
                <w:rFonts w:cs="Times New Roman"/>
                <w:szCs w:val="24"/>
              </w:rPr>
            </w:pPr>
            <w:r>
              <w:rPr>
                <w:rFonts w:cs="Times New Roman"/>
                <w:szCs w:val="24"/>
              </w:rPr>
              <w:t>by CHD population subgroup, age, sex, and SEC</w:t>
            </w:r>
          </w:p>
        </w:tc>
        <w:tc>
          <w:tcPr>
            <w:tcW w:w="1644" w:type="dxa"/>
            <w:tcBorders>
              <w:bottom w:val="single" w:sz="4" w:space="0" w:color="auto"/>
            </w:tcBorders>
          </w:tcPr>
          <w:p w14:paraId="489A947C" w14:textId="09577B86" w:rsidR="00F77B6C" w:rsidRPr="0069113F" w:rsidRDefault="00F77B6C" w:rsidP="007C57A8">
            <w:pPr>
              <w:spacing w:line="240" w:lineRule="auto"/>
              <w:rPr>
                <w:rFonts w:cs="Times New Roman"/>
                <w:szCs w:val="24"/>
              </w:rPr>
            </w:pPr>
            <w:r w:rsidRPr="0069113F">
              <w:rPr>
                <w:rFonts w:cs="Times New Roman"/>
                <w:szCs w:val="24"/>
              </w:rPr>
              <w:t>Allen, 2015</w:t>
            </w:r>
            <w:r w:rsidRPr="0069113F">
              <w:rPr>
                <w:rFonts w:cs="Times New Roman"/>
                <w:szCs w:val="24"/>
                <w:vertAlign w:val="superscript"/>
              </w:rPr>
              <w:fldChar w:fldCharType="begin">
                <w:fldData xml:space="preserve">PEVuZE5vdGU+PENpdGU+PEF1dGhvcj5BbGxlbjwvQXV0aG9yPjxZZWFyPjIwMTU8L1llYXI+PFJl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</w:fldData>
              </w:fldChar>
            </w:r>
            <w:r w:rsidR="007C57A8">
              <w:rPr>
                <w:rFonts w:cs="Times New Roman"/>
                <w:szCs w:val="24"/>
                <w:vertAlign w:val="superscript"/>
              </w:rPr>
              <w:instrText xml:space="preserve"> ADDIN EN.CITE </w:instrText>
            </w:r>
            <w:r w:rsidR="007C57A8">
              <w:rPr>
                <w:rFonts w:cs="Times New Roman"/>
                <w:szCs w:val="24"/>
                <w:vertAlign w:val="superscript"/>
              </w:rPr>
              <w:fldChar w:fldCharType="begin">
                <w:fldData xml:space="preserve">PEVuZE5vdGU+PENpdGU+PEF1dGhvcj5BbGxlbjwvQXV0aG9yPjxZZWFyPjIwMTU8L1llYXI+PFJl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</w:fldData>
              </w:fldChar>
            </w:r>
            <w:r w:rsidR="007C57A8">
              <w:rPr>
                <w:rFonts w:cs="Times New Roman"/>
                <w:szCs w:val="24"/>
                <w:vertAlign w:val="superscript"/>
              </w:rPr>
              <w:instrText xml:space="preserve"> ADDIN EN.CITE.DATA </w:instrText>
            </w:r>
            <w:r w:rsidR="007C57A8">
              <w:rPr>
                <w:rFonts w:cs="Times New Roman"/>
                <w:szCs w:val="24"/>
                <w:vertAlign w:val="superscript"/>
              </w:rPr>
            </w:r>
            <w:r w:rsidR="007C57A8">
              <w:rPr>
                <w:rFonts w:cs="Times New Roman"/>
                <w:szCs w:val="24"/>
                <w:vertAlign w:val="superscript"/>
              </w:rPr>
              <w:fldChar w:fldCharType="end"/>
            </w:r>
            <w:r w:rsidRPr="0069113F">
              <w:rPr>
                <w:rFonts w:cs="Times New Roman"/>
                <w:szCs w:val="24"/>
                <w:vertAlign w:val="superscript"/>
              </w:rPr>
            </w:r>
            <w:r w:rsidRPr="0069113F">
              <w:rPr>
                <w:rFonts w:cs="Times New Roman"/>
                <w:szCs w:val="24"/>
                <w:vertAlign w:val="superscript"/>
              </w:rPr>
              <w:fldChar w:fldCharType="separate"/>
            </w:r>
            <w:r w:rsidR="007C57A8">
              <w:rPr>
                <w:rFonts w:cs="Times New Roman"/>
                <w:noProof/>
                <w:szCs w:val="24"/>
                <w:vertAlign w:val="superscript"/>
              </w:rPr>
              <w:t>(20)</w:t>
            </w:r>
            <w:r w:rsidRPr="0069113F">
              <w:rPr>
                <w:rFonts w:cs="Times New Roman"/>
                <w:szCs w:val="24"/>
                <w:vertAlign w:val="superscript"/>
              </w:rPr>
              <w:fldChar w:fldCharType="end"/>
            </w:r>
          </w:p>
        </w:tc>
      </w:tr>
    </w:tbl>
    <w:p w14:paraId="78BF5CDC" w14:textId="7A930521" w:rsidR="004B2F8D" w:rsidRDefault="004B2F8D" w:rsidP="004B2F8D">
      <w:pPr>
        <w:spacing w:after="0"/>
        <w:rPr>
          <w:rFonts w:cs="Times New Roman"/>
          <w:szCs w:val="24"/>
        </w:rPr>
      </w:pPr>
      <w:r>
        <w:rPr>
          <w:rFonts w:cs="Times New Roman"/>
          <w:szCs w:val="24"/>
        </w:rPr>
        <w:t xml:space="preserve">SE, Standard Error; SSB, Sugar-sweetened beverage; CHD, Coronary Heart Disease; </w:t>
      </w:r>
      <w:r w:rsidR="004D7FB3">
        <w:rPr>
          <w:rFonts w:cs="Times New Roman"/>
          <w:szCs w:val="24"/>
        </w:rPr>
        <w:t xml:space="preserve">SEC, Socioeconomic Circumstance; </w:t>
      </w:r>
      <w:r>
        <w:rPr>
          <w:rFonts w:cs="Times New Roman"/>
          <w:szCs w:val="24"/>
        </w:rPr>
        <w:t xml:space="preserve">RR, Relative Risk; BAPC, </w:t>
      </w:r>
      <w:r w:rsidRPr="0069113F">
        <w:rPr>
          <w:rFonts w:cs="Times New Roman"/>
          <w:szCs w:val="24"/>
        </w:rPr>
        <w:t>Bayesian Age Period Cohort</w:t>
      </w:r>
    </w:p>
    <w:p w14:paraId="2F787EA5" w14:textId="080D6260" w:rsidR="00F77B6C" w:rsidRPr="0069113F" w:rsidRDefault="004B2F8D" w:rsidP="004B2F8D">
      <w:pPr>
        <w:spacing w:after="0"/>
        <w:rPr>
          <w:rFonts w:cs="Times New Roman"/>
          <w:szCs w:val="24"/>
        </w:rPr>
      </w:pPr>
      <w:r>
        <w:rPr>
          <w:rFonts w:cs="Times New Roman"/>
          <w:szCs w:val="24"/>
        </w:rPr>
        <w:t>*</w:t>
      </w:r>
      <w:r w:rsidR="00F77B6C" w:rsidRPr="0069113F">
        <w:rPr>
          <w:rFonts w:cs="Times New Roman"/>
          <w:szCs w:val="24"/>
        </w:rPr>
        <w:t>According to the Central Limit Theorem, the means follow a normal distribution regardless of the distribution of the individual data. To calculate SEs of the weighted means, we centred strata with one sample unit at the grand mean instead of the stratum mean.</w:t>
      </w:r>
    </w:p>
    <w:p w14:paraId="3C9F39DD" w14:textId="7472DFF6" w:rsidR="00F77B6C" w:rsidRPr="0069113F" w:rsidRDefault="004B2F8D" w:rsidP="004B2F8D">
      <w:pPr>
        <w:spacing w:after="0"/>
        <w:rPr>
          <w:rFonts w:cs="Times New Roman"/>
          <w:szCs w:val="24"/>
        </w:rPr>
      </w:pPr>
      <w:r>
        <w:rPr>
          <w:rFonts w:cs="Times New Roman"/>
          <w:szCs w:val="24"/>
        </w:rPr>
        <w:t>†</w:t>
      </w:r>
      <w:r w:rsidR="00F77B6C" w:rsidRPr="0069113F">
        <w:rPr>
          <w:rFonts w:cs="Times New Roman"/>
          <w:szCs w:val="24"/>
        </w:rPr>
        <w:t>When CHD deaths were stratified by IMD, there were two age/sex/IMD groups (females 25-34 in IMD=1 and IMD=2) that had zero deaths. In ord</w:t>
      </w:r>
      <w:r w:rsidR="0012781A">
        <w:rPr>
          <w:rFonts w:cs="Times New Roman"/>
          <w:szCs w:val="24"/>
        </w:rPr>
        <w:t xml:space="preserve">er to fit the </w:t>
      </w:r>
      <w:proofErr w:type="gramStart"/>
      <w:r w:rsidR="0012781A">
        <w:rPr>
          <w:rFonts w:cs="Times New Roman"/>
          <w:szCs w:val="24"/>
        </w:rPr>
        <w:t>Pert</w:t>
      </w:r>
      <w:proofErr w:type="gramEnd"/>
      <w:r w:rsidR="0012781A">
        <w:rPr>
          <w:rFonts w:cs="Times New Roman"/>
          <w:szCs w:val="24"/>
        </w:rPr>
        <w:t xml:space="preserve"> distribution</w:t>
      </w:r>
      <w:r w:rsidR="00F77B6C" w:rsidRPr="0069113F">
        <w:rPr>
          <w:rFonts w:cs="Times New Roman"/>
          <w:szCs w:val="24"/>
        </w:rPr>
        <w:t>, we replaced the zero deaths with one death in each subgroup.</w:t>
      </w:r>
    </w:p>
    <w:p w14:paraId="1E8E9D5D" w14:textId="77777777" w:rsidR="00221863" w:rsidRDefault="00221863" w:rsidP="0069113F">
      <w:pPr>
        <w:rPr>
          <w:rFonts w:cs="Times New Roman"/>
          <w:szCs w:val="24"/>
        </w:rPr>
      </w:pPr>
    </w:p>
    <w:p w14:paraId="6037A8BD" w14:textId="77777777" w:rsidR="00221863" w:rsidRDefault="00221863" w:rsidP="0069113F">
      <w:pPr>
        <w:rPr>
          <w:rFonts w:cs="Times New Roman"/>
          <w:szCs w:val="24"/>
        </w:rPr>
      </w:pPr>
    </w:p>
    <w:p w14:paraId="52513E17" w14:textId="77777777" w:rsidR="00221863" w:rsidRDefault="00221863" w:rsidP="0069113F">
      <w:pPr>
        <w:rPr>
          <w:rFonts w:cs="Times New Roman"/>
          <w:szCs w:val="24"/>
        </w:rPr>
      </w:pPr>
    </w:p>
    <w:p w14:paraId="11C7D39F" w14:textId="77777777" w:rsidR="00221863" w:rsidRDefault="00221863" w:rsidP="0069113F">
      <w:pPr>
        <w:rPr>
          <w:rFonts w:cs="Times New Roman"/>
          <w:szCs w:val="24"/>
        </w:rPr>
      </w:pPr>
    </w:p>
    <w:p w14:paraId="3A0E3761" w14:textId="77777777" w:rsidR="00221863" w:rsidRDefault="00221863" w:rsidP="0069113F">
      <w:pPr>
        <w:rPr>
          <w:rFonts w:cs="Times New Roman"/>
          <w:szCs w:val="24"/>
        </w:rPr>
      </w:pPr>
    </w:p>
    <w:p w14:paraId="4E6F5C0E" w14:textId="77777777" w:rsidR="00221863" w:rsidRDefault="00221863" w:rsidP="0069113F">
      <w:pPr>
        <w:rPr>
          <w:rFonts w:cs="Times New Roman"/>
          <w:szCs w:val="24"/>
        </w:rPr>
      </w:pPr>
    </w:p>
    <w:p w14:paraId="212B5A6E" w14:textId="77777777" w:rsidR="00221863" w:rsidRDefault="00221863" w:rsidP="0069113F">
      <w:pPr>
        <w:rPr>
          <w:rFonts w:cs="Times New Roman"/>
          <w:szCs w:val="24"/>
        </w:rPr>
      </w:pPr>
    </w:p>
    <w:p w14:paraId="17390388" w14:textId="77777777" w:rsidR="00221863" w:rsidRDefault="00221863" w:rsidP="0069113F">
      <w:pPr>
        <w:rPr>
          <w:rFonts w:cs="Times New Roman"/>
          <w:szCs w:val="24"/>
        </w:rPr>
      </w:pPr>
    </w:p>
    <w:p w14:paraId="6648C620" w14:textId="4943C64F" w:rsidR="00F77B6C" w:rsidRPr="004B2F8D" w:rsidRDefault="00F77B6C" w:rsidP="0069113F">
      <w:pPr>
        <w:rPr>
          <w:rFonts w:cs="Times New Roman"/>
          <w:szCs w:val="24"/>
        </w:rPr>
      </w:pPr>
      <w:r w:rsidRPr="004B2F8D">
        <w:rPr>
          <w:rFonts w:cs="Times New Roman"/>
          <w:szCs w:val="24"/>
        </w:rPr>
        <w:lastRenderedPageBreak/>
        <w:t xml:space="preserve">Appendix Table </w:t>
      </w:r>
      <w:r w:rsidR="000A648F">
        <w:rPr>
          <w:rFonts w:cs="Times New Roman"/>
          <w:szCs w:val="24"/>
        </w:rPr>
        <w:t>6</w:t>
      </w:r>
      <w:r w:rsidRPr="004B2F8D">
        <w:rPr>
          <w:rFonts w:cs="Times New Roman"/>
          <w:szCs w:val="24"/>
        </w:rPr>
        <w:t xml:space="preserve">. Sugar imports to the UK, 2015 </w:t>
      </w:r>
    </w:p>
    <w:tbl>
      <w:tblPr>
        <w:tblW w:w="7812" w:type="dxa"/>
        <w:tblBorders>
          <w:top w:val="single" w:sz="4" w:space="0" w:color="000000"/>
          <w:bottom w:val="single" w:sz="4" w:space="0" w:color="000000"/>
        </w:tblBorders>
        <w:tblLook w:val="04A0" w:firstRow="1" w:lastRow="0" w:firstColumn="1" w:lastColumn="0" w:noHBand="0" w:noVBand="1"/>
      </w:tblPr>
      <w:tblGrid>
        <w:gridCol w:w="4863"/>
        <w:gridCol w:w="1680"/>
        <w:gridCol w:w="1269"/>
      </w:tblGrid>
      <w:tr w:rsidR="00F77B6C" w:rsidRPr="004B2F8D" w14:paraId="0A3A21FB" w14:textId="77777777" w:rsidTr="00F77B6C">
        <w:trPr>
          <w:trHeight w:val="181"/>
        </w:trPr>
        <w:tc>
          <w:tcPr>
            <w:tcW w:w="5087" w:type="dxa"/>
            <w:tcBorders>
              <w:top w:val="single" w:sz="4" w:space="0" w:color="000000"/>
              <w:bottom w:val="single" w:sz="4" w:space="0" w:color="000000"/>
            </w:tcBorders>
            <w:shd w:val="clear" w:color="auto" w:fill="auto"/>
            <w:vAlign w:val="center"/>
          </w:tcPr>
          <w:p w14:paraId="10E5AFF1" w14:textId="77777777" w:rsidR="00F77B6C" w:rsidRPr="004B2F8D" w:rsidRDefault="00F77B6C" w:rsidP="00221863">
            <w:pPr>
              <w:spacing w:before="120" w:line="240" w:lineRule="auto"/>
              <w:rPr>
                <w:rFonts w:cs="Times New Roman"/>
                <w:szCs w:val="24"/>
                <w:lang w:eastAsia="en-GB"/>
              </w:rPr>
            </w:pPr>
            <w:r w:rsidRPr="004B2F8D">
              <w:rPr>
                <w:rFonts w:cs="Times New Roman"/>
                <w:szCs w:val="24"/>
                <w:lang w:eastAsia="en-GB"/>
              </w:rPr>
              <w:t>Input - Description</w:t>
            </w:r>
          </w:p>
        </w:tc>
        <w:tc>
          <w:tcPr>
            <w:tcW w:w="1727" w:type="dxa"/>
            <w:tcBorders>
              <w:top w:val="single" w:sz="4" w:space="0" w:color="000000"/>
              <w:bottom w:val="single" w:sz="4" w:space="0" w:color="000000"/>
            </w:tcBorders>
          </w:tcPr>
          <w:p w14:paraId="569B5CC2" w14:textId="77777777" w:rsidR="00F77B6C" w:rsidRPr="004B2F8D" w:rsidRDefault="00F77B6C" w:rsidP="00221863">
            <w:pPr>
              <w:spacing w:before="120" w:line="240" w:lineRule="auto"/>
              <w:rPr>
                <w:rFonts w:cs="Times New Roman"/>
                <w:szCs w:val="24"/>
                <w:lang w:eastAsia="en-GB"/>
              </w:rPr>
            </w:pPr>
            <w:r w:rsidRPr="004B2F8D">
              <w:rPr>
                <w:rFonts w:cs="Times New Roman"/>
                <w:szCs w:val="24"/>
                <w:lang w:eastAsia="en-GB"/>
              </w:rPr>
              <w:t>Unit</w:t>
            </w:r>
          </w:p>
        </w:tc>
        <w:tc>
          <w:tcPr>
            <w:tcW w:w="998" w:type="dxa"/>
            <w:tcBorders>
              <w:top w:val="single" w:sz="4" w:space="0" w:color="000000"/>
              <w:bottom w:val="single" w:sz="4" w:space="0" w:color="000000"/>
            </w:tcBorders>
            <w:shd w:val="clear" w:color="auto" w:fill="auto"/>
            <w:noWrap/>
            <w:vAlign w:val="center"/>
          </w:tcPr>
          <w:p w14:paraId="21425EC3" w14:textId="77777777" w:rsidR="00F77B6C" w:rsidRPr="004B2F8D" w:rsidRDefault="00F77B6C" w:rsidP="00221863">
            <w:pPr>
              <w:spacing w:before="120" w:line="240" w:lineRule="auto"/>
              <w:rPr>
                <w:rFonts w:cs="Times New Roman"/>
                <w:szCs w:val="24"/>
                <w:lang w:eastAsia="en-GB"/>
              </w:rPr>
            </w:pPr>
            <w:r w:rsidRPr="004B2F8D">
              <w:rPr>
                <w:rFonts w:cs="Times New Roman"/>
                <w:szCs w:val="24"/>
                <w:lang w:eastAsia="en-GB"/>
              </w:rPr>
              <w:t>Percentage</w:t>
            </w:r>
          </w:p>
        </w:tc>
      </w:tr>
      <w:tr w:rsidR="00F77B6C" w:rsidRPr="0069113F" w14:paraId="4B116DB0" w14:textId="77777777" w:rsidTr="00F77B6C">
        <w:trPr>
          <w:trHeight w:val="181"/>
        </w:trPr>
        <w:tc>
          <w:tcPr>
            <w:tcW w:w="5087" w:type="dxa"/>
            <w:shd w:val="clear" w:color="auto" w:fill="auto"/>
            <w:vAlign w:val="center"/>
            <w:hideMark/>
          </w:tcPr>
          <w:p w14:paraId="73364411" w14:textId="1F969908" w:rsidR="00F77B6C" w:rsidRPr="004B2F8D" w:rsidRDefault="00F77B6C" w:rsidP="00221863">
            <w:pPr>
              <w:spacing w:before="120" w:line="240" w:lineRule="auto"/>
              <w:rPr>
                <w:rFonts w:cs="Times New Roman"/>
                <w:szCs w:val="24"/>
                <w:lang w:eastAsia="en-GB"/>
              </w:rPr>
            </w:pPr>
            <w:r w:rsidRPr="0069113F">
              <w:rPr>
                <w:rFonts w:cs="Times New Roman"/>
                <w:szCs w:val="24"/>
                <w:lang w:eastAsia="en-GB"/>
              </w:rPr>
              <w:t>Sugar imports to the UK, 2015</w:t>
            </w:r>
            <w:r w:rsidR="004B2F8D">
              <w:rPr>
                <w:rFonts w:cs="Times New Roman"/>
                <w:szCs w:val="24"/>
                <w:lang w:eastAsia="en-GB"/>
              </w:rPr>
              <w:t>*</w:t>
            </w:r>
          </w:p>
        </w:tc>
        <w:tc>
          <w:tcPr>
            <w:tcW w:w="1727" w:type="dxa"/>
            <w:vAlign w:val="center"/>
          </w:tcPr>
          <w:p w14:paraId="03DE2EA0" w14:textId="77777777" w:rsidR="00F77B6C" w:rsidRPr="0069113F" w:rsidRDefault="00F77B6C" w:rsidP="00221863">
            <w:pPr>
              <w:spacing w:before="120" w:line="240" w:lineRule="auto"/>
              <w:rPr>
                <w:rFonts w:cs="Times New Roman"/>
                <w:szCs w:val="24"/>
                <w:lang w:eastAsia="en-GB"/>
              </w:rPr>
            </w:pPr>
            <w:r w:rsidRPr="0069113F">
              <w:rPr>
                <w:rFonts w:cs="Times New Roman"/>
                <w:szCs w:val="24"/>
                <w:lang w:eastAsia="en-GB"/>
              </w:rPr>
              <w:t>% of total UK supply</w:t>
            </w:r>
          </w:p>
        </w:tc>
        <w:tc>
          <w:tcPr>
            <w:tcW w:w="998" w:type="dxa"/>
            <w:shd w:val="clear" w:color="auto" w:fill="auto"/>
            <w:noWrap/>
            <w:vAlign w:val="center"/>
            <w:hideMark/>
          </w:tcPr>
          <w:p w14:paraId="7DAF59B5" w14:textId="77777777" w:rsidR="00F77B6C" w:rsidRPr="0069113F" w:rsidRDefault="00F77B6C" w:rsidP="00221863">
            <w:pPr>
              <w:spacing w:before="120" w:line="240" w:lineRule="auto"/>
              <w:rPr>
                <w:rFonts w:cs="Times New Roman"/>
                <w:szCs w:val="24"/>
                <w:lang w:eastAsia="en-GB"/>
              </w:rPr>
            </w:pPr>
            <w:bookmarkStart w:id="1" w:name="RANGE!G37"/>
            <w:r w:rsidRPr="0069113F">
              <w:rPr>
                <w:rFonts w:cs="Times New Roman"/>
                <w:szCs w:val="24"/>
                <w:lang w:eastAsia="en-GB"/>
              </w:rPr>
              <w:t>64%</w:t>
            </w:r>
            <w:bookmarkEnd w:id="1"/>
          </w:p>
        </w:tc>
      </w:tr>
      <w:tr w:rsidR="00F77B6C" w:rsidRPr="0069113F" w14:paraId="04702327" w14:textId="77777777" w:rsidTr="00F77B6C">
        <w:trPr>
          <w:trHeight w:val="181"/>
        </w:trPr>
        <w:tc>
          <w:tcPr>
            <w:tcW w:w="5087" w:type="dxa"/>
            <w:tcBorders>
              <w:top w:val="nil"/>
            </w:tcBorders>
            <w:shd w:val="clear" w:color="auto" w:fill="auto"/>
            <w:vAlign w:val="center"/>
            <w:hideMark/>
          </w:tcPr>
          <w:p w14:paraId="76A9D95E" w14:textId="3CED2239" w:rsidR="00F77B6C" w:rsidRPr="0069113F" w:rsidRDefault="00F77B6C" w:rsidP="00221863">
            <w:pPr>
              <w:spacing w:before="120" w:line="240" w:lineRule="auto"/>
              <w:rPr>
                <w:rFonts w:cs="Times New Roman"/>
                <w:szCs w:val="24"/>
                <w:lang w:eastAsia="en-GB"/>
              </w:rPr>
            </w:pPr>
            <w:r w:rsidRPr="0069113F">
              <w:rPr>
                <w:rFonts w:cs="Times New Roman"/>
                <w:szCs w:val="24"/>
                <w:lang w:eastAsia="en-GB"/>
              </w:rPr>
              <w:t>Sugar (unrefined) imports to the UK from the EU, 2015</w:t>
            </w:r>
            <w:r w:rsidR="004B2F8D">
              <w:rPr>
                <w:rFonts w:cs="Times New Roman"/>
                <w:szCs w:val="24"/>
                <w:lang w:eastAsia="en-GB"/>
              </w:rPr>
              <w:t>†</w:t>
            </w:r>
          </w:p>
        </w:tc>
        <w:tc>
          <w:tcPr>
            <w:tcW w:w="1727" w:type="dxa"/>
            <w:tcBorders>
              <w:top w:val="nil"/>
            </w:tcBorders>
            <w:vAlign w:val="center"/>
          </w:tcPr>
          <w:p w14:paraId="6D04E295" w14:textId="77777777" w:rsidR="00F77B6C" w:rsidRPr="0069113F" w:rsidRDefault="00F77B6C" w:rsidP="00221863">
            <w:pPr>
              <w:spacing w:before="120" w:line="240" w:lineRule="auto"/>
              <w:rPr>
                <w:rFonts w:cs="Times New Roman"/>
                <w:szCs w:val="24"/>
                <w:lang w:eastAsia="en-GB"/>
              </w:rPr>
            </w:pPr>
            <w:r w:rsidRPr="0069113F">
              <w:rPr>
                <w:rFonts w:cs="Times New Roman"/>
                <w:szCs w:val="24"/>
                <w:lang w:eastAsia="en-GB"/>
              </w:rPr>
              <w:t>% of total UK imports</w:t>
            </w:r>
          </w:p>
        </w:tc>
        <w:tc>
          <w:tcPr>
            <w:tcW w:w="998" w:type="dxa"/>
            <w:tcBorders>
              <w:top w:val="nil"/>
            </w:tcBorders>
            <w:shd w:val="clear" w:color="auto" w:fill="auto"/>
            <w:noWrap/>
            <w:vAlign w:val="center"/>
            <w:hideMark/>
          </w:tcPr>
          <w:p w14:paraId="6F755CA5" w14:textId="77777777" w:rsidR="00F77B6C" w:rsidRPr="0069113F" w:rsidRDefault="00F77B6C" w:rsidP="00221863">
            <w:pPr>
              <w:spacing w:before="120" w:line="240" w:lineRule="auto"/>
              <w:rPr>
                <w:rFonts w:cs="Times New Roman"/>
                <w:szCs w:val="24"/>
                <w:lang w:eastAsia="en-GB"/>
              </w:rPr>
            </w:pPr>
            <w:bookmarkStart w:id="2" w:name="RANGE!G32"/>
            <w:r w:rsidRPr="0069113F">
              <w:rPr>
                <w:rFonts w:cs="Times New Roman"/>
                <w:szCs w:val="24"/>
                <w:lang w:eastAsia="en-GB"/>
              </w:rPr>
              <w:t>3%</w:t>
            </w:r>
            <w:bookmarkEnd w:id="2"/>
          </w:p>
        </w:tc>
      </w:tr>
      <w:tr w:rsidR="00F77B6C" w:rsidRPr="0069113F" w14:paraId="2886FF59" w14:textId="77777777" w:rsidTr="00F77B6C">
        <w:trPr>
          <w:trHeight w:val="181"/>
        </w:trPr>
        <w:tc>
          <w:tcPr>
            <w:tcW w:w="5087" w:type="dxa"/>
            <w:shd w:val="clear" w:color="auto" w:fill="auto"/>
            <w:vAlign w:val="center"/>
            <w:hideMark/>
          </w:tcPr>
          <w:p w14:paraId="5D01305C" w14:textId="6D036DA3" w:rsidR="00F77B6C" w:rsidRPr="0069113F" w:rsidRDefault="00F77B6C" w:rsidP="00221863">
            <w:pPr>
              <w:spacing w:before="120" w:line="240" w:lineRule="auto"/>
              <w:rPr>
                <w:rFonts w:cs="Times New Roman"/>
                <w:szCs w:val="24"/>
                <w:lang w:eastAsia="en-GB"/>
              </w:rPr>
            </w:pPr>
            <w:r w:rsidRPr="0069113F">
              <w:rPr>
                <w:rFonts w:cs="Times New Roman"/>
                <w:szCs w:val="24"/>
                <w:lang w:eastAsia="en-GB"/>
              </w:rPr>
              <w:t>Sugar (refined) imports to the UK from the EU, 2015</w:t>
            </w:r>
            <w:r w:rsidR="004B2F8D">
              <w:rPr>
                <w:rFonts w:cs="Times New Roman"/>
                <w:szCs w:val="24"/>
                <w:lang w:eastAsia="en-GB"/>
              </w:rPr>
              <w:t>†</w:t>
            </w:r>
          </w:p>
        </w:tc>
        <w:tc>
          <w:tcPr>
            <w:tcW w:w="1727" w:type="dxa"/>
            <w:vAlign w:val="center"/>
          </w:tcPr>
          <w:p w14:paraId="11A9252C" w14:textId="77777777" w:rsidR="00F77B6C" w:rsidRPr="0069113F" w:rsidRDefault="00F77B6C" w:rsidP="00221863">
            <w:pPr>
              <w:spacing w:before="120" w:line="240" w:lineRule="auto"/>
              <w:rPr>
                <w:rFonts w:cs="Times New Roman"/>
                <w:szCs w:val="24"/>
                <w:lang w:eastAsia="en-GB"/>
              </w:rPr>
            </w:pPr>
            <w:r w:rsidRPr="0069113F">
              <w:rPr>
                <w:rFonts w:cs="Times New Roman"/>
                <w:szCs w:val="24"/>
                <w:lang w:eastAsia="en-GB"/>
              </w:rPr>
              <w:t>% of total UK imports</w:t>
            </w:r>
          </w:p>
        </w:tc>
        <w:tc>
          <w:tcPr>
            <w:tcW w:w="998" w:type="dxa"/>
            <w:shd w:val="clear" w:color="auto" w:fill="auto"/>
            <w:noWrap/>
            <w:vAlign w:val="center"/>
            <w:hideMark/>
          </w:tcPr>
          <w:p w14:paraId="2103C41B" w14:textId="77777777" w:rsidR="00F77B6C" w:rsidRPr="0069113F" w:rsidRDefault="00F77B6C" w:rsidP="00221863">
            <w:pPr>
              <w:spacing w:before="120" w:line="240" w:lineRule="auto"/>
              <w:rPr>
                <w:rFonts w:cs="Times New Roman"/>
                <w:szCs w:val="24"/>
                <w:lang w:eastAsia="en-GB"/>
              </w:rPr>
            </w:pPr>
            <w:bookmarkStart w:id="3" w:name="RANGE!G33"/>
            <w:r w:rsidRPr="0069113F">
              <w:rPr>
                <w:rFonts w:cs="Times New Roman"/>
                <w:szCs w:val="24"/>
                <w:lang w:eastAsia="en-GB"/>
              </w:rPr>
              <w:t>50%</w:t>
            </w:r>
            <w:bookmarkEnd w:id="3"/>
          </w:p>
        </w:tc>
      </w:tr>
      <w:tr w:rsidR="00F77B6C" w:rsidRPr="0069113F" w14:paraId="132ABEB5" w14:textId="77777777" w:rsidTr="00F77B6C">
        <w:trPr>
          <w:trHeight w:val="181"/>
        </w:trPr>
        <w:tc>
          <w:tcPr>
            <w:tcW w:w="5087" w:type="dxa"/>
            <w:shd w:val="clear" w:color="auto" w:fill="auto"/>
            <w:vAlign w:val="center"/>
            <w:hideMark/>
          </w:tcPr>
          <w:p w14:paraId="5DFED45E" w14:textId="3791F077" w:rsidR="00F77B6C" w:rsidRPr="0069113F" w:rsidRDefault="00F77B6C" w:rsidP="00221863">
            <w:pPr>
              <w:spacing w:before="120" w:line="240" w:lineRule="auto"/>
              <w:rPr>
                <w:rFonts w:cs="Times New Roman"/>
                <w:szCs w:val="24"/>
                <w:lang w:eastAsia="en-GB"/>
              </w:rPr>
            </w:pPr>
            <w:r w:rsidRPr="0069113F">
              <w:rPr>
                <w:rFonts w:cs="Times New Roman"/>
                <w:szCs w:val="24"/>
                <w:lang w:eastAsia="en-GB"/>
              </w:rPr>
              <w:t>Zero-tariff sugar (unrefined) imports to the UK from third countries, 2015</w:t>
            </w:r>
            <w:r w:rsidR="004B2F8D">
              <w:rPr>
                <w:rFonts w:cs="Times New Roman"/>
                <w:szCs w:val="24"/>
                <w:lang w:eastAsia="en-GB"/>
              </w:rPr>
              <w:t>†</w:t>
            </w:r>
          </w:p>
        </w:tc>
        <w:tc>
          <w:tcPr>
            <w:tcW w:w="1727" w:type="dxa"/>
            <w:vAlign w:val="center"/>
          </w:tcPr>
          <w:p w14:paraId="14260E97" w14:textId="77777777" w:rsidR="00F77B6C" w:rsidRPr="0069113F" w:rsidRDefault="00F77B6C" w:rsidP="00221863">
            <w:pPr>
              <w:spacing w:before="120" w:line="240" w:lineRule="auto"/>
              <w:rPr>
                <w:rFonts w:cs="Times New Roman"/>
                <w:szCs w:val="24"/>
                <w:lang w:eastAsia="en-GB"/>
              </w:rPr>
            </w:pPr>
            <w:r w:rsidRPr="0069113F">
              <w:rPr>
                <w:rFonts w:cs="Times New Roman"/>
                <w:szCs w:val="24"/>
                <w:lang w:eastAsia="en-GB"/>
              </w:rPr>
              <w:t>% of total UK imports</w:t>
            </w:r>
          </w:p>
        </w:tc>
        <w:tc>
          <w:tcPr>
            <w:tcW w:w="998" w:type="dxa"/>
            <w:shd w:val="clear" w:color="auto" w:fill="auto"/>
            <w:noWrap/>
            <w:vAlign w:val="center"/>
            <w:hideMark/>
          </w:tcPr>
          <w:p w14:paraId="130A74AD" w14:textId="77777777" w:rsidR="00F77B6C" w:rsidRPr="0069113F" w:rsidRDefault="00F77B6C" w:rsidP="00221863">
            <w:pPr>
              <w:spacing w:before="120" w:line="240" w:lineRule="auto"/>
              <w:rPr>
                <w:rFonts w:cs="Times New Roman"/>
                <w:szCs w:val="24"/>
                <w:lang w:eastAsia="en-GB"/>
              </w:rPr>
            </w:pPr>
            <w:bookmarkStart w:id="4" w:name="RANGE!G34"/>
            <w:r w:rsidRPr="0069113F">
              <w:rPr>
                <w:rFonts w:cs="Times New Roman"/>
                <w:szCs w:val="24"/>
                <w:lang w:eastAsia="en-GB"/>
              </w:rPr>
              <w:t>34%</w:t>
            </w:r>
            <w:bookmarkEnd w:id="4"/>
          </w:p>
        </w:tc>
      </w:tr>
      <w:tr w:rsidR="00F77B6C" w:rsidRPr="0069113F" w14:paraId="05FCE2CA" w14:textId="77777777" w:rsidTr="00F77B6C">
        <w:trPr>
          <w:trHeight w:val="181"/>
        </w:trPr>
        <w:tc>
          <w:tcPr>
            <w:tcW w:w="5087" w:type="dxa"/>
            <w:shd w:val="clear" w:color="auto" w:fill="auto"/>
            <w:vAlign w:val="center"/>
            <w:hideMark/>
          </w:tcPr>
          <w:p w14:paraId="69E2DF85" w14:textId="74C2CE95" w:rsidR="00F77B6C" w:rsidRPr="0069113F" w:rsidRDefault="00F77B6C" w:rsidP="00221863">
            <w:pPr>
              <w:spacing w:before="120" w:line="240" w:lineRule="auto"/>
              <w:rPr>
                <w:rFonts w:cs="Times New Roman"/>
                <w:szCs w:val="24"/>
                <w:lang w:eastAsia="en-GB"/>
              </w:rPr>
            </w:pPr>
            <w:r w:rsidRPr="0069113F">
              <w:rPr>
                <w:rFonts w:cs="Times New Roman"/>
                <w:szCs w:val="24"/>
                <w:lang w:eastAsia="en-GB"/>
              </w:rPr>
              <w:t>Zero-tariff sugar (refined) imports to the UK from third countries, 2015</w:t>
            </w:r>
            <w:r w:rsidR="004B2F8D">
              <w:rPr>
                <w:rFonts w:cs="Times New Roman"/>
                <w:szCs w:val="24"/>
                <w:lang w:eastAsia="en-GB"/>
              </w:rPr>
              <w:t>†</w:t>
            </w:r>
          </w:p>
        </w:tc>
        <w:tc>
          <w:tcPr>
            <w:tcW w:w="1727" w:type="dxa"/>
            <w:vAlign w:val="center"/>
          </w:tcPr>
          <w:p w14:paraId="3FA5F33E" w14:textId="77777777" w:rsidR="00F77B6C" w:rsidRPr="0069113F" w:rsidRDefault="00F77B6C" w:rsidP="00221863">
            <w:pPr>
              <w:spacing w:before="120" w:line="240" w:lineRule="auto"/>
              <w:rPr>
                <w:rFonts w:cs="Times New Roman"/>
                <w:szCs w:val="24"/>
                <w:lang w:eastAsia="en-GB"/>
              </w:rPr>
            </w:pPr>
            <w:r w:rsidRPr="0069113F">
              <w:rPr>
                <w:rFonts w:cs="Times New Roman"/>
                <w:szCs w:val="24"/>
                <w:lang w:eastAsia="en-GB"/>
              </w:rPr>
              <w:t>% of total UK imports</w:t>
            </w:r>
          </w:p>
        </w:tc>
        <w:tc>
          <w:tcPr>
            <w:tcW w:w="998" w:type="dxa"/>
            <w:shd w:val="clear" w:color="auto" w:fill="auto"/>
            <w:noWrap/>
            <w:vAlign w:val="center"/>
            <w:hideMark/>
          </w:tcPr>
          <w:p w14:paraId="5C716A03" w14:textId="77777777" w:rsidR="00F77B6C" w:rsidRPr="0069113F" w:rsidRDefault="00F77B6C" w:rsidP="00221863">
            <w:pPr>
              <w:spacing w:before="120" w:line="240" w:lineRule="auto"/>
              <w:rPr>
                <w:rFonts w:cs="Times New Roman"/>
                <w:szCs w:val="24"/>
                <w:lang w:eastAsia="en-GB"/>
              </w:rPr>
            </w:pPr>
            <w:bookmarkStart w:id="5" w:name="RANGE!G35"/>
            <w:r w:rsidRPr="0069113F">
              <w:rPr>
                <w:rFonts w:cs="Times New Roman"/>
                <w:szCs w:val="24"/>
                <w:lang w:eastAsia="en-GB"/>
              </w:rPr>
              <w:t>10%</w:t>
            </w:r>
            <w:bookmarkEnd w:id="5"/>
          </w:p>
        </w:tc>
      </w:tr>
      <w:tr w:rsidR="00F77B6C" w:rsidRPr="0069113F" w14:paraId="3C39F1C9" w14:textId="77777777" w:rsidTr="00F77B6C">
        <w:trPr>
          <w:trHeight w:val="181"/>
        </w:trPr>
        <w:tc>
          <w:tcPr>
            <w:tcW w:w="5087" w:type="dxa"/>
            <w:shd w:val="clear" w:color="auto" w:fill="auto"/>
            <w:vAlign w:val="center"/>
          </w:tcPr>
          <w:p w14:paraId="51950FDC" w14:textId="707C23A9" w:rsidR="00F77B6C" w:rsidRPr="0069113F" w:rsidRDefault="00F77B6C" w:rsidP="00221863">
            <w:pPr>
              <w:spacing w:before="120" w:line="240" w:lineRule="auto"/>
              <w:rPr>
                <w:rFonts w:cs="Times New Roman"/>
                <w:szCs w:val="24"/>
                <w:lang w:eastAsia="en-GB"/>
              </w:rPr>
            </w:pPr>
            <w:r w:rsidRPr="0069113F">
              <w:rPr>
                <w:rFonts w:cs="Times New Roman"/>
                <w:szCs w:val="24"/>
                <w:lang w:eastAsia="en-GB"/>
              </w:rPr>
              <w:t>Sugar imports to the UK from third countries with applied tariffs, 2015</w:t>
            </w:r>
            <w:r w:rsidR="004B2F8D">
              <w:rPr>
                <w:rFonts w:cs="Times New Roman"/>
                <w:szCs w:val="24"/>
                <w:lang w:eastAsia="en-GB"/>
              </w:rPr>
              <w:t>†</w:t>
            </w:r>
          </w:p>
        </w:tc>
        <w:tc>
          <w:tcPr>
            <w:tcW w:w="1727" w:type="dxa"/>
            <w:vAlign w:val="center"/>
          </w:tcPr>
          <w:p w14:paraId="5E8E58C4" w14:textId="77777777" w:rsidR="00F77B6C" w:rsidRPr="0069113F" w:rsidRDefault="00F77B6C" w:rsidP="00221863">
            <w:pPr>
              <w:spacing w:before="120" w:line="240" w:lineRule="auto"/>
              <w:rPr>
                <w:rFonts w:cs="Times New Roman"/>
                <w:szCs w:val="24"/>
                <w:lang w:eastAsia="en-GB"/>
              </w:rPr>
            </w:pPr>
            <w:r w:rsidRPr="0069113F">
              <w:rPr>
                <w:rFonts w:cs="Times New Roman"/>
                <w:szCs w:val="24"/>
                <w:lang w:eastAsia="en-GB"/>
              </w:rPr>
              <w:t>% of total UK imports</w:t>
            </w:r>
          </w:p>
        </w:tc>
        <w:tc>
          <w:tcPr>
            <w:tcW w:w="998" w:type="dxa"/>
            <w:shd w:val="clear" w:color="auto" w:fill="auto"/>
            <w:noWrap/>
            <w:vAlign w:val="center"/>
          </w:tcPr>
          <w:p w14:paraId="15F03BFC" w14:textId="77777777" w:rsidR="00F77B6C" w:rsidRPr="0069113F" w:rsidRDefault="00F77B6C" w:rsidP="00221863">
            <w:pPr>
              <w:spacing w:before="120" w:line="240" w:lineRule="auto"/>
              <w:rPr>
                <w:rFonts w:cs="Times New Roman"/>
                <w:szCs w:val="24"/>
                <w:lang w:eastAsia="en-GB"/>
              </w:rPr>
            </w:pPr>
            <w:r w:rsidRPr="0069113F">
              <w:rPr>
                <w:rFonts w:cs="Times New Roman"/>
                <w:szCs w:val="24"/>
                <w:lang w:eastAsia="en-GB"/>
              </w:rPr>
              <w:t>3%</w:t>
            </w:r>
          </w:p>
        </w:tc>
      </w:tr>
    </w:tbl>
    <w:p w14:paraId="15FD918D" w14:textId="7ECF3B8B" w:rsidR="00F77B6C" w:rsidRPr="0069113F" w:rsidRDefault="004B2F8D" w:rsidP="004B2F8D">
      <w:pPr>
        <w:spacing w:after="0"/>
        <w:rPr>
          <w:rFonts w:cs="Times New Roman"/>
          <w:szCs w:val="24"/>
          <w:lang w:eastAsia="en-GB"/>
        </w:rPr>
      </w:pPr>
      <w:r>
        <w:rPr>
          <w:rFonts w:cs="Times New Roman"/>
          <w:szCs w:val="24"/>
          <w:lang w:eastAsia="en-GB"/>
        </w:rPr>
        <w:t>*</w:t>
      </w:r>
      <w:r w:rsidR="00F77B6C" w:rsidRPr="0069113F">
        <w:rPr>
          <w:rFonts w:cs="Times New Roman"/>
          <w:szCs w:val="24"/>
          <w:lang w:eastAsia="en-GB"/>
        </w:rPr>
        <w:t>By volume</w:t>
      </w:r>
    </w:p>
    <w:p w14:paraId="3BC5866B" w14:textId="3A887A29" w:rsidR="00F77B6C" w:rsidRPr="0069113F" w:rsidRDefault="004B2F8D" w:rsidP="004B2F8D">
      <w:pPr>
        <w:spacing w:after="0"/>
        <w:rPr>
          <w:rFonts w:cs="Times New Roman"/>
          <w:szCs w:val="24"/>
          <w:lang w:eastAsia="en-GB"/>
        </w:rPr>
      </w:pPr>
      <w:r>
        <w:rPr>
          <w:rFonts w:cs="Times New Roman"/>
          <w:szCs w:val="24"/>
          <w:lang w:eastAsia="en-GB"/>
        </w:rPr>
        <w:t>†</w:t>
      </w:r>
      <w:r w:rsidR="00F77B6C" w:rsidRPr="0069113F">
        <w:rPr>
          <w:rFonts w:cs="Times New Roman"/>
          <w:szCs w:val="24"/>
          <w:lang w:eastAsia="en-GB"/>
        </w:rPr>
        <w:t>By value</w:t>
      </w:r>
    </w:p>
    <w:p w14:paraId="01493C85" w14:textId="77777777" w:rsidR="00221863" w:rsidRDefault="00221863" w:rsidP="0069113F">
      <w:pPr>
        <w:rPr>
          <w:rFonts w:cs="Times New Roman"/>
          <w:szCs w:val="24"/>
        </w:rPr>
      </w:pPr>
    </w:p>
    <w:p w14:paraId="7B899886" w14:textId="2B02E760" w:rsidR="00F77B6C" w:rsidRPr="004B2F8D" w:rsidRDefault="00F77B6C" w:rsidP="0069113F">
      <w:pPr>
        <w:rPr>
          <w:rFonts w:cs="Times New Roman"/>
          <w:szCs w:val="24"/>
        </w:rPr>
      </w:pPr>
      <w:r w:rsidRPr="004B2F8D">
        <w:rPr>
          <w:rFonts w:cs="Times New Roman"/>
          <w:szCs w:val="24"/>
        </w:rPr>
        <w:t xml:space="preserve">Appendix Table </w:t>
      </w:r>
      <w:r w:rsidR="000A648F">
        <w:rPr>
          <w:rFonts w:cs="Times New Roman"/>
          <w:szCs w:val="24"/>
        </w:rPr>
        <w:t>7</w:t>
      </w:r>
      <w:r w:rsidRPr="004B2F8D">
        <w:rPr>
          <w:rFonts w:cs="Times New Roman"/>
          <w:szCs w:val="24"/>
        </w:rPr>
        <w:t xml:space="preserve">. SSB intake by age, sex and IMD quintile, expressed as weighted means (SE) in grams/day from the </w:t>
      </w:r>
      <w:r w:rsidR="008D778F" w:rsidRPr="004B2F8D">
        <w:rPr>
          <w:rFonts w:cs="Times New Roman"/>
          <w:szCs w:val="24"/>
        </w:rPr>
        <w:t>National Diet and Nutrition Survey Rolling Programme Years 1-4</w:t>
      </w:r>
      <w:r w:rsidR="008D778F" w:rsidRPr="004B2F8D">
        <w:rPr>
          <w:rFonts w:cs="Times New Roman"/>
          <w:szCs w:val="24"/>
        </w:rPr>
        <w:fldChar w:fldCharType="begin"/>
      </w:r>
      <w:r w:rsidR="007C57A8">
        <w:rPr>
          <w:rFonts w:cs="Times New Roman"/>
          <w:szCs w:val="24"/>
        </w:rPr>
        <w:instrText xml:space="preserve"> ADDIN EN.CITE &lt;EndNote&gt;&lt;Cite&gt;&lt;Author&gt;NatCen Social Research&lt;/Author&gt;&lt;Year&gt;2015 &lt;/Year&gt;&lt;RecNum&gt;351&lt;/RecNum&gt;&lt;DisplayText&gt;&lt;style face="superscript"&gt;(18)&lt;/style&gt;&lt;/DisplayText&gt;&lt;record&gt;&lt;rec-number&gt;351&lt;/rec-number&gt;&lt;foreign-keys&gt;&lt;key app="EN" db-id="zdrfrts5sr9296ea90uxsfvhf9zwdwstft0f" timestamp="1473088108"&gt;351&lt;/key&gt;&lt;/foreign-keys&gt;&lt;ref-type name="Dataset"&gt;59&lt;/ref-type&gt;&lt;contributors&gt;&lt;authors&gt;&lt;author&gt;NatCen Social Research,&lt;/author&gt;&lt;author&gt;MRC Human Nutrition Research,&lt;/author&gt;&lt;author&gt;University College London Medical School ,.&lt;/author&gt;&lt;/authors&gt;&lt;/contributors&gt;&lt;titles&gt;&lt;title&gt;National Diet and Nutrition Survey Years 1-4, 2008/09-2011/12&lt;/title&gt;&lt;/titles&gt;&lt;edition&gt; 7th Edition &lt;/edition&gt;&lt;dates&gt;&lt;year&gt;2015 &lt;/year&gt;&lt;/dates&gt;&lt;publisher&gt;UK Data Service&lt;/publisher&gt;&lt;accession-num&gt;SN 6533&lt;/accession-num&gt;&lt;urls&gt;&lt;related-urls&gt;&lt;url&gt;http://dx.doi.org/10.5255/UKDA-SN-6533-6&lt;/url&gt;&lt;/related-urls&gt;&lt;/urls&gt;&lt;electronic-resource-num&gt;10.5255/UKDA-SN-6533-6&lt;/electronic-resource-num&gt;&lt;/record&gt;&lt;/Cite&gt;&lt;/EndNote&gt;</w:instrText>
      </w:r>
      <w:r w:rsidR="008D778F" w:rsidRPr="004B2F8D">
        <w:rPr>
          <w:rFonts w:cs="Times New Roman"/>
          <w:szCs w:val="24"/>
        </w:rPr>
        <w:fldChar w:fldCharType="separate"/>
      </w:r>
      <w:r w:rsidR="007C57A8" w:rsidRPr="007C57A8">
        <w:rPr>
          <w:rFonts w:cs="Times New Roman"/>
          <w:noProof/>
          <w:szCs w:val="24"/>
          <w:vertAlign w:val="superscript"/>
        </w:rPr>
        <w:t>(18)</w:t>
      </w:r>
      <w:r w:rsidR="008D778F" w:rsidRPr="004B2F8D">
        <w:rPr>
          <w:rFonts w:cs="Times New Roman"/>
          <w:szCs w:val="24"/>
        </w:rPr>
        <w:fldChar w:fldCharType="end"/>
      </w:r>
      <w:r w:rsidRPr="004B2F8D">
        <w:rPr>
          <w:rFonts w:cs="Times New Roman"/>
          <w:szCs w:val="24"/>
        </w:rPr>
        <w:t>. IMDQ1/2 is the most affluent group and IMDQ4/5 the most deprived.</w:t>
      </w:r>
    </w:p>
    <w:tbl>
      <w:tblPr>
        <w:tblW w:w="9884" w:type="dxa"/>
        <w:tblLook w:val="04A0" w:firstRow="1" w:lastRow="0" w:firstColumn="1" w:lastColumn="0" w:noHBand="0" w:noVBand="1"/>
      </w:tblPr>
      <w:tblGrid>
        <w:gridCol w:w="1751"/>
        <w:gridCol w:w="773"/>
        <w:gridCol w:w="636"/>
        <w:gridCol w:w="696"/>
        <w:gridCol w:w="763"/>
        <w:gridCol w:w="636"/>
        <w:gridCol w:w="576"/>
        <w:gridCol w:w="809"/>
        <w:gridCol w:w="636"/>
        <w:gridCol w:w="576"/>
        <w:gridCol w:w="820"/>
        <w:gridCol w:w="636"/>
        <w:gridCol w:w="576"/>
      </w:tblGrid>
      <w:tr w:rsidR="00541554" w:rsidRPr="004B2F8D" w14:paraId="7468C2A1" w14:textId="77777777" w:rsidTr="00541554">
        <w:trPr>
          <w:trHeight w:val="20"/>
        </w:trPr>
        <w:tc>
          <w:tcPr>
            <w:tcW w:w="1751" w:type="dxa"/>
            <w:tcBorders>
              <w:top w:val="single" w:sz="8" w:space="0" w:color="auto"/>
              <w:left w:val="nil"/>
              <w:bottom w:val="single" w:sz="8" w:space="0" w:color="auto"/>
              <w:right w:val="nil"/>
            </w:tcBorders>
            <w:shd w:val="clear" w:color="auto" w:fill="auto"/>
            <w:vAlign w:val="center"/>
            <w:hideMark/>
          </w:tcPr>
          <w:p w14:paraId="68AD58DE" w14:textId="77777777" w:rsidR="00541554" w:rsidRPr="004B2F8D" w:rsidRDefault="00541554" w:rsidP="00541554">
            <w:pPr>
              <w:spacing w:line="240" w:lineRule="auto"/>
              <w:rPr>
                <w:rFonts w:eastAsia="Times New Roman" w:cs="Times New Roman"/>
                <w:bCs/>
                <w:color w:val="000000"/>
                <w:szCs w:val="24"/>
                <w:lang w:eastAsia="en-GB"/>
              </w:rPr>
            </w:pPr>
            <w:r w:rsidRPr="004B2F8D">
              <w:rPr>
                <w:rFonts w:eastAsia="Times New Roman" w:cs="Times New Roman"/>
                <w:bCs/>
                <w:color w:val="000000"/>
                <w:szCs w:val="24"/>
                <w:lang w:eastAsia="en-GB"/>
              </w:rPr>
              <w:t>Age/Sex group</w:t>
            </w:r>
          </w:p>
        </w:tc>
        <w:tc>
          <w:tcPr>
            <w:tcW w:w="2105" w:type="dxa"/>
            <w:gridSpan w:val="3"/>
            <w:tcBorders>
              <w:top w:val="single" w:sz="8" w:space="0" w:color="auto"/>
              <w:left w:val="nil"/>
              <w:bottom w:val="single" w:sz="8" w:space="0" w:color="auto"/>
              <w:right w:val="nil"/>
            </w:tcBorders>
            <w:vAlign w:val="center"/>
          </w:tcPr>
          <w:p w14:paraId="5D373728" w14:textId="49E08828" w:rsidR="00541554" w:rsidRPr="004B2F8D" w:rsidRDefault="00541554" w:rsidP="00541554">
            <w:pPr>
              <w:spacing w:line="240" w:lineRule="auto"/>
              <w:jc w:val="center"/>
              <w:rPr>
                <w:rFonts w:eastAsia="Times New Roman" w:cs="Times New Roman"/>
                <w:bCs/>
                <w:color w:val="000000"/>
                <w:szCs w:val="24"/>
                <w:lang w:eastAsia="en-GB"/>
              </w:rPr>
            </w:pPr>
            <w:r w:rsidRPr="004B2F8D">
              <w:rPr>
                <w:rFonts w:eastAsia="Times New Roman" w:cs="Times New Roman"/>
                <w:bCs/>
                <w:color w:val="000000"/>
                <w:szCs w:val="24"/>
                <w:lang w:eastAsia="en-GB"/>
              </w:rPr>
              <w:t>Overall</w:t>
            </w:r>
          </w:p>
        </w:tc>
        <w:tc>
          <w:tcPr>
            <w:tcW w:w="1975" w:type="dxa"/>
            <w:gridSpan w:val="3"/>
            <w:tcBorders>
              <w:top w:val="single" w:sz="8" w:space="0" w:color="auto"/>
              <w:left w:val="nil"/>
              <w:bottom w:val="single" w:sz="8" w:space="0" w:color="auto"/>
              <w:right w:val="nil"/>
            </w:tcBorders>
            <w:vAlign w:val="center"/>
          </w:tcPr>
          <w:p w14:paraId="2A4BD2B3" w14:textId="77B49A44" w:rsidR="00541554" w:rsidRPr="004B2F8D" w:rsidRDefault="00541554" w:rsidP="00541554">
            <w:pPr>
              <w:spacing w:line="240" w:lineRule="auto"/>
              <w:jc w:val="center"/>
              <w:rPr>
                <w:rFonts w:eastAsia="Times New Roman" w:cs="Times New Roman"/>
                <w:bCs/>
                <w:color w:val="000000"/>
                <w:szCs w:val="24"/>
                <w:lang w:eastAsia="en-GB"/>
              </w:rPr>
            </w:pPr>
            <w:r w:rsidRPr="004B2F8D">
              <w:rPr>
                <w:rFonts w:eastAsia="Times New Roman" w:cs="Times New Roman"/>
                <w:bCs/>
                <w:color w:val="000000"/>
                <w:szCs w:val="24"/>
                <w:lang w:eastAsia="en-GB"/>
              </w:rPr>
              <w:t>IMDQ1/2</w:t>
            </w:r>
          </w:p>
        </w:tc>
        <w:tc>
          <w:tcPr>
            <w:tcW w:w="2021" w:type="dxa"/>
            <w:gridSpan w:val="3"/>
            <w:tcBorders>
              <w:top w:val="single" w:sz="8" w:space="0" w:color="auto"/>
              <w:left w:val="nil"/>
              <w:bottom w:val="single" w:sz="8" w:space="0" w:color="auto"/>
              <w:right w:val="nil"/>
            </w:tcBorders>
            <w:vAlign w:val="center"/>
          </w:tcPr>
          <w:p w14:paraId="39DED659" w14:textId="41058914" w:rsidR="00541554" w:rsidRPr="004B2F8D" w:rsidRDefault="00541554" w:rsidP="00541554">
            <w:pPr>
              <w:spacing w:line="240" w:lineRule="auto"/>
              <w:jc w:val="center"/>
              <w:rPr>
                <w:rFonts w:eastAsia="Times New Roman" w:cs="Times New Roman"/>
                <w:bCs/>
                <w:color w:val="000000"/>
                <w:szCs w:val="24"/>
                <w:lang w:eastAsia="en-GB"/>
              </w:rPr>
            </w:pPr>
            <w:r w:rsidRPr="004B2F8D">
              <w:rPr>
                <w:rFonts w:eastAsia="Times New Roman" w:cs="Times New Roman"/>
                <w:bCs/>
                <w:color w:val="000000"/>
                <w:szCs w:val="24"/>
                <w:lang w:eastAsia="en-GB"/>
              </w:rPr>
              <w:t>IMDQ3</w:t>
            </w:r>
          </w:p>
        </w:tc>
        <w:tc>
          <w:tcPr>
            <w:tcW w:w="2032" w:type="dxa"/>
            <w:gridSpan w:val="3"/>
            <w:tcBorders>
              <w:top w:val="single" w:sz="8" w:space="0" w:color="auto"/>
              <w:left w:val="nil"/>
              <w:bottom w:val="single" w:sz="8" w:space="0" w:color="auto"/>
              <w:right w:val="nil"/>
            </w:tcBorders>
            <w:vAlign w:val="center"/>
          </w:tcPr>
          <w:p w14:paraId="34D1EC73" w14:textId="52BA8DA2" w:rsidR="00541554" w:rsidRPr="004B2F8D" w:rsidRDefault="00541554" w:rsidP="00541554">
            <w:pPr>
              <w:spacing w:line="240" w:lineRule="auto"/>
              <w:jc w:val="center"/>
              <w:rPr>
                <w:rFonts w:eastAsia="Times New Roman" w:cs="Times New Roman"/>
                <w:bCs/>
                <w:color w:val="000000"/>
                <w:szCs w:val="24"/>
                <w:lang w:eastAsia="en-GB"/>
              </w:rPr>
            </w:pPr>
            <w:r w:rsidRPr="004B2F8D">
              <w:rPr>
                <w:rFonts w:eastAsia="Times New Roman" w:cs="Times New Roman"/>
                <w:bCs/>
                <w:color w:val="000000"/>
                <w:szCs w:val="24"/>
                <w:lang w:eastAsia="en-GB"/>
              </w:rPr>
              <w:t>IMDQ4/5</w:t>
            </w:r>
          </w:p>
        </w:tc>
      </w:tr>
      <w:tr w:rsidR="00541554" w:rsidRPr="004B2F8D" w14:paraId="592AEE16" w14:textId="77777777" w:rsidTr="00541554">
        <w:trPr>
          <w:trHeight w:val="20"/>
        </w:trPr>
        <w:tc>
          <w:tcPr>
            <w:tcW w:w="1751" w:type="dxa"/>
            <w:tcBorders>
              <w:top w:val="single" w:sz="8" w:space="0" w:color="auto"/>
              <w:left w:val="nil"/>
              <w:bottom w:val="single" w:sz="8" w:space="0" w:color="auto"/>
              <w:right w:val="nil"/>
            </w:tcBorders>
            <w:shd w:val="clear" w:color="auto" w:fill="auto"/>
            <w:vAlign w:val="center"/>
          </w:tcPr>
          <w:p w14:paraId="71FF85EF" w14:textId="77777777" w:rsidR="004B2F8D" w:rsidRPr="004B2F8D" w:rsidRDefault="004B2F8D" w:rsidP="00541554">
            <w:pPr>
              <w:spacing w:line="240" w:lineRule="auto"/>
              <w:rPr>
                <w:rFonts w:eastAsia="Times New Roman" w:cs="Times New Roman"/>
                <w:bCs/>
                <w:color w:val="000000"/>
                <w:szCs w:val="24"/>
                <w:lang w:eastAsia="en-GB"/>
              </w:rPr>
            </w:pPr>
          </w:p>
        </w:tc>
        <w:tc>
          <w:tcPr>
            <w:tcW w:w="773" w:type="dxa"/>
            <w:tcBorders>
              <w:top w:val="single" w:sz="8" w:space="0" w:color="auto"/>
              <w:left w:val="nil"/>
              <w:bottom w:val="single" w:sz="8" w:space="0" w:color="auto"/>
              <w:right w:val="nil"/>
            </w:tcBorders>
            <w:shd w:val="clear" w:color="auto" w:fill="auto"/>
            <w:vAlign w:val="center"/>
          </w:tcPr>
          <w:p w14:paraId="72C20DF1" w14:textId="3FBEEBC3" w:rsidR="004B2F8D" w:rsidRPr="004B2F8D" w:rsidRDefault="004B2F8D" w:rsidP="00541554">
            <w:pPr>
              <w:spacing w:line="240" w:lineRule="auto"/>
              <w:jc w:val="center"/>
              <w:rPr>
                <w:rFonts w:eastAsia="Times New Roman" w:cs="Times New Roman"/>
                <w:bCs/>
                <w:color w:val="000000"/>
                <w:szCs w:val="24"/>
                <w:lang w:eastAsia="en-GB"/>
              </w:rPr>
            </w:pPr>
            <w:r>
              <w:rPr>
                <w:rFonts w:eastAsia="Times New Roman" w:cs="Times New Roman"/>
                <w:bCs/>
                <w:color w:val="000000"/>
                <w:szCs w:val="24"/>
                <w:lang w:eastAsia="en-GB"/>
              </w:rPr>
              <w:t>Mean</w:t>
            </w:r>
          </w:p>
        </w:tc>
        <w:tc>
          <w:tcPr>
            <w:tcW w:w="636" w:type="dxa"/>
            <w:tcBorders>
              <w:top w:val="single" w:sz="8" w:space="0" w:color="auto"/>
              <w:left w:val="nil"/>
              <w:bottom w:val="single" w:sz="8" w:space="0" w:color="auto"/>
              <w:right w:val="nil"/>
            </w:tcBorders>
            <w:vAlign w:val="center"/>
          </w:tcPr>
          <w:p w14:paraId="4290E57C" w14:textId="5BAB7257" w:rsidR="004B2F8D" w:rsidRPr="004B2F8D" w:rsidRDefault="004B2F8D" w:rsidP="00541554">
            <w:pPr>
              <w:spacing w:line="240" w:lineRule="auto"/>
              <w:jc w:val="center"/>
              <w:rPr>
                <w:rFonts w:eastAsia="Times New Roman" w:cs="Times New Roman"/>
                <w:bCs/>
                <w:color w:val="000000"/>
                <w:szCs w:val="24"/>
                <w:lang w:eastAsia="en-GB"/>
              </w:rPr>
            </w:pPr>
            <w:r w:rsidRPr="004B2F8D">
              <w:rPr>
                <w:rFonts w:eastAsia="Times New Roman" w:cs="Times New Roman"/>
                <w:bCs/>
                <w:color w:val="000000"/>
                <w:szCs w:val="24"/>
                <w:lang w:eastAsia="en-GB"/>
              </w:rPr>
              <w:t>SE</w:t>
            </w:r>
          </w:p>
        </w:tc>
        <w:tc>
          <w:tcPr>
            <w:tcW w:w="696" w:type="dxa"/>
            <w:tcBorders>
              <w:top w:val="single" w:sz="8" w:space="0" w:color="auto"/>
              <w:left w:val="nil"/>
              <w:bottom w:val="single" w:sz="8" w:space="0" w:color="auto"/>
              <w:right w:val="nil"/>
            </w:tcBorders>
            <w:vAlign w:val="center"/>
          </w:tcPr>
          <w:p w14:paraId="199DDAF4" w14:textId="7C401C76" w:rsidR="004B2F8D" w:rsidRPr="004B2F8D" w:rsidRDefault="004B2F8D" w:rsidP="00541554">
            <w:pPr>
              <w:spacing w:line="240" w:lineRule="auto"/>
              <w:jc w:val="center"/>
              <w:rPr>
                <w:rFonts w:eastAsia="Times New Roman" w:cs="Times New Roman"/>
                <w:bCs/>
                <w:color w:val="000000"/>
                <w:szCs w:val="24"/>
                <w:lang w:eastAsia="en-GB"/>
              </w:rPr>
            </w:pPr>
            <w:r w:rsidRPr="004B2F8D">
              <w:rPr>
                <w:rFonts w:eastAsia="Times New Roman" w:cs="Times New Roman"/>
                <w:bCs/>
                <w:color w:val="000000"/>
                <w:szCs w:val="24"/>
                <w:lang w:eastAsia="en-GB"/>
              </w:rPr>
              <w:t>N</w:t>
            </w:r>
          </w:p>
        </w:tc>
        <w:tc>
          <w:tcPr>
            <w:tcW w:w="763" w:type="dxa"/>
            <w:tcBorders>
              <w:top w:val="single" w:sz="8" w:space="0" w:color="auto"/>
              <w:left w:val="nil"/>
              <w:bottom w:val="single" w:sz="8" w:space="0" w:color="auto"/>
              <w:right w:val="nil"/>
            </w:tcBorders>
            <w:shd w:val="clear" w:color="auto" w:fill="auto"/>
            <w:vAlign w:val="center"/>
          </w:tcPr>
          <w:p w14:paraId="57E5749E" w14:textId="0A268F49" w:rsidR="004B2F8D" w:rsidRPr="004B2F8D" w:rsidRDefault="00541554" w:rsidP="00541554">
            <w:pPr>
              <w:spacing w:line="240" w:lineRule="auto"/>
              <w:jc w:val="center"/>
              <w:rPr>
                <w:rFonts w:eastAsia="Times New Roman" w:cs="Times New Roman"/>
                <w:bCs/>
                <w:color w:val="000000"/>
                <w:szCs w:val="24"/>
                <w:lang w:eastAsia="en-GB"/>
              </w:rPr>
            </w:pPr>
            <w:r>
              <w:rPr>
                <w:rFonts w:eastAsia="Times New Roman" w:cs="Times New Roman"/>
                <w:bCs/>
                <w:color w:val="000000"/>
                <w:szCs w:val="24"/>
                <w:lang w:eastAsia="en-GB"/>
              </w:rPr>
              <w:t>Mean</w:t>
            </w:r>
          </w:p>
        </w:tc>
        <w:tc>
          <w:tcPr>
            <w:tcW w:w="636" w:type="dxa"/>
            <w:tcBorders>
              <w:top w:val="single" w:sz="8" w:space="0" w:color="auto"/>
              <w:left w:val="nil"/>
              <w:bottom w:val="single" w:sz="8" w:space="0" w:color="auto"/>
              <w:right w:val="nil"/>
            </w:tcBorders>
            <w:vAlign w:val="center"/>
          </w:tcPr>
          <w:p w14:paraId="02649F38" w14:textId="1007BA66" w:rsidR="004B2F8D" w:rsidRPr="004B2F8D" w:rsidRDefault="00541554" w:rsidP="00541554">
            <w:pPr>
              <w:spacing w:line="240" w:lineRule="auto"/>
              <w:jc w:val="center"/>
              <w:rPr>
                <w:rFonts w:eastAsia="Times New Roman" w:cs="Times New Roman"/>
                <w:bCs/>
                <w:color w:val="000000"/>
                <w:szCs w:val="24"/>
                <w:lang w:eastAsia="en-GB"/>
              </w:rPr>
            </w:pPr>
            <w:r w:rsidRPr="004B2F8D">
              <w:rPr>
                <w:rFonts w:eastAsia="Times New Roman" w:cs="Times New Roman"/>
                <w:bCs/>
                <w:color w:val="000000"/>
                <w:szCs w:val="24"/>
                <w:lang w:eastAsia="en-GB"/>
              </w:rPr>
              <w:t>SE</w:t>
            </w:r>
          </w:p>
        </w:tc>
        <w:tc>
          <w:tcPr>
            <w:tcW w:w="576" w:type="dxa"/>
            <w:tcBorders>
              <w:top w:val="single" w:sz="8" w:space="0" w:color="auto"/>
              <w:left w:val="nil"/>
              <w:bottom w:val="single" w:sz="8" w:space="0" w:color="auto"/>
              <w:right w:val="nil"/>
            </w:tcBorders>
            <w:vAlign w:val="center"/>
          </w:tcPr>
          <w:p w14:paraId="18B7B129" w14:textId="1CD0694E" w:rsidR="004B2F8D" w:rsidRPr="004B2F8D" w:rsidRDefault="004B2F8D" w:rsidP="00541554">
            <w:pPr>
              <w:spacing w:line="240" w:lineRule="auto"/>
              <w:jc w:val="center"/>
              <w:rPr>
                <w:rFonts w:eastAsia="Times New Roman" w:cs="Times New Roman"/>
                <w:bCs/>
                <w:color w:val="000000"/>
                <w:szCs w:val="24"/>
                <w:lang w:eastAsia="en-GB"/>
              </w:rPr>
            </w:pPr>
            <w:r w:rsidRPr="004B2F8D">
              <w:rPr>
                <w:rFonts w:eastAsia="Times New Roman" w:cs="Times New Roman"/>
                <w:bCs/>
                <w:color w:val="000000"/>
                <w:szCs w:val="24"/>
                <w:lang w:eastAsia="en-GB"/>
              </w:rPr>
              <w:t>N</w:t>
            </w:r>
          </w:p>
        </w:tc>
        <w:tc>
          <w:tcPr>
            <w:tcW w:w="809" w:type="dxa"/>
            <w:tcBorders>
              <w:top w:val="single" w:sz="8" w:space="0" w:color="auto"/>
              <w:left w:val="nil"/>
              <w:bottom w:val="single" w:sz="8" w:space="0" w:color="auto"/>
              <w:right w:val="nil"/>
            </w:tcBorders>
            <w:shd w:val="clear" w:color="auto" w:fill="auto"/>
            <w:vAlign w:val="center"/>
          </w:tcPr>
          <w:p w14:paraId="5A142A9D" w14:textId="235B6649" w:rsidR="004B2F8D" w:rsidRPr="004B2F8D" w:rsidRDefault="00541554" w:rsidP="00541554">
            <w:pPr>
              <w:spacing w:line="240" w:lineRule="auto"/>
              <w:jc w:val="center"/>
              <w:rPr>
                <w:rFonts w:eastAsia="Times New Roman" w:cs="Times New Roman"/>
                <w:bCs/>
                <w:color w:val="000000"/>
                <w:szCs w:val="24"/>
                <w:lang w:eastAsia="en-GB"/>
              </w:rPr>
            </w:pPr>
            <w:r>
              <w:rPr>
                <w:rFonts w:eastAsia="Times New Roman" w:cs="Times New Roman"/>
                <w:bCs/>
                <w:color w:val="000000"/>
                <w:szCs w:val="24"/>
                <w:lang w:eastAsia="en-GB"/>
              </w:rPr>
              <w:t>Mean</w:t>
            </w:r>
          </w:p>
        </w:tc>
        <w:tc>
          <w:tcPr>
            <w:tcW w:w="636" w:type="dxa"/>
            <w:tcBorders>
              <w:top w:val="single" w:sz="8" w:space="0" w:color="auto"/>
              <w:left w:val="nil"/>
              <w:bottom w:val="single" w:sz="8" w:space="0" w:color="auto"/>
              <w:right w:val="nil"/>
            </w:tcBorders>
            <w:vAlign w:val="center"/>
          </w:tcPr>
          <w:p w14:paraId="26D4E4F1" w14:textId="3841AA07" w:rsidR="004B2F8D" w:rsidRPr="004B2F8D" w:rsidRDefault="00541554" w:rsidP="00541554">
            <w:pPr>
              <w:spacing w:line="240" w:lineRule="auto"/>
              <w:jc w:val="center"/>
              <w:rPr>
                <w:rFonts w:eastAsia="Times New Roman" w:cs="Times New Roman"/>
                <w:bCs/>
                <w:color w:val="000000"/>
                <w:szCs w:val="24"/>
                <w:lang w:eastAsia="en-GB"/>
              </w:rPr>
            </w:pPr>
            <w:r w:rsidRPr="004B2F8D">
              <w:rPr>
                <w:rFonts w:eastAsia="Times New Roman" w:cs="Times New Roman"/>
                <w:bCs/>
                <w:color w:val="000000"/>
                <w:szCs w:val="24"/>
                <w:lang w:eastAsia="en-GB"/>
              </w:rPr>
              <w:t>SE</w:t>
            </w:r>
          </w:p>
        </w:tc>
        <w:tc>
          <w:tcPr>
            <w:tcW w:w="576" w:type="dxa"/>
            <w:tcBorders>
              <w:top w:val="single" w:sz="8" w:space="0" w:color="auto"/>
              <w:left w:val="nil"/>
              <w:bottom w:val="single" w:sz="8" w:space="0" w:color="auto"/>
              <w:right w:val="nil"/>
            </w:tcBorders>
            <w:vAlign w:val="center"/>
          </w:tcPr>
          <w:p w14:paraId="52B3B621" w14:textId="22475D59" w:rsidR="004B2F8D" w:rsidRPr="004B2F8D" w:rsidRDefault="004B2F8D" w:rsidP="00541554">
            <w:pPr>
              <w:spacing w:line="240" w:lineRule="auto"/>
              <w:jc w:val="center"/>
              <w:rPr>
                <w:rFonts w:eastAsia="Times New Roman" w:cs="Times New Roman"/>
                <w:bCs/>
                <w:color w:val="000000"/>
                <w:szCs w:val="24"/>
                <w:lang w:eastAsia="en-GB"/>
              </w:rPr>
            </w:pPr>
            <w:r w:rsidRPr="004B2F8D">
              <w:rPr>
                <w:rFonts w:eastAsia="Times New Roman" w:cs="Times New Roman"/>
                <w:bCs/>
                <w:color w:val="000000"/>
                <w:szCs w:val="24"/>
                <w:lang w:eastAsia="en-GB"/>
              </w:rPr>
              <w:t>N</w:t>
            </w:r>
          </w:p>
        </w:tc>
        <w:tc>
          <w:tcPr>
            <w:tcW w:w="820" w:type="dxa"/>
            <w:tcBorders>
              <w:top w:val="single" w:sz="8" w:space="0" w:color="auto"/>
              <w:left w:val="nil"/>
              <w:bottom w:val="single" w:sz="8" w:space="0" w:color="auto"/>
              <w:right w:val="nil"/>
            </w:tcBorders>
            <w:shd w:val="clear" w:color="auto" w:fill="auto"/>
            <w:vAlign w:val="center"/>
          </w:tcPr>
          <w:p w14:paraId="535EFBCF" w14:textId="38DCF512" w:rsidR="004B2F8D" w:rsidRPr="004B2F8D" w:rsidRDefault="00541554" w:rsidP="00541554">
            <w:pPr>
              <w:spacing w:line="240" w:lineRule="auto"/>
              <w:jc w:val="center"/>
              <w:rPr>
                <w:rFonts w:eastAsia="Times New Roman" w:cs="Times New Roman"/>
                <w:bCs/>
                <w:color w:val="000000"/>
                <w:szCs w:val="24"/>
                <w:lang w:eastAsia="en-GB"/>
              </w:rPr>
            </w:pPr>
            <w:r>
              <w:rPr>
                <w:rFonts w:eastAsia="Times New Roman" w:cs="Times New Roman"/>
                <w:bCs/>
                <w:color w:val="000000"/>
                <w:szCs w:val="24"/>
                <w:lang w:eastAsia="en-GB"/>
              </w:rPr>
              <w:t>Mean</w:t>
            </w:r>
          </w:p>
        </w:tc>
        <w:tc>
          <w:tcPr>
            <w:tcW w:w="636" w:type="dxa"/>
            <w:tcBorders>
              <w:top w:val="single" w:sz="8" w:space="0" w:color="auto"/>
              <w:left w:val="nil"/>
              <w:bottom w:val="single" w:sz="8" w:space="0" w:color="auto"/>
              <w:right w:val="nil"/>
            </w:tcBorders>
            <w:vAlign w:val="center"/>
          </w:tcPr>
          <w:p w14:paraId="0A30C65C" w14:textId="68F34D11" w:rsidR="004B2F8D" w:rsidRPr="004B2F8D" w:rsidRDefault="00541554" w:rsidP="00541554">
            <w:pPr>
              <w:spacing w:line="240" w:lineRule="auto"/>
              <w:jc w:val="center"/>
              <w:rPr>
                <w:rFonts w:eastAsia="Times New Roman" w:cs="Times New Roman"/>
                <w:bCs/>
                <w:color w:val="000000"/>
                <w:szCs w:val="24"/>
                <w:lang w:eastAsia="en-GB"/>
              </w:rPr>
            </w:pPr>
            <w:r w:rsidRPr="004B2F8D">
              <w:rPr>
                <w:rFonts w:eastAsia="Times New Roman" w:cs="Times New Roman"/>
                <w:bCs/>
                <w:color w:val="000000"/>
                <w:szCs w:val="24"/>
                <w:lang w:eastAsia="en-GB"/>
              </w:rPr>
              <w:t>SE</w:t>
            </w:r>
          </w:p>
        </w:tc>
        <w:tc>
          <w:tcPr>
            <w:tcW w:w="576" w:type="dxa"/>
            <w:tcBorders>
              <w:top w:val="single" w:sz="8" w:space="0" w:color="auto"/>
              <w:left w:val="nil"/>
              <w:bottom w:val="single" w:sz="8" w:space="0" w:color="auto"/>
              <w:right w:val="nil"/>
            </w:tcBorders>
            <w:vAlign w:val="center"/>
          </w:tcPr>
          <w:p w14:paraId="7DEF1CA5" w14:textId="5F3187BA" w:rsidR="004B2F8D" w:rsidRPr="004B2F8D" w:rsidRDefault="004B2F8D" w:rsidP="00541554">
            <w:pPr>
              <w:spacing w:line="240" w:lineRule="auto"/>
              <w:jc w:val="center"/>
              <w:rPr>
                <w:rFonts w:eastAsia="Times New Roman" w:cs="Times New Roman"/>
                <w:bCs/>
                <w:color w:val="000000"/>
                <w:szCs w:val="24"/>
                <w:lang w:eastAsia="en-GB"/>
              </w:rPr>
            </w:pPr>
            <w:r w:rsidRPr="004B2F8D">
              <w:rPr>
                <w:rFonts w:eastAsia="Times New Roman" w:cs="Times New Roman"/>
                <w:bCs/>
                <w:color w:val="000000"/>
                <w:szCs w:val="24"/>
                <w:lang w:eastAsia="en-GB"/>
              </w:rPr>
              <w:t>N</w:t>
            </w:r>
          </w:p>
        </w:tc>
      </w:tr>
      <w:tr w:rsidR="00541554" w:rsidRPr="0069113F" w14:paraId="1FCD35E2" w14:textId="77777777" w:rsidTr="00541554">
        <w:trPr>
          <w:trHeight w:val="20"/>
        </w:trPr>
        <w:tc>
          <w:tcPr>
            <w:tcW w:w="1751" w:type="dxa"/>
            <w:tcBorders>
              <w:top w:val="nil"/>
              <w:left w:val="nil"/>
              <w:bottom w:val="nil"/>
              <w:right w:val="nil"/>
            </w:tcBorders>
            <w:shd w:val="clear" w:color="auto" w:fill="auto"/>
            <w:vAlign w:val="center"/>
            <w:hideMark/>
          </w:tcPr>
          <w:p w14:paraId="5EFC9D7A" w14:textId="77777777" w:rsidR="004B2F8D" w:rsidRPr="0069113F" w:rsidRDefault="004B2F8D" w:rsidP="00541554">
            <w:pPr>
              <w:spacing w:line="240" w:lineRule="auto"/>
              <w:rPr>
                <w:rFonts w:eastAsia="Times New Roman" w:cs="Times New Roman"/>
                <w:color w:val="000000"/>
                <w:szCs w:val="24"/>
                <w:lang w:eastAsia="en-GB"/>
              </w:rPr>
            </w:pPr>
            <w:r w:rsidRPr="0069113F">
              <w:rPr>
                <w:rFonts w:eastAsia="Times New Roman" w:cs="Times New Roman"/>
                <w:color w:val="000000"/>
                <w:szCs w:val="24"/>
                <w:lang w:eastAsia="en-GB"/>
              </w:rPr>
              <w:t>Men 25-44</w:t>
            </w:r>
          </w:p>
        </w:tc>
        <w:tc>
          <w:tcPr>
            <w:tcW w:w="773" w:type="dxa"/>
            <w:tcBorders>
              <w:top w:val="nil"/>
              <w:left w:val="nil"/>
              <w:bottom w:val="nil"/>
              <w:right w:val="nil"/>
            </w:tcBorders>
            <w:shd w:val="clear" w:color="auto" w:fill="auto"/>
            <w:noWrap/>
            <w:vAlign w:val="center"/>
            <w:hideMark/>
          </w:tcPr>
          <w:p w14:paraId="1C324935" w14:textId="2129AE37"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185</w:t>
            </w:r>
            <w:r>
              <w:rPr>
                <w:rFonts w:eastAsia="Times New Roman" w:cs="Times New Roman"/>
                <w:color w:val="000000"/>
                <w:szCs w:val="24"/>
                <w:lang w:eastAsia="en-GB"/>
              </w:rPr>
              <w:t>.</w:t>
            </w:r>
            <w:r w:rsidRPr="0069113F">
              <w:rPr>
                <w:rFonts w:eastAsia="Times New Roman" w:cs="Times New Roman"/>
                <w:color w:val="000000"/>
                <w:szCs w:val="24"/>
                <w:lang w:eastAsia="en-GB"/>
              </w:rPr>
              <w:t>8</w:t>
            </w:r>
          </w:p>
        </w:tc>
        <w:tc>
          <w:tcPr>
            <w:tcW w:w="636" w:type="dxa"/>
            <w:tcBorders>
              <w:top w:val="nil"/>
              <w:left w:val="nil"/>
              <w:bottom w:val="nil"/>
              <w:right w:val="nil"/>
            </w:tcBorders>
            <w:vAlign w:val="center"/>
          </w:tcPr>
          <w:p w14:paraId="37FC168D" w14:textId="57885364"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15</w:t>
            </w:r>
            <w:r>
              <w:rPr>
                <w:rFonts w:eastAsia="Times New Roman" w:cs="Times New Roman"/>
                <w:color w:val="000000"/>
                <w:szCs w:val="24"/>
                <w:lang w:eastAsia="en-GB"/>
              </w:rPr>
              <w:t>.</w:t>
            </w:r>
            <w:r w:rsidRPr="0069113F">
              <w:rPr>
                <w:rFonts w:eastAsia="Times New Roman" w:cs="Times New Roman"/>
                <w:color w:val="000000"/>
                <w:szCs w:val="24"/>
                <w:lang w:eastAsia="en-GB"/>
              </w:rPr>
              <w:t>8</w:t>
            </w:r>
          </w:p>
        </w:tc>
        <w:tc>
          <w:tcPr>
            <w:tcW w:w="696" w:type="dxa"/>
            <w:tcBorders>
              <w:top w:val="nil"/>
              <w:left w:val="nil"/>
              <w:bottom w:val="nil"/>
              <w:right w:val="nil"/>
            </w:tcBorders>
            <w:shd w:val="clear" w:color="auto" w:fill="auto"/>
            <w:vAlign w:val="center"/>
          </w:tcPr>
          <w:p w14:paraId="502F41B5" w14:textId="4BC0A162"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263</w:t>
            </w:r>
          </w:p>
        </w:tc>
        <w:tc>
          <w:tcPr>
            <w:tcW w:w="763" w:type="dxa"/>
            <w:tcBorders>
              <w:top w:val="nil"/>
              <w:left w:val="nil"/>
              <w:bottom w:val="nil"/>
              <w:right w:val="nil"/>
            </w:tcBorders>
            <w:shd w:val="clear" w:color="auto" w:fill="auto"/>
            <w:noWrap/>
            <w:vAlign w:val="center"/>
            <w:hideMark/>
          </w:tcPr>
          <w:p w14:paraId="3FF89339" w14:textId="570D2FD9"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169</w:t>
            </w:r>
          </w:p>
        </w:tc>
        <w:tc>
          <w:tcPr>
            <w:tcW w:w="636" w:type="dxa"/>
            <w:tcBorders>
              <w:top w:val="nil"/>
              <w:left w:val="nil"/>
              <w:bottom w:val="nil"/>
              <w:right w:val="nil"/>
            </w:tcBorders>
            <w:vAlign w:val="center"/>
          </w:tcPr>
          <w:p w14:paraId="5F33357F" w14:textId="6121D95A"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17</w:t>
            </w:r>
            <w:r>
              <w:rPr>
                <w:rFonts w:eastAsia="Times New Roman" w:cs="Times New Roman"/>
                <w:color w:val="000000"/>
                <w:szCs w:val="24"/>
                <w:lang w:eastAsia="en-GB"/>
              </w:rPr>
              <w:t>.</w:t>
            </w:r>
            <w:r w:rsidRPr="0069113F">
              <w:rPr>
                <w:rFonts w:eastAsia="Times New Roman" w:cs="Times New Roman"/>
                <w:color w:val="000000"/>
                <w:szCs w:val="24"/>
                <w:lang w:eastAsia="en-GB"/>
              </w:rPr>
              <w:t>9</w:t>
            </w:r>
          </w:p>
        </w:tc>
        <w:tc>
          <w:tcPr>
            <w:tcW w:w="576" w:type="dxa"/>
            <w:tcBorders>
              <w:top w:val="nil"/>
              <w:left w:val="nil"/>
              <w:bottom w:val="nil"/>
              <w:right w:val="nil"/>
            </w:tcBorders>
            <w:shd w:val="clear" w:color="auto" w:fill="auto"/>
            <w:vAlign w:val="center"/>
          </w:tcPr>
          <w:p w14:paraId="3E34BCB6" w14:textId="693CDE90"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112</w:t>
            </w:r>
          </w:p>
        </w:tc>
        <w:tc>
          <w:tcPr>
            <w:tcW w:w="809" w:type="dxa"/>
            <w:tcBorders>
              <w:top w:val="nil"/>
              <w:left w:val="nil"/>
              <w:bottom w:val="nil"/>
              <w:right w:val="nil"/>
            </w:tcBorders>
            <w:shd w:val="clear" w:color="auto" w:fill="auto"/>
            <w:noWrap/>
            <w:vAlign w:val="center"/>
            <w:hideMark/>
          </w:tcPr>
          <w:p w14:paraId="08386524" w14:textId="2FF176B1"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214</w:t>
            </w:r>
          </w:p>
        </w:tc>
        <w:tc>
          <w:tcPr>
            <w:tcW w:w="636" w:type="dxa"/>
            <w:tcBorders>
              <w:top w:val="nil"/>
              <w:left w:val="nil"/>
              <w:bottom w:val="nil"/>
              <w:right w:val="nil"/>
            </w:tcBorders>
            <w:vAlign w:val="center"/>
          </w:tcPr>
          <w:p w14:paraId="0491FDF2" w14:textId="3244E334"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33</w:t>
            </w:r>
            <w:r>
              <w:rPr>
                <w:rFonts w:eastAsia="Times New Roman" w:cs="Times New Roman"/>
                <w:color w:val="000000"/>
                <w:szCs w:val="24"/>
                <w:lang w:eastAsia="en-GB"/>
              </w:rPr>
              <w:t>.</w:t>
            </w:r>
            <w:r w:rsidRPr="0069113F">
              <w:rPr>
                <w:rFonts w:eastAsia="Times New Roman" w:cs="Times New Roman"/>
                <w:color w:val="000000"/>
                <w:szCs w:val="24"/>
                <w:lang w:eastAsia="en-GB"/>
              </w:rPr>
              <w:t>8</w:t>
            </w:r>
          </w:p>
        </w:tc>
        <w:tc>
          <w:tcPr>
            <w:tcW w:w="576" w:type="dxa"/>
            <w:tcBorders>
              <w:top w:val="nil"/>
              <w:left w:val="nil"/>
              <w:bottom w:val="nil"/>
              <w:right w:val="nil"/>
            </w:tcBorders>
            <w:vAlign w:val="center"/>
          </w:tcPr>
          <w:p w14:paraId="768CD371" w14:textId="505FC193"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51</w:t>
            </w:r>
          </w:p>
        </w:tc>
        <w:tc>
          <w:tcPr>
            <w:tcW w:w="820" w:type="dxa"/>
            <w:tcBorders>
              <w:top w:val="nil"/>
              <w:left w:val="nil"/>
              <w:bottom w:val="nil"/>
              <w:right w:val="nil"/>
            </w:tcBorders>
            <w:shd w:val="clear" w:color="auto" w:fill="auto"/>
            <w:noWrap/>
            <w:vAlign w:val="center"/>
            <w:hideMark/>
          </w:tcPr>
          <w:p w14:paraId="13988D31" w14:textId="5D633C7D"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189</w:t>
            </w:r>
            <w:r>
              <w:rPr>
                <w:rFonts w:eastAsia="Times New Roman" w:cs="Times New Roman"/>
                <w:color w:val="000000"/>
                <w:szCs w:val="24"/>
                <w:lang w:eastAsia="en-GB"/>
              </w:rPr>
              <w:t>.</w:t>
            </w:r>
            <w:r w:rsidRPr="0069113F">
              <w:rPr>
                <w:rFonts w:eastAsia="Times New Roman" w:cs="Times New Roman"/>
                <w:color w:val="000000"/>
                <w:szCs w:val="24"/>
                <w:lang w:eastAsia="en-GB"/>
              </w:rPr>
              <w:t>4</w:t>
            </w:r>
          </w:p>
        </w:tc>
        <w:tc>
          <w:tcPr>
            <w:tcW w:w="636" w:type="dxa"/>
            <w:tcBorders>
              <w:top w:val="nil"/>
              <w:left w:val="nil"/>
              <w:bottom w:val="nil"/>
              <w:right w:val="nil"/>
            </w:tcBorders>
            <w:vAlign w:val="center"/>
          </w:tcPr>
          <w:p w14:paraId="219E097A" w14:textId="3C823EC8"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25</w:t>
            </w:r>
            <w:r>
              <w:rPr>
                <w:rFonts w:eastAsia="Times New Roman" w:cs="Times New Roman"/>
                <w:color w:val="000000"/>
                <w:szCs w:val="24"/>
                <w:lang w:eastAsia="en-GB"/>
              </w:rPr>
              <w:t>.</w:t>
            </w:r>
            <w:r w:rsidRPr="0069113F">
              <w:rPr>
                <w:rFonts w:eastAsia="Times New Roman" w:cs="Times New Roman"/>
                <w:color w:val="000000"/>
                <w:szCs w:val="24"/>
                <w:lang w:eastAsia="en-GB"/>
              </w:rPr>
              <w:t>8</w:t>
            </w:r>
          </w:p>
        </w:tc>
        <w:tc>
          <w:tcPr>
            <w:tcW w:w="576" w:type="dxa"/>
            <w:tcBorders>
              <w:top w:val="nil"/>
              <w:left w:val="nil"/>
              <w:bottom w:val="nil"/>
              <w:right w:val="nil"/>
            </w:tcBorders>
            <w:vAlign w:val="center"/>
          </w:tcPr>
          <w:p w14:paraId="5E6D3D15" w14:textId="0C367E75"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100</w:t>
            </w:r>
          </w:p>
        </w:tc>
      </w:tr>
      <w:tr w:rsidR="00541554" w:rsidRPr="0069113F" w14:paraId="5D5A0827" w14:textId="77777777" w:rsidTr="00541554">
        <w:trPr>
          <w:trHeight w:val="20"/>
        </w:trPr>
        <w:tc>
          <w:tcPr>
            <w:tcW w:w="1751" w:type="dxa"/>
            <w:tcBorders>
              <w:top w:val="nil"/>
              <w:left w:val="nil"/>
              <w:bottom w:val="nil"/>
              <w:right w:val="nil"/>
            </w:tcBorders>
            <w:shd w:val="clear" w:color="auto" w:fill="auto"/>
            <w:vAlign w:val="center"/>
            <w:hideMark/>
          </w:tcPr>
          <w:p w14:paraId="1E98DE1E" w14:textId="77777777" w:rsidR="004B2F8D" w:rsidRPr="0069113F" w:rsidRDefault="004B2F8D" w:rsidP="00541554">
            <w:pPr>
              <w:spacing w:line="240" w:lineRule="auto"/>
              <w:rPr>
                <w:rFonts w:eastAsia="Times New Roman" w:cs="Times New Roman"/>
                <w:color w:val="000000"/>
                <w:szCs w:val="24"/>
                <w:lang w:eastAsia="en-GB"/>
              </w:rPr>
            </w:pPr>
            <w:r w:rsidRPr="0069113F">
              <w:rPr>
                <w:rFonts w:eastAsia="Times New Roman" w:cs="Times New Roman"/>
                <w:color w:val="000000"/>
                <w:szCs w:val="24"/>
                <w:lang w:eastAsia="en-GB"/>
              </w:rPr>
              <w:t>Men 45-64</w:t>
            </w:r>
          </w:p>
        </w:tc>
        <w:tc>
          <w:tcPr>
            <w:tcW w:w="773" w:type="dxa"/>
            <w:tcBorders>
              <w:top w:val="nil"/>
              <w:left w:val="nil"/>
              <w:bottom w:val="nil"/>
              <w:right w:val="nil"/>
            </w:tcBorders>
            <w:shd w:val="clear" w:color="auto" w:fill="auto"/>
            <w:noWrap/>
            <w:vAlign w:val="center"/>
            <w:hideMark/>
          </w:tcPr>
          <w:p w14:paraId="698DF585" w14:textId="43147F98"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80</w:t>
            </w:r>
            <w:r>
              <w:rPr>
                <w:rFonts w:eastAsia="Times New Roman" w:cs="Times New Roman"/>
                <w:color w:val="000000"/>
                <w:szCs w:val="24"/>
                <w:lang w:eastAsia="en-GB"/>
              </w:rPr>
              <w:t>.</w:t>
            </w:r>
            <w:r w:rsidRPr="0069113F">
              <w:rPr>
                <w:rFonts w:eastAsia="Times New Roman" w:cs="Times New Roman"/>
                <w:color w:val="000000"/>
                <w:szCs w:val="24"/>
                <w:lang w:eastAsia="en-GB"/>
              </w:rPr>
              <w:t>3</w:t>
            </w:r>
          </w:p>
        </w:tc>
        <w:tc>
          <w:tcPr>
            <w:tcW w:w="636" w:type="dxa"/>
            <w:tcBorders>
              <w:top w:val="nil"/>
              <w:left w:val="nil"/>
              <w:bottom w:val="nil"/>
              <w:right w:val="nil"/>
            </w:tcBorders>
            <w:vAlign w:val="center"/>
          </w:tcPr>
          <w:p w14:paraId="7BE8F716" w14:textId="70BE6A4D"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10</w:t>
            </w:r>
            <w:r>
              <w:rPr>
                <w:rFonts w:eastAsia="Times New Roman" w:cs="Times New Roman"/>
                <w:color w:val="000000"/>
                <w:szCs w:val="24"/>
                <w:lang w:eastAsia="en-GB"/>
              </w:rPr>
              <w:t>.</w:t>
            </w:r>
            <w:r w:rsidRPr="0069113F">
              <w:rPr>
                <w:rFonts w:eastAsia="Times New Roman" w:cs="Times New Roman"/>
                <w:color w:val="000000"/>
                <w:szCs w:val="24"/>
                <w:lang w:eastAsia="en-GB"/>
              </w:rPr>
              <w:t>7</w:t>
            </w:r>
          </w:p>
        </w:tc>
        <w:tc>
          <w:tcPr>
            <w:tcW w:w="696" w:type="dxa"/>
            <w:tcBorders>
              <w:top w:val="nil"/>
              <w:left w:val="nil"/>
              <w:bottom w:val="nil"/>
              <w:right w:val="nil"/>
            </w:tcBorders>
            <w:shd w:val="clear" w:color="auto" w:fill="auto"/>
            <w:vAlign w:val="center"/>
          </w:tcPr>
          <w:p w14:paraId="0610DA3E" w14:textId="5CF9F2EB"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285</w:t>
            </w:r>
          </w:p>
        </w:tc>
        <w:tc>
          <w:tcPr>
            <w:tcW w:w="763" w:type="dxa"/>
            <w:tcBorders>
              <w:top w:val="nil"/>
              <w:left w:val="nil"/>
              <w:bottom w:val="nil"/>
              <w:right w:val="nil"/>
            </w:tcBorders>
            <w:shd w:val="clear" w:color="auto" w:fill="auto"/>
            <w:noWrap/>
            <w:vAlign w:val="center"/>
            <w:hideMark/>
          </w:tcPr>
          <w:p w14:paraId="4F9137B7" w14:textId="046FD18C"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83</w:t>
            </w:r>
            <w:r>
              <w:rPr>
                <w:rFonts w:eastAsia="Times New Roman" w:cs="Times New Roman"/>
                <w:color w:val="000000"/>
                <w:szCs w:val="24"/>
                <w:lang w:eastAsia="en-GB"/>
              </w:rPr>
              <w:t>.</w:t>
            </w:r>
            <w:r w:rsidRPr="0069113F">
              <w:rPr>
                <w:rFonts w:eastAsia="Times New Roman" w:cs="Times New Roman"/>
                <w:color w:val="000000"/>
                <w:szCs w:val="24"/>
                <w:lang w:eastAsia="en-GB"/>
              </w:rPr>
              <w:t>2</w:t>
            </w:r>
          </w:p>
        </w:tc>
        <w:tc>
          <w:tcPr>
            <w:tcW w:w="636" w:type="dxa"/>
            <w:tcBorders>
              <w:top w:val="nil"/>
              <w:left w:val="nil"/>
              <w:bottom w:val="nil"/>
              <w:right w:val="nil"/>
            </w:tcBorders>
            <w:vAlign w:val="center"/>
          </w:tcPr>
          <w:p w14:paraId="4AC1B423" w14:textId="27C8BCC7"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14</w:t>
            </w:r>
            <w:r>
              <w:rPr>
                <w:rFonts w:eastAsia="Times New Roman" w:cs="Times New Roman"/>
                <w:color w:val="000000"/>
                <w:szCs w:val="24"/>
                <w:lang w:eastAsia="en-GB"/>
              </w:rPr>
              <w:t>.</w:t>
            </w:r>
            <w:r w:rsidRPr="0069113F">
              <w:rPr>
                <w:rFonts w:eastAsia="Times New Roman" w:cs="Times New Roman"/>
                <w:color w:val="000000"/>
                <w:szCs w:val="24"/>
                <w:lang w:eastAsia="en-GB"/>
              </w:rPr>
              <w:t>2</w:t>
            </w:r>
          </w:p>
        </w:tc>
        <w:tc>
          <w:tcPr>
            <w:tcW w:w="576" w:type="dxa"/>
            <w:tcBorders>
              <w:top w:val="nil"/>
              <w:left w:val="nil"/>
              <w:bottom w:val="nil"/>
              <w:right w:val="nil"/>
            </w:tcBorders>
            <w:shd w:val="clear" w:color="auto" w:fill="auto"/>
            <w:vAlign w:val="center"/>
          </w:tcPr>
          <w:p w14:paraId="1113545B" w14:textId="4A982B4B"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130</w:t>
            </w:r>
          </w:p>
        </w:tc>
        <w:tc>
          <w:tcPr>
            <w:tcW w:w="809" w:type="dxa"/>
            <w:tcBorders>
              <w:top w:val="nil"/>
              <w:left w:val="nil"/>
              <w:bottom w:val="nil"/>
              <w:right w:val="nil"/>
            </w:tcBorders>
            <w:shd w:val="clear" w:color="auto" w:fill="auto"/>
            <w:noWrap/>
            <w:vAlign w:val="center"/>
            <w:hideMark/>
          </w:tcPr>
          <w:p w14:paraId="2D97D79D" w14:textId="50C6ADD7"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81</w:t>
            </w:r>
            <w:r>
              <w:rPr>
                <w:rFonts w:eastAsia="Times New Roman" w:cs="Times New Roman"/>
                <w:color w:val="000000"/>
                <w:szCs w:val="24"/>
                <w:lang w:eastAsia="en-GB"/>
              </w:rPr>
              <w:t>.</w:t>
            </w:r>
            <w:r w:rsidRPr="0069113F">
              <w:rPr>
                <w:rFonts w:eastAsia="Times New Roman" w:cs="Times New Roman"/>
                <w:color w:val="000000"/>
                <w:szCs w:val="24"/>
                <w:lang w:eastAsia="en-GB"/>
              </w:rPr>
              <w:t>5</w:t>
            </w:r>
          </w:p>
        </w:tc>
        <w:tc>
          <w:tcPr>
            <w:tcW w:w="636" w:type="dxa"/>
            <w:tcBorders>
              <w:top w:val="nil"/>
              <w:left w:val="nil"/>
              <w:bottom w:val="nil"/>
              <w:right w:val="nil"/>
            </w:tcBorders>
            <w:vAlign w:val="center"/>
          </w:tcPr>
          <w:p w14:paraId="625149FD" w14:textId="73ECEC3E"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15</w:t>
            </w:r>
            <w:r>
              <w:rPr>
                <w:rFonts w:eastAsia="Times New Roman" w:cs="Times New Roman"/>
                <w:color w:val="000000"/>
                <w:szCs w:val="24"/>
                <w:lang w:eastAsia="en-GB"/>
              </w:rPr>
              <w:t>.0</w:t>
            </w:r>
          </w:p>
        </w:tc>
        <w:tc>
          <w:tcPr>
            <w:tcW w:w="576" w:type="dxa"/>
            <w:tcBorders>
              <w:top w:val="nil"/>
              <w:left w:val="nil"/>
              <w:bottom w:val="nil"/>
              <w:right w:val="nil"/>
            </w:tcBorders>
            <w:vAlign w:val="center"/>
          </w:tcPr>
          <w:p w14:paraId="3537707C" w14:textId="6FC7E2B6"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53</w:t>
            </w:r>
          </w:p>
        </w:tc>
        <w:tc>
          <w:tcPr>
            <w:tcW w:w="820" w:type="dxa"/>
            <w:tcBorders>
              <w:top w:val="nil"/>
              <w:left w:val="nil"/>
              <w:bottom w:val="nil"/>
              <w:right w:val="nil"/>
            </w:tcBorders>
            <w:shd w:val="clear" w:color="auto" w:fill="auto"/>
            <w:noWrap/>
            <w:vAlign w:val="center"/>
            <w:hideMark/>
          </w:tcPr>
          <w:p w14:paraId="2AE325B5" w14:textId="710803F8"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75</w:t>
            </w:r>
            <w:r>
              <w:rPr>
                <w:rFonts w:eastAsia="Times New Roman" w:cs="Times New Roman"/>
                <w:color w:val="000000"/>
                <w:szCs w:val="24"/>
                <w:lang w:eastAsia="en-GB"/>
              </w:rPr>
              <w:t>.</w:t>
            </w:r>
            <w:r w:rsidRPr="0069113F">
              <w:rPr>
                <w:rFonts w:eastAsia="Times New Roman" w:cs="Times New Roman"/>
                <w:color w:val="000000"/>
                <w:szCs w:val="24"/>
                <w:lang w:eastAsia="en-GB"/>
              </w:rPr>
              <w:t>8</w:t>
            </w:r>
          </w:p>
        </w:tc>
        <w:tc>
          <w:tcPr>
            <w:tcW w:w="636" w:type="dxa"/>
            <w:tcBorders>
              <w:top w:val="nil"/>
              <w:left w:val="nil"/>
              <w:bottom w:val="nil"/>
              <w:right w:val="nil"/>
            </w:tcBorders>
            <w:vAlign w:val="center"/>
          </w:tcPr>
          <w:p w14:paraId="5720C703" w14:textId="26CEBEE3"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15</w:t>
            </w:r>
            <w:r>
              <w:rPr>
                <w:rFonts w:eastAsia="Times New Roman" w:cs="Times New Roman"/>
                <w:color w:val="000000"/>
                <w:szCs w:val="24"/>
                <w:lang w:eastAsia="en-GB"/>
              </w:rPr>
              <w:t>.</w:t>
            </w:r>
            <w:r w:rsidRPr="0069113F">
              <w:rPr>
                <w:rFonts w:eastAsia="Times New Roman" w:cs="Times New Roman"/>
                <w:color w:val="000000"/>
                <w:szCs w:val="24"/>
                <w:lang w:eastAsia="en-GB"/>
              </w:rPr>
              <w:t>2</w:t>
            </w:r>
          </w:p>
        </w:tc>
        <w:tc>
          <w:tcPr>
            <w:tcW w:w="576" w:type="dxa"/>
            <w:tcBorders>
              <w:top w:val="nil"/>
              <w:left w:val="nil"/>
              <w:bottom w:val="nil"/>
              <w:right w:val="nil"/>
            </w:tcBorders>
            <w:vAlign w:val="center"/>
          </w:tcPr>
          <w:p w14:paraId="672A505E" w14:textId="46DE3EEC"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102</w:t>
            </w:r>
          </w:p>
        </w:tc>
      </w:tr>
      <w:tr w:rsidR="00541554" w:rsidRPr="0069113F" w14:paraId="1D0066A3" w14:textId="77777777" w:rsidTr="00541554">
        <w:trPr>
          <w:trHeight w:val="20"/>
        </w:trPr>
        <w:tc>
          <w:tcPr>
            <w:tcW w:w="1751" w:type="dxa"/>
            <w:tcBorders>
              <w:top w:val="nil"/>
              <w:left w:val="nil"/>
              <w:bottom w:val="nil"/>
              <w:right w:val="nil"/>
            </w:tcBorders>
            <w:shd w:val="clear" w:color="auto" w:fill="auto"/>
            <w:vAlign w:val="center"/>
            <w:hideMark/>
          </w:tcPr>
          <w:p w14:paraId="61F7B07C" w14:textId="77777777" w:rsidR="004B2F8D" w:rsidRPr="0069113F" w:rsidRDefault="004B2F8D" w:rsidP="00541554">
            <w:pPr>
              <w:spacing w:line="240" w:lineRule="auto"/>
              <w:rPr>
                <w:rFonts w:eastAsia="Times New Roman" w:cs="Times New Roman"/>
                <w:color w:val="000000"/>
                <w:szCs w:val="24"/>
                <w:lang w:eastAsia="en-GB"/>
              </w:rPr>
            </w:pPr>
            <w:r w:rsidRPr="0069113F">
              <w:rPr>
                <w:rFonts w:eastAsia="Times New Roman" w:cs="Times New Roman"/>
                <w:color w:val="000000"/>
                <w:szCs w:val="24"/>
                <w:lang w:eastAsia="en-GB"/>
              </w:rPr>
              <w:t>Men 65+</w:t>
            </w:r>
          </w:p>
        </w:tc>
        <w:tc>
          <w:tcPr>
            <w:tcW w:w="773" w:type="dxa"/>
            <w:tcBorders>
              <w:top w:val="nil"/>
              <w:left w:val="nil"/>
              <w:bottom w:val="nil"/>
              <w:right w:val="nil"/>
            </w:tcBorders>
            <w:shd w:val="clear" w:color="auto" w:fill="auto"/>
            <w:noWrap/>
            <w:vAlign w:val="center"/>
            <w:hideMark/>
          </w:tcPr>
          <w:p w14:paraId="763A6999" w14:textId="5B8D2C64"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56</w:t>
            </w:r>
            <w:r>
              <w:rPr>
                <w:rFonts w:eastAsia="Times New Roman" w:cs="Times New Roman"/>
                <w:color w:val="000000"/>
                <w:szCs w:val="24"/>
                <w:lang w:eastAsia="en-GB"/>
              </w:rPr>
              <w:t>.</w:t>
            </w:r>
            <w:r w:rsidRPr="0069113F">
              <w:rPr>
                <w:rFonts w:eastAsia="Times New Roman" w:cs="Times New Roman"/>
                <w:color w:val="000000"/>
                <w:szCs w:val="24"/>
                <w:lang w:eastAsia="en-GB"/>
              </w:rPr>
              <w:t>9</w:t>
            </w:r>
          </w:p>
        </w:tc>
        <w:tc>
          <w:tcPr>
            <w:tcW w:w="636" w:type="dxa"/>
            <w:tcBorders>
              <w:top w:val="nil"/>
              <w:left w:val="nil"/>
              <w:bottom w:val="nil"/>
              <w:right w:val="nil"/>
            </w:tcBorders>
            <w:vAlign w:val="center"/>
          </w:tcPr>
          <w:p w14:paraId="6B61E85C" w14:textId="7E52648E"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9</w:t>
            </w:r>
            <w:r>
              <w:rPr>
                <w:rFonts w:eastAsia="Times New Roman" w:cs="Times New Roman"/>
                <w:color w:val="000000"/>
                <w:szCs w:val="24"/>
                <w:lang w:eastAsia="en-GB"/>
              </w:rPr>
              <w:t>.0</w:t>
            </w:r>
          </w:p>
        </w:tc>
        <w:tc>
          <w:tcPr>
            <w:tcW w:w="696" w:type="dxa"/>
            <w:tcBorders>
              <w:top w:val="nil"/>
              <w:left w:val="nil"/>
              <w:bottom w:val="nil"/>
              <w:right w:val="nil"/>
            </w:tcBorders>
            <w:shd w:val="clear" w:color="auto" w:fill="auto"/>
            <w:vAlign w:val="center"/>
          </w:tcPr>
          <w:p w14:paraId="39F209A5" w14:textId="335BFF67"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161</w:t>
            </w:r>
          </w:p>
        </w:tc>
        <w:tc>
          <w:tcPr>
            <w:tcW w:w="763" w:type="dxa"/>
            <w:tcBorders>
              <w:top w:val="nil"/>
              <w:left w:val="nil"/>
              <w:bottom w:val="nil"/>
              <w:right w:val="nil"/>
            </w:tcBorders>
            <w:shd w:val="clear" w:color="auto" w:fill="auto"/>
            <w:noWrap/>
            <w:vAlign w:val="center"/>
            <w:hideMark/>
          </w:tcPr>
          <w:p w14:paraId="1568CA8C" w14:textId="51ECD65D"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68</w:t>
            </w:r>
            <w:r>
              <w:rPr>
                <w:rFonts w:eastAsia="Times New Roman" w:cs="Times New Roman"/>
                <w:color w:val="000000"/>
                <w:szCs w:val="24"/>
                <w:lang w:eastAsia="en-GB"/>
              </w:rPr>
              <w:t>.</w:t>
            </w:r>
            <w:r w:rsidRPr="0069113F">
              <w:rPr>
                <w:rFonts w:eastAsia="Times New Roman" w:cs="Times New Roman"/>
                <w:color w:val="000000"/>
                <w:szCs w:val="24"/>
                <w:lang w:eastAsia="en-GB"/>
              </w:rPr>
              <w:t>4</w:t>
            </w:r>
          </w:p>
        </w:tc>
        <w:tc>
          <w:tcPr>
            <w:tcW w:w="636" w:type="dxa"/>
            <w:tcBorders>
              <w:top w:val="nil"/>
              <w:left w:val="nil"/>
              <w:bottom w:val="nil"/>
              <w:right w:val="nil"/>
            </w:tcBorders>
            <w:vAlign w:val="center"/>
          </w:tcPr>
          <w:p w14:paraId="209E00FE" w14:textId="4AA54213"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12</w:t>
            </w:r>
            <w:r>
              <w:rPr>
                <w:rFonts w:eastAsia="Times New Roman" w:cs="Times New Roman"/>
                <w:color w:val="000000"/>
                <w:szCs w:val="24"/>
                <w:lang w:eastAsia="en-GB"/>
              </w:rPr>
              <w:t>.</w:t>
            </w:r>
            <w:r w:rsidRPr="0069113F">
              <w:rPr>
                <w:rFonts w:eastAsia="Times New Roman" w:cs="Times New Roman"/>
                <w:color w:val="000000"/>
                <w:szCs w:val="24"/>
                <w:lang w:eastAsia="en-GB"/>
              </w:rPr>
              <w:t>6</w:t>
            </w:r>
          </w:p>
        </w:tc>
        <w:tc>
          <w:tcPr>
            <w:tcW w:w="576" w:type="dxa"/>
            <w:tcBorders>
              <w:top w:val="nil"/>
              <w:left w:val="nil"/>
              <w:bottom w:val="nil"/>
              <w:right w:val="nil"/>
            </w:tcBorders>
            <w:shd w:val="clear" w:color="auto" w:fill="auto"/>
            <w:vAlign w:val="center"/>
          </w:tcPr>
          <w:p w14:paraId="702F1AE6" w14:textId="04287F08"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92</w:t>
            </w:r>
          </w:p>
        </w:tc>
        <w:tc>
          <w:tcPr>
            <w:tcW w:w="809" w:type="dxa"/>
            <w:tcBorders>
              <w:top w:val="nil"/>
              <w:left w:val="nil"/>
              <w:bottom w:val="nil"/>
              <w:right w:val="nil"/>
            </w:tcBorders>
            <w:shd w:val="clear" w:color="auto" w:fill="auto"/>
            <w:noWrap/>
            <w:vAlign w:val="center"/>
            <w:hideMark/>
          </w:tcPr>
          <w:p w14:paraId="5A27D2AE" w14:textId="05E8860E"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56</w:t>
            </w:r>
            <w:r>
              <w:rPr>
                <w:rFonts w:eastAsia="Times New Roman" w:cs="Times New Roman"/>
                <w:color w:val="000000"/>
                <w:szCs w:val="24"/>
                <w:lang w:eastAsia="en-GB"/>
              </w:rPr>
              <w:t>.</w:t>
            </w:r>
            <w:r w:rsidRPr="0069113F">
              <w:rPr>
                <w:rFonts w:eastAsia="Times New Roman" w:cs="Times New Roman"/>
                <w:color w:val="000000"/>
                <w:szCs w:val="24"/>
                <w:lang w:eastAsia="en-GB"/>
              </w:rPr>
              <w:t>2</w:t>
            </w:r>
          </w:p>
        </w:tc>
        <w:tc>
          <w:tcPr>
            <w:tcW w:w="636" w:type="dxa"/>
            <w:tcBorders>
              <w:top w:val="nil"/>
              <w:left w:val="nil"/>
              <w:bottom w:val="nil"/>
              <w:right w:val="nil"/>
            </w:tcBorders>
            <w:vAlign w:val="center"/>
          </w:tcPr>
          <w:p w14:paraId="350F53B6" w14:textId="14D5C7C3"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10</w:t>
            </w:r>
            <w:r>
              <w:rPr>
                <w:rFonts w:eastAsia="Times New Roman" w:cs="Times New Roman"/>
                <w:color w:val="000000"/>
                <w:szCs w:val="24"/>
                <w:lang w:eastAsia="en-GB"/>
              </w:rPr>
              <w:t>.</w:t>
            </w:r>
            <w:r w:rsidRPr="0069113F">
              <w:rPr>
                <w:rFonts w:eastAsia="Times New Roman" w:cs="Times New Roman"/>
                <w:color w:val="000000"/>
                <w:szCs w:val="24"/>
                <w:lang w:eastAsia="en-GB"/>
              </w:rPr>
              <w:t>5</w:t>
            </w:r>
          </w:p>
        </w:tc>
        <w:tc>
          <w:tcPr>
            <w:tcW w:w="576" w:type="dxa"/>
            <w:tcBorders>
              <w:top w:val="nil"/>
              <w:left w:val="nil"/>
              <w:bottom w:val="nil"/>
              <w:right w:val="nil"/>
            </w:tcBorders>
            <w:vAlign w:val="center"/>
          </w:tcPr>
          <w:p w14:paraId="44CA310E" w14:textId="63906213"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20</w:t>
            </w:r>
          </w:p>
        </w:tc>
        <w:tc>
          <w:tcPr>
            <w:tcW w:w="820" w:type="dxa"/>
            <w:tcBorders>
              <w:top w:val="nil"/>
              <w:left w:val="nil"/>
              <w:bottom w:val="nil"/>
              <w:right w:val="nil"/>
            </w:tcBorders>
            <w:shd w:val="clear" w:color="auto" w:fill="auto"/>
            <w:noWrap/>
            <w:vAlign w:val="center"/>
            <w:hideMark/>
          </w:tcPr>
          <w:p w14:paraId="1BC8C9BE" w14:textId="446B7983"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34</w:t>
            </w:r>
            <w:r>
              <w:rPr>
                <w:rFonts w:eastAsia="Times New Roman" w:cs="Times New Roman"/>
                <w:color w:val="000000"/>
                <w:szCs w:val="24"/>
                <w:lang w:eastAsia="en-GB"/>
              </w:rPr>
              <w:t>.</w:t>
            </w:r>
            <w:r w:rsidRPr="0069113F">
              <w:rPr>
                <w:rFonts w:eastAsia="Times New Roman" w:cs="Times New Roman"/>
                <w:color w:val="000000"/>
                <w:szCs w:val="24"/>
                <w:lang w:eastAsia="en-GB"/>
              </w:rPr>
              <w:t>3</w:t>
            </w:r>
          </w:p>
        </w:tc>
        <w:tc>
          <w:tcPr>
            <w:tcW w:w="636" w:type="dxa"/>
            <w:tcBorders>
              <w:top w:val="nil"/>
              <w:left w:val="nil"/>
              <w:bottom w:val="nil"/>
              <w:right w:val="nil"/>
            </w:tcBorders>
            <w:vAlign w:val="center"/>
          </w:tcPr>
          <w:p w14:paraId="00D40A85" w14:textId="3131E3FF"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9</w:t>
            </w:r>
            <w:r>
              <w:rPr>
                <w:rFonts w:eastAsia="Times New Roman" w:cs="Times New Roman"/>
                <w:color w:val="000000"/>
                <w:szCs w:val="24"/>
                <w:lang w:eastAsia="en-GB"/>
              </w:rPr>
              <w:t>.</w:t>
            </w:r>
            <w:r w:rsidRPr="0069113F">
              <w:rPr>
                <w:rFonts w:eastAsia="Times New Roman" w:cs="Times New Roman"/>
                <w:color w:val="000000"/>
                <w:szCs w:val="24"/>
                <w:lang w:eastAsia="en-GB"/>
              </w:rPr>
              <w:t>3</w:t>
            </w:r>
          </w:p>
        </w:tc>
        <w:tc>
          <w:tcPr>
            <w:tcW w:w="576" w:type="dxa"/>
            <w:tcBorders>
              <w:top w:val="nil"/>
              <w:left w:val="nil"/>
              <w:bottom w:val="nil"/>
              <w:right w:val="nil"/>
            </w:tcBorders>
            <w:vAlign w:val="center"/>
          </w:tcPr>
          <w:p w14:paraId="00F047D5" w14:textId="1F7FB1C8"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49</w:t>
            </w:r>
          </w:p>
        </w:tc>
      </w:tr>
      <w:tr w:rsidR="00541554" w:rsidRPr="0069113F" w14:paraId="13656D5E" w14:textId="77777777" w:rsidTr="00541554">
        <w:trPr>
          <w:trHeight w:val="20"/>
        </w:trPr>
        <w:tc>
          <w:tcPr>
            <w:tcW w:w="1751" w:type="dxa"/>
            <w:tcBorders>
              <w:top w:val="nil"/>
              <w:left w:val="nil"/>
              <w:bottom w:val="nil"/>
              <w:right w:val="nil"/>
            </w:tcBorders>
            <w:shd w:val="clear" w:color="auto" w:fill="auto"/>
            <w:vAlign w:val="center"/>
            <w:hideMark/>
          </w:tcPr>
          <w:p w14:paraId="336E2DCB" w14:textId="77777777" w:rsidR="004B2F8D" w:rsidRPr="0069113F" w:rsidRDefault="004B2F8D" w:rsidP="00541554">
            <w:pPr>
              <w:spacing w:line="240" w:lineRule="auto"/>
              <w:rPr>
                <w:rFonts w:eastAsia="Times New Roman" w:cs="Times New Roman"/>
                <w:color w:val="000000"/>
                <w:szCs w:val="24"/>
                <w:lang w:eastAsia="en-GB"/>
              </w:rPr>
            </w:pPr>
            <w:r w:rsidRPr="0069113F">
              <w:rPr>
                <w:rFonts w:eastAsia="Times New Roman" w:cs="Times New Roman"/>
                <w:color w:val="000000"/>
                <w:szCs w:val="24"/>
                <w:lang w:eastAsia="en-GB"/>
              </w:rPr>
              <w:t>Women 25-44</w:t>
            </w:r>
          </w:p>
        </w:tc>
        <w:tc>
          <w:tcPr>
            <w:tcW w:w="773" w:type="dxa"/>
            <w:tcBorders>
              <w:top w:val="nil"/>
              <w:left w:val="nil"/>
              <w:bottom w:val="nil"/>
              <w:right w:val="nil"/>
            </w:tcBorders>
            <w:shd w:val="clear" w:color="auto" w:fill="auto"/>
            <w:noWrap/>
            <w:vAlign w:val="center"/>
            <w:hideMark/>
          </w:tcPr>
          <w:p w14:paraId="24DF9B07" w14:textId="6A2179CB"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112</w:t>
            </w:r>
          </w:p>
        </w:tc>
        <w:tc>
          <w:tcPr>
            <w:tcW w:w="636" w:type="dxa"/>
            <w:tcBorders>
              <w:top w:val="nil"/>
              <w:left w:val="nil"/>
              <w:bottom w:val="nil"/>
              <w:right w:val="nil"/>
            </w:tcBorders>
            <w:vAlign w:val="center"/>
          </w:tcPr>
          <w:p w14:paraId="1A144488" w14:textId="312174DC"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13</w:t>
            </w:r>
            <w:r>
              <w:rPr>
                <w:rFonts w:eastAsia="Times New Roman" w:cs="Times New Roman"/>
                <w:color w:val="000000"/>
                <w:szCs w:val="24"/>
                <w:lang w:eastAsia="en-GB"/>
              </w:rPr>
              <w:t>.</w:t>
            </w:r>
            <w:r w:rsidRPr="0069113F">
              <w:rPr>
                <w:rFonts w:eastAsia="Times New Roman" w:cs="Times New Roman"/>
                <w:color w:val="000000"/>
                <w:szCs w:val="24"/>
                <w:lang w:eastAsia="en-GB"/>
              </w:rPr>
              <w:t>2</w:t>
            </w:r>
          </w:p>
        </w:tc>
        <w:tc>
          <w:tcPr>
            <w:tcW w:w="696" w:type="dxa"/>
            <w:tcBorders>
              <w:top w:val="nil"/>
              <w:left w:val="nil"/>
              <w:bottom w:val="nil"/>
              <w:right w:val="nil"/>
            </w:tcBorders>
            <w:shd w:val="clear" w:color="auto" w:fill="auto"/>
            <w:vAlign w:val="center"/>
          </w:tcPr>
          <w:p w14:paraId="314B284F" w14:textId="261BF860"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347</w:t>
            </w:r>
          </w:p>
        </w:tc>
        <w:tc>
          <w:tcPr>
            <w:tcW w:w="763" w:type="dxa"/>
            <w:tcBorders>
              <w:top w:val="nil"/>
              <w:left w:val="nil"/>
              <w:bottom w:val="nil"/>
              <w:right w:val="nil"/>
            </w:tcBorders>
            <w:shd w:val="clear" w:color="auto" w:fill="auto"/>
            <w:noWrap/>
            <w:vAlign w:val="center"/>
            <w:hideMark/>
          </w:tcPr>
          <w:p w14:paraId="2B5628D8" w14:textId="214A4D78"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99</w:t>
            </w:r>
            <w:r>
              <w:rPr>
                <w:rFonts w:eastAsia="Times New Roman" w:cs="Times New Roman"/>
                <w:color w:val="000000"/>
                <w:szCs w:val="24"/>
                <w:lang w:eastAsia="en-GB"/>
              </w:rPr>
              <w:t>.</w:t>
            </w:r>
            <w:r w:rsidRPr="0069113F">
              <w:rPr>
                <w:rFonts w:eastAsia="Times New Roman" w:cs="Times New Roman"/>
                <w:color w:val="000000"/>
                <w:szCs w:val="24"/>
                <w:lang w:eastAsia="en-GB"/>
              </w:rPr>
              <w:t>3</w:t>
            </w:r>
          </w:p>
        </w:tc>
        <w:tc>
          <w:tcPr>
            <w:tcW w:w="636" w:type="dxa"/>
            <w:tcBorders>
              <w:top w:val="nil"/>
              <w:left w:val="nil"/>
              <w:bottom w:val="nil"/>
              <w:right w:val="nil"/>
            </w:tcBorders>
            <w:vAlign w:val="center"/>
          </w:tcPr>
          <w:p w14:paraId="4A26F111" w14:textId="125CC5E8"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16</w:t>
            </w:r>
            <w:r>
              <w:rPr>
                <w:rFonts w:eastAsia="Times New Roman" w:cs="Times New Roman"/>
                <w:color w:val="000000"/>
                <w:szCs w:val="24"/>
                <w:lang w:eastAsia="en-GB"/>
              </w:rPr>
              <w:t>.</w:t>
            </w:r>
            <w:r w:rsidRPr="0069113F">
              <w:rPr>
                <w:rFonts w:eastAsia="Times New Roman" w:cs="Times New Roman"/>
                <w:color w:val="000000"/>
                <w:szCs w:val="24"/>
                <w:lang w:eastAsia="en-GB"/>
              </w:rPr>
              <w:t>5</w:t>
            </w:r>
          </w:p>
        </w:tc>
        <w:tc>
          <w:tcPr>
            <w:tcW w:w="576" w:type="dxa"/>
            <w:tcBorders>
              <w:top w:val="nil"/>
              <w:left w:val="nil"/>
              <w:bottom w:val="nil"/>
              <w:right w:val="nil"/>
            </w:tcBorders>
            <w:shd w:val="clear" w:color="auto" w:fill="auto"/>
            <w:vAlign w:val="center"/>
          </w:tcPr>
          <w:p w14:paraId="2369A2E7" w14:textId="6898D4C1"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126</w:t>
            </w:r>
          </w:p>
        </w:tc>
        <w:tc>
          <w:tcPr>
            <w:tcW w:w="809" w:type="dxa"/>
            <w:tcBorders>
              <w:top w:val="nil"/>
              <w:left w:val="nil"/>
              <w:bottom w:val="nil"/>
              <w:right w:val="nil"/>
            </w:tcBorders>
            <w:shd w:val="clear" w:color="auto" w:fill="auto"/>
            <w:noWrap/>
            <w:vAlign w:val="center"/>
            <w:hideMark/>
          </w:tcPr>
          <w:p w14:paraId="269B2B22" w14:textId="3A8ABD93"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148</w:t>
            </w:r>
          </w:p>
        </w:tc>
        <w:tc>
          <w:tcPr>
            <w:tcW w:w="636" w:type="dxa"/>
            <w:tcBorders>
              <w:top w:val="nil"/>
              <w:left w:val="nil"/>
              <w:bottom w:val="nil"/>
              <w:right w:val="nil"/>
            </w:tcBorders>
            <w:vAlign w:val="center"/>
          </w:tcPr>
          <w:p w14:paraId="51D68BE2" w14:textId="4347D495"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39</w:t>
            </w:r>
            <w:r>
              <w:rPr>
                <w:rFonts w:eastAsia="Times New Roman" w:cs="Times New Roman"/>
                <w:color w:val="000000"/>
                <w:szCs w:val="24"/>
                <w:lang w:eastAsia="en-GB"/>
              </w:rPr>
              <w:t>.</w:t>
            </w:r>
            <w:r w:rsidRPr="0069113F">
              <w:rPr>
                <w:rFonts w:eastAsia="Times New Roman" w:cs="Times New Roman"/>
                <w:color w:val="000000"/>
                <w:szCs w:val="24"/>
                <w:lang w:eastAsia="en-GB"/>
              </w:rPr>
              <w:t>8</w:t>
            </w:r>
          </w:p>
        </w:tc>
        <w:tc>
          <w:tcPr>
            <w:tcW w:w="576" w:type="dxa"/>
            <w:tcBorders>
              <w:top w:val="nil"/>
              <w:left w:val="nil"/>
              <w:bottom w:val="nil"/>
              <w:right w:val="nil"/>
            </w:tcBorders>
            <w:vAlign w:val="center"/>
          </w:tcPr>
          <w:p w14:paraId="29D283D1" w14:textId="280B3AAB"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71</w:t>
            </w:r>
          </w:p>
        </w:tc>
        <w:tc>
          <w:tcPr>
            <w:tcW w:w="820" w:type="dxa"/>
            <w:tcBorders>
              <w:top w:val="nil"/>
              <w:left w:val="nil"/>
              <w:bottom w:val="nil"/>
              <w:right w:val="nil"/>
            </w:tcBorders>
            <w:shd w:val="clear" w:color="auto" w:fill="auto"/>
            <w:noWrap/>
            <w:vAlign w:val="center"/>
            <w:hideMark/>
          </w:tcPr>
          <w:p w14:paraId="0C17BD90" w14:textId="77978717"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105</w:t>
            </w:r>
            <w:r>
              <w:rPr>
                <w:rFonts w:eastAsia="Times New Roman" w:cs="Times New Roman"/>
                <w:color w:val="000000"/>
                <w:szCs w:val="24"/>
                <w:lang w:eastAsia="en-GB"/>
              </w:rPr>
              <w:t>.</w:t>
            </w:r>
            <w:r w:rsidRPr="0069113F">
              <w:rPr>
                <w:rFonts w:eastAsia="Times New Roman" w:cs="Times New Roman"/>
                <w:color w:val="000000"/>
                <w:szCs w:val="24"/>
                <w:lang w:eastAsia="en-GB"/>
              </w:rPr>
              <w:t>2</w:t>
            </w:r>
          </w:p>
        </w:tc>
        <w:tc>
          <w:tcPr>
            <w:tcW w:w="636" w:type="dxa"/>
            <w:tcBorders>
              <w:top w:val="nil"/>
              <w:left w:val="nil"/>
              <w:bottom w:val="nil"/>
              <w:right w:val="nil"/>
            </w:tcBorders>
            <w:vAlign w:val="center"/>
          </w:tcPr>
          <w:p w14:paraId="755F3934" w14:textId="31A763B1"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16</w:t>
            </w:r>
            <w:r>
              <w:rPr>
                <w:rFonts w:eastAsia="Times New Roman" w:cs="Times New Roman"/>
                <w:color w:val="000000"/>
                <w:szCs w:val="24"/>
                <w:lang w:eastAsia="en-GB"/>
              </w:rPr>
              <w:t>.</w:t>
            </w:r>
            <w:r w:rsidRPr="0069113F">
              <w:rPr>
                <w:rFonts w:eastAsia="Times New Roman" w:cs="Times New Roman"/>
                <w:color w:val="000000"/>
                <w:szCs w:val="24"/>
                <w:lang w:eastAsia="en-GB"/>
              </w:rPr>
              <w:t>7</w:t>
            </w:r>
          </w:p>
        </w:tc>
        <w:tc>
          <w:tcPr>
            <w:tcW w:w="576" w:type="dxa"/>
            <w:tcBorders>
              <w:top w:val="nil"/>
              <w:left w:val="nil"/>
              <w:bottom w:val="nil"/>
              <w:right w:val="nil"/>
            </w:tcBorders>
            <w:vAlign w:val="center"/>
          </w:tcPr>
          <w:p w14:paraId="05CFE3DE" w14:textId="61A44105"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150</w:t>
            </w:r>
          </w:p>
        </w:tc>
      </w:tr>
      <w:tr w:rsidR="00541554" w:rsidRPr="0069113F" w14:paraId="190CF379" w14:textId="77777777" w:rsidTr="00541554">
        <w:trPr>
          <w:trHeight w:val="20"/>
        </w:trPr>
        <w:tc>
          <w:tcPr>
            <w:tcW w:w="1751" w:type="dxa"/>
            <w:tcBorders>
              <w:top w:val="nil"/>
              <w:left w:val="nil"/>
              <w:bottom w:val="nil"/>
              <w:right w:val="nil"/>
            </w:tcBorders>
            <w:shd w:val="clear" w:color="auto" w:fill="auto"/>
            <w:vAlign w:val="center"/>
            <w:hideMark/>
          </w:tcPr>
          <w:p w14:paraId="35216356" w14:textId="77777777" w:rsidR="004B2F8D" w:rsidRPr="0069113F" w:rsidRDefault="004B2F8D" w:rsidP="00541554">
            <w:pPr>
              <w:spacing w:line="240" w:lineRule="auto"/>
              <w:rPr>
                <w:rFonts w:eastAsia="Times New Roman" w:cs="Times New Roman"/>
                <w:color w:val="000000"/>
                <w:szCs w:val="24"/>
                <w:lang w:eastAsia="en-GB"/>
              </w:rPr>
            </w:pPr>
            <w:r w:rsidRPr="0069113F">
              <w:rPr>
                <w:rFonts w:eastAsia="Times New Roman" w:cs="Times New Roman"/>
                <w:color w:val="000000"/>
                <w:szCs w:val="24"/>
                <w:lang w:eastAsia="en-GB"/>
              </w:rPr>
              <w:t>Women 45-64</w:t>
            </w:r>
          </w:p>
        </w:tc>
        <w:tc>
          <w:tcPr>
            <w:tcW w:w="773" w:type="dxa"/>
            <w:tcBorders>
              <w:top w:val="nil"/>
              <w:left w:val="nil"/>
              <w:bottom w:val="nil"/>
              <w:right w:val="nil"/>
            </w:tcBorders>
            <w:shd w:val="clear" w:color="auto" w:fill="auto"/>
            <w:noWrap/>
            <w:vAlign w:val="center"/>
            <w:hideMark/>
          </w:tcPr>
          <w:p w14:paraId="5CECB491" w14:textId="0B2683A1"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69</w:t>
            </w:r>
            <w:r>
              <w:rPr>
                <w:rFonts w:eastAsia="Times New Roman" w:cs="Times New Roman"/>
                <w:color w:val="000000"/>
                <w:szCs w:val="24"/>
                <w:lang w:eastAsia="en-GB"/>
              </w:rPr>
              <w:t>.</w:t>
            </w:r>
            <w:r w:rsidRPr="0069113F">
              <w:rPr>
                <w:rFonts w:eastAsia="Times New Roman" w:cs="Times New Roman"/>
                <w:color w:val="000000"/>
                <w:szCs w:val="24"/>
                <w:lang w:eastAsia="en-GB"/>
              </w:rPr>
              <w:t>3</w:t>
            </w:r>
          </w:p>
        </w:tc>
        <w:tc>
          <w:tcPr>
            <w:tcW w:w="636" w:type="dxa"/>
            <w:tcBorders>
              <w:top w:val="nil"/>
              <w:left w:val="nil"/>
              <w:bottom w:val="nil"/>
              <w:right w:val="nil"/>
            </w:tcBorders>
            <w:vAlign w:val="center"/>
          </w:tcPr>
          <w:p w14:paraId="0E75D32D" w14:textId="2036950B"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7</w:t>
            </w:r>
            <w:r>
              <w:rPr>
                <w:rFonts w:eastAsia="Times New Roman" w:cs="Times New Roman"/>
                <w:color w:val="000000"/>
                <w:szCs w:val="24"/>
                <w:lang w:eastAsia="en-GB"/>
              </w:rPr>
              <w:t>.</w:t>
            </w:r>
            <w:r w:rsidRPr="0069113F">
              <w:rPr>
                <w:rFonts w:eastAsia="Times New Roman" w:cs="Times New Roman"/>
                <w:color w:val="000000"/>
                <w:szCs w:val="24"/>
                <w:lang w:eastAsia="en-GB"/>
              </w:rPr>
              <w:t>8</w:t>
            </w:r>
          </w:p>
        </w:tc>
        <w:tc>
          <w:tcPr>
            <w:tcW w:w="696" w:type="dxa"/>
            <w:tcBorders>
              <w:top w:val="nil"/>
              <w:left w:val="nil"/>
              <w:bottom w:val="nil"/>
              <w:right w:val="nil"/>
            </w:tcBorders>
            <w:shd w:val="clear" w:color="auto" w:fill="auto"/>
            <w:vAlign w:val="center"/>
          </w:tcPr>
          <w:p w14:paraId="7FD80A75" w14:textId="1695DE17"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363</w:t>
            </w:r>
          </w:p>
        </w:tc>
        <w:tc>
          <w:tcPr>
            <w:tcW w:w="763" w:type="dxa"/>
            <w:tcBorders>
              <w:top w:val="nil"/>
              <w:left w:val="nil"/>
              <w:bottom w:val="nil"/>
              <w:right w:val="nil"/>
            </w:tcBorders>
            <w:shd w:val="clear" w:color="auto" w:fill="auto"/>
            <w:noWrap/>
            <w:vAlign w:val="center"/>
            <w:hideMark/>
          </w:tcPr>
          <w:p w14:paraId="1E1622B1" w14:textId="5F947E25"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60</w:t>
            </w:r>
          </w:p>
        </w:tc>
        <w:tc>
          <w:tcPr>
            <w:tcW w:w="636" w:type="dxa"/>
            <w:tcBorders>
              <w:top w:val="nil"/>
              <w:left w:val="nil"/>
              <w:bottom w:val="nil"/>
              <w:right w:val="nil"/>
            </w:tcBorders>
            <w:vAlign w:val="center"/>
          </w:tcPr>
          <w:p w14:paraId="7E022C60" w14:textId="56275A6F"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8</w:t>
            </w:r>
            <w:r>
              <w:rPr>
                <w:rFonts w:eastAsia="Times New Roman" w:cs="Times New Roman"/>
                <w:color w:val="000000"/>
                <w:szCs w:val="24"/>
                <w:lang w:eastAsia="en-GB"/>
              </w:rPr>
              <w:t>.</w:t>
            </w:r>
            <w:r w:rsidRPr="0069113F">
              <w:rPr>
                <w:rFonts w:eastAsia="Times New Roman" w:cs="Times New Roman"/>
                <w:color w:val="000000"/>
                <w:szCs w:val="24"/>
                <w:lang w:eastAsia="en-GB"/>
              </w:rPr>
              <w:t>4</w:t>
            </w:r>
          </w:p>
        </w:tc>
        <w:tc>
          <w:tcPr>
            <w:tcW w:w="576" w:type="dxa"/>
            <w:tcBorders>
              <w:top w:val="nil"/>
              <w:left w:val="nil"/>
              <w:bottom w:val="nil"/>
              <w:right w:val="nil"/>
            </w:tcBorders>
            <w:shd w:val="clear" w:color="auto" w:fill="auto"/>
            <w:vAlign w:val="center"/>
          </w:tcPr>
          <w:p w14:paraId="523DA143" w14:textId="52FAE3CE"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167</w:t>
            </w:r>
          </w:p>
        </w:tc>
        <w:tc>
          <w:tcPr>
            <w:tcW w:w="809" w:type="dxa"/>
            <w:tcBorders>
              <w:top w:val="nil"/>
              <w:left w:val="nil"/>
              <w:bottom w:val="nil"/>
              <w:right w:val="nil"/>
            </w:tcBorders>
            <w:shd w:val="clear" w:color="auto" w:fill="auto"/>
            <w:noWrap/>
            <w:vAlign w:val="center"/>
            <w:hideMark/>
          </w:tcPr>
          <w:p w14:paraId="216073B0" w14:textId="5EB8364B"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88</w:t>
            </w:r>
            <w:r>
              <w:rPr>
                <w:rFonts w:eastAsia="Times New Roman" w:cs="Times New Roman"/>
                <w:color w:val="000000"/>
                <w:szCs w:val="24"/>
                <w:lang w:eastAsia="en-GB"/>
              </w:rPr>
              <w:t>.</w:t>
            </w:r>
            <w:r w:rsidRPr="0069113F">
              <w:rPr>
                <w:rFonts w:eastAsia="Times New Roman" w:cs="Times New Roman"/>
                <w:color w:val="000000"/>
                <w:szCs w:val="24"/>
                <w:lang w:eastAsia="en-GB"/>
              </w:rPr>
              <w:t>6</w:t>
            </w:r>
          </w:p>
        </w:tc>
        <w:tc>
          <w:tcPr>
            <w:tcW w:w="636" w:type="dxa"/>
            <w:tcBorders>
              <w:top w:val="nil"/>
              <w:left w:val="nil"/>
              <w:bottom w:val="nil"/>
              <w:right w:val="nil"/>
            </w:tcBorders>
            <w:vAlign w:val="center"/>
          </w:tcPr>
          <w:p w14:paraId="48E0A522" w14:textId="211FCE85"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13</w:t>
            </w:r>
            <w:r>
              <w:rPr>
                <w:rFonts w:eastAsia="Times New Roman" w:cs="Times New Roman"/>
                <w:color w:val="000000"/>
                <w:szCs w:val="24"/>
                <w:lang w:eastAsia="en-GB"/>
              </w:rPr>
              <w:t>.</w:t>
            </w:r>
            <w:r w:rsidRPr="0069113F">
              <w:rPr>
                <w:rFonts w:eastAsia="Times New Roman" w:cs="Times New Roman"/>
                <w:color w:val="000000"/>
                <w:szCs w:val="24"/>
                <w:lang w:eastAsia="en-GB"/>
              </w:rPr>
              <w:t>8</w:t>
            </w:r>
          </w:p>
        </w:tc>
        <w:tc>
          <w:tcPr>
            <w:tcW w:w="576" w:type="dxa"/>
            <w:tcBorders>
              <w:top w:val="nil"/>
              <w:left w:val="nil"/>
              <w:bottom w:val="nil"/>
              <w:right w:val="nil"/>
            </w:tcBorders>
            <w:vAlign w:val="center"/>
          </w:tcPr>
          <w:p w14:paraId="0C42F371" w14:textId="2EC14E2B"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61</w:t>
            </w:r>
          </w:p>
        </w:tc>
        <w:tc>
          <w:tcPr>
            <w:tcW w:w="820" w:type="dxa"/>
            <w:tcBorders>
              <w:top w:val="nil"/>
              <w:left w:val="nil"/>
              <w:bottom w:val="nil"/>
              <w:right w:val="nil"/>
            </w:tcBorders>
            <w:shd w:val="clear" w:color="auto" w:fill="auto"/>
            <w:noWrap/>
            <w:vAlign w:val="center"/>
            <w:hideMark/>
          </w:tcPr>
          <w:p w14:paraId="7F81FAFB" w14:textId="5C07C7D1"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72</w:t>
            </w:r>
            <w:r>
              <w:rPr>
                <w:rFonts w:eastAsia="Times New Roman" w:cs="Times New Roman"/>
                <w:color w:val="000000"/>
                <w:szCs w:val="24"/>
                <w:lang w:eastAsia="en-GB"/>
              </w:rPr>
              <w:t>.</w:t>
            </w:r>
            <w:r w:rsidRPr="0069113F">
              <w:rPr>
                <w:rFonts w:eastAsia="Times New Roman" w:cs="Times New Roman"/>
                <w:color w:val="000000"/>
                <w:szCs w:val="24"/>
                <w:lang w:eastAsia="en-GB"/>
              </w:rPr>
              <w:t>5</w:t>
            </w:r>
          </w:p>
        </w:tc>
        <w:tc>
          <w:tcPr>
            <w:tcW w:w="636" w:type="dxa"/>
            <w:tcBorders>
              <w:top w:val="nil"/>
              <w:left w:val="nil"/>
              <w:bottom w:val="nil"/>
              <w:right w:val="nil"/>
            </w:tcBorders>
            <w:vAlign w:val="center"/>
          </w:tcPr>
          <w:p w14:paraId="7F5A5B59" w14:textId="16314B20"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10</w:t>
            </w:r>
            <w:r>
              <w:rPr>
                <w:rFonts w:eastAsia="Times New Roman" w:cs="Times New Roman"/>
                <w:color w:val="000000"/>
                <w:szCs w:val="24"/>
                <w:lang w:eastAsia="en-GB"/>
              </w:rPr>
              <w:t>.</w:t>
            </w:r>
            <w:r w:rsidRPr="0069113F">
              <w:rPr>
                <w:rFonts w:eastAsia="Times New Roman" w:cs="Times New Roman"/>
                <w:color w:val="000000"/>
                <w:szCs w:val="24"/>
                <w:lang w:eastAsia="en-GB"/>
              </w:rPr>
              <w:t>1</w:t>
            </w:r>
          </w:p>
        </w:tc>
        <w:tc>
          <w:tcPr>
            <w:tcW w:w="576" w:type="dxa"/>
            <w:tcBorders>
              <w:top w:val="nil"/>
              <w:left w:val="nil"/>
              <w:bottom w:val="nil"/>
              <w:right w:val="nil"/>
            </w:tcBorders>
            <w:vAlign w:val="center"/>
          </w:tcPr>
          <w:p w14:paraId="38867395" w14:textId="612263C5"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135</w:t>
            </w:r>
          </w:p>
        </w:tc>
      </w:tr>
      <w:tr w:rsidR="00541554" w:rsidRPr="0069113F" w14:paraId="1AB8386F" w14:textId="77777777" w:rsidTr="00541554">
        <w:trPr>
          <w:trHeight w:val="20"/>
        </w:trPr>
        <w:tc>
          <w:tcPr>
            <w:tcW w:w="1751" w:type="dxa"/>
            <w:tcBorders>
              <w:top w:val="nil"/>
              <w:left w:val="nil"/>
              <w:bottom w:val="nil"/>
              <w:right w:val="nil"/>
            </w:tcBorders>
            <w:shd w:val="clear" w:color="auto" w:fill="auto"/>
            <w:vAlign w:val="center"/>
            <w:hideMark/>
          </w:tcPr>
          <w:p w14:paraId="20E5225B" w14:textId="77777777" w:rsidR="004B2F8D" w:rsidRPr="0069113F" w:rsidRDefault="004B2F8D" w:rsidP="00541554">
            <w:pPr>
              <w:spacing w:line="240" w:lineRule="auto"/>
              <w:rPr>
                <w:rFonts w:eastAsia="Times New Roman" w:cs="Times New Roman"/>
                <w:color w:val="000000"/>
                <w:szCs w:val="24"/>
                <w:lang w:eastAsia="en-GB"/>
              </w:rPr>
            </w:pPr>
            <w:r w:rsidRPr="0069113F">
              <w:rPr>
                <w:rFonts w:eastAsia="Times New Roman" w:cs="Times New Roman"/>
                <w:color w:val="000000"/>
                <w:szCs w:val="24"/>
                <w:lang w:eastAsia="en-GB"/>
              </w:rPr>
              <w:t>Women 65+</w:t>
            </w:r>
          </w:p>
        </w:tc>
        <w:tc>
          <w:tcPr>
            <w:tcW w:w="773" w:type="dxa"/>
            <w:tcBorders>
              <w:top w:val="nil"/>
              <w:left w:val="nil"/>
              <w:bottom w:val="nil"/>
              <w:right w:val="nil"/>
            </w:tcBorders>
            <w:shd w:val="clear" w:color="auto" w:fill="auto"/>
            <w:noWrap/>
            <w:vAlign w:val="center"/>
            <w:hideMark/>
          </w:tcPr>
          <w:p w14:paraId="1163B5C8" w14:textId="31897E55"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55</w:t>
            </w:r>
            <w:r>
              <w:rPr>
                <w:rFonts w:eastAsia="Times New Roman" w:cs="Times New Roman"/>
                <w:color w:val="000000"/>
                <w:szCs w:val="24"/>
                <w:lang w:eastAsia="en-GB"/>
              </w:rPr>
              <w:t>.</w:t>
            </w:r>
            <w:r w:rsidRPr="0069113F">
              <w:rPr>
                <w:rFonts w:eastAsia="Times New Roman" w:cs="Times New Roman"/>
                <w:color w:val="000000"/>
                <w:szCs w:val="24"/>
                <w:lang w:eastAsia="en-GB"/>
              </w:rPr>
              <w:t>5</w:t>
            </w:r>
          </w:p>
        </w:tc>
        <w:tc>
          <w:tcPr>
            <w:tcW w:w="636" w:type="dxa"/>
            <w:tcBorders>
              <w:top w:val="nil"/>
              <w:left w:val="nil"/>
              <w:bottom w:val="nil"/>
              <w:right w:val="nil"/>
            </w:tcBorders>
            <w:vAlign w:val="center"/>
          </w:tcPr>
          <w:p w14:paraId="1BAD6166" w14:textId="17FD4D01"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7</w:t>
            </w:r>
            <w:r>
              <w:rPr>
                <w:rFonts w:eastAsia="Times New Roman" w:cs="Times New Roman"/>
                <w:color w:val="000000"/>
                <w:szCs w:val="24"/>
                <w:lang w:eastAsia="en-GB"/>
              </w:rPr>
              <w:t>.</w:t>
            </w:r>
            <w:r w:rsidRPr="0069113F">
              <w:rPr>
                <w:rFonts w:eastAsia="Times New Roman" w:cs="Times New Roman"/>
                <w:color w:val="000000"/>
                <w:szCs w:val="24"/>
                <w:lang w:eastAsia="en-GB"/>
              </w:rPr>
              <w:t>1</w:t>
            </w:r>
          </w:p>
        </w:tc>
        <w:tc>
          <w:tcPr>
            <w:tcW w:w="696" w:type="dxa"/>
            <w:tcBorders>
              <w:top w:val="nil"/>
              <w:left w:val="nil"/>
              <w:bottom w:val="nil"/>
              <w:right w:val="nil"/>
            </w:tcBorders>
            <w:shd w:val="clear" w:color="auto" w:fill="auto"/>
            <w:vAlign w:val="center"/>
          </w:tcPr>
          <w:p w14:paraId="39418064" w14:textId="59332F60"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186</w:t>
            </w:r>
          </w:p>
        </w:tc>
        <w:tc>
          <w:tcPr>
            <w:tcW w:w="763" w:type="dxa"/>
            <w:tcBorders>
              <w:top w:val="nil"/>
              <w:left w:val="nil"/>
              <w:bottom w:val="nil"/>
              <w:right w:val="nil"/>
            </w:tcBorders>
            <w:shd w:val="clear" w:color="auto" w:fill="auto"/>
            <w:noWrap/>
            <w:vAlign w:val="center"/>
            <w:hideMark/>
          </w:tcPr>
          <w:p w14:paraId="20E741CA" w14:textId="02C061D1"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56</w:t>
            </w:r>
          </w:p>
        </w:tc>
        <w:tc>
          <w:tcPr>
            <w:tcW w:w="636" w:type="dxa"/>
            <w:tcBorders>
              <w:top w:val="nil"/>
              <w:left w:val="nil"/>
              <w:right w:val="nil"/>
            </w:tcBorders>
            <w:vAlign w:val="center"/>
          </w:tcPr>
          <w:p w14:paraId="61B781AA" w14:textId="231B8485"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9</w:t>
            </w:r>
            <w:r>
              <w:rPr>
                <w:rFonts w:eastAsia="Times New Roman" w:cs="Times New Roman"/>
                <w:color w:val="000000"/>
                <w:szCs w:val="24"/>
                <w:lang w:eastAsia="en-GB"/>
              </w:rPr>
              <w:t>.</w:t>
            </w:r>
            <w:r w:rsidRPr="0069113F">
              <w:rPr>
                <w:rFonts w:eastAsia="Times New Roman" w:cs="Times New Roman"/>
                <w:color w:val="000000"/>
                <w:szCs w:val="24"/>
                <w:lang w:eastAsia="en-GB"/>
              </w:rPr>
              <w:t>1</w:t>
            </w:r>
          </w:p>
        </w:tc>
        <w:tc>
          <w:tcPr>
            <w:tcW w:w="576" w:type="dxa"/>
            <w:tcBorders>
              <w:top w:val="nil"/>
              <w:left w:val="nil"/>
              <w:right w:val="nil"/>
            </w:tcBorders>
            <w:shd w:val="clear" w:color="auto" w:fill="auto"/>
            <w:vAlign w:val="center"/>
          </w:tcPr>
          <w:p w14:paraId="62D3A478" w14:textId="346D5736"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100</w:t>
            </w:r>
          </w:p>
        </w:tc>
        <w:tc>
          <w:tcPr>
            <w:tcW w:w="809" w:type="dxa"/>
            <w:tcBorders>
              <w:top w:val="nil"/>
              <w:left w:val="nil"/>
              <w:bottom w:val="nil"/>
              <w:right w:val="nil"/>
            </w:tcBorders>
            <w:shd w:val="clear" w:color="auto" w:fill="auto"/>
            <w:noWrap/>
            <w:vAlign w:val="center"/>
            <w:hideMark/>
          </w:tcPr>
          <w:p w14:paraId="6C59715F" w14:textId="297547B9"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57</w:t>
            </w:r>
            <w:r>
              <w:rPr>
                <w:rFonts w:eastAsia="Times New Roman" w:cs="Times New Roman"/>
                <w:color w:val="000000"/>
                <w:szCs w:val="24"/>
                <w:lang w:eastAsia="en-GB"/>
              </w:rPr>
              <w:t>.</w:t>
            </w:r>
            <w:r w:rsidRPr="0069113F">
              <w:rPr>
                <w:rFonts w:eastAsia="Times New Roman" w:cs="Times New Roman"/>
                <w:color w:val="000000"/>
                <w:szCs w:val="24"/>
                <w:lang w:eastAsia="en-GB"/>
              </w:rPr>
              <w:t>2</w:t>
            </w:r>
          </w:p>
        </w:tc>
        <w:tc>
          <w:tcPr>
            <w:tcW w:w="636" w:type="dxa"/>
            <w:tcBorders>
              <w:top w:val="nil"/>
              <w:left w:val="nil"/>
              <w:bottom w:val="nil"/>
              <w:right w:val="nil"/>
            </w:tcBorders>
            <w:vAlign w:val="center"/>
          </w:tcPr>
          <w:p w14:paraId="45EBB52A" w14:textId="0F0F6AB7"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12</w:t>
            </w:r>
            <w:r>
              <w:rPr>
                <w:rFonts w:eastAsia="Times New Roman" w:cs="Times New Roman"/>
                <w:color w:val="000000"/>
                <w:szCs w:val="24"/>
                <w:lang w:eastAsia="en-GB"/>
              </w:rPr>
              <w:t>.</w:t>
            </w:r>
            <w:r w:rsidRPr="0069113F">
              <w:rPr>
                <w:rFonts w:eastAsia="Times New Roman" w:cs="Times New Roman"/>
                <w:color w:val="000000"/>
                <w:szCs w:val="24"/>
                <w:lang w:eastAsia="en-GB"/>
              </w:rPr>
              <w:t>4</w:t>
            </w:r>
          </w:p>
        </w:tc>
        <w:tc>
          <w:tcPr>
            <w:tcW w:w="576" w:type="dxa"/>
            <w:tcBorders>
              <w:top w:val="nil"/>
              <w:left w:val="nil"/>
              <w:bottom w:val="nil"/>
              <w:right w:val="nil"/>
            </w:tcBorders>
            <w:vAlign w:val="center"/>
          </w:tcPr>
          <w:p w14:paraId="3E5F4B4A" w14:textId="6D2BD733"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41</w:t>
            </w:r>
          </w:p>
        </w:tc>
        <w:tc>
          <w:tcPr>
            <w:tcW w:w="820" w:type="dxa"/>
            <w:tcBorders>
              <w:top w:val="nil"/>
              <w:left w:val="nil"/>
              <w:bottom w:val="nil"/>
              <w:right w:val="nil"/>
            </w:tcBorders>
            <w:shd w:val="clear" w:color="auto" w:fill="auto"/>
            <w:noWrap/>
            <w:vAlign w:val="center"/>
            <w:hideMark/>
          </w:tcPr>
          <w:p w14:paraId="68D8206F" w14:textId="134D51EA"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52</w:t>
            </w:r>
            <w:r>
              <w:rPr>
                <w:rFonts w:eastAsia="Times New Roman" w:cs="Times New Roman"/>
                <w:color w:val="000000"/>
                <w:szCs w:val="24"/>
                <w:lang w:eastAsia="en-GB"/>
              </w:rPr>
              <w:t>.</w:t>
            </w:r>
            <w:r w:rsidRPr="0069113F">
              <w:rPr>
                <w:rFonts w:eastAsia="Times New Roman" w:cs="Times New Roman"/>
                <w:color w:val="000000"/>
                <w:szCs w:val="24"/>
                <w:lang w:eastAsia="en-GB"/>
              </w:rPr>
              <w:t>5</w:t>
            </w:r>
          </w:p>
        </w:tc>
        <w:tc>
          <w:tcPr>
            <w:tcW w:w="636" w:type="dxa"/>
            <w:tcBorders>
              <w:top w:val="nil"/>
              <w:left w:val="nil"/>
              <w:bottom w:val="nil"/>
              <w:right w:val="nil"/>
            </w:tcBorders>
            <w:vAlign w:val="center"/>
          </w:tcPr>
          <w:p w14:paraId="734C7950" w14:textId="04C40B6F"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12</w:t>
            </w:r>
            <w:r>
              <w:rPr>
                <w:rFonts w:eastAsia="Times New Roman" w:cs="Times New Roman"/>
                <w:color w:val="000000"/>
                <w:szCs w:val="24"/>
                <w:lang w:eastAsia="en-GB"/>
              </w:rPr>
              <w:t>.0</w:t>
            </w:r>
          </w:p>
        </w:tc>
        <w:tc>
          <w:tcPr>
            <w:tcW w:w="576" w:type="dxa"/>
            <w:tcBorders>
              <w:top w:val="nil"/>
              <w:left w:val="nil"/>
              <w:bottom w:val="nil"/>
              <w:right w:val="nil"/>
            </w:tcBorders>
            <w:vAlign w:val="center"/>
          </w:tcPr>
          <w:p w14:paraId="46613843" w14:textId="486F5CEB" w:rsidR="004B2F8D" w:rsidRPr="0069113F" w:rsidRDefault="004B2F8D" w:rsidP="00541554">
            <w:pPr>
              <w:spacing w:line="240" w:lineRule="auto"/>
              <w:jc w:val="center"/>
              <w:rPr>
                <w:rFonts w:eastAsia="Times New Roman" w:cs="Times New Roman"/>
                <w:color w:val="000000"/>
                <w:szCs w:val="24"/>
                <w:lang w:eastAsia="en-GB"/>
              </w:rPr>
            </w:pPr>
            <w:r w:rsidRPr="0069113F">
              <w:rPr>
                <w:rFonts w:eastAsia="Times New Roman" w:cs="Times New Roman"/>
                <w:color w:val="000000"/>
                <w:szCs w:val="24"/>
                <w:lang w:eastAsia="en-GB"/>
              </w:rPr>
              <w:t>45</w:t>
            </w:r>
          </w:p>
        </w:tc>
      </w:tr>
      <w:tr w:rsidR="00541554" w:rsidRPr="0069113F" w14:paraId="289C4166" w14:textId="77777777" w:rsidTr="00541554">
        <w:trPr>
          <w:trHeight w:val="20"/>
        </w:trPr>
        <w:tc>
          <w:tcPr>
            <w:tcW w:w="1751" w:type="dxa"/>
            <w:tcBorders>
              <w:top w:val="nil"/>
              <w:left w:val="nil"/>
              <w:bottom w:val="single" w:sz="8" w:space="0" w:color="auto"/>
              <w:right w:val="nil"/>
            </w:tcBorders>
            <w:shd w:val="clear" w:color="auto" w:fill="auto"/>
            <w:vAlign w:val="center"/>
            <w:hideMark/>
          </w:tcPr>
          <w:p w14:paraId="2859C8DA" w14:textId="77777777" w:rsidR="004B2F8D" w:rsidRPr="0069113F" w:rsidRDefault="004B2F8D" w:rsidP="00541554">
            <w:pPr>
              <w:spacing w:line="240" w:lineRule="auto"/>
              <w:rPr>
                <w:rFonts w:eastAsia="Times New Roman" w:cs="Times New Roman"/>
                <w:i/>
                <w:iCs/>
                <w:color w:val="000000"/>
                <w:szCs w:val="24"/>
                <w:lang w:eastAsia="en-GB"/>
              </w:rPr>
            </w:pPr>
            <w:r w:rsidRPr="0069113F">
              <w:rPr>
                <w:rFonts w:eastAsia="Times New Roman" w:cs="Times New Roman"/>
                <w:i/>
                <w:iCs/>
                <w:color w:val="000000"/>
                <w:szCs w:val="24"/>
                <w:lang w:eastAsia="en-GB"/>
              </w:rPr>
              <w:t>Total</w:t>
            </w:r>
          </w:p>
        </w:tc>
        <w:tc>
          <w:tcPr>
            <w:tcW w:w="773" w:type="dxa"/>
            <w:tcBorders>
              <w:top w:val="nil"/>
              <w:left w:val="nil"/>
              <w:bottom w:val="single" w:sz="8" w:space="0" w:color="auto"/>
              <w:right w:val="nil"/>
            </w:tcBorders>
            <w:shd w:val="clear" w:color="auto" w:fill="auto"/>
            <w:vAlign w:val="center"/>
            <w:hideMark/>
          </w:tcPr>
          <w:p w14:paraId="177B1476" w14:textId="184C2FFD" w:rsidR="004B2F8D" w:rsidRPr="00541554" w:rsidRDefault="004B2F8D" w:rsidP="00541554">
            <w:pPr>
              <w:spacing w:line="240" w:lineRule="auto"/>
              <w:jc w:val="center"/>
              <w:rPr>
                <w:rFonts w:eastAsia="Times New Roman" w:cs="Times New Roman"/>
                <w:i/>
                <w:iCs/>
                <w:color w:val="000000"/>
                <w:szCs w:val="24"/>
                <w:lang w:eastAsia="en-GB"/>
              </w:rPr>
            </w:pPr>
            <w:r w:rsidRPr="00541554">
              <w:rPr>
                <w:rFonts w:eastAsia="Times New Roman" w:cs="Times New Roman"/>
                <w:i/>
                <w:iCs/>
                <w:color w:val="000000"/>
                <w:szCs w:val="24"/>
                <w:lang w:eastAsia="en-GB"/>
              </w:rPr>
              <w:t>99.5</w:t>
            </w:r>
          </w:p>
        </w:tc>
        <w:tc>
          <w:tcPr>
            <w:tcW w:w="636" w:type="dxa"/>
            <w:tcBorders>
              <w:top w:val="nil"/>
              <w:left w:val="nil"/>
              <w:bottom w:val="single" w:sz="8" w:space="0" w:color="auto"/>
              <w:right w:val="nil"/>
            </w:tcBorders>
            <w:vAlign w:val="center"/>
          </w:tcPr>
          <w:p w14:paraId="3A34DCC1" w14:textId="302B322D" w:rsidR="004B2F8D" w:rsidRPr="00541554" w:rsidRDefault="004B2F8D" w:rsidP="00541554">
            <w:pPr>
              <w:spacing w:line="240" w:lineRule="auto"/>
              <w:jc w:val="center"/>
              <w:rPr>
                <w:rFonts w:eastAsia="Times New Roman" w:cs="Times New Roman"/>
                <w:i/>
                <w:color w:val="000000"/>
                <w:szCs w:val="24"/>
                <w:lang w:eastAsia="en-GB"/>
              </w:rPr>
            </w:pPr>
            <w:r w:rsidRPr="00541554">
              <w:rPr>
                <w:rFonts w:eastAsia="Times New Roman" w:cs="Times New Roman"/>
                <w:i/>
                <w:iCs/>
                <w:color w:val="000000"/>
                <w:szCs w:val="24"/>
                <w:lang w:eastAsia="en-GB"/>
              </w:rPr>
              <w:t>5.2</w:t>
            </w:r>
          </w:p>
        </w:tc>
        <w:tc>
          <w:tcPr>
            <w:tcW w:w="696" w:type="dxa"/>
            <w:tcBorders>
              <w:top w:val="nil"/>
              <w:left w:val="nil"/>
              <w:bottom w:val="single" w:sz="8" w:space="0" w:color="auto"/>
              <w:right w:val="nil"/>
            </w:tcBorders>
            <w:vAlign w:val="center"/>
          </w:tcPr>
          <w:p w14:paraId="67CCAE5C" w14:textId="657E52A1" w:rsidR="004B2F8D" w:rsidRPr="00541554" w:rsidRDefault="004B2F8D" w:rsidP="00541554">
            <w:pPr>
              <w:spacing w:line="240" w:lineRule="auto"/>
              <w:jc w:val="center"/>
              <w:rPr>
                <w:rFonts w:eastAsia="Times New Roman" w:cs="Times New Roman"/>
                <w:i/>
                <w:color w:val="000000"/>
                <w:szCs w:val="24"/>
                <w:lang w:eastAsia="en-GB"/>
              </w:rPr>
            </w:pPr>
            <w:r w:rsidRPr="00541554">
              <w:rPr>
                <w:rFonts w:eastAsia="Times New Roman" w:cs="Times New Roman"/>
                <w:i/>
                <w:color w:val="000000"/>
                <w:szCs w:val="24"/>
                <w:lang w:eastAsia="en-GB"/>
              </w:rPr>
              <w:t>1605</w:t>
            </w:r>
          </w:p>
        </w:tc>
        <w:tc>
          <w:tcPr>
            <w:tcW w:w="763" w:type="dxa"/>
            <w:tcBorders>
              <w:top w:val="nil"/>
              <w:left w:val="nil"/>
              <w:bottom w:val="single" w:sz="8" w:space="0" w:color="auto"/>
              <w:right w:val="nil"/>
            </w:tcBorders>
            <w:shd w:val="clear" w:color="auto" w:fill="auto"/>
            <w:vAlign w:val="center"/>
            <w:hideMark/>
          </w:tcPr>
          <w:p w14:paraId="3249E1CE" w14:textId="3DD9B64E" w:rsidR="004B2F8D" w:rsidRPr="00541554" w:rsidRDefault="004B2F8D" w:rsidP="00541554">
            <w:pPr>
              <w:spacing w:line="240" w:lineRule="auto"/>
              <w:jc w:val="center"/>
              <w:rPr>
                <w:rFonts w:eastAsia="Times New Roman" w:cs="Times New Roman"/>
                <w:i/>
                <w:iCs/>
                <w:color w:val="000000"/>
                <w:szCs w:val="24"/>
                <w:lang w:eastAsia="en-GB"/>
              </w:rPr>
            </w:pPr>
            <w:r w:rsidRPr="00541554">
              <w:rPr>
                <w:rFonts w:eastAsia="Times New Roman" w:cs="Times New Roman"/>
                <w:i/>
                <w:iCs/>
                <w:color w:val="000000"/>
                <w:szCs w:val="24"/>
                <w:lang w:eastAsia="en-GB"/>
              </w:rPr>
              <w:t>90.5</w:t>
            </w:r>
          </w:p>
        </w:tc>
        <w:tc>
          <w:tcPr>
            <w:tcW w:w="636" w:type="dxa"/>
            <w:tcBorders>
              <w:top w:val="nil"/>
              <w:left w:val="nil"/>
              <w:bottom w:val="single" w:sz="4" w:space="0" w:color="auto"/>
              <w:right w:val="nil"/>
            </w:tcBorders>
            <w:vAlign w:val="center"/>
          </w:tcPr>
          <w:p w14:paraId="1E53A57C" w14:textId="5B2ACDBB" w:rsidR="004B2F8D" w:rsidRPr="00541554" w:rsidRDefault="004B2F8D" w:rsidP="00541554">
            <w:pPr>
              <w:spacing w:line="240" w:lineRule="auto"/>
              <w:jc w:val="center"/>
              <w:rPr>
                <w:rFonts w:eastAsia="Times New Roman" w:cs="Times New Roman"/>
                <w:i/>
                <w:color w:val="000000"/>
                <w:szCs w:val="24"/>
                <w:lang w:eastAsia="en-GB"/>
              </w:rPr>
            </w:pPr>
            <w:r w:rsidRPr="00541554">
              <w:rPr>
                <w:rFonts w:eastAsia="Times New Roman" w:cs="Times New Roman"/>
                <w:i/>
                <w:iCs/>
                <w:color w:val="000000"/>
                <w:szCs w:val="24"/>
                <w:lang w:eastAsia="en-GB"/>
              </w:rPr>
              <w:t>5.8</w:t>
            </w:r>
          </w:p>
        </w:tc>
        <w:tc>
          <w:tcPr>
            <w:tcW w:w="576" w:type="dxa"/>
            <w:tcBorders>
              <w:top w:val="nil"/>
              <w:left w:val="nil"/>
              <w:bottom w:val="single" w:sz="4" w:space="0" w:color="auto"/>
              <w:right w:val="nil"/>
            </w:tcBorders>
            <w:shd w:val="clear" w:color="auto" w:fill="auto"/>
            <w:vAlign w:val="center"/>
          </w:tcPr>
          <w:p w14:paraId="57686244" w14:textId="57F648CC" w:rsidR="004B2F8D" w:rsidRPr="00541554" w:rsidRDefault="004B2F8D" w:rsidP="00541554">
            <w:pPr>
              <w:spacing w:line="240" w:lineRule="auto"/>
              <w:jc w:val="center"/>
              <w:rPr>
                <w:rFonts w:eastAsia="Times New Roman" w:cs="Times New Roman"/>
                <w:i/>
                <w:color w:val="000000"/>
                <w:szCs w:val="24"/>
                <w:lang w:eastAsia="en-GB"/>
              </w:rPr>
            </w:pPr>
            <w:r w:rsidRPr="00541554">
              <w:rPr>
                <w:rFonts w:eastAsia="Times New Roman" w:cs="Times New Roman"/>
                <w:i/>
                <w:color w:val="000000"/>
                <w:szCs w:val="24"/>
                <w:lang w:eastAsia="en-GB"/>
              </w:rPr>
              <w:t>727</w:t>
            </w:r>
          </w:p>
        </w:tc>
        <w:tc>
          <w:tcPr>
            <w:tcW w:w="809" w:type="dxa"/>
            <w:tcBorders>
              <w:top w:val="nil"/>
              <w:left w:val="nil"/>
              <w:bottom w:val="single" w:sz="8" w:space="0" w:color="auto"/>
              <w:right w:val="nil"/>
            </w:tcBorders>
            <w:shd w:val="clear" w:color="auto" w:fill="auto"/>
            <w:vAlign w:val="center"/>
            <w:hideMark/>
          </w:tcPr>
          <w:p w14:paraId="5A8EC103" w14:textId="6433AD6B" w:rsidR="004B2F8D" w:rsidRPr="00541554" w:rsidRDefault="004B2F8D" w:rsidP="00541554">
            <w:pPr>
              <w:spacing w:line="240" w:lineRule="auto"/>
              <w:jc w:val="center"/>
              <w:rPr>
                <w:rFonts w:eastAsia="Times New Roman" w:cs="Times New Roman"/>
                <w:i/>
                <w:iCs/>
                <w:color w:val="000000"/>
                <w:szCs w:val="24"/>
                <w:lang w:eastAsia="en-GB"/>
              </w:rPr>
            </w:pPr>
            <w:r w:rsidRPr="00541554">
              <w:rPr>
                <w:rFonts w:eastAsia="Times New Roman" w:cs="Times New Roman"/>
                <w:i/>
                <w:iCs/>
                <w:color w:val="000000"/>
                <w:szCs w:val="24"/>
                <w:lang w:eastAsia="en-GB"/>
              </w:rPr>
              <w:t>119.7</w:t>
            </w:r>
          </w:p>
        </w:tc>
        <w:tc>
          <w:tcPr>
            <w:tcW w:w="636" w:type="dxa"/>
            <w:tcBorders>
              <w:top w:val="nil"/>
              <w:left w:val="nil"/>
              <w:bottom w:val="single" w:sz="8" w:space="0" w:color="auto"/>
              <w:right w:val="nil"/>
            </w:tcBorders>
            <w:vAlign w:val="center"/>
          </w:tcPr>
          <w:p w14:paraId="3F3D92DB" w14:textId="574167B5" w:rsidR="004B2F8D" w:rsidRPr="00541554" w:rsidRDefault="004B2F8D" w:rsidP="00541554">
            <w:pPr>
              <w:spacing w:line="240" w:lineRule="auto"/>
              <w:jc w:val="center"/>
              <w:rPr>
                <w:rFonts w:eastAsia="Times New Roman" w:cs="Times New Roman"/>
                <w:i/>
                <w:color w:val="000000"/>
                <w:szCs w:val="24"/>
                <w:lang w:eastAsia="en-GB"/>
              </w:rPr>
            </w:pPr>
            <w:r w:rsidRPr="00541554">
              <w:rPr>
                <w:rFonts w:eastAsia="Times New Roman" w:cs="Times New Roman"/>
                <w:i/>
                <w:iCs/>
                <w:color w:val="000000"/>
                <w:szCs w:val="24"/>
                <w:lang w:eastAsia="en-GB"/>
              </w:rPr>
              <w:t>14.1</w:t>
            </w:r>
          </w:p>
        </w:tc>
        <w:tc>
          <w:tcPr>
            <w:tcW w:w="576" w:type="dxa"/>
            <w:tcBorders>
              <w:top w:val="nil"/>
              <w:left w:val="nil"/>
              <w:bottom w:val="single" w:sz="8" w:space="0" w:color="auto"/>
              <w:right w:val="nil"/>
            </w:tcBorders>
            <w:vAlign w:val="center"/>
          </w:tcPr>
          <w:p w14:paraId="318F8906" w14:textId="7E91ECFD" w:rsidR="004B2F8D" w:rsidRPr="00541554" w:rsidRDefault="004B2F8D" w:rsidP="00541554">
            <w:pPr>
              <w:spacing w:line="240" w:lineRule="auto"/>
              <w:jc w:val="center"/>
              <w:rPr>
                <w:rFonts w:eastAsia="Times New Roman" w:cs="Times New Roman"/>
                <w:i/>
                <w:color w:val="000000"/>
                <w:szCs w:val="24"/>
                <w:lang w:eastAsia="en-GB"/>
              </w:rPr>
            </w:pPr>
            <w:r w:rsidRPr="00541554">
              <w:rPr>
                <w:rFonts w:eastAsia="Times New Roman" w:cs="Times New Roman"/>
                <w:i/>
                <w:color w:val="000000"/>
                <w:szCs w:val="24"/>
                <w:lang w:eastAsia="en-GB"/>
              </w:rPr>
              <w:t>297</w:t>
            </w:r>
          </w:p>
        </w:tc>
        <w:tc>
          <w:tcPr>
            <w:tcW w:w="820" w:type="dxa"/>
            <w:tcBorders>
              <w:top w:val="nil"/>
              <w:left w:val="nil"/>
              <w:bottom w:val="single" w:sz="8" w:space="0" w:color="auto"/>
              <w:right w:val="nil"/>
            </w:tcBorders>
            <w:shd w:val="clear" w:color="auto" w:fill="auto"/>
            <w:vAlign w:val="center"/>
            <w:hideMark/>
          </w:tcPr>
          <w:p w14:paraId="6A888B76" w14:textId="2D90CEF8" w:rsidR="004B2F8D" w:rsidRPr="00541554" w:rsidRDefault="004B2F8D" w:rsidP="00541554">
            <w:pPr>
              <w:spacing w:line="240" w:lineRule="auto"/>
              <w:jc w:val="center"/>
              <w:rPr>
                <w:rFonts w:eastAsia="Times New Roman" w:cs="Times New Roman"/>
                <w:i/>
                <w:color w:val="000000"/>
                <w:szCs w:val="24"/>
                <w:lang w:eastAsia="en-GB"/>
              </w:rPr>
            </w:pPr>
            <w:r w:rsidRPr="00541554">
              <w:rPr>
                <w:rFonts w:eastAsia="Times New Roman" w:cs="Times New Roman"/>
                <w:i/>
                <w:color w:val="000000"/>
                <w:szCs w:val="24"/>
                <w:lang w:eastAsia="en-GB"/>
              </w:rPr>
              <w:t>100.6</w:t>
            </w:r>
          </w:p>
        </w:tc>
        <w:tc>
          <w:tcPr>
            <w:tcW w:w="636" w:type="dxa"/>
            <w:tcBorders>
              <w:top w:val="nil"/>
              <w:left w:val="nil"/>
              <w:bottom w:val="single" w:sz="8" w:space="0" w:color="auto"/>
              <w:right w:val="nil"/>
            </w:tcBorders>
            <w:vAlign w:val="center"/>
          </w:tcPr>
          <w:p w14:paraId="6850381B" w14:textId="5F7D01E0" w:rsidR="004B2F8D" w:rsidRPr="00541554" w:rsidRDefault="004B2F8D" w:rsidP="00541554">
            <w:pPr>
              <w:spacing w:line="240" w:lineRule="auto"/>
              <w:jc w:val="center"/>
              <w:rPr>
                <w:rFonts w:eastAsia="Times New Roman" w:cs="Times New Roman"/>
                <w:i/>
                <w:color w:val="000000"/>
                <w:szCs w:val="24"/>
                <w:lang w:eastAsia="en-GB"/>
              </w:rPr>
            </w:pPr>
            <w:r w:rsidRPr="00541554">
              <w:rPr>
                <w:rFonts w:eastAsia="Times New Roman" w:cs="Times New Roman"/>
                <w:i/>
                <w:color w:val="000000"/>
                <w:szCs w:val="24"/>
                <w:lang w:eastAsia="en-GB"/>
              </w:rPr>
              <w:t>7.3</w:t>
            </w:r>
          </w:p>
        </w:tc>
        <w:tc>
          <w:tcPr>
            <w:tcW w:w="576" w:type="dxa"/>
            <w:tcBorders>
              <w:top w:val="nil"/>
              <w:left w:val="nil"/>
              <w:bottom w:val="single" w:sz="8" w:space="0" w:color="auto"/>
              <w:right w:val="nil"/>
            </w:tcBorders>
            <w:vAlign w:val="center"/>
          </w:tcPr>
          <w:p w14:paraId="135B175F" w14:textId="57D6D903" w:rsidR="004B2F8D" w:rsidRPr="00541554" w:rsidRDefault="004B2F8D" w:rsidP="00541554">
            <w:pPr>
              <w:spacing w:line="240" w:lineRule="auto"/>
              <w:jc w:val="center"/>
              <w:rPr>
                <w:rFonts w:eastAsia="Times New Roman" w:cs="Times New Roman"/>
                <w:i/>
                <w:color w:val="000000"/>
                <w:szCs w:val="24"/>
                <w:lang w:eastAsia="en-GB"/>
              </w:rPr>
            </w:pPr>
            <w:r w:rsidRPr="00541554">
              <w:rPr>
                <w:rFonts w:eastAsia="Times New Roman" w:cs="Times New Roman"/>
                <w:i/>
                <w:color w:val="000000"/>
                <w:szCs w:val="24"/>
                <w:lang w:eastAsia="en-GB"/>
              </w:rPr>
              <w:t>581</w:t>
            </w:r>
          </w:p>
        </w:tc>
      </w:tr>
    </w:tbl>
    <w:p w14:paraId="0D85AE24" w14:textId="7C8B0539" w:rsidR="00F77B6C" w:rsidRDefault="00541554" w:rsidP="0012781A">
      <w:pPr>
        <w:spacing w:after="0"/>
        <w:rPr>
          <w:rFonts w:cs="Times New Roman"/>
          <w:szCs w:val="24"/>
        </w:rPr>
      </w:pPr>
      <w:r>
        <w:rPr>
          <w:rFonts w:cs="Times New Roman"/>
          <w:szCs w:val="24"/>
        </w:rPr>
        <w:t>SSB, Sugar-sweetened beverage; IMD, Index of Multiple Deprivation; SE, Standard Error; IMDQ, Index of Multiple Deprivation Quintile</w:t>
      </w:r>
    </w:p>
    <w:p w14:paraId="46D48C20" w14:textId="6C3F2EBA" w:rsidR="00B73A78" w:rsidRPr="0069113F" w:rsidRDefault="0012781A" w:rsidP="0012781A">
      <w:pPr>
        <w:spacing w:after="0"/>
        <w:rPr>
          <w:rFonts w:cs="Times New Roman"/>
          <w:szCs w:val="24"/>
        </w:rPr>
      </w:pPr>
      <w:r>
        <w:rPr>
          <w:rFonts w:cs="Times New Roman"/>
          <w:szCs w:val="24"/>
        </w:rPr>
        <w:t>*</w:t>
      </w:r>
      <w:r w:rsidR="00B73A78" w:rsidRPr="0069113F">
        <w:rPr>
          <w:rFonts w:cs="Times New Roman"/>
          <w:szCs w:val="24"/>
        </w:rPr>
        <w:t xml:space="preserve">Mean intake in grams per day was </w:t>
      </w:r>
      <w:r>
        <w:rPr>
          <w:rFonts w:cs="Times New Roman"/>
          <w:szCs w:val="24"/>
        </w:rPr>
        <w:t>translated in servings per day assuming 1 serving is 236.5 g (8oz)</w:t>
      </w:r>
      <w:r>
        <w:rPr>
          <w:rFonts w:cs="Times New Roman"/>
          <w:szCs w:val="24"/>
        </w:rPr>
        <w:fldChar w:fldCharType="begin"/>
      </w:r>
      <w:r w:rsidR="007C57A8">
        <w:rPr>
          <w:rFonts w:cs="Times New Roman"/>
          <w:szCs w:val="24"/>
        </w:rPr>
        <w:instrText xml:space="preserve"> ADDIN EN.CITE &lt;EndNote&gt;&lt;Cite&gt;&lt;Author&gt;Micha&lt;/Author&gt;&lt;Year&gt;2017&lt;/Year&gt;&lt;RecNum&gt;411&lt;/RecNum&gt;&lt;DisplayText&gt;&lt;style face="superscript"&gt;(19)&lt;/style&gt;&lt;/DisplayText&gt;&lt;record&gt;&lt;rec-number&gt;411&lt;/rec-number&gt;&lt;foreign-keys&gt;&lt;key app="EN" db-id="zdrfrts5sr9296ea90uxsfvhf9zwdwstft0f" timestamp="1488990666"&gt;411&lt;/key&gt;&lt;/foreign-keys&gt;&lt;ref-type name="Journal Article"&gt;17&lt;/ref-type&gt;&lt;contributors&gt;&lt;authors&gt;&lt;author&gt;Micha, R.&lt;/author&gt;&lt;author&gt;Peñalvo, J. L.&lt;/author&gt;&lt;author&gt;Cudhea, F.&lt;/author&gt;&lt;author&gt;Imamura, F.&lt;/author&gt;&lt;author&gt;Rehm, C. D.&lt;/author&gt;&lt;author&gt;Mozaffarian, D.&lt;/author&gt;&lt;/authors&gt;&lt;/contributors&gt;&lt;titles&gt;&lt;title&gt;Association between dietary factors and mortality from heart disease, stroke, and type 2 diabetes in the united states&lt;/title&gt;&lt;secondary-title&gt;JAMA&lt;/secondary-title&gt;&lt;/titles&gt;&lt;periodical&gt;&lt;full-title&gt;JAMA&lt;/full-title&gt;&lt;/periodical&gt;&lt;pages&gt;912-924&lt;/pages&gt;&lt;volume&gt;317&lt;/volume&gt;&lt;number&gt;9&lt;/number&gt;&lt;dates&gt;&lt;year&gt;2017&lt;/year&gt;&lt;/dates&gt;&lt;isbn&gt;0098-7484&lt;/isbn&gt;&lt;urls&gt;&lt;related-urls&gt;&lt;url&gt;http://dx.doi.org/10.1001/jama.2017.0947&lt;/url&gt;&lt;/related-urls&gt;&lt;/urls&gt;&lt;electronic-resource-num&gt;10.1001/jama.2017.0947&lt;/electronic-resource-num&gt;&lt;/record&gt;&lt;/Cite&gt;&lt;/EndNote&gt;</w:instrText>
      </w:r>
      <w:r>
        <w:rPr>
          <w:rFonts w:cs="Times New Roman"/>
          <w:szCs w:val="24"/>
        </w:rPr>
        <w:fldChar w:fldCharType="separate"/>
      </w:r>
      <w:r w:rsidR="007C57A8" w:rsidRPr="007C57A8">
        <w:rPr>
          <w:rFonts w:cs="Times New Roman"/>
          <w:noProof/>
          <w:szCs w:val="24"/>
          <w:vertAlign w:val="superscript"/>
        </w:rPr>
        <w:t>(19)</w:t>
      </w:r>
      <w:r>
        <w:rPr>
          <w:rFonts w:cs="Times New Roman"/>
          <w:szCs w:val="24"/>
        </w:rPr>
        <w:fldChar w:fldCharType="end"/>
      </w:r>
    </w:p>
    <w:p w14:paraId="099F364B" w14:textId="77777777" w:rsidR="00F77B6C" w:rsidRPr="0069113F" w:rsidRDefault="00F77B6C" w:rsidP="0069113F">
      <w:pPr>
        <w:rPr>
          <w:rFonts w:cs="Times New Roman"/>
          <w:szCs w:val="24"/>
        </w:rPr>
      </w:pPr>
    </w:p>
    <w:p w14:paraId="5C764483" w14:textId="1FFA8741" w:rsidR="00F77B6C" w:rsidRPr="00541554" w:rsidRDefault="00F77B6C" w:rsidP="0069113F">
      <w:pPr>
        <w:rPr>
          <w:rFonts w:cs="Times New Roman"/>
          <w:szCs w:val="24"/>
        </w:rPr>
      </w:pPr>
      <w:r w:rsidRPr="00541554">
        <w:rPr>
          <w:rFonts w:cs="Times New Roman"/>
          <w:szCs w:val="24"/>
        </w:rPr>
        <w:lastRenderedPageBreak/>
        <w:t xml:space="preserve">Appendix Table </w:t>
      </w:r>
      <w:r w:rsidR="000A648F">
        <w:rPr>
          <w:rFonts w:cs="Times New Roman"/>
          <w:szCs w:val="24"/>
        </w:rPr>
        <w:t>8</w:t>
      </w:r>
      <w:r w:rsidRPr="00541554">
        <w:rPr>
          <w:rFonts w:cs="Times New Roman"/>
          <w:szCs w:val="24"/>
        </w:rPr>
        <w:t xml:space="preserve">. Effect of each modelled scenario on SSB intake, overall and stratified by </w:t>
      </w:r>
      <w:r w:rsidR="0012781A">
        <w:rPr>
          <w:rFonts w:cs="Times New Roman"/>
          <w:szCs w:val="24"/>
        </w:rPr>
        <w:t>s</w:t>
      </w:r>
      <w:r w:rsidR="0012781A" w:rsidRPr="009450F1">
        <w:rPr>
          <w:rFonts w:cs="Times New Roman"/>
          <w:szCs w:val="24"/>
        </w:rPr>
        <w:t>ocio-economic circumstance</w:t>
      </w:r>
    </w:p>
    <w:tbl>
      <w:tblPr>
        <w:tblW w:w="8524" w:type="dxa"/>
        <w:tblLook w:val="04A0" w:firstRow="1" w:lastRow="0" w:firstColumn="1" w:lastColumn="0" w:noHBand="0" w:noVBand="1"/>
      </w:tblPr>
      <w:tblGrid>
        <w:gridCol w:w="3536"/>
        <w:gridCol w:w="1247"/>
        <w:gridCol w:w="1247"/>
        <w:gridCol w:w="1247"/>
        <w:gridCol w:w="1247"/>
      </w:tblGrid>
      <w:tr w:rsidR="00F77B6C" w:rsidRPr="00541554" w14:paraId="3AAA5333" w14:textId="77777777" w:rsidTr="00F77B6C">
        <w:trPr>
          <w:trHeight w:val="20"/>
        </w:trPr>
        <w:tc>
          <w:tcPr>
            <w:tcW w:w="3536" w:type="dxa"/>
            <w:tcBorders>
              <w:top w:val="single" w:sz="4" w:space="0" w:color="auto"/>
              <w:bottom w:val="single" w:sz="4" w:space="0" w:color="auto"/>
              <w:right w:val="nil"/>
            </w:tcBorders>
            <w:shd w:val="clear" w:color="auto" w:fill="auto"/>
            <w:vAlign w:val="center"/>
            <w:hideMark/>
          </w:tcPr>
          <w:p w14:paraId="402F4096" w14:textId="77777777" w:rsidR="00F77B6C" w:rsidRPr="00541554" w:rsidRDefault="00F77B6C" w:rsidP="00541554">
            <w:pPr>
              <w:spacing w:line="240" w:lineRule="auto"/>
              <w:rPr>
                <w:rFonts w:cs="Times New Roman"/>
                <w:szCs w:val="24"/>
                <w:lang w:eastAsia="en-GB"/>
              </w:rPr>
            </w:pPr>
            <w:r w:rsidRPr="00541554">
              <w:rPr>
                <w:rFonts w:cs="Times New Roman"/>
                <w:szCs w:val="24"/>
                <w:lang w:eastAsia="en-GB"/>
              </w:rPr>
              <w:t>Scenario</w:t>
            </w:r>
          </w:p>
        </w:tc>
        <w:tc>
          <w:tcPr>
            <w:tcW w:w="1247" w:type="dxa"/>
            <w:tcBorders>
              <w:top w:val="single" w:sz="4" w:space="0" w:color="auto"/>
              <w:bottom w:val="single" w:sz="4" w:space="0" w:color="auto"/>
              <w:right w:val="nil"/>
            </w:tcBorders>
            <w:vAlign w:val="center"/>
          </w:tcPr>
          <w:p w14:paraId="6FCDA304" w14:textId="77777777" w:rsidR="00F77B6C" w:rsidRPr="00541554" w:rsidRDefault="00F77B6C" w:rsidP="00541554">
            <w:pPr>
              <w:spacing w:line="240" w:lineRule="auto"/>
              <w:jc w:val="center"/>
              <w:rPr>
                <w:rFonts w:cs="Times New Roman"/>
                <w:szCs w:val="24"/>
                <w:lang w:eastAsia="en-GB"/>
              </w:rPr>
            </w:pPr>
            <w:r w:rsidRPr="00541554">
              <w:rPr>
                <w:rFonts w:cs="Times New Roman"/>
                <w:szCs w:val="24"/>
                <w:lang w:eastAsia="en-GB"/>
              </w:rPr>
              <w:t>Overall</w:t>
            </w:r>
          </w:p>
        </w:tc>
        <w:tc>
          <w:tcPr>
            <w:tcW w:w="1247" w:type="dxa"/>
            <w:tcBorders>
              <w:top w:val="single" w:sz="4" w:space="0" w:color="auto"/>
              <w:left w:val="nil"/>
              <w:bottom w:val="single" w:sz="4" w:space="0" w:color="auto"/>
              <w:right w:val="nil"/>
            </w:tcBorders>
            <w:shd w:val="clear" w:color="auto" w:fill="auto"/>
            <w:vAlign w:val="center"/>
          </w:tcPr>
          <w:p w14:paraId="3EF3B934" w14:textId="6F861946" w:rsidR="00F77B6C" w:rsidRPr="00541554" w:rsidRDefault="00541554" w:rsidP="00541554">
            <w:pPr>
              <w:spacing w:line="240" w:lineRule="auto"/>
              <w:jc w:val="center"/>
              <w:rPr>
                <w:rFonts w:cs="Times New Roman"/>
                <w:szCs w:val="24"/>
                <w:lang w:eastAsia="en-GB"/>
              </w:rPr>
            </w:pPr>
            <w:r>
              <w:rPr>
                <w:rFonts w:cs="Times New Roman"/>
                <w:szCs w:val="24"/>
                <w:lang w:eastAsia="en-GB"/>
              </w:rPr>
              <w:t>Most affluent</w:t>
            </w:r>
          </w:p>
        </w:tc>
        <w:tc>
          <w:tcPr>
            <w:tcW w:w="1247" w:type="dxa"/>
            <w:tcBorders>
              <w:top w:val="single" w:sz="4" w:space="0" w:color="auto"/>
              <w:left w:val="nil"/>
              <w:bottom w:val="single" w:sz="4" w:space="0" w:color="auto"/>
              <w:right w:val="nil"/>
            </w:tcBorders>
            <w:shd w:val="clear" w:color="auto" w:fill="auto"/>
            <w:vAlign w:val="center"/>
          </w:tcPr>
          <w:p w14:paraId="2714D755" w14:textId="77777777" w:rsidR="00F77B6C" w:rsidRPr="00541554" w:rsidRDefault="00F77B6C" w:rsidP="00541554">
            <w:pPr>
              <w:spacing w:line="240" w:lineRule="auto"/>
              <w:jc w:val="center"/>
              <w:rPr>
                <w:rFonts w:cs="Times New Roman"/>
                <w:szCs w:val="24"/>
                <w:lang w:eastAsia="en-GB"/>
              </w:rPr>
            </w:pPr>
            <w:r w:rsidRPr="00541554">
              <w:rPr>
                <w:rFonts w:cs="Times New Roman"/>
                <w:szCs w:val="24"/>
                <w:lang w:eastAsia="en-GB"/>
              </w:rPr>
              <w:t>Middle</w:t>
            </w:r>
          </w:p>
        </w:tc>
        <w:tc>
          <w:tcPr>
            <w:tcW w:w="1247" w:type="dxa"/>
            <w:tcBorders>
              <w:top w:val="single" w:sz="4" w:space="0" w:color="auto"/>
              <w:left w:val="nil"/>
              <w:bottom w:val="single" w:sz="4" w:space="0" w:color="auto"/>
            </w:tcBorders>
            <w:shd w:val="clear" w:color="auto" w:fill="auto"/>
            <w:vAlign w:val="center"/>
          </w:tcPr>
          <w:p w14:paraId="6595B0BE" w14:textId="77777777" w:rsidR="00F77B6C" w:rsidRPr="00541554" w:rsidRDefault="00F77B6C" w:rsidP="00541554">
            <w:pPr>
              <w:spacing w:line="240" w:lineRule="auto"/>
              <w:jc w:val="center"/>
              <w:rPr>
                <w:rFonts w:cs="Times New Roman"/>
                <w:szCs w:val="24"/>
                <w:lang w:eastAsia="en-GB"/>
              </w:rPr>
            </w:pPr>
            <w:r w:rsidRPr="00541554">
              <w:rPr>
                <w:rFonts w:cs="Times New Roman"/>
                <w:szCs w:val="24"/>
                <w:lang w:eastAsia="en-GB"/>
              </w:rPr>
              <w:t>Most deprived</w:t>
            </w:r>
          </w:p>
        </w:tc>
      </w:tr>
      <w:tr w:rsidR="00F77B6C" w:rsidRPr="0069113F" w14:paraId="6543C17F" w14:textId="77777777" w:rsidTr="00F77B6C">
        <w:trPr>
          <w:trHeight w:val="20"/>
        </w:trPr>
        <w:tc>
          <w:tcPr>
            <w:tcW w:w="3536" w:type="dxa"/>
            <w:tcBorders>
              <w:top w:val="nil"/>
              <w:bottom w:val="nil"/>
              <w:right w:val="nil"/>
            </w:tcBorders>
            <w:shd w:val="clear" w:color="auto" w:fill="auto"/>
            <w:noWrap/>
            <w:vAlign w:val="bottom"/>
            <w:hideMark/>
          </w:tcPr>
          <w:p w14:paraId="33468DC4" w14:textId="77777777" w:rsidR="00F77B6C" w:rsidRPr="0069113F" w:rsidRDefault="00F77B6C" w:rsidP="00541554">
            <w:pPr>
              <w:spacing w:line="240" w:lineRule="auto"/>
              <w:rPr>
                <w:rFonts w:cs="Times New Roman"/>
                <w:szCs w:val="24"/>
                <w:lang w:eastAsia="en-GB"/>
              </w:rPr>
            </w:pPr>
            <w:r w:rsidRPr="0069113F">
              <w:rPr>
                <w:rFonts w:cs="Times New Roman"/>
                <w:szCs w:val="24"/>
                <w:lang w:eastAsia="en-GB"/>
              </w:rPr>
              <w:t>Scenario 1: SSB industry levy</w:t>
            </w:r>
          </w:p>
        </w:tc>
        <w:tc>
          <w:tcPr>
            <w:tcW w:w="1247" w:type="dxa"/>
            <w:tcBorders>
              <w:top w:val="nil"/>
              <w:bottom w:val="nil"/>
              <w:right w:val="nil"/>
            </w:tcBorders>
            <w:vAlign w:val="center"/>
          </w:tcPr>
          <w:p w14:paraId="34B9618F" w14:textId="77777777" w:rsidR="00F77B6C" w:rsidRPr="0069113F" w:rsidRDefault="00F77B6C" w:rsidP="00541554">
            <w:pPr>
              <w:spacing w:line="240" w:lineRule="auto"/>
              <w:jc w:val="center"/>
              <w:rPr>
                <w:rFonts w:cs="Times New Roman"/>
                <w:szCs w:val="24"/>
                <w:lang w:eastAsia="en-GB"/>
              </w:rPr>
            </w:pPr>
          </w:p>
        </w:tc>
        <w:tc>
          <w:tcPr>
            <w:tcW w:w="1247" w:type="dxa"/>
            <w:tcBorders>
              <w:top w:val="nil"/>
              <w:left w:val="nil"/>
              <w:bottom w:val="nil"/>
              <w:right w:val="nil"/>
            </w:tcBorders>
            <w:shd w:val="clear" w:color="auto" w:fill="auto"/>
            <w:noWrap/>
            <w:vAlign w:val="center"/>
          </w:tcPr>
          <w:p w14:paraId="46E07E1F" w14:textId="77777777" w:rsidR="00F77B6C" w:rsidRPr="0069113F" w:rsidRDefault="00F77B6C" w:rsidP="00541554">
            <w:pPr>
              <w:spacing w:line="240" w:lineRule="auto"/>
              <w:jc w:val="center"/>
              <w:rPr>
                <w:rFonts w:cs="Times New Roman"/>
                <w:szCs w:val="24"/>
                <w:lang w:eastAsia="en-GB"/>
              </w:rPr>
            </w:pPr>
          </w:p>
        </w:tc>
        <w:tc>
          <w:tcPr>
            <w:tcW w:w="1247" w:type="dxa"/>
            <w:tcBorders>
              <w:top w:val="nil"/>
              <w:left w:val="nil"/>
              <w:bottom w:val="nil"/>
              <w:right w:val="nil"/>
            </w:tcBorders>
            <w:shd w:val="clear" w:color="auto" w:fill="auto"/>
            <w:noWrap/>
            <w:vAlign w:val="center"/>
          </w:tcPr>
          <w:p w14:paraId="2D533691" w14:textId="77777777" w:rsidR="00F77B6C" w:rsidRPr="0069113F" w:rsidRDefault="00F77B6C" w:rsidP="00541554">
            <w:pPr>
              <w:spacing w:line="240" w:lineRule="auto"/>
              <w:jc w:val="center"/>
              <w:rPr>
                <w:rFonts w:cs="Times New Roman"/>
                <w:szCs w:val="24"/>
                <w:lang w:eastAsia="en-GB"/>
              </w:rPr>
            </w:pPr>
          </w:p>
        </w:tc>
        <w:tc>
          <w:tcPr>
            <w:tcW w:w="1247" w:type="dxa"/>
            <w:tcBorders>
              <w:top w:val="nil"/>
              <w:left w:val="nil"/>
              <w:bottom w:val="nil"/>
            </w:tcBorders>
            <w:shd w:val="clear" w:color="auto" w:fill="auto"/>
            <w:noWrap/>
            <w:vAlign w:val="center"/>
          </w:tcPr>
          <w:p w14:paraId="6C612134" w14:textId="77777777" w:rsidR="00F77B6C" w:rsidRPr="0069113F" w:rsidRDefault="00F77B6C" w:rsidP="00541554">
            <w:pPr>
              <w:spacing w:line="240" w:lineRule="auto"/>
              <w:jc w:val="center"/>
              <w:rPr>
                <w:rFonts w:cs="Times New Roman"/>
                <w:szCs w:val="24"/>
                <w:lang w:eastAsia="en-GB"/>
              </w:rPr>
            </w:pPr>
          </w:p>
        </w:tc>
      </w:tr>
      <w:tr w:rsidR="000A648F" w:rsidRPr="0069113F" w14:paraId="3659E84F" w14:textId="77777777" w:rsidTr="00F77B6C">
        <w:trPr>
          <w:trHeight w:val="20"/>
        </w:trPr>
        <w:tc>
          <w:tcPr>
            <w:tcW w:w="3536" w:type="dxa"/>
            <w:tcBorders>
              <w:top w:val="nil"/>
              <w:bottom w:val="nil"/>
              <w:right w:val="nil"/>
            </w:tcBorders>
            <w:shd w:val="clear" w:color="auto" w:fill="auto"/>
            <w:noWrap/>
            <w:vAlign w:val="bottom"/>
            <w:hideMark/>
          </w:tcPr>
          <w:p w14:paraId="73631DD8" w14:textId="7CB06619" w:rsidR="000A648F" w:rsidRPr="0069113F" w:rsidRDefault="000A648F" w:rsidP="000A648F">
            <w:pPr>
              <w:spacing w:line="240" w:lineRule="auto"/>
              <w:rPr>
                <w:rFonts w:cs="Times New Roman"/>
                <w:szCs w:val="24"/>
                <w:lang w:eastAsia="en-GB"/>
              </w:rPr>
            </w:pPr>
            <w:r w:rsidRPr="0069113F">
              <w:rPr>
                <w:rFonts w:cs="Times New Roman"/>
                <w:szCs w:val="24"/>
                <w:lang w:eastAsia="en-GB"/>
              </w:rPr>
              <w:t>Scenario 1a</w:t>
            </w:r>
            <w:r w:rsidR="007A3E2B">
              <w:rPr>
                <w:rFonts w:cs="Times New Roman"/>
                <w:szCs w:val="24"/>
                <w:lang w:eastAsia="en-GB"/>
              </w:rPr>
              <w:t>: 80% pass-through</w:t>
            </w:r>
          </w:p>
        </w:tc>
        <w:tc>
          <w:tcPr>
            <w:tcW w:w="1247" w:type="dxa"/>
            <w:tcBorders>
              <w:top w:val="nil"/>
              <w:left w:val="nil"/>
              <w:bottom w:val="nil"/>
              <w:right w:val="nil"/>
            </w:tcBorders>
            <w:shd w:val="clear" w:color="auto" w:fill="auto"/>
            <w:vAlign w:val="center"/>
          </w:tcPr>
          <w:p w14:paraId="3C7CD936" w14:textId="10FFD648" w:rsidR="000A648F" w:rsidRPr="0069113F" w:rsidRDefault="000A648F" w:rsidP="000A648F">
            <w:pPr>
              <w:spacing w:line="240" w:lineRule="auto"/>
              <w:jc w:val="center"/>
              <w:rPr>
                <w:rFonts w:cs="Times New Roman"/>
                <w:szCs w:val="24"/>
                <w:lang w:eastAsia="en-GB"/>
              </w:rPr>
            </w:pPr>
            <w:r w:rsidRPr="0069113F">
              <w:rPr>
                <w:rFonts w:cs="Times New Roman"/>
                <w:szCs w:val="24"/>
                <w:lang w:eastAsia="en-GB"/>
              </w:rPr>
              <w:t>-</w:t>
            </w:r>
            <w:r w:rsidR="00073A57">
              <w:rPr>
                <w:rFonts w:cs="Times New Roman"/>
                <w:szCs w:val="24"/>
                <w:lang w:eastAsia="en-GB"/>
              </w:rPr>
              <w:t>21</w:t>
            </w:r>
            <w:r w:rsidRPr="0069113F">
              <w:rPr>
                <w:rFonts w:cs="Times New Roman"/>
                <w:szCs w:val="24"/>
                <w:lang w:eastAsia="en-GB"/>
              </w:rPr>
              <w:t>%</w:t>
            </w:r>
          </w:p>
        </w:tc>
        <w:tc>
          <w:tcPr>
            <w:tcW w:w="1247" w:type="dxa"/>
            <w:tcBorders>
              <w:top w:val="nil"/>
              <w:left w:val="nil"/>
              <w:bottom w:val="nil"/>
              <w:right w:val="nil"/>
            </w:tcBorders>
            <w:shd w:val="clear" w:color="auto" w:fill="auto"/>
            <w:noWrap/>
            <w:vAlign w:val="center"/>
          </w:tcPr>
          <w:p w14:paraId="1CA5BC45" w14:textId="21A5F570"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-19%</w:t>
            </w:r>
          </w:p>
        </w:tc>
        <w:tc>
          <w:tcPr>
            <w:tcW w:w="1247" w:type="dxa"/>
            <w:tcBorders>
              <w:top w:val="nil"/>
              <w:left w:val="nil"/>
              <w:bottom w:val="nil"/>
              <w:right w:val="nil"/>
            </w:tcBorders>
            <w:shd w:val="clear" w:color="auto" w:fill="auto"/>
            <w:noWrap/>
            <w:vAlign w:val="center"/>
          </w:tcPr>
          <w:p w14:paraId="1D3459C4" w14:textId="148461B9"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-19%</w:t>
            </w:r>
          </w:p>
        </w:tc>
        <w:tc>
          <w:tcPr>
            <w:tcW w:w="1247" w:type="dxa"/>
            <w:tcBorders>
              <w:top w:val="nil"/>
              <w:left w:val="nil"/>
              <w:bottom w:val="nil"/>
            </w:tcBorders>
            <w:shd w:val="clear" w:color="auto" w:fill="auto"/>
            <w:noWrap/>
            <w:vAlign w:val="center"/>
          </w:tcPr>
          <w:p w14:paraId="7C647E9B" w14:textId="2EECF5F0"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-31%</w:t>
            </w:r>
          </w:p>
        </w:tc>
      </w:tr>
      <w:tr w:rsidR="000A648F" w:rsidRPr="0069113F" w14:paraId="77E81339" w14:textId="77777777" w:rsidTr="00F77B6C">
        <w:trPr>
          <w:trHeight w:val="20"/>
        </w:trPr>
        <w:tc>
          <w:tcPr>
            <w:tcW w:w="3536" w:type="dxa"/>
            <w:tcBorders>
              <w:top w:val="nil"/>
              <w:bottom w:val="nil"/>
              <w:right w:val="nil"/>
            </w:tcBorders>
            <w:shd w:val="clear" w:color="auto" w:fill="auto"/>
            <w:noWrap/>
            <w:vAlign w:val="bottom"/>
            <w:hideMark/>
          </w:tcPr>
          <w:p w14:paraId="3231FD09" w14:textId="1649C3FF" w:rsidR="000A648F" w:rsidRPr="0069113F" w:rsidRDefault="000A648F" w:rsidP="000A648F">
            <w:pPr>
              <w:spacing w:line="240" w:lineRule="auto"/>
              <w:rPr>
                <w:rFonts w:cs="Times New Roman"/>
                <w:szCs w:val="24"/>
                <w:lang w:eastAsia="en-GB"/>
              </w:rPr>
            </w:pPr>
            <w:r w:rsidRPr="0069113F">
              <w:rPr>
                <w:rFonts w:cs="Times New Roman"/>
                <w:szCs w:val="24"/>
                <w:lang w:eastAsia="en-GB"/>
              </w:rPr>
              <w:t>Scenario 1b</w:t>
            </w:r>
            <w:r w:rsidR="007A3E2B">
              <w:rPr>
                <w:rFonts w:cs="Times New Roman"/>
                <w:szCs w:val="24"/>
                <w:lang w:eastAsia="en-GB"/>
              </w:rPr>
              <w:t>: 100% pass-through</w:t>
            </w:r>
          </w:p>
        </w:tc>
        <w:tc>
          <w:tcPr>
            <w:tcW w:w="1247" w:type="dxa"/>
            <w:tcBorders>
              <w:top w:val="nil"/>
              <w:left w:val="nil"/>
              <w:bottom w:val="nil"/>
              <w:right w:val="nil"/>
            </w:tcBorders>
            <w:shd w:val="clear" w:color="auto" w:fill="auto"/>
            <w:vAlign w:val="center"/>
          </w:tcPr>
          <w:p w14:paraId="42C5100C" w14:textId="77777777" w:rsidR="000A648F" w:rsidRPr="0069113F" w:rsidRDefault="000A648F" w:rsidP="000A648F">
            <w:pPr>
              <w:spacing w:line="240" w:lineRule="auto"/>
              <w:jc w:val="center"/>
              <w:rPr>
                <w:rFonts w:cs="Times New Roman"/>
                <w:szCs w:val="24"/>
                <w:lang w:eastAsia="en-GB"/>
              </w:rPr>
            </w:pPr>
            <w:r w:rsidRPr="0069113F">
              <w:rPr>
                <w:rFonts w:cs="Times New Roman"/>
                <w:szCs w:val="24"/>
                <w:lang w:eastAsia="en-GB"/>
              </w:rPr>
              <w:t>-26%</w:t>
            </w:r>
          </w:p>
        </w:tc>
        <w:tc>
          <w:tcPr>
            <w:tcW w:w="1247" w:type="dxa"/>
            <w:tcBorders>
              <w:top w:val="nil"/>
              <w:left w:val="nil"/>
              <w:bottom w:val="nil"/>
              <w:right w:val="nil"/>
            </w:tcBorders>
            <w:shd w:val="clear" w:color="auto" w:fill="auto"/>
            <w:noWrap/>
            <w:vAlign w:val="center"/>
          </w:tcPr>
          <w:p w14:paraId="1D0564AB" w14:textId="4D197B19"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-23%</w:t>
            </w:r>
          </w:p>
        </w:tc>
        <w:tc>
          <w:tcPr>
            <w:tcW w:w="1247" w:type="dxa"/>
            <w:tcBorders>
              <w:top w:val="nil"/>
              <w:left w:val="nil"/>
              <w:bottom w:val="nil"/>
              <w:right w:val="nil"/>
            </w:tcBorders>
            <w:shd w:val="clear" w:color="auto" w:fill="auto"/>
            <w:noWrap/>
            <w:vAlign w:val="center"/>
          </w:tcPr>
          <w:p w14:paraId="72F3B275" w14:textId="02B51023"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-24%</w:t>
            </w:r>
          </w:p>
        </w:tc>
        <w:tc>
          <w:tcPr>
            <w:tcW w:w="1247" w:type="dxa"/>
            <w:tcBorders>
              <w:top w:val="nil"/>
              <w:left w:val="nil"/>
              <w:bottom w:val="nil"/>
            </w:tcBorders>
            <w:shd w:val="clear" w:color="auto" w:fill="auto"/>
            <w:noWrap/>
            <w:vAlign w:val="center"/>
          </w:tcPr>
          <w:p w14:paraId="0A123781" w14:textId="57B26125"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-38%</w:t>
            </w:r>
          </w:p>
        </w:tc>
      </w:tr>
      <w:tr w:rsidR="000A648F" w:rsidRPr="0069113F" w14:paraId="6ED5E99C" w14:textId="77777777" w:rsidTr="00F77B6C">
        <w:trPr>
          <w:trHeight w:val="20"/>
        </w:trPr>
        <w:tc>
          <w:tcPr>
            <w:tcW w:w="3536" w:type="dxa"/>
            <w:tcBorders>
              <w:top w:val="nil"/>
              <w:bottom w:val="nil"/>
              <w:right w:val="nil"/>
            </w:tcBorders>
            <w:shd w:val="clear" w:color="auto" w:fill="auto"/>
            <w:noWrap/>
            <w:vAlign w:val="bottom"/>
            <w:hideMark/>
          </w:tcPr>
          <w:p w14:paraId="1D3656DD" w14:textId="26F0CB4E" w:rsidR="000A648F" w:rsidRPr="0069113F" w:rsidRDefault="000A648F" w:rsidP="000A648F">
            <w:pPr>
              <w:spacing w:line="240" w:lineRule="auto"/>
              <w:rPr>
                <w:rFonts w:cs="Times New Roman"/>
                <w:szCs w:val="24"/>
                <w:lang w:eastAsia="en-GB"/>
              </w:rPr>
            </w:pPr>
            <w:r w:rsidRPr="0069113F">
              <w:rPr>
                <w:rFonts w:cs="Times New Roman"/>
                <w:szCs w:val="24"/>
                <w:lang w:eastAsia="en-GB"/>
              </w:rPr>
              <w:t>Scenario 1c</w:t>
            </w:r>
            <w:r w:rsidR="007A3E2B">
              <w:rPr>
                <w:rFonts w:cs="Times New Roman"/>
                <w:szCs w:val="24"/>
                <w:lang w:eastAsia="en-GB"/>
              </w:rPr>
              <w:t>: 120% pass-through</w:t>
            </w:r>
          </w:p>
        </w:tc>
        <w:tc>
          <w:tcPr>
            <w:tcW w:w="1247" w:type="dxa"/>
            <w:tcBorders>
              <w:top w:val="nil"/>
              <w:left w:val="nil"/>
              <w:bottom w:val="nil"/>
              <w:right w:val="nil"/>
            </w:tcBorders>
            <w:shd w:val="clear" w:color="auto" w:fill="auto"/>
            <w:vAlign w:val="center"/>
          </w:tcPr>
          <w:p w14:paraId="48AF1827" w14:textId="77777777" w:rsidR="000A648F" w:rsidRPr="0069113F" w:rsidRDefault="000A648F" w:rsidP="000A648F">
            <w:pPr>
              <w:spacing w:line="240" w:lineRule="auto"/>
              <w:jc w:val="center"/>
              <w:rPr>
                <w:rFonts w:cs="Times New Roman"/>
                <w:szCs w:val="24"/>
                <w:lang w:eastAsia="en-GB"/>
              </w:rPr>
            </w:pPr>
            <w:r w:rsidRPr="0069113F">
              <w:rPr>
                <w:rFonts w:cs="Times New Roman"/>
                <w:szCs w:val="24"/>
                <w:lang w:eastAsia="en-GB"/>
              </w:rPr>
              <w:t>-31%</w:t>
            </w:r>
          </w:p>
        </w:tc>
        <w:tc>
          <w:tcPr>
            <w:tcW w:w="1247" w:type="dxa"/>
            <w:tcBorders>
              <w:top w:val="nil"/>
              <w:left w:val="nil"/>
              <w:bottom w:val="nil"/>
              <w:right w:val="nil"/>
            </w:tcBorders>
            <w:shd w:val="clear" w:color="auto" w:fill="auto"/>
            <w:noWrap/>
            <w:vAlign w:val="center"/>
          </w:tcPr>
          <w:p w14:paraId="003E6F08" w14:textId="1B354A61"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-28%</w:t>
            </w:r>
          </w:p>
        </w:tc>
        <w:tc>
          <w:tcPr>
            <w:tcW w:w="1247" w:type="dxa"/>
            <w:tcBorders>
              <w:top w:val="nil"/>
              <w:left w:val="nil"/>
              <w:bottom w:val="nil"/>
              <w:right w:val="nil"/>
            </w:tcBorders>
            <w:shd w:val="clear" w:color="auto" w:fill="auto"/>
            <w:noWrap/>
            <w:vAlign w:val="center"/>
          </w:tcPr>
          <w:p w14:paraId="763637BB" w14:textId="68D8AAE0"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-28%</w:t>
            </w:r>
          </w:p>
        </w:tc>
        <w:tc>
          <w:tcPr>
            <w:tcW w:w="1247" w:type="dxa"/>
            <w:tcBorders>
              <w:top w:val="nil"/>
              <w:left w:val="nil"/>
              <w:bottom w:val="nil"/>
            </w:tcBorders>
            <w:shd w:val="clear" w:color="auto" w:fill="auto"/>
            <w:noWrap/>
            <w:vAlign w:val="center"/>
          </w:tcPr>
          <w:p w14:paraId="1904F91F" w14:textId="7FC082A0"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-46%</w:t>
            </w:r>
          </w:p>
        </w:tc>
      </w:tr>
      <w:tr w:rsidR="000A648F" w:rsidRPr="0069113F" w14:paraId="1C7797E7" w14:textId="77777777" w:rsidTr="00F77B6C">
        <w:trPr>
          <w:trHeight w:val="20"/>
        </w:trPr>
        <w:tc>
          <w:tcPr>
            <w:tcW w:w="3536" w:type="dxa"/>
            <w:tcBorders>
              <w:top w:val="nil"/>
              <w:bottom w:val="nil"/>
              <w:right w:val="nil"/>
            </w:tcBorders>
            <w:shd w:val="clear" w:color="auto" w:fill="auto"/>
            <w:noWrap/>
            <w:vAlign w:val="bottom"/>
            <w:hideMark/>
          </w:tcPr>
          <w:p w14:paraId="1F6FED3A" w14:textId="77777777" w:rsidR="000A648F" w:rsidRPr="0069113F" w:rsidRDefault="000A648F" w:rsidP="000A648F">
            <w:pPr>
              <w:spacing w:line="240" w:lineRule="auto"/>
              <w:rPr>
                <w:rFonts w:cs="Times New Roman"/>
                <w:szCs w:val="24"/>
                <w:lang w:eastAsia="en-GB"/>
              </w:rPr>
            </w:pPr>
            <w:r w:rsidRPr="0069113F">
              <w:rPr>
                <w:rFonts w:cs="Times New Roman"/>
                <w:szCs w:val="24"/>
                <w:lang w:eastAsia="en-GB"/>
              </w:rPr>
              <w:t>Scenario 2: SSB industry levy under “soft” Brexit</w:t>
            </w:r>
          </w:p>
        </w:tc>
        <w:tc>
          <w:tcPr>
            <w:tcW w:w="1247" w:type="dxa"/>
            <w:tcBorders>
              <w:top w:val="nil"/>
              <w:left w:val="nil"/>
              <w:bottom w:val="nil"/>
              <w:right w:val="nil"/>
            </w:tcBorders>
            <w:shd w:val="clear" w:color="auto" w:fill="auto"/>
            <w:vAlign w:val="center"/>
          </w:tcPr>
          <w:p w14:paraId="23EC7EBF" w14:textId="77777777" w:rsidR="000A648F" w:rsidRPr="0069113F" w:rsidRDefault="000A648F" w:rsidP="000A648F">
            <w:pPr>
              <w:spacing w:line="240" w:lineRule="auto"/>
              <w:jc w:val="center"/>
              <w:rPr>
                <w:rFonts w:cs="Times New Roman"/>
                <w:szCs w:val="24"/>
                <w:lang w:eastAsia="en-GB"/>
              </w:rPr>
            </w:pPr>
          </w:p>
        </w:tc>
        <w:tc>
          <w:tcPr>
            <w:tcW w:w="1247" w:type="dxa"/>
            <w:tcBorders>
              <w:top w:val="nil"/>
              <w:left w:val="nil"/>
              <w:bottom w:val="nil"/>
              <w:right w:val="nil"/>
            </w:tcBorders>
            <w:shd w:val="clear" w:color="auto" w:fill="auto"/>
            <w:noWrap/>
            <w:vAlign w:val="center"/>
          </w:tcPr>
          <w:p w14:paraId="42C73376" w14:textId="77777777" w:rsidR="000A648F" w:rsidRPr="0069113F" w:rsidRDefault="000A648F" w:rsidP="000A648F">
            <w:pPr>
              <w:spacing w:line="240" w:lineRule="auto"/>
              <w:jc w:val="center"/>
              <w:rPr>
                <w:rFonts w:cs="Times New Roman"/>
                <w:szCs w:val="24"/>
                <w:lang w:eastAsia="en-GB"/>
              </w:rPr>
            </w:pPr>
          </w:p>
        </w:tc>
        <w:tc>
          <w:tcPr>
            <w:tcW w:w="1247" w:type="dxa"/>
            <w:tcBorders>
              <w:top w:val="nil"/>
              <w:left w:val="nil"/>
              <w:bottom w:val="nil"/>
              <w:right w:val="nil"/>
            </w:tcBorders>
            <w:shd w:val="clear" w:color="auto" w:fill="auto"/>
            <w:noWrap/>
            <w:vAlign w:val="center"/>
          </w:tcPr>
          <w:p w14:paraId="6F0E1A0B" w14:textId="77777777" w:rsidR="000A648F" w:rsidRPr="0069113F" w:rsidRDefault="000A648F" w:rsidP="000A648F">
            <w:pPr>
              <w:spacing w:line="240" w:lineRule="auto"/>
              <w:jc w:val="center"/>
              <w:rPr>
                <w:rFonts w:cs="Times New Roman"/>
                <w:szCs w:val="24"/>
                <w:lang w:eastAsia="en-GB"/>
              </w:rPr>
            </w:pPr>
          </w:p>
        </w:tc>
        <w:tc>
          <w:tcPr>
            <w:tcW w:w="1247" w:type="dxa"/>
            <w:tcBorders>
              <w:top w:val="nil"/>
              <w:left w:val="nil"/>
              <w:bottom w:val="nil"/>
            </w:tcBorders>
            <w:shd w:val="clear" w:color="auto" w:fill="auto"/>
            <w:noWrap/>
            <w:vAlign w:val="center"/>
          </w:tcPr>
          <w:p w14:paraId="0B0A1295" w14:textId="176043EA"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 </w:t>
            </w:r>
          </w:p>
        </w:tc>
      </w:tr>
      <w:tr w:rsidR="000A648F" w:rsidRPr="0069113F" w14:paraId="26243D5C" w14:textId="77777777" w:rsidTr="00F77B6C">
        <w:trPr>
          <w:trHeight w:val="20"/>
        </w:trPr>
        <w:tc>
          <w:tcPr>
            <w:tcW w:w="3536" w:type="dxa"/>
            <w:tcBorders>
              <w:top w:val="nil"/>
              <w:bottom w:val="nil"/>
              <w:right w:val="nil"/>
            </w:tcBorders>
            <w:shd w:val="clear" w:color="auto" w:fill="auto"/>
            <w:noWrap/>
            <w:vAlign w:val="bottom"/>
            <w:hideMark/>
          </w:tcPr>
          <w:p w14:paraId="330B2E1E" w14:textId="6279D6C6" w:rsidR="000A648F" w:rsidRPr="0069113F" w:rsidRDefault="000A648F" w:rsidP="000A648F">
            <w:pPr>
              <w:spacing w:line="240" w:lineRule="auto"/>
              <w:rPr>
                <w:rFonts w:cs="Times New Roman"/>
                <w:szCs w:val="24"/>
                <w:lang w:eastAsia="en-GB"/>
              </w:rPr>
            </w:pPr>
            <w:r w:rsidRPr="0069113F">
              <w:rPr>
                <w:rFonts w:cs="Times New Roman"/>
                <w:szCs w:val="24"/>
                <w:lang w:eastAsia="en-GB"/>
              </w:rPr>
              <w:t>Scenario 2a</w:t>
            </w:r>
            <w:r w:rsidR="007A3E2B">
              <w:rPr>
                <w:rFonts w:cs="Times New Roman"/>
                <w:szCs w:val="24"/>
                <w:lang w:eastAsia="en-GB"/>
              </w:rPr>
              <w:t>: 80% pass-through</w:t>
            </w:r>
          </w:p>
        </w:tc>
        <w:tc>
          <w:tcPr>
            <w:tcW w:w="1247" w:type="dxa"/>
            <w:tcBorders>
              <w:top w:val="nil"/>
              <w:left w:val="nil"/>
              <w:bottom w:val="nil"/>
              <w:right w:val="nil"/>
            </w:tcBorders>
            <w:shd w:val="clear" w:color="auto" w:fill="auto"/>
            <w:vAlign w:val="center"/>
          </w:tcPr>
          <w:p w14:paraId="4EF50D63" w14:textId="77777777" w:rsidR="000A648F" w:rsidRPr="0069113F" w:rsidRDefault="000A648F" w:rsidP="000A648F">
            <w:pPr>
              <w:spacing w:line="240" w:lineRule="auto"/>
              <w:jc w:val="center"/>
              <w:rPr>
                <w:rFonts w:cs="Times New Roman"/>
                <w:szCs w:val="24"/>
                <w:lang w:eastAsia="en-GB"/>
              </w:rPr>
            </w:pPr>
            <w:r w:rsidRPr="0069113F">
              <w:rPr>
                <w:rFonts w:cs="Times New Roman"/>
                <w:szCs w:val="24"/>
                <w:lang w:eastAsia="en-GB"/>
              </w:rPr>
              <w:t>-21%</w:t>
            </w:r>
          </w:p>
        </w:tc>
        <w:tc>
          <w:tcPr>
            <w:tcW w:w="1247" w:type="dxa"/>
            <w:tcBorders>
              <w:top w:val="nil"/>
              <w:left w:val="nil"/>
              <w:bottom w:val="nil"/>
              <w:right w:val="nil"/>
            </w:tcBorders>
            <w:shd w:val="clear" w:color="auto" w:fill="auto"/>
            <w:noWrap/>
            <w:vAlign w:val="center"/>
          </w:tcPr>
          <w:p w14:paraId="2A0F7CA9" w14:textId="7EE48FF4"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-19%</w:t>
            </w:r>
          </w:p>
        </w:tc>
        <w:tc>
          <w:tcPr>
            <w:tcW w:w="1247" w:type="dxa"/>
            <w:tcBorders>
              <w:top w:val="nil"/>
              <w:left w:val="nil"/>
              <w:bottom w:val="nil"/>
              <w:right w:val="nil"/>
            </w:tcBorders>
            <w:shd w:val="clear" w:color="auto" w:fill="auto"/>
            <w:noWrap/>
            <w:vAlign w:val="center"/>
          </w:tcPr>
          <w:p w14:paraId="2F2E363D" w14:textId="6568204E"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-20%</w:t>
            </w:r>
          </w:p>
        </w:tc>
        <w:tc>
          <w:tcPr>
            <w:tcW w:w="1247" w:type="dxa"/>
            <w:tcBorders>
              <w:top w:val="nil"/>
              <w:left w:val="nil"/>
              <w:bottom w:val="nil"/>
            </w:tcBorders>
            <w:shd w:val="clear" w:color="auto" w:fill="auto"/>
            <w:noWrap/>
            <w:vAlign w:val="center"/>
          </w:tcPr>
          <w:p w14:paraId="1AE389A5" w14:textId="75E9315F"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-32%</w:t>
            </w:r>
          </w:p>
        </w:tc>
      </w:tr>
      <w:tr w:rsidR="000A648F" w:rsidRPr="0069113F" w14:paraId="75BF7B3E" w14:textId="77777777" w:rsidTr="00F77B6C">
        <w:trPr>
          <w:trHeight w:val="20"/>
        </w:trPr>
        <w:tc>
          <w:tcPr>
            <w:tcW w:w="3536" w:type="dxa"/>
            <w:tcBorders>
              <w:top w:val="nil"/>
              <w:bottom w:val="nil"/>
              <w:right w:val="nil"/>
            </w:tcBorders>
            <w:shd w:val="clear" w:color="auto" w:fill="auto"/>
            <w:noWrap/>
            <w:vAlign w:val="bottom"/>
            <w:hideMark/>
          </w:tcPr>
          <w:p w14:paraId="5752B1A9" w14:textId="6CA0D949" w:rsidR="000A648F" w:rsidRPr="0069113F" w:rsidRDefault="000A648F" w:rsidP="000A648F">
            <w:pPr>
              <w:spacing w:line="240" w:lineRule="auto"/>
              <w:rPr>
                <w:rFonts w:cs="Times New Roman"/>
                <w:szCs w:val="24"/>
                <w:lang w:eastAsia="en-GB"/>
              </w:rPr>
            </w:pPr>
            <w:r w:rsidRPr="0069113F">
              <w:rPr>
                <w:rFonts w:cs="Times New Roman"/>
                <w:szCs w:val="24"/>
                <w:lang w:eastAsia="en-GB"/>
              </w:rPr>
              <w:t>Scenario 2b</w:t>
            </w:r>
            <w:r w:rsidR="007A3E2B">
              <w:rPr>
                <w:rFonts w:cs="Times New Roman"/>
                <w:szCs w:val="24"/>
                <w:lang w:eastAsia="en-GB"/>
              </w:rPr>
              <w:t>: 100% pass-through</w:t>
            </w:r>
          </w:p>
        </w:tc>
        <w:tc>
          <w:tcPr>
            <w:tcW w:w="1247" w:type="dxa"/>
            <w:tcBorders>
              <w:top w:val="nil"/>
              <w:left w:val="nil"/>
              <w:bottom w:val="nil"/>
              <w:right w:val="nil"/>
            </w:tcBorders>
            <w:shd w:val="clear" w:color="auto" w:fill="auto"/>
            <w:vAlign w:val="center"/>
          </w:tcPr>
          <w:p w14:paraId="1A7685ED" w14:textId="207CA91A" w:rsidR="000A648F" w:rsidRPr="0069113F" w:rsidRDefault="000A648F" w:rsidP="000519C1">
            <w:pPr>
              <w:spacing w:line="240" w:lineRule="auto"/>
              <w:jc w:val="center"/>
              <w:rPr>
                <w:rFonts w:cs="Times New Roman"/>
                <w:szCs w:val="24"/>
                <w:lang w:eastAsia="en-GB"/>
              </w:rPr>
            </w:pPr>
            <w:r w:rsidRPr="0069113F">
              <w:rPr>
                <w:rFonts w:cs="Times New Roman"/>
                <w:szCs w:val="24"/>
                <w:lang w:eastAsia="en-GB"/>
              </w:rPr>
              <w:t>-2</w:t>
            </w:r>
            <w:r w:rsidR="000519C1">
              <w:rPr>
                <w:rFonts w:cs="Times New Roman"/>
                <w:szCs w:val="24"/>
                <w:lang w:eastAsia="en-GB"/>
              </w:rPr>
              <w:t>7</w:t>
            </w:r>
            <w:r w:rsidRPr="0069113F">
              <w:rPr>
                <w:rFonts w:cs="Times New Roman"/>
                <w:szCs w:val="24"/>
                <w:lang w:eastAsia="en-GB"/>
              </w:rPr>
              <w:t>%</w:t>
            </w:r>
          </w:p>
        </w:tc>
        <w:tc>
          <w:tcPr>
            <w:tcW w:w="1247" w:type="dxa"/>
            <w:tcBorders>
              <w:top w:val="nil"/>
              <w:left w:val="nil"/>
              <w:bottom w:val="nil"/>
              <w:right w:val="nil"/>
            </w:tcBorders>
            <w:shd w:val="clear" w:color="auto" w:fill="auto"/>
            <w:noWrap/>
            <w:vAlign w:val="center"/>
          </w:tcPr>
          <w:p w14:paraId="4FFC8D4B" w14:textId="4811C7A4"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-24%</w:t>
            </w:r>
          </w:p>
        </w:tc>
        <w:tc>
          <w:tcPr>
            <w:tcW w:w="1247" w:type="dxa"/>
            <w:tcBorders>
              <w:top w:val="nil"/>
              <w:left w:val="nil"/>
              <w:bottom w:val="nil"/>
              <w:right w:val="nil"/>
            </w:tcBorders>
            <w:shd w:val="clear" w:color="auto" w:fill="auto"/>
            <w:noWrap/>
            <w:vAlign w:val="center"/>
          </w:tcPr>
          <w:p w14:paraId="26C558EE" w14:textId="37DA2EFB"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-24%</w:t>
            </w:r>
          </w:p>
        </w:tc>
        <w:tc>
          <w:tcPr>
            <w:tcW w:w="1247" w:type="dxa"/>
            <w:tcBorders>
              <w:top w:val="nil"/>
              <w:left w:val="nil"/>
              <w:bottom w:val="nil"/>
            </w:tcBorders>
            <w:shd w:val="clear" w:color="auto" w:fill="auto"/>
            <w:noWrap/>
            <w:vAlign w:val="center"/>
          </w:tcPr>
          <w:p w14:paraId="7BF15E66" w14:textId="37267553"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-40%</w:t>
            </w:r>
          </w:p>
        </w:tc>
      </w:tr>
      <w:tr w:rsidR="000A648F" w:rsidRPr="0069113F" w14:paraId="5736988D" w14:textId="77777777" w:rsidTr="00F77B6C">
        <w:trPr>
          <w:trHeight w:val="20"/>
        </w:trPr>
        <w:tc>
          <w:tcPr>
            <w:tcW w:w="3536" w:type="dxa"/>
            <w:tcBorders>
              <w:top w:val="nil"/>
              <w:bottom w:val="nil"/>
              <w:right w:val="nil"/>
            </w:tcBorders>
            <w:shd w:val="clear" w:color="auto" w:fill="auto"/>
            <w:noWrap/>
            <w:vAlign w:val="bottom"/>
            <w:hideMark/>
          </w:tcPr>
          <w:p w14:paraId="4DE7F408" w14:textId="4D894653" w:rsidR="000A648F" w:rsidRPr="0069113F" w:rsidRDefault="000A648F" w:rsidP="000A648F">
            <w:pPr>
              <w:spacing w:line="240" w:lineRule="auto"/>
              <w:rPr>
                <w:rFonts w:cs="Times New Roman"/>
                <w:szCs w:val="24"/>
                <w:lang w:eastAsia="en-GB"/>
              </w:rPr>
            </w:pPr>
            <w:r w:rsidRPr="0069113F">
              <w:rPr>
                <w:rFonts w:cs="Times New Roman"/>
                <w:szCs w:val="24"/>
                <w:lang w:eastAsia="en-GB"/>
              </w:rPr>
              <w:t>Scenario 2c</w:t>
            </w:r>
            <w:r w:rsidR="007A3E2B">
              <w:rPr>
                <w:rFonts w:cs="Times New Roman"/>
                <w:szCs w:val="24"/>
                <w:lang w:eastAsia="en-GB"/>
              </w:rPr>
              <w:t>: 120% pass-through</w:t>
            </w:r>
          </w:p>
        </w:tc>
        <w:tc>
          <w:tcPr>
            <w:tcW w:w="1247" w:type="dxa"/>
            <w:tcBorders>
              <w:top w:val="nil"/>
              <w:left w:val="nil"/>
              <w:bottom w:val="nil"/>
              <w:right w:val="nil"/>
            </w:tcBorders>
            <w:shd w:val="clear" w:color="auto" w:fill="auto"/>
            <w:vAlign w:val="center"/>
          </w:tcPr>
          <w:p w14:paraId="5689B025" w14:textId="77777777" w:rsidR="000A648F" w:rsidRPr="0069113F" w:rsidRDefault="000A648F" w:rsidP="000A648F">
            <w:pPr>
              <w:spacing w:line="240" w:lineRule="auto"/>
              <w:jc w:val="center"/>
              <w:rPr>
                <w:rFonts w:cs="Times New Roman"/>
                <w:szCs w:val="24"/>
                <w:lang w:eastAsia="en-GB"/>
              </w:rPr>
            </w:pPr>
            <w:r w:rsidRPr="0069113F">
              <w:rPr>
                <w:rFonts w:cs="Times New Roman"/>
                <w:szCs w:val="24"/>
                <w:lang w:eastAsia="en-GB"/>
              </w:rPr>
              <w:t>-32%</w:t>
            </w:r>
          </w:p>
        </w:tc>
        <w:tc>
          <w:tcPr>
            <w:tcW w:w="1247" w:type="dxa"/>
            <w:tcBorders>
              <w:top w:val="nil"/>
              <w:left w:val="nil"/>
              <w:bottom w:val="nil"/>
              <w:right w:val="nil"/>
            </w:tcBorders>
            <w:shd w:val="clear" w:color="auto" w:fill="auto"/>
            <w:noWrap/>
            <w:vAlign w:val="center"/>
          </w:tcPr>
          <w:p w14:paraId="7B376217" w14:textId="2CA9738A"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-29%</w:t>
            </w:r>
          </w:p>
        </w:tc>
        <w:tc>
          <w:tcPr>
            <w:tcW w:w="1247" w:type="dxa"/>
            <w:tcBorders>
              <w:top w:val="nil"/>
              <w:left w:val="nil"/>
              <w:bottom w:val="nil"/>
              <w:right w:val="nil"/>
            </w:tcBorders>
            <w:shd w:val="clear" w:color="auto" w:fill="auto"/>
            <w:noWrap/>
            <w:vAlign w:val="center"/>
          </w:tcPr>
          <w:p w14:paraId="16BB06B7" w14:textId="659957F1"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-29%</w:t>
            </w:r>
          </w:p>
        </w:tc>
        <w:tc>
          <w:tcPr>
            <w:tcW w:w="1247" w:type="dxa"/>
            <w:tcBorders>
              <w:top w:val="nil"/>
              <w:left w:val="nil"/>
              <w:bottom w:val="nil"/>
            </w:tcBorders>
            <w:shd w:val="clear" w:color="auto" w:fill="auto"/>
            <w:noWrap/>
            <w:vAlign w:val="center"/>
          </w:tcPr>
          <w:p w14:paraId="1FFD65C9" w14:textId="26913C96"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-48%</w:t>
            </w:r>
          </w:p>
        </w:tc>
      </w:tr>
      <w:tr w:rsidR="000A648F" w:rsidRPr="0069113F" w14:paraId="19BEFB0E" w14:textId="77777777" w:rsidTr="00F77B6C">
        <w:trPr>
          <w:trHeight w:val="20"/>
        </w:trPr>
        <w:tc>
          <w:tcPr>
            <w:tcW w:w="3536" w:type="dxa"/>
            <w:tcBorders>
              <w:top w:val="nil"/>
              <w:bottom w:val="nil"/>
              <w:right w:val="nil"/>
            </w:tcBorders>
            <w:shd w:val="clear" w:color="auto" w:fill="auto"/>
            <w:noWrap/>
            <w:vAlign w:val="bottom"/>
            <w:hideMark/>
          </w:tcPr>
          <w:p w14:paraId="64872C77" w14:textId="77777777" w:rsidR="000A648F" w:rsidRPr="0069113F" w:rsidRDefault="000A648F" w:rsidP="000A648F">
            <w:pPr>
              <w:spacing w:line="240" w:lineRule="auto"/>
              <w:rPr>
                <w:rFonts w:cs="Times New Roman"/>
                <w:szCs w:val="24"/>
                <w:lang w:eastAsia="en-GB"/>
              </w:rPr>
            </w:pPr>
            <w:r w:rsidRPr="0069113F">
              <w:rPr>
                <w:rFonts w:cs="Times New Roman"/>
                <w:szCs w:val="24"/>
                <w:lang w:eastAsia="en-GB"/>
              </w:rPr>
              <w:t>Scenario 3: SSB industry levy under “hard” Brexit</w:t>
            </w:r>
          </w:p>
        </w:tc>
        <w:tc>
          <w:tcPr>
            <w:tcW w:w="1247" w:type="dxa"/>
            <w:tcBorders>
              <w:top w:val="nil"/>
              <w:left w:val="nil"/>
              <w:bottom w:val="nil"/>
              <w:right w:val="nil"/>
            </w:tcBorders>
            <w:shd w:val="clear" w:color="auto" w:fill="auto"/>
            <w:vAlign w:val="center"/>
          </w:tcPr>
          <w:p w14:paraId="30C1C9DE" w14:textId="77777777" w:rsidR="000A648F" w:rsidRPr="0069113F" w:rsidRDefault="000A648F" w:rsidP="000A648F">
            <w:pPr>
              <w:spacing w:line="240" w:lineRule="auto"/>
              <w:jc w:val="center"/>
              <w:rPr>
                <w:rFonts w:cs="Times New Roman"/>
                <w:szCs w:val="24"/>
                <w:lang w:eastAsia="en-GB"/>
              </w:rPr>
            </w:pPr>
          </w:p>
        </w:tc>
        <w:tc>
          <w:tcPr>
            <w:tcW w:w="1247" w:type="dxa"/>
            <w:tcBorders>
              <w:top w:val="nil"/>
              <w:left w:val="nil"/>
              <w:bottom w:val="nil"/>
              <w:right w:val="nil"/>
            </w:tcBorders>
            <w:shd w:val="clear" w:color="auto" w:fill="auto"/>
            <w:noWrap/>
            <w:vAlign w:val="center"/>
          </w:tcPr>
          <w:p w14:paraId="156A0E10" w14:textId="77777777" w:rsidR="000A648F" w:rsidRPr="0069113F" w:rsidRDefault="000A648F" w:rsidP="000A648F">
            <w:pPr>
              <w:spacing w:line="240" w:lineRule="auto"/>
              <w:jc w:val="center"/>
              <w:rPr>
                <w:rFonts w:cs="Times New Roman"/>
                <w:szCs w:val="24"/>
                <w:lang w:eastAsia="en-GB"/>
              </w:rPr>
            </w:pPr>
          </w:p>
        </w:tc>
        <w:tc>
          <w:tcPr>
            <w:tcW w:w="1247" w:type="dxa"/>
            <w:tcBorders>
              <w:top w:val="nil"/>
              <w:left w:val="nil"/>
              <w:bottom w:val="nil"/>
              <w:right w:val="nil"/>
            </w:tcBorders>
            <w:shd w:val="clear" w:color="auto" w:fill="auto"/>
            <w:noWrap/>
            <w:vAlign w:val="center"/>
          </w:tcPr>
          <w:p w14:paraId="20AA2912" w14:textId="77777777" w:rsidR="000A648F" w:rsidRPr="0069113F" w:rsidRDefault="000A648F" w:rsidP="000A648F">
            <w:pPr>
              <w:spacing w:line="240" w:lineRule="auto"/>
              <w:jc w:val="center"/>
              <w:rPr>
                <w:rFonts w:cs="Times New Roman"/>
                <w:szCs w:val="24"/>
                <w:lang w:eastAsia="en-GB"/>
              </w:rPr>
            </w:pPr>
          </w:p>
        </w:tc>
        <w:tc>
          <w:tcPr>
            <w:tcW w:w="1247" w:type="dxa"/>
            <w:tcBorders>
              <w:top w:val="nil"/>
              <w:left w:val="nil"/>
              <w:bottom w:val="nil"/>
            </w:tcBorders>
            <w:shd w:val="clear" w:color="auto" w:fill="auto"/>
            <w:noWrap/>
            <w:vAlign w:val="center"/>
          </w:tcPr>
          <w:p w14:paraId="3AF6664A" w14:textId="2CCE0236"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 </w:t>
            </w:r>
          </w:p>
        </w:tc>
      </w:tr>
      <w:tr w:rsidR="000A648F" w:rsidRPr="0069113F" w14:paraId="119470BF" w14:textId="77777777" w:rsidTr="00F77B6C">
        <w:trPr>
          <w:trHeight w:val="20"/>
        </w:trPr>
        <w:tc>
          <w:tcPr>
            <w:tcW w:w="3536" w:type="dxa"/>
            <w:tcBorders>
              <w:top w:val="nil"/>
              <w:bottom w:val="nil"/>
              <w:right w:val="nil"/>
            </w:tcBorders>
            <w:shd w:val="clear" w:color="auto" w:fill="auto"/>
            <w:noWrap/>
            <w:vAlign w:val="bottom"/>
            <w:hideMark/>
          </w:tcPr>
          <w:p w14:paraId="4EB1F737" w14:textId="773144D1" w:rsidR="000A648F" w:rsidRPr="0069113F" w:rsidRDefault="000A648F" w:rsidP="000A648F">
            <w:pPr>
              <w:spacing w:line="240" w:lineRule="auto"/>
              <w:rPr>
                <w:rFonts w:cs="Times New Roman"/>
                <w:szCs w:val="24"/>
                <w:lang w:eastAsia="en-GB"/>
              </w:rPr>
            </w:pPr>
            <w:r w:rsidRPr="0069113F">
              <w:rPr>
                <w:rFonts w:cs="Times New Roman"/>
                <w:szCs w:val="24"/>
                <w:lang w:eastAsia="en-GB"/>
              </w:rPr>
              <w:t>Scenario 3a</w:t>
            </w:r>
            <w:r w:rsidR="007A3E2B">
              <w:rPr>
                <w:rFonts w:cs="Times New Roman"/>
                <w:szCs w:val="24"/>
                <w:lang w:eastAsia="en-GB"/>
              </w:rPr>
              <w:t>: 80% pass-through</w:t>
            </w:r>
          </w:p>
        </w:tc>
        <w:tc>
          <w:tcPr>
            <w:tcW w:w="1247" w:type="dxa"/>
            <w:tcBorders>
              <w:top w:val="nil"/>
              <w:left w:val="nil"/>
              <w:bottom w:val="nil"/>
              <w:right w:val="nil"/>
            </w:tcBorders>
            <w:shd w:val="clear" w:color="auto" w:fill="auto"/>
            <w:vAlign w:val="center"/>
          </w:tcPr>
          <w:p w14:paraId="1C65DC7D" w14:textId="77777777" w:rsidR="000A648F" w:rsidRPr="0069113F" w:rsidRDefault="000A648F" w:rsidP="000A648F">
            <w:pPr>
              <w:spacing w:line="240" w:lineRule="auto"/>
              <w:jc w:val="center"/>
              <w:rPr>
                <w:rFonts w:cs="Times New Roman"/>
                <w:szCs w:val="24"/>
                <w:lang w:eastAsia="en-GB"/>
              </w:rPr>
            </w:pPr>
            <w:r w:rsidRPr="0069113F">
              <w:rPr>
                <w:rFonts w:cs="Times New Roman"/>
                <w:szCs w:val="24"/>
                <w:lang w:eastAsia="en-GB"/>
              </w:rPr>
              <w:t>-22%</w:t>
            </w:r>
          </w:p>
        </w:tc>
        <w:tc>
          <w:tcPr>
            <w:tcW w:w="1247" w:type="dxa"/>
            <w:tcBorders>
              <w:top w:val="nil"/>
              <w:left w:val="nil"/>
              <w:bottom w:val="nil"/>
              <w:right w:val="nil"/>
            </w:tcBorders>
            <w:shd w:val="clear" w:color="auto" w:fill="auto"/>
            <w:noWrap/>
            <w:vAlign w:val="center"/>
          </w:tcPr>
          <w:p w14:paraId="0AC86348" w14:textId="4F636891"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-20%</w:t>
            </w:r>
          </w:p>
        </w:tc>
        <w:tc>
          <w:tcPr>
            <w:tcW w:w="1247" w:type="dxa"/>
            <w:tcBorders>
              <w:top w:val="nil"/>
              <w:left w:val="nil"/>
              <w:bottom w:val="nil"/>
              <w:right w:val="nil"/>
            </w:tcBorders>
            <w:shd w:val="clear" w:color="auto" w:fill="auto"/>
            <w:noWrap/>
            <w:vAlign w:val="center"/>
          </w:tcPr>
          <w:p w14:paraId="449579A7" w14:textId="682F94A0"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-20%</w:t>
            </w:r>
          </w:p>
        </w:tc>
        <w:tc>
          <w:tcPr>
            <w:tcW w:w="1247" w:type="dxa"/>
            <w:tcBorders>
              <w:top w:val="nil"/>
              <w:left w:val="nil"/>
              <w:bottom w:val="nil"/>
            </w:tcBorders>
            <w:shd w:val="clear" w:color="auto" w:fill="auto"/>
            <w:noWrap/>
            <w:vAlign w:val="center"/>
          </w:tcPr>
          <w:p w14:paraId="3568D3DC" w14:textId="4B18D2A8"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-33%</w:t>
            </w:r>
          </w:p>
        </w:tc>
      </w:tr>
      <w:tr w:rsidR="000A648F" w:rsidRPr="0069113F" w14:paraId="3513F2C3" w14:textId="77777777" w:rsidTr="00F77B6C">
        <w:trPr>
          <w:trHeight w:val="20"/>
        </w:trPr>
        <w:tc>
          <w:tcPr>
            <w:tcW w:w="3536" w:type="dxa"/>
            <w:tcBorders>
              <w:top w:val="nil"/>
              <w:right w:val="nil"/>
            </w:tcBorders>
            <w:shd w:val="clear" w:color="auto" w:fill="auto"/>
            <w:noWrap/>
            <w:vAlign w:val="bottom"/>
            <w:hideMark/>
          </w:tcPr>
          <w:p w14:paraId="06B6105A" w14:textId="71BCACB1" w:rsidR="000A648F" w:rsidRPr="0069113F" w:rsidRDefault="000A648F" w:rsidP="000A648F">
            <w:pPr>
              <w:spacing w:line="240" w:lineRule="auto"/>
              <w:rPr>
                <w:rFonts w:cs="Times New Roman"/>
                <w:szCs w:val="24"/>
                <w:lang w:eastAsia="en-GB"/>
              </w:rPr>
            </w:pPr>
            <w:r w:rsidRPr="0069113F">
              <w:rPr>
                <w:rFonts w:cs="Times New Roman"/>
                <w:szCs w:val="24"/>
                <w:lang w:eastAsia="en-GB"/>
              </w:rPr>
              <w:t>Scenario 3b</w:t>
            </w:r>
            <w:r w:rsidR="007A3E2B">
              <w:rPr>
                <w:rFonts w:cs="Times New Roman"/>
                <w:szCs w:val="24"/>
                <w:lang w:eastAsia="en-GB"/>
              </w:rPr>
              <w:t>: 100% pass-through</w:t>
            </w:r>
          </w:p>
        </w:tc>
        <w:tc>
          <w:tcPr>
            <w:tcW w:w="1247" w:type="dxa"/>
            <w:tcBorders>
              <w:top w:val="nil"/>
              <w:left w:val="nil"/>
              <w:bottom w:val="nil"/>
              <w:right w:val="nil"/>
            </w:tcBorders>
            <w:shd w:val="clear" w:color="auto" w:fill="auto"/>
            <w:vAlign w:val="center"/>
          </w:tcPr>
          <w:p w14:paraId="119E12AE" w14:textId="77777777" w:rsidR="000A648F" w:rsidRPr="0069113F" w:rsidRDefault="000A648F" w:rsidP="000A648F">
            <w:pPr>
              <w:spacing w:line="240" w:lineRule="auto"/>
              <w:jc w:val="center"/>
              <w:rPr>
                <w:rFonts w:cs="Times New Roman"/>
                <w:szCs w:val="24"/>
                <w:lang w:eastAsia="en-GB"/>
              </w:rPr>
            </w:pPr>
            <w:r w:rsidRPr="0069113F">
              <w:rPr>
                <w:rFonts w:cs="Times New Roman"/>
                <w:szCs w:val="24"/>
                <w:lang w:eastAsia="en-GB"/>
              </w:rPr>
              <w:t>-28%</w:t>
            </w:r>
          </w:p>
        </w:tc>
        <w:tc>
          <w:tcPr>
            <w:tcW w:w="1247" w:type="dxa"/>
            <w:tcBorders>
              <w:top w:val="nil"/>
              <w:left w:val="nil"/>
              <w:right w:val="nil"/>
            </w:tcBorders>
            <w:shd w:val="clear" w:color="auto" w:fill="auto"/>
            <w:noWrap/>
            <w:vAlign w:val="center"/>
          </w:tcPr>
          <w:p w14:paraId="783F69B6" w14:textId="16073A10"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-25%</w:t>
            </w:r>
          </w:p>
        </w:tc>
        <w:tc>
          <w:tcPr>
            <w:tcW w:w="1247" w:type="dxa"/>
            <w:tcBorders>
              <w:top w:val="nil"/>
              <w:left w:val="nil"/>
              <w:right w:val="nil"/>
            </w:tcBorders>
            <w:shd w:val="clear" w:color="auto" w:fill="auto"/>
            <w:noWrap/>
            <w:vAlign w:val="center"/>
          </w:tcPr>
          <w:p w14:paraId="33C7566A" w14:textId="17C52528"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-25%</w:t>
            </w:r>
          </w:p>
        </w:tc>
        <w:tc>
          <w:tcPr>
            <w:tcW w:w="1247" w:type="dxa"/>
            <w:tcBorders>
              <w:top w:val="nil"/>
              <w:left w:val="nil"/>
            </w:tcBorders>
            <w:shd w:val="clear" w:color="auto" w:fill="auto"/>
            <w:noWrap/>
            <w:vAlign w:val="center"/>
          </w:tcPr>
          <w:p w14:paraId="014AFE8C" w14:textId="0AC039FC"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-41%</w:t>
            </w:r>
          </w:p>
        </w:tc>
      </w:tr>
      <w:tr w:rsidR="000A648F" w:rsidRPr="0069113F" w14:paraId="2910FC71" w14:textId="77777777" w:rsidTr="00F77B6C">
        <w:trPr>
          <w:trHeight w:val="20"/>
        </w:trPr>
        <w:tc>
          <w:tcPr>
            <w:tcW w:w="3536" w:type="dxa"/>
            <w:tcBorders>
              <w:top w:val="nil"/>
              <w:bottom w:val="single" w:sz="4" w:space="0" w:color="auto"/>
              <w:right w:val="nil"/>
            </w:tcBorders>
            <w:shd w:val="clear" w:color="auto" w:fill="auto"/>
            <w:noWrap/>
            <w:vAlign w:val="bottom"/>
            <w:hideMark/>
          </w:tcPr>
          <w:p w14:paraId="5954FBA1" w14:textId="265BC674" w:rsidR="000A648F" w:rsidRPr="0069113F" w:rsidRDefault="000A648F" w:rsidP="000A648F">
            <w:pPr>
              <w:spacing w:line="240" w:lineRule="auto"/>
              <w:rPr>
                <w:rFonts w:cs="Times New Roman"/>
                <w:szCs w:val="24"/>
                <w:lang w:eastAsia="en-GB"/>
              </w:rPr>
            </w:pPr>
            <w:r w:rsidRPr="0069113F">
              <w:rPr>
                <w:rFonts w:cs="Times New Roman"/>
                <w:szCs w:val="24"/>
                <w:lang w:eastAsia="en-GB"/>
              </w:rPr>
              <w:t>Scenario 3c</w:t>
            </w:r>
            <w:r w:rsidR="007A3E2B">
              <w:rPr>
                <w:rFonts w:cs="Times New Roman"/>
                <w:szCs w:val="24"/>
                <w:lang w:eastAsia="en-GB"/>
              </w:rPr>
              <w:t>: 120% pass-through</w:t>
            </w:r>
          </w:p>
        </w:tc>
        <w:tc>
          <w:tcPr>
            <w:tcW w:w="1247" w:type="dxa"/>
            <w:tcBorders>
              <w:top w:val="nil"/>
              <w:left w:val="nil"/>
              <w:bottom w:val="single" w:sz="4" w:space="0" w:color="auto"/>
              <w:right w:val="nil"/>
            </w:tcBorders>
            <w:shd w:val="clear" w:color="auto" w:fill="auto"/>
            <w:vAlign w:val="center"/>
          </w:tcPr>
          <w:p w14:paraId="2C463E32" w14:textId="77777777" w:rsidR="000A648F" w:rsidRPr="0069113F" w:rsidRDefault="000A648F" w:rsidP="000A648F">
            <w:pPr>
              <w:spacing w:line="240" w:lineRule="auto"/>
              <w:jc w:val="center"/>
              <w:rPr>
                <w:rFonts w:cs="Times New Roman"/>
                <w:szCs w:val="24"/>
                <w:lang w:eastAsia="en-GB"/>
              </w:rPr>
            </w:pPr>
            <w:r w:rsidRPr="0069113F">
              <w:rPr>
                <w:rFonts w:cs="Times New Roman"/>
                <w:szCs w:val="24"/>
                <w:lang w:eastAsia="en-GB"/>
              </w:rPr>
              <w:t>-33%</w:t>
            </w:r>
          </w:p>
        </w:tc>
        <w:tc>
          <w:tcPr>
            <w:tcW w:w="1247" w:type="dxa"/>
            <w:tcBorders>
              <w:top w:val="nil"/>
              <w:left w:val="nil"/>
              <w:bottom w:val="single" w:sz="4" w:space="0" w:color="auto"/>
              <w:right w:val="nil"/>
            </w:tcBorders>
            <w:shd w:val="clear" w:color="auto" w:fill="auto"/>
            <w:noWrap/>
            <w:vAlign w:val="center"/>
          </w:tcPr>
          <w:p w14:paraId="1DCCD923" w14:textId="5D4AF120"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-30%</w:t>
            </w:r>
          </w:p>
        </w:tc>
        <w:tc>
          <w:tcPr>
            <w:tcW w:w="1247" w:type="dxa"/>
            <w:tcBorders>
              <w:top w:val="nil"/>
              <w:left w:val="nil"/>
              <w:bottom w:val="single" w:sz="4" w:space="0" w:color="auto"/>
              <w:right w:val="nil"/>
            </w:tcBorders>
            <w:shd w:val="clear" w:color="auto" w:fill="auto"/>
            <w:noWrap/>
            <w:vAlign w:val="center"/>
          </w:tcPr>
          <w:p w14:paraId="56B2C671" w14:textId="74F8BC46"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-31%</w:t>
            </w:r>
          </w:p>
        </w:tc>
        <w:tc>
          <w:tcPr>
            <w:tcW w:w="1247" w:type="dxa"/>
            <w:tcBorders>
              <w:top w:val="nil"/>
              <w:left w:val="nil"/>
              <w:bottom w:val="single" w:sz="4" w:space="0" w:color="auto"/>
            </w:tcBorders>
            <w:shd w:val="clear" w:color="auto" w:fill="auto"/>
            <w:noWrap/>
            <w:vAlign w:val="center"/>
          </w:tcPr>
          <w:p w14:paraId="2373B5C5" w14:textId="2B2B366E" w:rsidR="000A648F" w:rsidRPr="0069113F" w:rsidRDefault="000A648F" w:rsidP="000A648F">
            <w:pPr>
              <w:spacing w:line="240" w:lineRule="auto"/>
              <w:jc w:val="center"/>
              <w:rPr>
                <w:rFonts w:cs="Times New Roman"/>
                <w:szCs w:val="24"/>
                <w:lang w:eastAsia="en-GB"/>
              </w:rPr>
            </w:pPr>
            <w:r w:rsidRPr="000A648F">
              <w:rPr>
                <w:rFonts w:cs="Times New Roman"/>
                <w:szCs w:val="24"/>
                <w:lang w:eastAsia="en-GB"/>
              </w:rPr>
              <w:t>-50%</w:t>
            </w:r>
          </w:p>
        </w:tc>
      </w:tr>
    </w:tbl>
    <w:p w14:paraId="322AD7BF" w14:textId="28AA8695" w:rsidR="00541554" w:rsidRPr="009450F1" w:rsidRDefault="009450F1" w:rsidP="0069113F">
      <w:pPr>
        <w:rPr>
          <w:rFonts w:cs="Times New Roman"/>
          <w:szCs w:val="24"/>
        </w:rPr>
      </w:pPr>
      <w:r w:rsidRPr="009450F1">
        <w:rPr>
          <w:rFonts w:cs="Times New Roman"/>
          <w:szCs w:val="24"/>
        </w:rPr>
        <w:t xml:space="preserve">SSB, Sugar-sweetened beverage; </w:t>
      </w:r>
    </w:p>
    <w:p w14:paraId="265BAF0D" w14:textId="77777777" w:rsidR="00221863" w:rsidRDefault="00221863">
      <w:pPr>
        <w:spacing w:after="160" w:line="259" w:lineRule="auto"/>
        <w:rPr>
          <w:rFonts w:cs="Times New Roman"/>
          <w:szCs w:val="24"/>
        </w:rPr>
      </w:pPr>
      <w:r>
        <w:rPr>
          <w:rFonts w:cs="Times New Roman"/>
          <w:szCs w:val="24"/>
        </w:rPr>
        <w:br w:type="page"/>
      </w:r>
    </w:p>
    <w:p w14:paraId="6B75BC4D" w14:textId="71A3720F" w:rsidR="00F77B6C" w:rsidRPr="00541554" w:rsidRDefault="00F77B6C" w:rsidP="0069113F">
      <w:pPr>
        <w:rPr>
          <w:rFonts w:cs="Times New Roman"/>
          <w:szCs w:val="24"/>
        </w:rPr>
      </w:pPr>
      <w:r w:rsidRPr="00541554">
        <w:rPr>
          <w:rFonts w:cs="Times New Roman"/>
          <w:szCs w:val="24"/>
        </w:rPr>
        <w:lastRenderedPageBreak/>
        <w:t xml:space="preserve">Appendix Table </w:t>
      </w:r>
      <w:r w:rsidR="000A648F">
        <w:rPr>
          <w:rFonts w:cs="Times New Roman"/>
          <w:szCs w:val="24"/>
        </w:rPr>
        <w:t>9</w:t>
      </w:r>
      <w:r w:rsidRPr="00541554">
        <w:rPr>
          <w:rFonts w:cs="Times New Roman"/>
          <w:szCs w:val="24"/>
        </w:rPr>
        <w:t>. Number of CHD deaths (95% credible interval) in 202</w:t>
      </w:r>
      <w:r w:rsidR="00FF3EB9">
        <w:rPr>
          <w:rFonts w:cs="Times New Roman"/>
          <w:szCs w:val="24"/>
        </w:rPr>
        <w:t>1</w:t>
      </w:r>
      <w:r w:rsidRPr="00541554">
        <w:rPr>
          <w:rFonts w:cs="Times New Roman"/>
          <w:szCs w:val="24"/>
        </w:rPr>
        <w:t xml:space="preserve"> by age, sex, and IMD quintile, estimated using a Bayesian Age Period Cohort model (BAPC)</w:t>
      </w:r>
      <w:r w:rsidR="008D778F" w:rsidRPr="00541554">
        <w:rPr>
          <w:rFonts w:cs="Times New Roman"/>
          <w:szCs w:val="24"/>
        </w:rPr>
        <w:fldChar w:fldCharType="begin"/>
      </w:r>
      <w:r w:rsidR="007C57A8">
        <w:rPr>
          <w:rFonts w:cs="Times New Roman"/>
          <w:szCs w:val="24"/>
        </w:rPr>
        <w:instrText xml:space="preserve"> ADDIN EN.CITE &lt;EndNote&gt;&lt;Cite&gt;&lt;Author&gt;Guzman Castillo&lt;/Author&gt;&lt;Year&gt;2014&lt;/Year&gt;&lt;RecNum&gt;358&lt;/RecNum&gt;&lt;DisplayText&gt;&lt;style face="superscript"&gt;(12)&lt;/style&gt;&lt;/DisplayText&gt;&lt;record&gt;&lt;rec-number&gt;358&lt;/rec-number&gt;&lt;foreign-keys&gt;&lt;key app="EN" db-id="zdrfrts5sr9296ea90uxsfvhf9zwdwstft0f" timestamp="1474465865"&gt;358&lt;/key&gt;&lt;/foreign-keys&gt;&lt;ref-type name="Journal Article"&gt;17&lt;/ref-type&gt;&lt;contributors&gt;&lt;authors&gt;&lt;author&gt;Guzman Castillo, Maria&lt;/author&gt;&lt;author&gt;Gillespie, Duncan O. S.&lt;/author&gt;&lt;author&gt;Allen, Kirk&lt;/author&gt;&lt;author&gt;Bandosz, Piotr&lt;/author&gt;&lt;author&gt;Schmid, Volker&lt;/author&gt;&lt;author&gt;Capewell, Simon&lt;/author&gt;&lt;author&gt;O’Flaherty, Martin&lt;/author&gt;&lt;/authors&gt;&lt;/contributors&gt;&lt;titles&gt;&lt;title&gt;Future Declines of Coronary Heart Disease Mortality in England and Wales Could Counter the Burden of Population Ageing&lt;/title&gt;&lt;secondary-title&gt;PLoS ONE&lt;/secondary-title&gt;&lt;/titles&gt;&lt;periodical&gt;&lt;full-title&gt;PLoS One&lt;/full-title&gt;&lt;abbr-1&gt;PloS one&lt;/abbr-1&gt;&lt;/periodical&gt;&lt;pages&gt;e99482&lt;/pages&gt;&lt;volume&gt;9&lt;/volume&gt;&lt;number&gt;6&lt;/number&gt;&lt;dates&gt;&lt;year&gt;2014&lt;/year&gt;&lt;/dates&gt;&lt;publisher&gt;Public Library of Science&lt;/publisher&gt;&lt;urls&gt;&lt;related-urls&gt;&lt;url&gt;http://dx.doi.org/10.1371%2Fjournal.pone.0099482&lt;/url&gt;&lt;/related-urls&gt;&lt;/urls&gt;&lt;electronic-resource-num&gt;10.1371/journal.pone.0099482&lt;/electronic-resource-num&gt;&lt;/record&gt;&lt;/Cite&gt;&lt;/EndNote&gt;</w:instrText>
      </w:r>
      <w:r w:rsidR="008D778F" w:rsidRPr="00541554">
        <w:rPr>
          <w:rFonts w:cs="Times New Roman"/>
          <w:szCs w:val="24"/>
        </w:rPr>
        <w:fldChar w:fldCharType="separate"/>
      </w:r>
      <w:r w:rsidR="007C57A8" w:rsidRPr="007C57A8">
        <w:rPr>
          <w:rFonts w:cs="Times New Roman"/>
          <w:noProof/>
          <w:szCs w:val="24"/>
          <w:vertAlign w:val="superscript"/>
        </w:rPr>
        <w:t>(12)</w:t>
      </w:r>
      <w:r w:rsidR="008D778F" w:rsidRPr="00541554">
        <w:rPr>
          <w:rFonts w:cs="Times New Roman"/>
          <w:szCs w:val="24"/>
        </w:rPr>
        <w:fldChar w:fldCharType="end"/>
      </w:r>
      <w:r w:rsidRPr="00541554">
        <w:rPr>
          <w:rFonts w:cs="Times New Roman"/>
          <w:szCs w:val="24"/>
        </w:rPr>
        <w:t xml:space="preserve"> and adjuste</w:t>
      </w:r>
      <w:r w:rsidR="00E9171E">
        <w:rPr>
          <w:rFonts w:cs="Times New Roman"/>
          <w:szCs w:val="24"/>
        </w:rPr>
        <w:t>d using 2013 CHD mortality data</w:t>
      </w:r>
      <w:r w:rsidR="008D778F" w:rsidRPr="00541554">
        <w:rPr>
          <w:rFonts w:cs="Times New Roman"/>
          <w:szCs w:val="24"/>
        </w:rPr>
        <w:fldChar w:fldCharType="begin"/>
      </w:r>
      <w:r w:rsidR="007C57A8">
        <w:rPr>
          <w:rFonts w:cs="Times New Roman"/>
          <w:szCs w:val="24"/>
        </w:rPr>
        <w:instrText xml:space="preserve"> ADDIN EN.CITE &lt;EndNote&gt;&lt;Cite&gt;&lt;Author&gt;Office for National Statistics (ONS)&lt;/Author&gt;&lt;RecNum&gt;579&lt;/RecNum&gt;&lt;DisplayText&gt;&lt;style face="superscript"&gt;(13)&lt;/style&gt;&lt;/DisplayText&gt;&lt;record&gt;&lt;rec-number&gt;579&lt;/rec-number&gt;&lt;foreign-keys&gt;&lt;key app="EN" db-id="zdrfrts5sr9296ea90uxsfvhf9zwdwstft0f" timestamp="1497446078"&gt;579&lt;/key&gt;&lt;/foreign-keys&gt;&lt;ref-type name="Dataset"&gt;59&lt;/ref-type&gt;&lt;contributors&gt;&lt;authors&gt;&lt;author&gt;Office for National Statistics (ONS),.&lt;/author&gt;&lt;/authors&gt;&lt;/contributors&gt;&lt;titles&gt;&lt;title&gt;Number of registered deaths by sex, cause, year, the Adjusted Index of Multiple Deprivation 2010 quintiles (fifths) of Lower Super Output Areas and age group, England, 2002 to 2013&lt;/title&gt;&lt;/titles&gt;&lt;number&gt;June 2017&lt;/number&gt;&lt;dates&gt;&lt;/dates&gt;&lt;urls&gt;&lt;related-urls&gt;&lt;url&gt;http://www.ons.gov.uk/ons/about-ons/business-transparency/freedom-of-information/what-can-i-request/published-ad-hoc-data/health/december-2014/number-of-registered-deaths-by-sex--cause--year--the-adjusted-index.xls&lt;/url&gt;&lt;/related-urls&gt;&lt;/urls&gt;&lt;/record&gt;&lt;/Cite&gt;&lt;/EndNote&gt;</w:instrText>
      </w:r>
      <w:r w:rsidR="008D778F" w:rsidRPr="00541554">
        <w:rPr>
          <w:rFonts w:cs="Times New Roman"/>
          <w:szCs w:val="24"/>
        </w:rPr>
        <w:fldChar w:fldCharType="separate"/>
      </w:r>
      <w:r w:rsidR="007C57A8" w:rsidRPr="007C57A8">
        <w:rPr>
          <w:rFonts w:cs="Times New Roman"/>
          <w:noProof/>
          <w:szCs w:val="24"/>
          <w:vertAlign w:val="superscript"/>
        </w:rPr>
        <w:t>(13)</w:t>
      </w:r>
      <w:r w:rsidR="008D778F" w:rsidRPr="00541554">
        <w:rPr>
          <w:rFonts w:cs="Times New Roman"/>
          <w:szCs w:val="24"/>
        </w:rPr>
        <w:fldChar w:fldCharType="end"/>
      </w:r>
      <w:r w:rsidR="00E9171E">
        <w:rPr>
          <w:rFonts w:cs="Times New Roman"/>
          <w:szCs w:val="24"/>
        </w:rPr>
        <w:t>.</w:t>
      </w:r>
      <w:r w:rsidRPr="00541554">
        <w:rPr>
          <w:rFonts w:cs="Times New Roman"/>
          <w:szCs w:val="24"/>
        </w:rPr>
        <w:t xml:space="preserve"> IMDQ1 is the most affluent group and IMDQ5 the most deprived.</w:t>
      </w:r>
    </w:p>
    <w:tbl>
      <w:tblPr>
        <w:tblW w:w="10061" w:type="dxa"/>
        <w:tblLook w:val="04A0" w:firstRow="1" w:lastRow="0" w:firstColumn="1" w:lastColumn="0" w:noHBand="0" w:noVBand="1"/>
      </w:tblPr>
      <w:tblGrid>
        <w:gridCol w:w="1043"/>
        <w:gridCol w:w="1636"/>
        <w:gridCol w:w="1417"/>
        <w:gridCol w:w="1417"/>
        <w:gridCol w:w="1516"/>
        <w:gridCol w:w="1516"/>
        <w:gridCol w:w="1516"/>
      </w:tblGrid>
      <w:tr w:rsidR="00F77B6C" w:rsidRPr="00541554" w14:paraId="764A023F" w14:textId="77777777" w:rsidTr="0098263E">
        <w:trPr>
          <w:trHeight w:val="20"/>
        </w:trPr>
        <w:tc>
          <w:tcPr>
            <w:tcW w:w="1043" w:type="dxa"/>
            <w:tcBorders>
              <w:top w:val="single" w:sz="8" w:space="0" w:color="auto"/>
              <w:left w:val="nil"/>
              <w:bottom w:val="single" w:sz="8" w:space="0" w:color="auto"/>
              <w:right w:val="nil"/>
            </w:tcBorders>
            <w:shd w:val="clear" w:color="auto" w:fill="auto"/>
            <w:vAlign w:val="center"/>
            <w:hideMark/>
          </w:tcPr>
          <w:p w14:paraId="1EC5CA7D" w14:textId="77777777" w:rsidR="00F77B6C" w:rsidRPr="00541554" w:rsidRDefault="00F77B6C" w:rsidP="009450F1">
            <w:pPr>
              <w:spacing w:line="240" w:lineRule="auto"/>
              <w:rPr>
                <w:rFonts w:eastAsia="Times New Roman" w:cs="Times New Roman"/>
                <w:color w:val="000000"/>
                <w:szCs w:val="24"/>
                <w:lang w:eastAsia="en-GB"/>
              </w:rPr>
            </w:pPr>
            <w:r w:rsidRPr="00541554">
              <w:rPr>
                <w:rFonts w:eastAsia="Times New Roman" w:cs="Times New Roman"/>
                <w:color w:val="000000"/>
                <w:szCs w:val="24"/>
                <w:lang w:eastAsia="en-GB"/>
              </w:rPr>
              <w:t>Age/Sex group</w:t>
            </w:r>
          </w:p>
        </w:tc>
        <w:tc>
          <w:tcPr>
            <w:tcW w:w="1636" w:type="dxa"/>
            <w:tcBorders>
              <w:top w:val="single" w:sz="8" w:space="0" w:color="auto"/>
              <w:left w:val="nil"/>
              <w:bottom w:val="single" w:sz="8" w:space="0" w:color="auto"/>
              <w:right w:val="nil"/>
            </w:tcBorders>
            <w:shd w:val="clear" w:color="auto" w:fill="auto"/>
            <w:vAlign w:val="center"/>
            <w:hideMark/>
          </w:tcPr>
          <w:p w14:paraId="24F5E245" w14:textId="77777777" w:rsidR="00F77B6C" w:rsidRPr="00541554" w:rsidRDefault="00F77B6C" w:rsidP="009450F1">
            <w:pPr>
              <w:spacing w:line="240" w:lineRule="auto"/>
              <w:jc w:val="center"/>
              <w:rPr>
                <w:rFonts w:eastAsia="Times New Roman" w:cs="Times New Roman"/>
                <w:color w:val="000000"/>
                <w:szCs w:val="24"/>
                <w:lang w:eastAsia="en-GB"/>
              </w:rPr>
            </w:pPr>
            <w:r w:rsidRPr="00541554">
              <w:rPr>
                <w:rFonts w:eastAsia="Times New Roman" w:cs="Times New Roman"/>
                <w:color w:val="000000"/>
                <w:szCs w:val="24"/>
                <w:lang w:eastAsia="en-GB"/>
              </w:rPr>
              <w:t>Overall</w:t>
            </w:r>
          </w:p>
        </w:tc>
        <w:tc>
          <w:tcPr>
            <w:tcW w:w="1417" w:type="dxa"/>
            <w:tcBorders>
              <w:top w:val="single" w:sz="8" w:space="0" w:color="auto"/>
              <w:left w:val="nil"/>
              <w:bottom w:val="single" w:sz="8" w:space="0" w:color="auto"/>
              <w:right w:val="nil"/>
            </w:tcBorders>
            <w:shd w:val="clear" w:color="auto" w:fill="auto"/>
            <w:vAlign w:val="center"/>
            <w:hideMark/>
          </w:tcPr>
          <w:p w14:paraId="07F64823" w14:textId="77777777" w:rsidR="00F77B6C" w:rsidRPr="00541554" w:rsidRDefault="00F77B6C" w:rsidP="009450F1">
            <w:pPr>
              <w:spacing w:line="240" w:lineRule="auto"/>
              <w:jc w:val="center"/>
              <w:rPr>
                <w:rFonts w:eastAsia="Times New Roman" w:cs="Times New Roman"/>
                <w:color w:val="000000"/>
                <w:szCs w:val="24"/>
                <w:lang w:eastAsia="en-GB"/>
              </w:rPr>
            </w:pPr>
            <w:r w:rsidRPr="00541554">
              <w:rPr>
                <w:rFonts w:eastAsia="Times New Roman" w:cs="Times New Roman"/>
                <w:color w:val="000000"/>
                <w:szCs w:val="24"/>
                <w:lang w:eastAsia="en-GB"/>
              </w:rPr>
              <w:t>IMDQ 1</w:t>
            </w:r>
          </w:p>
        </w:tc>
        <w:tc>
          <w:tcPr>
            <w:tcW w:w="1417" w:type="dxa"/>
            <w:tcBorders>
              <w:top w:val="single" w:sz="8" w:space="0" w:color="auto"/>
              <w:left w:val="nil"/>
              <w:bottom w:val="single" w:sz="8" w:space="0" w:color="auto"/>
              <w:right w:val="nil"/>
            </w:tcBorders>
            <w:shd w:val="clear" w:color="auto" w:fill="auto"/>
            <w:vAlign w:val="center"/>
            <w:hideMark/>
          </w:tcPr>
          <w:p w14:paraId="0E3A1CBE" w14:textId="77777777" w:rsidR="00F77B6C" w:rsidRPr="00541554" w:rsidRDefault="00F77B6C" w:rsidP="009450F1">
            <w:pPr>
              <w:spacing w:line="240" w:lineRule="auto"/>
              <w:jc w:val="center"/>
              <w:rPr>
                <w:rFonts w:eastAsia="Times New Roman" w:cs="Times New Roman"/>
                <w:color w:val="000000"/>
                <w:szCs w:val="24"/>
                <w:lang w:eastAsia="en-GB"/>
              </w:rPr>
            </w:pPr>
            <w:r w:rsidRPr="00541554">
              <w:rPr>
                <w:rFonts w:eastAsia="Times New Roman" w:cs="Times New Roman"/>
                <w:color w:val="000000"/>
                <w:szCs w:val="24"/>
                <w:lang w:eastAsia="en-GB"/>
              </w:rPr>
              <w:t>IMDQ 2</w:t>
            </w:r>
          </w:p>
        </w:tc>
        <w:tc>
          <w:tcPr>
            <w:tcW w:w="1516" w:type="dxa"/>
            <w:tcBorders>
              <w:top w:val="single" w:sz="8" w:space="0" w:color="auto"/>
              <w:left w:val="nil"/>
              <w:bottom w:val="single" w:sz="8" w:space="0" w:color="auto"/>
              <w:right w:val="nil"/>
            </w:tcBorders>
            <w:shd w:val="clear" w:color="auto" w:fill="auto"/>
            <w:vAlign w:val="center"/>
            <w:hideMark/>
          </w:tcPr>
          <w:p w14:paraId="666D5713" w14:textId="77777777" w:rsidR="00F77B6C" w:rsidRPr="00541554" w:rsidRDefault="00F77B6C" w:rsidP="009450F1">
            <w:pPr>
              <w:spacing w:line="240" w:lineRule="auto"/>
              <w:jc w:val="center"/>
              <w:rPr>
                <w:rFonts w:eastAsia="Times New Roman" w:cs="Times New Roman"/>
                <w:color w:val="000000"/>
                <w:szCs w:val="24"/>
                <w:lang w:eastAsia="en-GB"/>
              </w:rPr>
            </w:pPr>
            <w:r w:rsidRPr="00541554">
              <w:rPr>
                <w:rFonts w:eastAsia="Times New Roman" w:cs="Times New Roman"/>
                <w:color w:val="000000"/>
                <w:szCs w:val="24"/>
                <w:lang w:eastAsia="en-GB"/>
              </w:rPr>
              <w:t>IMDQ3</w:t>
            </w:r>
          </w:p>
        </w:tc>
        <w:tc>
          <w:tcPr>
            <w:tcW w:w="1516" w:type="dxa"/>
            <w:tcBorders>
              <w:top w:val="single" w:sz="8" w:space="0" w:color="auto"/>
              <w:left w:val="nil"/>
              <w:bottom w:val="single" w:sz="8" w:space="0" w:color="auto"/>
              <w:right w:val="nil"/>
            </w:tcBorders>
            <w:shd w:val="clear" w:color="auto" w:fill="auto"/>
            <w:vAlign w:val="center"/>
            <w:hideMark/>
          </w:tcPr>
          <w:p w14:paraId="0BB25AA2" w14:textId="77777777" w:rsidR="00F77B6C" w:rsidRPr="00541554" w:rsidRDefault="00F77B6C" w:rsidP="009450F1">
            <w:pPr>
              <w:spacing w:line="240" w:lineRule="auto"/>
              <w:jc w:val="center"/>
              <w:rPr>
                <w:rFonts w:eastAsia="Times New Roman" w:cs="Times New Roman"/>
                <w:color w:val="000000"/>
                <w:szCs w:val="24"/>
                <w:lang w:eastAsia="en-GB"/>
              </w:rPr>
            </w:pPr>
            <w:r w:rsidRPr="00541554">
              <w:rPr>
                <w:rFonts w:eastAsia="Times New Roman" w:cs="Times New Roman"/>
                <w:color w:val="000000"/>
                <w:szCs w:val="24"/>
                <w:lang w:eastAsia="en-GB"/>
              </w:rPr>
              <w:t>IMDQ4</w:t>
            </w:r>
          </w:p>
        </w:tc>
        <w:tc>
          <w:tcPr>
            <w:tcW w:w="1516" w:type="dxa"/>
            <w:tcBorders>
              <w:top w:val="single" w:sz="8" w:space="0" w:color="auto"/>
              <w:left w:val="nil"/>
              <w:bottom w:val="single" w:sz="8" w:space="0" w:color="auto"/>
              <w:right w:val="nil"/>
            </w:tcBorders>
            <w:shd w:val="clear" w:color="auto" w:fill="auto"/>
            <w:vAlign w:val="center"/>
            <w:hideMark/>
          </w:tcPr>
          <w:p w14:paraId="544BAD73" w14:textId="77777777" w:rsidR="00F77B6C" w:rsidRPr="00541554" w:rsidRDefault="00F77B6C" w:rsidP="009450F1">
            <w:pPr>
              <w:spacing w:line="240" w:lineRule="auto"/>
              <w:jc w:val="center"/>
              <w:rPr>
                <w:rFonts w:eastAsia="Times New Roman" w:cs="Times New Roman"/>
                <w:color w:val="000000"/>
                <w:szCs w:val="24"/>
                <w:lang w:eastAsia="en-GB"/>
              </w:rPr>
            </w:pPr>
            <w:r w:rsidRPr="00541554">
              <w:rPr>
                <w:rFonts w:eastAsia="Times New Roman" w:cs="Times New Roman"/>
                <w:color w:val="000000"/>
                <w:szCs w:val="24"/>
                <w:lang w:eastAsia="en-GB"/>
              </w:rPr>
              <w:t>IMDQ5</w:t>
            </w:r>
          </w:p>
        </w:tc>
      </w:tr>
      <w:tr w:rsidR="0098263E" w:rsidRPr="0069113F" w14:paraId="39E054D3" w14:textId="77777777" w:rsidTr="0098263E">
        <w:trPr>
          <w:trHeight w:val="20"/>
        </w:trPr>
        <w:tc>
          <w:tcPr>
            <w:tcW w:w="1043" w:type="dxa"/>
            <w:tcBorders>
              <w:top w:val="nil"/>
              <w:left w:val="nil"/>
              <w:bottom w:val="nil"/>
              <w:right w:val="nil"/>
            </w:tcBorders>
            <w:shd w:val="clear" w:color="auto" w:fill="auto"/>
            <w:vAlign w:val="center"/>
            <w:hideMark/>
          </w:tcPr>
          <w:p w14:paraId="10451331" w14:textId="77777777" w:rsidR="0098263E" w:rsidRPr="0069113F" w:rsidRDefault="0098263E" w:rsidP="0098263E">
            <w:pPr>
              <w:spacing w:line="240" w:lineRule="auto"/>
              <w:rPr>
                <w:rFonts w:eastAsia="Times New Roman" w:cs="Times New Roman"/>
                <w:color w:val="000000"/>
                <w:szCs w:val="24"/>
                <w:lang w:eastAsia="en-GB"/>
              </w:rPr>
            </w:pPr>
            <w:r w:rsidRPr="0069113F">
              <w:rPr>
                <w:rFonts w:eastAsia="Times New Roman" w:cs="Times New Roman"/>
                <w:color w:val="000000"/>
                <w:szCs w:val="24"/>
                <w:lang w:eastAsia="en-GB"/>
              </w:rPr>
              <w:t>Men 25-34</w:t>
            </w:r>
          </w:p>
        </w:tc>
        <w:tc>
          <w:tcPr>
            <w:tcW w:w="1636" w:type="dxa"/>
            <w:tcBorders>
              <w:top w:val="nil"/>
              <w:left w:val="nil"/>
              <w:bottom w:val="nil"/>
              <w:right w:val="nil"/>
            </w:tcBorders>
            <w:shd w:val="clear" w:color="auto" w:fill="auto"/>
            <w:noWrap/>
            <w:vAlign w:val="bottom"/>
            <w:hideMark/>
          </w:tcPr>
          <w:p w14:paraId="44FDEC48" w14:textId="4C882FD7" w:rsidR="0098263E" w:rsidRPr="0069113F" w:rsidRDefault="0098263E" w:rsidP="0098263E">
            <w:pPr>
              <w:spacing w:line="240" w:lineRule="auto"/>
              <w:jc w:val="center"/>
              <w:rPr>
                <w:rFonts w:eastAsia="Times New Roman" w:cs="Times New Roman"/>
                <w:color w:val="000000"/>
                <w:szCs w:val="24"/>
                <w:lang w:eastAsia="en-GB"/>
              </w:rPr>
            </w:pPr>
            <w:r>
              <w:rPr>
                <w:color w:val="000000"/>
              </w:rPr>
              <w:t>67 (50,92)</w:t>
            </w:r>
          </w:p>
        </w:tc>
        <w:tc>
          <w:tcPr>
            <w:tcW w:w="1417" w:type="dxa"/>
            <w:tcBorders>
              <w:top w:val="nil"/>
              <w:left w:val="nil"/>
              <w:bottom w:val="nil"/>
              <w:right w:val="nil"/>
            </w:tcBorders>
            <w:shd w:val="clear" w:color="auto" w:fill="auto"/>
            <w:noWrap/>
            <w:vAlign w:val="bottom"/>
            <w:hideMark/>
          </w:tcPr>
          <w:p w14:paraId="5C5E69CF" w14:textId="4399E6E6" w:rsidR="0098263E" w:rsidRPr="0069113F" w:rsidRDefault="0098263E" w:rsidP="0098263E">
            <w:pPr>
              <w:spacing w:line="240" w:lineRule="auto"/>
              <w:jc w:val="center"/>
              <w:rPr>
                <w:rFonts w:eastAsia="Times New Roman" w:cs="Times New Roman"/>
                <w:color w:val="000000"/>
                <w:szCs w:val="24"/>
                <w:lang w:eastAsia="en-GB"/>
              </w:rPr>
            </w:pPr>
            <w:r>
              <w:rPr>
                <w:color w:val="000000"/>
              </w:rPr>
              <w:t>9 (6,12)</w:t>
            </w:r>
          </w:p>
        </w:tc>
        <w:tc>
          <w:tcPr>
            <w:tcW w:w="1417" w:type="dxa"/>
            <w:tcBorders>
              <w:top w:val="nil"/>
              <w:left w:val="nil"/>
              <w:bottom w:val="nil"/>
              <w:right w:val="nil"/>
            </w:tcBorders>
            <w:shd w:val="clear" w:color="auto" w:fill="auto"/>
            <w:noWrap/>
            <w:vAlign w:val="bottom"/>
            <w:hideMark/>
          </w:tcPr>
          <w:p w14:paraId="2D0E1A5E" w14:textId="001A7518" w:rsidR="0098263E" w:rsidRPr="0069113F" w:rsidRDefault="0098263E" w:rsidP="0098263E">
            <w:pPr>
              <w:spacing w:line="240" w:lineRule="auto"/>
              <w:jc w:val="center"/>
              <w:rPr>
                <w:rFonts w:eastAsia="Times New Roman" w:cs="Times New Roman"/>
                <w:color w:val="000000"/>
                <w:szCs w:val="24"/>
                <w:lang w:eastAsia="en-GB"/>
              </w:rPr>
            </w:pPr>
            <w:r>
              <w:rPr>
                <w:color w:val="000000"/>
              </w:rPr>
              <w:t>5 (4,7)</w:t>
            </w:r>
          </w:p>
        </w:tc>
        <w:tc>
          <w:tcPr>
            <w:tcW w:w="1516" w:type="dxa"/>
            <w:tcBorders>
              <w:top w:val="nil"/>
              <w:left w:val="nil"/>
              <w:bottom w:val="nil"/>
              <w:right w:val="nil"/>
            </w:tcBorders>
            <w:shd w:val="clear" w:color="auto" w:fill="auto"/>
            <w:noWrap/>
            <w:vAlign w:val="bottom"/>
            <w:hideMark/>
          </w:tcPr>
          <w:p w14:paraId="11165EC5" w14:textId="75CF6682" w:rsidR="0098263E" w:rsidRPr="0069113F" w:rsidRDefault="0098263E" w:rsidP="0098263E">
            <w:pPr>
              <w:spacing w:line="240" w:lineRule="auto"/>
              <w:jc w:val="center"/>
              <w:rPr>
                <w:rFonts w:eastAsia="Times New Roman" w:cs="Times New Roman"/>
                <w:color w:val="000000"/>
                <w:szCs w:val="24"/>
                <w:lang w:eastAsia="en-GB"/>
              </w:rPr>
            </w:pPr>
            <w:r>
              <w:rPr>
                <w:color w:val="000000"/>
              </w:rPr>
              <w:t>17 (13,24)</w:t>
            </w:r>
          </w:p>
        </w:tc>
        <w:tc>
          <w:tcPr>
            <w:tcW w:w="1516" w:type="dxa"/>
            <w:tcBorders>
              <w:top w:val="nil"/>
              <w:left w:val="nil"/>
              <w:bottom w:val="nil"/>
              <w:right w:val="nil"/>
            </w:tcBorders>
            <w:shd w:val="clear" w:color="auto" w:fill="auto"/>
            <w:noWrap/>
            <w:vAlign w:val="bottom"/>
            <w:hideMark/>
          </w:tcPr>
          <w:p w14:paraId="223E5E25" w14:textId="22A448DB" w:rsidR="0098263E" w:rsidRPr="0069113F" w:rsidRDefault="0098263E" w:rsidP="0098263E">
            <w:pPr>
              <w:spacing w:line="240" w:lineRule="auto"/>
              <w:jc w:val="center"/>
              <w:rPr>
                <w:rFonts w:eastAsia="Times New Roman" w:cs="Times New Roman"/>
                <w:color w:val="000000"/>
                <w:szCs w:val="24"/>
                <w:lang w:eastAsia="en-GB"/>
              </w:rPr>
            </w:pPr>
            <w:r>
              <w:rPr>
                <w:color w:val="000000"/>
              </w:rPr>
              <w:t>18 (14,25)</w:t>
            </w:r>
          </w:p>
        </w:tc>
        <w:tc>
          <w:tcPr>
            <w:tcW w:w="1516" w:type="dxa"/>
            <w:tcBorders>
              <w:top w:val="nil"/>
              <w:left w:val="nil"/>
              <w:bottom w:val="nil"/>
              <w:right w:val="nil"/>
            </w:tcBorders>
            <w:shd w:val="clear" w:color="auto" w:fill="auto"/>
            <w:noWrap/>
            <w:vAlign w:val="bottom"/>
            <w:hideMark/>
          </w:tcPr>
          <w:p w14:paraId="4DAE7C38" w14:textId="7B889044" w:rsidR="0098263E" w:rsidRPr="0069113F" w:rsidRDefault="0098263E" w:rsidP="0098263E">
            <w:pPr>
              <w:spacing w:line="240" w:lineRule="auto"/>
              <w:jc w:val="center"/>
              <w:rPr>
                <w:rFonts w:eastAsia="Times New Roman" w:cs="Times New Roman"/>
                <w:color w:val="000000"/>
                <w:szCs w:val="24"/>
                <w:lang w:eastAsia="en-GB"/>
              </w:rPr>
            </w:pPr>
            <w:r>
              <w:rPr>
                <w:color w:val="000000"/>
              </w:rPr>
              <w:t>17 (13,24)</w:t>
            </w:r>
          </w:p>
        </w:tc>
      </w:tr>
      <w:tr w:rsidR="0098263E" w:rsidRPr="0069113F" w14:paraId="59F5CE2E" w14:textId="77777777" w:rsidTr="0098263E">
        <w:trPr>
          <w:trHeight w:val="20"/>
        </w:trPr>
        <w:tc>
          <w:tcPr>
            <w:tcW w:w="1043" w:type="dxa"/>
            <w:tcBorders>
              <w:top w:val="nil"/>
              <w:left w:val="nil"/>
              <w:bottom w:val="nil"/>
              <w:right w:val="nil"/>
            </w:tcBorders>
            <w:shd w:val="clear" w:color="auto" w:fill="auto"/>
            <w:vAlign w:val="center"/>
            <w:hideMark/>
          </w:tcPr>
          <w:p w14:paraId="6E22EC61" w14:textId="77777777" w:rsidR="0098263E" w:rsidRPr="0069113F" w:rsidRDefault="0098263E" w:rsidP="0098263E">
            <w:pPr>
              <w:spacing w:line="240" w:lineRule="auto"/>
              <w:rPr>
                <w:rFonts w:eastAsia="Times New Roman" w:cs="Times New Roman"/>
                <w:color w:val="000000"/>
                <w:szCs w:val="24"/>
                <w:lang w:eastAsia="en-GB"/>
              </w:rPr>
            </w:pPr>
            <w:r w:rsidRPr="0069113F">
              <w:rPr>
                <w:rFonts w:eastAsia="Times New Roman" w:cs="Times New Roman"/>
                <w:color w:val="000000"/>
                <w:szCs w:val="24"/>
                <w:lang w:eastAsia="en-GB"/>
              </w:rPr>
              <w:t>Men 35-44</w:t>
            </w:r>
          </w:p>
        </w:tc>
        <w:tc>
          <w:tcPr>
            <w:tcW w:w="1636" w:type="dxa"/>
            <w:tcBorders>
              <w:top w:val="nil"/>
              <w:left w:val="nil"/>
              <w:bottom w:val="nil"/>
              <w:right w:val="nil"/>
            </w:tcBorders>
            <w:shd w:val="clear" w:color="auto" w:fill="auto"/>
            <w:noWrap/>
            <w:vAlign w:val="bottom"/>
            <w:hideMark/>
          </w:tcPr>
          <w:p w14:paraId="4CD33B40" w14:textId="3A0D4410" w:rsidR="0098263E" w:rsidRPr="0069113F" w:rsidRDefault="0098263E" w:rsidP="0098263E">
            <w:pPr>
              <w:spacing w:line="240" w:lineRule="auto"/>
              <w:jc w:val="center"/>
              <w:rPr>
                <w:rFonts w:eastAsia="Times New Roman" w:cs="Times New Roman"/>
                <w:color w:val="000000"/>
                <w:szCs w:val="24"/>
                <w:lang w:eastAsia="en-GB"/>
              </w:rPr>
            </w:pPr>
            <w:r>
              <w:rPr>
                <w:color w:val="000000"/>
              </w:rPr>
              <w:t>352 (263,483)</w:t>
            </w:r>
          </w:p>
        </w:tc>
        <w:tc>
          <w:tcPr>
            <w:tcW w:w="1417" w:type="dxa"/>
            <w:tcBorders>
              <w:top w:val="nil"/>
              <w:left w:val="nil"/>
              <w:bottom w:val="nil"/>
              <w:right w:val="nil"/>
            </w:tcBorders>
            <w:shd w:val="clear" w:color="auto" w:fill="auto"/>
            <w:noWrap/>
            <w:vAlign w:val="bottom"/>
            <w:hideMark/>
          </w:tcPr>
          <w:p w14:paraId="5E94E362" w14:textId="4B2D076E" w:rsidR="0098263E" w:rsidRPr="0069113F" w:rsidRDefault="0098263E" w:rsidP="0098263E">
            <w:pPr>
              <w:spacing w:line="240" w:lineRule="auto"/>
              <w:jc w:val="center"/>
              <w:rPr>
                <w:rFonts w:eastAsia="Times New Roman" w:cs="Times New Roman"/>
                <w:color w:val="000000"/>
                <w:szCs w:val="24"/>
                <w:lang w:eastAsia="en-GB"/>
              </w:rPr>
            </w:pPr>
            <w:r>
              <w:rPr>
                <w:color w:val="000000"/>
              </w:rPr>
              <w:t>35 (26,48)</w:t>
            </w:r>
          </w:p>
        </w:tc>
        <w:tc>
          <w:tcPr>
            <w:tcW w:w="1417" w:type="dxa"/>
            <w:tcBorders>
              <w:top w:val="nil"/>
              <w:left w:val="nil"/>
              <w:bottom w:val="nil"/>
              <w:right w:val="nil"/>
            </w:tcBorders>
            <w:shd w:val="clear" w:color="auto" w:fill="auto"/>
            <w:noWrap/>
            <w:vAlign w:val="bottom"/>
            <w:hideMark/>
          </w:tcPr>
          <w:p w14:paraId="10E41E57" w14:textId="4EA05701" w:rsidR="0098263E" w:rsidRPr="0069113F" w:rsidRDefault="0098263E" w:rsidP="0098263E">
            <w:pPr>
              <w:spacing w:line="240" w:lineRule="auto"/>
              <w:jc w:val="center"/>
              <w:rPr>
                <w:rFonts w:eastAsia="Times New Roman" w:cs="Times New Roman"/>
                <w:color w:val="000000"/>
                <w:szCs w:val="24"/>
                <w:lang w:eastAsia="en-GB"/>
              </w:rPr>
            </w:pPr>
            <w:r>
              <w:rPr>
                <w:color w:val="000000"/>
              </w:rPr>
              <w:t>54 (40,74)</w:t>
            </w:r>
          </w:p>
        </w:tc>
        <w:tc>
          <w:tcPr>
            <w:tcW w:w="1516" w:type="dxa"/>
            <w:tcBorders>
              <w:top w:val="nil"/>
              <w:left w:val="nil"/>
              <w:bottom w:val="nil"/>
              <w:right w:val="nil"/>
            </w:tcBorders>
            <w:shd w:val="clear" w:color="auto" w:fill="auto"/>
            <w:noWrap/>
            <w:vAlign w:val="bottom"/>
            <w:hideMark/>
          </w:tcPr>
          <w:p w14:paraId="1A6CAD20" w14:textId="6271259D" w:rsidR="0098263E" w:rsidRPr="0069113F" w:rsidRDefault="0098263E" w:rsidP="0098263E">
            <w:pPr>
              <w:spacing w:line="240" w:lineRule="auto"/>
              <w:jc w:val="center"/>
              <w:rPr>
                <w:rFonts w:eastAsia="Times New Roman" w:cs="Times New Roman"/>
                <w:color w:val="000000"/>
                <w:szCs w:val="24"/>
                <w:lang w:eastAsia="en-GB"/>
              </w:rPr>
            </w:pPr>
            <w:r>
              <w:rPr>
                <w:color w:val="000000"/>
              </w:rPr>
              <w:t>58 (43,79)</w:t>
            </w:r>
          </w:p>
        </w:tc>
        <w:tc>
          <w:tcPr>
            <w:tcW w:w="1516" w:type="dxa"/>
            <w:tcBorders>
              <w:top w:val="nil"/>
              <w:left w:val="nil"/>
              <w:bottom w:val="nil"/>
              <w:right w:val="nil"/>
            </w:tcBorders>
            <w:shd w:val="clear" w:color="auto" w:fill="auto"/>
            <w:noWrap/>
            <w:vAlign w:val="bottom"/>
            <w:hideMark/>
          </w:tcPr>
          <w:p w14:paraId="563A5CF8" w14:textId="4C114CF1" w:rsidR="0098263E" w:rsidRPr="0069113F" w:rsidRDefault="0098263E" w:rsidP="0098263E">
            <w:pPr>
              <w:spacing w:line="240" w:lineRule="auto"/>
              <w:jc w:val="center"/>
              <w:rPr>
                <w:rFonts w:eastAsia="Times New Roman" w:cs="Times New Roman"/>
                <w:color w:val="000000"/>
                <w:szCs w:val="24"/>
                <w:lang w:eastAsia="en-GB"/>
              </w:rPr>
            </w:pPr>
            <w:r>
              <w:rPr>
                <w:color w:val="000000"/>
              </w:rPr>
              <w:t>93 (70,128)</w:t>
            </w:r>
          </w:p>
        </w:tc>
        <w:tc>
          <w:tcPr>
            <w:tcW w:w="1516" w:type="dxa"/>
            <w:tcBorders>
              <w:top w:val="nil"/>
              <w:left w:val="nil"/>
              <w:bottom w:val="nil"/>
              <w:right w:val="nil"/>
            </w:tcBorders>
            <w:shd w:val="clear" w:color="auto" w:fill="auto"/>
            <w:noWrap/>
            <w:vAlign w:val="bottom"/>
            <w:hideMark/>
          </w:tcPr>
          <w:p w14:paraId="180D86B7" w14:textId="7270C256" w:rsidR="0098263E" w:rsidRPr="0069113F" w:rsidRDefault="0098263E" w:rsidP="0098263E">
            <w:pPr>
              <w:spacing w:line="240" w:lineRule="auto"/>
              <w:jc w:val="center"/>
              <w:rPr>
                <w:rFonts w:eastAsia="Times New Roman" w:cs="Times New Roman"/>
                <w:color w:val="000000"/>
                <w:szCs w:val="24"/>
                <w:lang w:eastAsia="en-GB"/>
              </w:rPr>
            </w:pPr>
            <w:r>
              <w:rPr>
                <w:color w:val="000000"/>
              </w:rPr>
              <w:t>112 (84,154)</w:t>
            </w:r>
          </w:p>
        </w:tc>
      </w:tr>
      <w:tr w:rsidR="0098263E" w:rsidRPr="0069113F" w14:paraId="75ABB4E6" w14:textId="77777777" w:rsidTr="0098263E">
        <w:trPr>
          <w:trHeight w:val="20"/>
        </w:trPr>
        <w:tc>
          <w:tcPr>
            <w:tcW w:w="1043" w:type="dxa"/>
            <w:tcBorders>
              <w:top w:val="nil"/>
              <w:left w:val="nil"/>
              <w:bottom w:val="nil"/>
              <w:right w:val="nil"/>
            </w:tcBorders>
            <w:shd w:val="clear" w:color="auto" w:fill="auto"/>
            <w:vAlign w:val="center"/>
            <w:hideMark/>
          </w:tcPr>
          <w:p w14:paraId="45F3A14A" w14:textId="77777777" w:rsidR="0098263E" w:rsidRPr="0069113F" w:rsidRDefault="0098263E" w:rsidP="0098263E">
            <w:pPr>
              <w:spacing w:line="240" w:lineRule="auto"/>
              <w:rPr>
                <w:rFonts w:eastAsia="Times New Roman" w:cs="Times New Roman"/>
                <w:color w:val="000000"/>
                <w:szCs w:val="24"/>
                <w:lang w:eastAsia="en-GB"/>
              </w:rPr>
            </w:pPr>
            <w:r w:rsidRPr="0069113F">
              <w:rPr>
                <w:rFonts w:eastAsia="Times New Roman" w:cs="Times New Roman"/>
                <w:color w:val="000000"/>
                <w:szCs w:val="24"/>
                <w:lang w:eastAsia="en-GB"/>
              </w:rPr>
              <w:t>Men 45-54</w:t>
            </w:r>
          </w:p>
        </w:tc>
        <w:tc>
          <w:tcPr>
            <w:tcW w:w="1636" w:type="dxa"/>
            <w:tcBorders>
              <w:top w:val="nil"/>
              <w:left w:val="nil"/>
              <w:bottom w:val="nil"/>
              <w:right w:val="nil"/>
            </w:tcBorders>
            <w:shd w:val="clear" w:color="auto" w:fill="auto"/>
            <w:noWrap/>
            <w:vAlign w:val="bottom"/>
            <w:hideMark/>
          </w:tcPr>
          <w:p w14:paraId="2E7F60E9" w14:textId="345EB354" w:rsidR="0098263E" w:rsidRPr="0069113F" w:rsidRDefault="0098263E" w:rsidP="0098263E">
            <w:pPr>
              <w:spacing w:line="240" w:lineRule="auto"/>
              <w:jc w:val="center"/>
              <w:rPr>
                <w:rFonts w:eastAsia="Times New Roman" w:cs="Times New Roman"/>
                <w:color w:val="000000"/>
                <w:szCs w:val="24"/>
                <w:lang w:eastAsia="en-GB"/>
              </w:rPr>
            </w:pPr>
            <w:r>
              <w:rPr>
                <w:color w:val="000000"/>
              </w:rPr>
              <w:t>1228 (1006,1491)</w:t>
            </w:r>
          </w:p>
        </w:tc>
        <w:tc>
          <w:tcPr>
            <w:tcW w:w="1417" w:type="dxa"/>
            <w:tcBorders>
              <w:top w:val="nil"/>
              <w:left w:val="nil"/>
              <w:bottom w:val="nil"/>
              <w:right w:val="nil"/>
            </w:tcBorders>
            <w:shd w:val="clear" w:color="auto" w:fill="auto"/>
            <w:noWrap/>
            <w:vAlign w:val="bottom"/>
            <w:hideMark/>
          </w:tcPr>
          <w:p w14:paraId="67B599FE" w14:textId="4EB63886" w:rsidR="0098263E" w:rsidRPr="0069113F" w:rsidRDefault="0098263E" w:rsidP="0098263E">
            <w:pPr>
              <w:spacing w:line="240" w:lineRule="auto"/>
              <w:jc w:val="center"/>
              <w:rPr>
                <w:rFonts w:eastAsia="Times New Roman" w:cs="Times New Roman"/>
                <w:color w:val="000000"/>
                <w:szCs w:val="24"/>
                <w:lang w:eastAsia="en-GB"/>
              </w:rPr>
            </w:pPr>
            <w:r>
              <w:rPr>
                <w:color w:val="000000"/>
              </w:rPr>
              <w:t>130 (107,158)</w:t>
            </w:r>
          </w:p>
        </w:tc>
        <w:tc>
          <w:tcPr>
            <w:tcW w:w="1417" w:type="dxa"/>
            <w:tcBorders>
              <w:top w:val="nil"/>
              <w:left w:val="nil"/>
              <w:bottom w:val="nil"/>
              <w:right w:val="nil"/>
            </w:tcBorders>
            <w:shd w:val="clear" w:color="auto" w:fill="auto"/>
            <w:noWrap/>
            <w:vAlign w:val="bottom"/>
            <w:hideMark/>
          </w:tcPr>
          <w:p w14:paraId="3CE18CD3" w14:textId="77845A96" w:rsidR="0098263E" w:rsidRPr="0069113F" w:rsidRDefault="0098263E" w:rsidP="0098263E">
            <w:pPr>
              <w:spacing w:line="240" w:lineRule="auto"/>
              <w:jc w:val="center"/>
              <w:rPr>
                <w:rFonts w:eastAsia="Times New Roman" w:cs="Times New Roman"/>
                <w:color w:val="000000"/>
                <w:szCs w:val="24"/>
                <w:lang w:eastAsia="en-GB"/>
              </w:rPr>
            </w:pPr>
            <w:r>
              <w:rPr>
                <w:color w:val="000000"/>
              </w:rPr>
              <w:t>152 (125,185)</w:t>
            </w:r>
          </w:p>
        </w:tc>
        <w:tc>
          <w:tcPr>
            <w:tcW w:w="1516" w:type="dxa"/>
            <w:tcBorders>
              <w:top w:val="nil"/>
              <w:left w:val="nil"/>
              <w:bottom w:val="nil"/>
              <w:right w:val="nil"/>
            </w:tcBorders>
            <w:shd w:val="clear" w:color="auto" w:fill="auto"/>
            <w:noWrap/>
            <w:vAlign w:val="bottom"/>
            <w:hideMark/>
          </w:tcPr>
          <w:p w14:paraId="33E4558B" w14:textId="6DCB82AF" w:rsidR="0098263E" w:rsidRPr="0069113F" w:rsidRDefault="0098263E" w:rsidP="0098263E">
            <w:pPr>
              <w:spacing w:line="240" w:lineRule="auto"/>
              <w:jc w:val="center"/>
              <w:rPr>
                <w:rFonts w:eastAsia="Times New Roman" w:cs="Times New Roman"/>
                <w:color w:val="000000"/>
                <w:szCs w:val="24"/>
                <w:lang w:eastAsia="en-GB"/>
              </w:rPr>
            </w:pPr>
            <w:r>
              <w:rPr>
                <w:color w:val="000000"/>
              </w:rPr>
              <w:t>235 (193,286)</w:t>
            </w:r>
          </w:p>
        </w:tc>
        <w:tc>
          <w:tcPr>
            <w:tcW w:w="1516" w:type="dxa"/>
            <w:tcBorders>
              <w:top w:val="nil"/>
              <w:left w:val="nil"/>
              <w:bottom w:val="nil"/>
              <w:right w:val="nil"/>
            </w:tcBorders>
            <w:shd w:val="clear" w:color="auto" w:fill="auto"/>
            <w:noWrap/>
            <w:vAlign w:val="bottom"/>
            <w:hideMark/>
          </w:tcPr>
          <w:p w14:paraId="59B275A2" w14:textId="3CE58824" w:rsidR="0098263E" w:rsidRPr="0069113F" w:rsidRDefault="0098263E" w:rsidP="0098263E">
            <w:pPr>
              <w:spacing w:line="240" w:lineRule="auto"/>
              <w:jc w:val="center"/>
              <w:rPr>
                <w:rFonts w:eastAsia="Times New Roman" w:cs="Times New Roman"/>
                <w:color w:val="000000"/>
                <w:szCs w:val="24"/>
                <w:lang w:eastAsia="en-GB"/>
              </w:rPr>
            </w:pPr>
            <w:r>
              <w:rPr>
                <w:color w:val="000000"/>
              </w:rPr>
              <w:t>306 (251,372)</w:t>
            </w:r>
          </w:p>
        </w:tc>
        <w:tc>
          <w:tcPr>
            <w:tcW w:w="1516" w:type="dxa"/>
            <w:tcBorders>
              <w:top w:val="nil"/>
              <w:left w:val="nil"/>
              <w:bottom w:val="nil"/>
              <w:right w:val="nil"/>
            </w:tcBorders>
            <w:shd w:val="clear" w:color="auto" w:fill="auto"/>
            <w:noWrap/>
            <w:vAlign w:val="bottom"/>
            <w:hideMark/>
          </w:tcPr>
          <w:p w14:paraId="2E57B446" w14:textId="62F4FEEE" w:rsidR="0098263E" w:rsidRPr="0069113F" w:rsidRDefault="0098263E" w:rsidP="0098263E">
            <w:pPr>
              <w:spacing w:line="240" w:lineRule="auto"/>
              <w:jc w:val="center"/>
              <w:rPr>
                <w:rFonts w:eastAsia="Times New Roman" w:cs="Times New Roman"/>
                <w:color w:val="000000"/>
                <w:szCs w:val="24"/>
                <w:lang w:eastAsia="en-GB"/>
              </w:rPr>
            </w:pPr>
            <w:r>
              <w:rPr>
                <w:color w:val="000000"/>
              </w:rPr>
              <w:t>404 (331,491)</w:t>
            </w:r>
          </w:p>
        </w:tc>
      </w:tr>
      <w:tr w:rsidR="0098263E" w:rsidRPr="0069113F" w14:paraId="2F473629" w14:textId="77777777" w:rsidTr="0098263E">
        <w:trPr>
          <w:trHeight w:val="20"/>
        </w:trPr>
        <w:tc>
          <w:tcPr>
            <w:tcW w:w="1043" w:type="dxa"/>
            <w:tcBorders>
              <w:top w:val="nil"/>
              <w:left w:val="nil"/>
              <w:bottom w:val="nil"/>
              <w:right w:val="nil"/>
            </w:tcBorders>
            <w:shd w:val="clear" w:color="auto" w:fill="auto"/>
            <w:vAlign w:val="center"/>
            <w:hideMark/>
          </w:tcPr>
          <w:p w14:paraId="5747C2BB" w14:textId="77777777" w:rsidR="0098263E" w:rsidRPr="0069113F" w:rsidRDefault="0098263E" w:rsidP="0098263E">
            <w:pPr>
              <w:spacing w:line="240" w:lineRule="auto"/>
              <w:rPr>
                <w:rFonts w:eastAsia="Times New Roman" w:cs="Times New Roman"/>
                <w:color w:val="000000"/>
                <w:szCs w:val="24"/>
                <w:lang w:eastAsia="en-GB"/>
              </w:rPr>
            </w:pPr>
            <w:r w:rsidRPr="0069113F">
              <w:rPr>
                <w:rFonts w:eastAsia="Times New Roman" w:cs="Times New Roman"/>
                <w:color w:val="000000"/>
                <w:szCs w:val="24"/>
                <w:lang w:eastAsia="en-GB"/>
              </w:rPr>
              <w:t>Men 55-64</w:t>
            </w:r>
          </w:p>
        </w:tc>
        <w:tc>
          <w:tcPr>
            <w:tcW w:w="1636" w:type="dxa"/>
            <w:tcBorders>
              <w:top w:val="nil"/>
              <w:left w:val="nil"/>
              <w:bottom w:val="nil"/>
              <w:right w:val="nil"/>
            </w:tcBorders>
            <w:shd w:val="clear" w:color="auto" w:fill="auto"/>
            <w:noWrap/>
            <w:vAlign w:val="bottom"/>
            <w:hideMark/>
          </w:tcPr>
          <w:p w14:paraId="77065E6A" w14:textId="464DF9D2" w:rsidR="0098263E" w:rsidRPr="0069113F" w:rsidRDefault="0098263E" w:rsidP="0098263E">
            <w:pPr>
              <w:spacing w:line="240" w:lineRule="auto"/>
              <w:jc w:val="center"/>
              <w:rPr>
                <w:rFonts w:eastAsia="Times New Roman" w:cs="Times New Roman"/>
                <w:color w:val="000000"/>
                <w:szCs w:val="24"/>
                <w:lang w:eastAsia="en-GB"/>
              </w:rPr>
            </w:pPr>
            <w:r>
              <w:rPr>
                <w:color w:val="000000"/>
              </w:rPr>
              <w:t>2720 (2240,3261)</w:t>
            </w:r>
          </w:p>
        </w:tc>
        <w:tc>
          <w:tcPr>
            <w:tcW w:w="1417" w:type="dxa"/>
            <w:tcBorders>
              <w:top w:val="nil"/>
              <w:left w:val="nil"/>
              <w:bottom w:val="nil"/>
              <w:right w:val="nil"/>
            </w:tcBorders>
            <w:shd w:val="clear" w:color="auto" w:fill="auto"/>
            <w:noWrap/>
            <w:vAlign w:val="bottom"/>
            <w:hideMark/>
          </w:tcPr>
          <w:p w14:paraId="4A610A95" w14:textId="1ABDFF25" w:rsidR="0098263E" w:rsidRPr="0069113F" w:rsidRDefault="0098263E" w:rsidP="0098263E">
            <w:pPr>
              <w:spacing w:line="240" w:lineRule="auto"/>
              <w:jc w:val="center"/>
              <w:rPr>
                <w:rFonts w:eastAsia="Times New Roman" w:cs="Times New Roman"/>
                <w:color w:val="000000"/>
                <w:szCs w:val="24"/>
                <w:lang w:eastAsia="en-GB"/>
              </w:rPr>
            </w:pPr>
            <w:r>
              <w:rPr>
                <w:color w:val="000000"/>
              </w:rPr>
              <w:t>344 (283,412)</w:t>
            </w:r>
          </w:p>
        </w:tc>
        <w:tc>
          <w:tcPr>
            <w:tcW w:w="1417" w:type="dxa"/>
            <w:tcBorders>
              <w:top w:val="nil"/>
              <w:left w:val="nil"/>
              <w:bottom w:val="nil"/>
              <w:right w:val="nil"/>
            </w:tcBorders>
            <w:shd w:val="clear" w:color="auto" w:fill="auto"/>
            <w:noWrap/>
            <w:vAlign w:val="bottom"/>
            <w:hideMark/>
          </w:tcPr>
          <w:p w14:paraId="07DFDC8F" w14:textId="2C047F94" w:rsidR="0098263E" w:rsidRPr="0069113F" w:rsidRDefault="0098263E" w:rsidP="0098263E">
            <w:pPr>
              <w:spacing w:line="240" w:lineRule="auto"/>
              <w:jc w:val="center"/>
              <w:rPr>
                <w:rFonts w:eastAsia="Times New Roman" w:cs="Times New Roman"/>
                <w:color w:val="000000"/>
                <w:szCs w:val="24"/>
                <w:lang w:eastAsia="en-GB"/>
              </w:rPr>
            </w:pPr>
            <w:r>
              <w:rPr>
                <w:color w:val="000000"/>
              </w:rPr>
              <w:t>416 (343,499)</w:t>
            </w:r>
          </w:p>
        </w:tc>
        <w:tc>
          <w:tcPr>
            <w:tcW w:w="1516" w:type="dxa"/>
            <w:tcBorders>
              <w:top w:val="nil"/>
              <w:left w:val="nil"/>
              <w:bottom w:val="nil"/>
              <w:right w:val="nil"/>
            </w:tcBorders>
            <w:shd w:val="clear" w:color="auto" w:fill="auto"/>
            <w:noWrap/>
            <w:vAlign w:val="bottom"/>
            <w:hideMark/>
          </w:tcPr>
          <w:p w14:paraId="321D190A" w14:textId="49FEE754" w:rsidR="0098263E" w:rsidRPr="0069113F" w:rsidRDefault="0098263E" w:rsidP="0098263E">
            <w:pPr>
              <w:spacing w:line="240" w:lineRule="auto"/>
              <w:jc w:val="center"/>
              <w:rPr>
                <w:rFonts w:eastAsia="Times New Roman" w:cs="Times New Roman"/>
                <w:color w:val="000000"/>
                <w:szCs w:val="24"/>
                <w:lang w:eastAsia="en-GB"/>
              </w:rPr>
            </w:pPr>
            <w:r>
              <w:rPr>
                <w:color w:val="000000"/>
              </w:rPr>
              <w:t>522 (430,626)</w:t>
            </w:r>
          </w:p>
        </w:tc>
        <w:tc>
          <w:tcPr>
            <w:tcW w:w="1516" w:type="dxa"/>
            <w:tcBorders>
              <w:top w:val="nil"/>
              <w:left w:val="nil"/>
              <w:bottom w:val="nil"/>
              <w:right w:val="nil"/>
            </w:tcBorders>
            <w:shd w:val="clear" w:color="auto" w:fill="auto"/>
            <w:noWrap/>
            <w:vAlign w:val="bottom"/>
            <w:hideMark/>
          </w:tcPr>
          <w:p w14:paraId="21566C3A" w14:textId="5CE5C0E2" w:rsidR="0098263E" w:rsidRPr="0069113F" w:rsidRDefault="0098263E" w:rsidP="0098263E">
            <w:pPr>
              <w:spacing w:line="240" w:lineRule="auto"/>
              <w:jc w:val="center"/>
              <w:rPr>
                <w:rFonts w:eastAsia="Times New Roman" w:cs="Times New Roman"/>
                <w:color w:val="000000"/>
                <w:szCs w:val="24"/>
                <w:lang w:eastAsia="en-GB"/>
              </w:rPr>
            </w:pPr>
            <w:r>
              <w:rPr>
                <w:color w:val="000000"/>
              </w:rPr>
              <w:t>625 (514,749)</w:t>
            </w:r>
          </w:p>
        </w:tc>
        <w:tc>
          <w:tcPr>
            <w:tcW w:w="1516" w:type="dxa"/>
            <w:tcBorders>
              <w:top w:val="nil"/>
              <w:left w:val="nil"/>
              <w:bottom w:val="nil"/>
              <w:right w:val="nil"/>
            </w:tcBorders>
            <w:shd w:val="clear" w:color="auto" w:fill="auto"/>
            <w:noWrap/>
            <w:vAlign w:val="bottom"/>
            <w:hideMark/>
          </w:tcPr>
          <w:p w14:paraId="0B82AD83" w14:textId="3D0F00D7" w:rsidR="0098263E" w:rsidRPr="0069113F" w:rsidRDefault="0098263E" w:rsidP="0098263E">
            <w:pPr>
              <w:spacing w:line="240" w:lineRule="auto"/>
              <w:jc w:val="center"/>
              <w:rPr>
                <w:rFonts w:eastAsia="Times New Roman" w:cs="Times New Roman"/>
                <w:color w:val="000000"/>
                <w:szCs w:val="24"/>
                <w:lang w:eastAsia="en-GB"/>
              </w:rPr>
            </w:pPr>
            <w:r>
              <w:rPr>
                <w:color w:val="000000"/>
              </w:rPr>
              <w:t>813 (670,975)</w:t>
            </w:r>
          </w:p>
        </w:tc>
      </w:tr>
      <w:tr w:rsidR="0098263E" w:rsidRPr="0069113F" w14:paraId="12C70749" w14:textId="77777777" w:rsidTr="0098263E">
        <w:trPr>
          <w:trHeight w:val="20"/>
        </w:trPr>
        <w:tc>
          <w:tcPr>
            <w:tcW w:w="1043" w:type="dxa"/>
            <w:tcBorders>
              <w:top w:val="nil"/>
              <w:left w:val="nil"/>
              <w:bottom w:val="nil"/>
              <w:right w:val="nil"/>
            </w:tcBorders>
            <w:shd w:val="clear" w:color="auto" w:fill="auto"/>
            <w:vAlign w:val="center"/>
            <w:hideMark/>
          </w:tcPr>
          <w:p w14:paraId="59F585E1" w14:textId="77777777" w:rsidR="0098263E" w:rsidRPr="0069113F" w:rsidRDefault="0098263E" w:rsidP="0098263E">
            <w:pPr>
              <w:spacing w:line="240" w:lineRule="auto"/>
              <w:rPr>
                <w:rFonts w:eastAsia="Times New Roman" w:cs="Times New Roman"/>
                <w:color w:val="000000"/>
                <w:szCs w:val="24"/>
                <w:lang w:eastAsia="en-GB"/>
              </w:rPr>
            </w:pPr>
            <w:r w:rsidRPr="0069113F">
              <w:rPr>
                <w:rFonts w:eastAsia="Times New Roman" w:cs="Times New Roman"/>
                <w:color w:val="000000"/>
                <w:szCs w:val="24"/>
                <w:lang w:eastAsia="en-GB"/>
              </w:rPr>
              <w:t>Men 65-74</w:t>
            </w:r>
          </w:p>
        </w:tc>
        <w:tc>
          <w:tcPr>
            <w:tcW w:w="1636" w:type="dxa"/>
            <w:tcBorders>
              <w:top w:val="nil"/>
              <w:left w:val="nil"/>
              <w:bottom w:val="nil"/>
              <w:right w:val="nil"/>
            </w:tcBorders>
            <w:shd w:val="clear" w:color="auto" w:fill="auto"/>
            <w:noWrap/>
            <w:vAlign w:val="bottom"/>
            <w:hideMark/>
          </w:tcPr>
          <w:p w14:paraId="3B1DF16A" w14:textId="2CA9DBEF" w:rsidR="0098263E" w:rsidRPr="0069113F" w:rsidRDefault="0098263E" w:rsidP="0098263E">
            <w:pPr>
              <w:spacing w:line="240" w:lineRule="auto"/>
              <w:jc w:val="center"/>
              <w:rPr>
                <w:rFonts w:eastAsia="Times New Roman" w:cs="Times New Roman"/>
                <w:color w:val="000000"/>
                <w:szCs w:val="24"/>
                <w:lang w:eastAsia="en-GB"/>
              </w:rPr>
            </w:pPr>
            <w:r>
              <w:rPr>
                <w:color w:val="000000"/>
              </w:rPr>
              <w:t>4923 (4043,5910)</w:t>
            </w:r>
          </w:p>
        </w:tc>
        <w:tc>
          <w:tcPr>
            <w:tcW w:w="1417" w:type="dxa"/>
            <w:tcBorders>
              <w:top w:val="nil"/>
              <w:left w:val="nil"/>
              <w:bottom w:val="nil"/>
              <w:right w:val="nil"/>
            </w:tcBorders>
            <w:shd w:val="clear" w:color="auto" w:fill="auto"/>
            <w:noWrap/>
            <w:vAlign w:val="bottom"/>
            <w:hideMark/>
          </w:tcPr>
          <w:p w14:paraId="06C33FD6" w14:textId="125B3D96" w:rsidR="0098263E" w:rsidRPr="0069113F" w:rsidRDefault="0098263E" w:rsidP="0098263E">
            <w:pPr>
              <w:spacing w:line="240" w:lineRule="auto"/>
              <w:jc w:val="center"/>
              <w:rPr>
                <w:rFonts w:eastAsia="Times New Roman" w:cs="Times New Roman"/>
                <w:color w:val="000000"/>
                <w:szCs w:val="24"/>
                <w:lang w:eastAsia="en-GB"/>
              </w:rPr>
            </w:pPr>
            <w:r>
              <w:rPr>
                <w:color w:val="000000"/>
              </w:rPr>
              <w:t>735 (603,882)</w:t>
            </w:r>
          </w:p>
        </w:tc>
        <w:tc>
          <w:tcPr>
            <w:tcW w:w="1417" w:type="dxa"/>
            <w:tcBorders>
              <w:top w:val="nil"/>
              <w:left w:val="nil"/>
              <w:bottom w:val="nil"/>
              <w:right w:val="nil"/>
            </w:tcBorders>
            <w:shd w:val="clear" w:color="auto" w:fill="auto"/>
            <w:noWrap/>
            <w:vAlign w:val="bottom"/>
            <w:hideMark/>
          </w:tcPr>
          <w:p w14:paraId="0B749D6F" w14:textId="7BEB1061" w:rsidR="0098263E" w:rsidRPr="0069113F" w:rsidRDefault="0098263E" w:rsidP="0098263E">
            <w:pPr>
              <w:spacing w:line="240" w:lineRule="auto"/>
              <w:jc w:val="center"/>
              <w:rPr>
                <w:rFonts w:eastAsia="Times New Roman" w:cs="Times New Roman"/>
                <w:color w:val="000000"/>
                <w:szCs w:val="24"/>
                <w:lang w:eastAsia="en-GB"/>
              </w:rPr>
            </w:pPr>
            <w:r>
              <w:rPr>
                <w:color w:val="000000"/>
              </w:rPr>
              <w:t>925 (760,1110)</w:t>
            </w:r>
          </w:p>
        </w:tc>
        <w:tc>
          <w:tcPr>
            <w:tcW w:w="1516" w:type="dxa"/>
            <w:tcBorders>
              <w:top w:val="nil"/>
              <w:left w:val="nil"/>
              <w:bottom w:val="nil"/>
              <w:right w:val="nil"/>
            </w:tcBorders>
            <w:shd w:val="clear" w:color="auto" w:fill="auto"/>
            <w:noWrap/>
            <w:vAlign w:val="bottom"/>
            <w:hideMark/>
          </w:tcPr>
          <w:p w14:paraId="13C850A4" w14:textId="4E9AEF67" w:rsidR="0098263E" w:rsidRPr="0069113F" w:rsidRDefault="0098263E" w:rsidP="0098263E">
            <w:pPr>
              <w:spacing w:line="240" w:lineRule="auto"/>
              <w:jc w:val="center"/>
              <w:rPr>
                <w:rFonts w:eastAsia="Times New Roman" w:cs="Times New Roman"/>
                <w:color w:val="000000"/>
                <w:szCs w:val="24"/>
                <w:lang w:eastAsia="en-GB"/>
              </w:rPr>
            </w:pPr>
            <w:r>
              <w:rPr>
                <w:color w:val="000000"/>
              </w:rPr>
              <w:t>981 (806,1178)</w:t>
            </w:r>
          </w:p>
        </w:tc>
        <w:tc>
          <w:tcPr>
            <w:tcW w:w="1516" w:type="dxa"/>
            <w:tcBorders>
              <w:top w:val="nil"/>
              <w:left w:val="nil"/>
              <w:bottom w:val="nil"/>
              <w:right w:val="nil"/>
            </w:tcBorders>
            <w:shd w:val="clear" w:color="auto" w:fill="auto"/>
            <w:noWrap/>
            <w:vAlign w:val="bottom"/>
            <w:hideMark/>
          </w:tcPr>
          <w:p w14:paraId="06CA6897" w14:textId="14D2A48E" w:rsidR="0098263E" w:rsidRPr="0069113F" w:rsidRDefault="0098263E" w:rsidP="0098263E">
            <w:pPr>
              <w:spacing w:line="240" w:lineRule="auto"/>
              <w:jc w:val="center"/>
              <w:rPr>
                <w:rFonts w:eastAsia="Times New Roman" w:cs="Times New Roman"/>
                <w:color w:val="000000"/>
                <w:szCs w:val="24"/>
                <w:lang w:eastAsia="en-GB"/>
              </w:rPr>
            </w:pPr>
            <w:r>
              <w:rPr>
                <w:color w:val="000000"/>
              </w:rPr>
              <w:t>1075 (883,1290)</w:t>
            </w:r>
          </w:p>
        </w:tc>
        <w:tc>
          <w:tcPr>
            <w:tcW w:w="1516" w:type="dxa"/>
            <w:tcBorders>
              <w:top w:val="nil"/>
              <w:left w:val="nil"/>
              <w:bottom w:val="nil"/>
              <w:right w:val="nil"/>
            </w:tcBorders>
            <w:shd w:val="clear" w:color="auto" w:fill="auto"/>
            <w:noWrap/>
            <w:vAlign w:val="bottom"/>
            <w:hideMark/>
          </w:tcPr>
          <w:p w14:paraId="1E1B277F" w14:textId="3914D683" w:rsidR="0098263E" w:rsidRPr="0069113F" w:rsidRDefault="0098263E" w:rsidP="0098263E">
            <w:pPr>
              <w:spacing w:line="240" w:lineRule="auto"/>
              <w:jc w:val="center"/>
              <w:rPr>
                <w:rFonts w:eastAsia="Times New Roman" w:cs="Times New Roman"/>
                <w:color w:val="000000"/>
                <w:szCs w:val="24"/>
                <w:lang w:eastAsia="en-GB"/>
              </w:rPr>
            </w:pPr>
            <w:r>
              <w:rPr>
                <w:color w:val="000000"/>
              </w:rPr>
              <w:t>1207 (992,1449)</w:t>
            </w:r>
          </w:p>
        </w:tc>
      </w:tr>
      <w:tr w:rsidR="0098263E" w:rsidRPr="0069113F" w14:paraId="05E8E7ED" w14:textId="77777777" w:rsidTr="0098263E">
        <w:trPr>
          <w:trHeight w:val="20"/>
        </w:trPr>
        <w:tc>
          <w:tcPr>
            <w:tcW w:w="1043" w:type="dxa"/>
            <w:tcBorders>
              <w:top w:val="nil"/>
              <w:left w:val="nil"/>
              <w:bottom w:val="nil"/>
              <w:right w:val="nil"/>
            </w:tcBorders>
            <w:shd w:val="clear" w:color="auto" w:fill="auto"/>
            <w:vAlign w:val="center"/>
            <w:hideMark/>
          </w:tcPr>
          <w:p w14:paraId="786F2E51" w14:textId="77777777" w:rsidR="0098263E" w:rsidRPr="0069113F" w:rsidRDefault="0098263E" w:rsidP="0098263E">
            <w:pPr>
              <w:spacing w:line="240" w:lineRule="auto"/>
              <w:rPr>
                <w:rFonts w:eastAsia="Times New Roman" w:cs="Times New Roman"/>
                <w:color w:val="000000"/>
                <w:szCs w:val="24"/>
                <w:lang w:eastAsia="en-GB"/>
              </w:rPr>
            </w:pPr>
            <w:r w:rsidRPr="0069113F">
              <w:rPr>
                <w:rFonts w:eastAsia="Times New Roman" w:cs="Times New Roman"/>
                <w:color w:val="000000"/>
                <w:szCs w:val="24"/>
                <w:lang w:eastAsia="en-GB"/>
              </w:rPr>
              <w:t>Men 75-84</w:t>
            </w:r>
          </w:p>
        </w:tc>
        <w:tc>
          <w:tcPr>
            <w:tcW w:w="1636" w:type="dxa"/>
            <w:tcBorders>
              <w:top w:val="nil"/>
              <w:left w:val="nil"/>
              <w:bottom w:val="nil"/>
              <w:right w:val="nil"/>
            </w:tcBorders>
            <w:shd w:val="clear" w:color="auto" w:fill="auto"/>
            <w:noWrap/>
            <w:vAlign w:val="bottom"/>
            <w:hideMark/>
          </w:tcPr>
          <w:p w14:paraId="5C50DF79" w14:textId="256943EE" w:rsidR="0098263E" w:rsidRPr="0069113F" w:rsidRDefault="0098263E" w:rsidP="0098263E">
            <w:pPr>
              <w:spacing w:line="240" w:lineRule="auto"/>
              <w:jc w:val="center"/>
              <w:rPr>
                <w:rFonts w:eastAsia="Times New Roman" w:cs="Times New Roman"/>
                <w:color w:val="000000"/>
                <w:szCs w:val="24"/>
                <w:lang w:eastAsia="en-GB"/>
              </w:rPr>
            </w:pPr>
            <w:r>
              <w:rPr>
                <w:color w:val="000000"/>
              </w:rPr>
              <w:t>7441 (6151,8907)</w:t>
            </w:r>
          </w:p>
        </w:tc>
        <w:tc>
          <w:tcPr>
            <w:tcW w:w="1417" w:type="dxa"/>
            <w:tcBorders>
              <w:top w:val="nil"/>
              <w:left w:val="nil"/>
              <w:bottom w:val="nil"/>
              <w:right w:val="nil"/>
            </w:tcBorders>
            <w:shd w:val="clear" w:color="auto" w:fill="auto"/>
            <w:noWrap/>
            <w:vAlign w:val="bottom"/>
            <w:hideMark/>
          </w:tcPr>
          <w:p w14:paraId="2599FD26" w14:textId="3D0928B9" w:rsidR="0098263E" w:rsidRPr="0069113F" w:rsidRDefault="0098263E" w:rsidP="0098263E">
            <w:pPr>
              <w:spacing w:line="240" w:lineRule="auto"/>
              <w:jc w:val="center"/>
              <w:rPr>
                <w:rFonts w:eastAsia="Times New Roman" w:cs="Times New Roman"/>
                <w:color w:val="000000"/>
                <w:szCs w:val="24"/>
                <w:lang w:eastAsia="en-GB"/>
              </w:rPr>
            </w:pPr>
            <w:r>
              <w:rPr>
                <w:color w:val="000000"/>
              </w:rPr>
              <w:t>1350 (1116,1616)</w:t>
            </w:r>
          </w:p>
        </w:tc>
        <w:tc>
          <w:tcPr>
            <w:tcW w:w="1417" w:type="dxa"/>
            <w:tcBorders>
              <w:top w:val="nil"/>
              <w:left w:val="nil"/>
              <w:bottom w:val="nil"/>
              <w:right w:val="nil"/>
            </w:tcBorders>
            <w:shd w:val="clear" w:color="auto" w:fill="auto"/>
            <w:noWrap/>
            <w:vAlign w:val="bottom"/>
            <w:hideMark/>
          </w:tcPr>
          <w:p w14:paraId="1F916CA1" w14:textId="02C14AC8" w:rsidR="0098263E" w:rsidRPr="0069113F" w:rsidRDefault="0098263E" w:rsidP="0098263E">
            <w:pPr>
              <w:spacing w:line="240" w:lineRule="auto"/>
              <w:jc w:val="center"/>
              <w:rPr>
                <w:rFonts w:eastAsia="Times New Roman" w:cs="Times New Roman"/>
                <w:color w:val="000000"/>
                <w:szCs w:val="24"/>
                <w:lang w:eastAsia="en-GB"/>
              </w:rPr>
            </w:pPr>
            <w:r>
              <w:rPr>
                <w:color w:val="000000"/>
              </w:rPr>
              <w:t>1577 (1304,1888)</w:t>
            </w:r>
          </w:p>
        </w:tc>
        <w:tc>
          <w:tcPr>
            <w:tcW w:w="1516" w:type="dxa"/>
            <w:tcBorders>
              <w:top w:val="nil"/>
              <w:left w:val="nil"/>
              <w:bottom w:val="nil"/>
              <w:right w:val="nil"/>
            </w:tcBorders>
            <w:shd w:val="clear" w:color="auto" w:fill="auto"/>
            <w:noWrap/>
            <w:vAlign w:val="bottom"/>
            <w:hideMark/>
          </w:tcPr>
          <w:p w14:paraId="29011D74" w14:textId="60BF1433" w:rsidR="0098263E" w:rsidRPr="0069113F" w:rsidRDefault="0098263E" w:rsidP="0098263E">
            <w:pPr>
              <w:spacing w:line="240" w:lineRule="auto"/>
              <w:jc w:val="center"/>
              <w:rPr>
                <w:rFonts w:eastAsia="Times New Roman" w:cs="Times New Roman"/>
                <w:color w:val="000000"/>
                <w:szCs w:val="24"/>
                <w:lang w:eastAsia="en-GB"/>
              </w:rPr>
            </w:pPr>
            <w:r>
              <w:rPr>
                <w:color w:val="000000"/>
              </w:rPr>
              <w:t>1596 (1320,1911)</w:t>
            </w:r>
          </w:p>
        </w:tc>
        <w:tc>
          <w:tcPr>
            <w:tcW w:w="1516" w:type="dxa"/>
            <w:tcBorders>
              <w:top w:val="nil"/>
              <w:left w:val="nil"/>
              <w:bottom w:val="nil"/>
              <w:right w:val="nil"/>
            </w:tcBorders>
            <w:shd w:val="clear" w:color="auto" w:fill="auto"/>
            <w:noWrap/>
            <w:vAlign w:val="bottom"/>
            <w:hideMark/>
          </w:tcPr>
          <w:p w14:paraId="2AD3B120" w14:textId="72082AED" w:rsidR="0098263E" w:rsidRPr="0069113F" w:rsidRDefault="0098263E" w:rsidP="0098263E">
            <w:pPr>
              <w:spacing w:line="240" w:lineRule="auto"/>
              <w:jc w:val="center"/>
              <w:rPr>
                <w:rFonts w:eastAsia="Times New Roman" w:cs="Times New Roman"/>
                <w:color w:val="000000"/>
                <w:szCs w:val="24"/>
                <w:lang w:eastAsia="en-GB"/>
              </w:rPr>
            </w:pPr>
            <w:r>
              <w:rPr>
                <w:color w:val="000000"/>
              </w:rPr>
              <w:t>1480 (1223,1771)</w:t>
            </w:r>
          </w:p>
        </w:tc>
        <w:tc>
          <w:tcPr>
            <w:tcW w:w="1516" w:type="dxa"/>
            <w:tcBorders>
              <w:top w:val="nil"/>
              <w:left w:val="nil"/>
              <w:bottom w:val="nil"/>
              <w:right w:val="nil"/>
            </w:tcBorders>
            <w:shd w:val="clear" w:color="auto" w:fill="auto"/>
            <w:noWrap/>
            <w:vAlign w:val="bottom"/>
            <w:hideMark/>
          </w:tcPr>
          <w:p w14:paraId="163EE521" w14:textId="1495EB7B" w:rsidR="0098263E" w:rsidRPr="0069113F" w:rsidRDefault="0098263E" w:rsidP="0098263E">
            <w:pPr>
              <w:spacing w:line="240" w:lineRule="auto"/>
              <w:jc w:val="center"/>
              <w:rPr>
                <w:rFonts w:eastAsia="Times New Roman" w:cs="Times New Roman"/>
                <w:color w:val="000000"/>
                <w:szCs w:val="24"/>
                <w:lang w:eastAsia="en-GB"/>
              </w:rPr>
            </w:pPr>
            <w:r>
              <w:rPr>
                <w:color w:val="000000"/>
              </w:rPr>
              <w:t>1438 (1189,1721)</w:t>
            </w:r>
          </w:p>
        </w:tc>
      </w:tr>
      <w:tr w:rsidR="0098263E" w:rsidRPr="0069113F" w14:paraId="3F5A3429" w14:textId="77777777" w:rsidTr="0098263E">
        <w:trPr>
          <w:trHeight w:val="20"/>
        </w:trPr>
        <w:tc>
          <w:tcPr>
            <w:tcW w:w="1043" w:type="dxa"/>
            <w:tcBorders>
              <w:top w:val="nil"/>
              <w:left w:val="nil"/>
              <w:bottom w:val="nil"/>
              <w:right w:val="nil"/>
            </w:tcBorders>
            <w:shd w:val="clear" w:color="auto" w:fill="auto"/>
            <w:vAlign w:val="center"/>
            <w:hideMark/>
          </w:tcPr>
          <w:p w14:paraId="531626C5" w14:textId="77777777" w:rsidR="0098263E" w:rsidRPr="0069113F" w:rsidRDefault="0098263E" w:rsidP="0098263E">
            <w:pPr>
              <w:spacing w:line="240" w:lineRule="auto"/>
              <w:rPr>
                <w:rFonts w:eastAsia="Times New Roman" w:cs="Times New Roman"/>
                <w:color w:val="000000"/>
                <w:szCs w:val="24"/>
                <w:lang w:eastAsia="en-GB"/>
              </w:rPr>
            </w:pPr>
            <w:r w:rsidRPr="0069113F">
              <w:rPr>
                <w:rFonts w:eastAsia="Times New Roman" w:cs="Times New Roman"/>
                <w:color w:val="000000"/>
                <w:szCs w:val="24"/>
                <w:lang w:eastAsia="en-GB"/>
              </w:rPr>
              <w:t>Men 85+</w:t>
            </w:r>
          </w:p>
        </w:tc>
        <w:tc>
          <w:tcPr>
            <w:tcW w:w="1636" w:type="dxa"/>
            <w:tcBorders>
              <w:top w:val="nil"/>
              <w:left w:val="nil"/>
              <w:bottom w:val="nil"/>
              <w:right w:val="nil"/>
            </w:tcBorders>
            <w:shd w:val="clear" w:color="auto" w:fill="auto"/>
            <w:noWrap/>
            <w:vAlign w:val="bottom"/>
            <w:hideMark/>
          </w:tcPr>
          <w:p w14:paraId="13DA2BD6" w14:textId="6FFFBFC0" w:rsidR="0098263E" w:rsidRPr="0069113F" w:rsidRDefault="0098263E" w:rsidP="0098263E">
            <w:pPr>
              <w:spacing w:line="240" w:lineRule="auto"/>
              <w:jc w:val="center"/>
              <w:rPr>
                <w:rFonts w:eastAsia="Times New Roman" w:cs="Times New Roman"/>
                <w:color w:val="000000"/>
                <w:szCs w:val="24"/>
                <w:lang w:eastAsia="en-GB"/>
              </w:rPr>
            </w:pPr>
            <w:r>
              <w:rPr>
                <w:color w:val="000000"/>
              </w:rPr>
              <w:t>7807 (6436,9329)</w:t>
            </w:r>
          </w:p>
        </w:tc>
        <w:tc>
          <w:tcPr>
            <w:tcW w:w="1417" w:type="dxa"/>
            <w:tcBorders>
              <w:top w:val="nil"/>
              <w:left w:val="nil"/>
              <w:bottom w:val="nil"/>
              <w:right w:val="nil"/>
            </w:tcBorders>
            <w:shd w:val="clear" w:color="auto" w:fill="auto"/>
            <w:noWrap/>
            <w:vAlign w:val="bottom"/>
            <w:hideMark/>
          </w:tcPr>
          <w:p w14:paraId="33D0632C" w14:textId="3B9ECB5D" w:rsidR="0098263E" w:rsidRPr="0069113F" w:rsidRDefault="0098263E" w:rsidP="0098263E">
            <w:pPr>
              <w:spacing w:line="240" w:lineRule="auto"/>
              <w:jc w:val="center"/>
              <w:rPr>
                <w:rFonts w:eastAsia="Times New Roman" w:cs="Times New Roman"/>
                <w:color w:val="000000"/>
                <w:szCs w:val="24"/>
                <w:lang w:eastAsia="en-GB"/>
              </w:rPr>
            </w:pPr>
            <w:r>
              <w:rPr>
                <w:color w:val="000000"/>
              </w:rPr>
              <w:t>1679 (1384,2006)</w:t>
            </w:r>
          </w:p>
        </w:tc>
        <w:tc>
          <w:tcPr>
            <w:tcW w:w="1417" w:type="dxa"/>
            <w:tcBorders>
              <w:top w:val="nil"/>
              <w:left w:val="nil"/>
              <w:bottom w:val="nil"/>
              <w:right w:val="nil"/>
            </w:tcBorders>
            <w:shd w:val="clear" w:color="auto" w:fill="auto"/>
            <w:noWrap/>
            <w:vAlign w:val="bottom"/>
            <w:hideMark/>
          </w:tcPr>
          <w:p w14:paraId="5C794BD3" w14:textId="77482152" w:rsidR="0098263E" w:rsidRPr="0069113F" w:rsidRDefault="0098263E" w:rsidP="0098263E">
            <w:pPr>
              <w:spacing w:line="240" w:lineRule="auto"/>
              <w:jc w:val="center"/>
              <w:rPr>
                <w:rFonts w:eastAsia="Times New Roman" w:cs="Times New Roman"/>
                <w:color w:val="000000"/>
                <w:szCs w:val="24"/>
                <w:lang w:eastAsia="en-GB"/>
              </w:rPr>
            </w:pPr>
            <w:r>
              <w:rPr>
                <w:color w:val="000000"/>
              </w:rPr>
              <w:t>1797 (1482,2148)</w:t>
            </w:r>
          </w:p>
        </w:tc>
        <w:tc>
          <w:tcPr>
            <w:tcW w:w="1516" w:type="dxa"/>
            <w:tcBorders>
              <w:top w:val="nil"/>
              <w:left w:val="nil"/>
              <w:bottom w:val="nil"/>
              <w:right w:val="nil"/>
            </w:tcBorders>
            <w:shd w:val="clear" w:color="auto" w:fill="auto"/>
            <w:noWrap/>
            <w:vAlign w:val="bottom"/>
            <w:hideMark/>
          </w:tcPr>
          <w:p w14:paraId="345ECA60" w14:textId="642EED07" w:rsidR="0098263E" w:rsidRPr="0069113F" w:rsidRDefault="0098263E" w:rsidP="0098263E">
            <w:pPr>
              <w:spacing w:line="240" w:lineRule="auto"/>
              <w:jc w:val="center"/>
              <w:rPr>
                <w:rFonts w:eastAsia="Times New Roman" w:cs="Times New Roman"/>
                <w:color w:val="000000"/>
                <w:szCs w:val="24"/>
                <w:lang w:eastAsia="en-GB"/>
              </w:rPr>
            </w:pPr>
            <w:r>
              <w:rPr>
                <w:color w:val="000000"/>
              </w:rPr>
              <w:t>1739 (1434,2079)</w:t>
            </w:r>
          </w:p>
        </w:tc>
        <w:tc>
          <w:tcPr>
            <w:tcW w:w="1516" w:type="dxa"/>
            <w:tcBorders>
              <w:top w:val="nil"/>
              <w:left w:val="nil"/>
              <w:bottom w:val="nil"/>
              <w:right w:val="nil"/>
            </w:tcBorders>
            <w:shd w:val="clear" w:color="auto" w:fill="auto"/>
            <w:noWrap/>
            <w:vAlign w:val="bottom"/>
            <w:hideMark/>
          </w:tcPr>
          <w:p w14:paraId="33868DDB" w14:textId="1AC15F3F" w:rsidR="0098263E" w:rsidRPr="0069113F" w:rsidRDefault="0098263E" w:rsidP="0098263E">
            <w:pPr>
              <w:spacing w:line="240" w:lineRule="auto"/>
              <w:jc w:val="center"/>
              <w:rPr>
                <w:rFonts w:eastAsia="Times New Roman" w:cs="Times New Roman"/>
                <w:color w:val="000000"/>
                <w:szCs w:val="24"/>
                <w:lang w:eastAsia="en-GB"/>
              </w:rPr>
            </w:pPr>
            <w:r>
              <w:rPr>
                <w:color w:val="000000"/>
              </w:rPr>
              <w:t>1448 (1194,1730)</w:t>
            </w:r>
          </w:p>
        </w:tc>
        <w:tc>
          <w:tcPr>
            <w:tcW w:w="1516" w:type="dxa"/>
            <w:tcBorders>
              <w:top w:val="nil"/>
              <w:left w:val="nil"/>
              <w:bottom w:val="nil"/>
              <w:right w:val="nil"/>
            </w:tcBorders>
            <w:shd w:val="clear" w:color="auto" w:fill="auto"/>
            <w:noWrap/>
            <w:vAlign w:val="bottom"/>
            <w:hideMark/>
          </w:tcPr>
          <w:p w14:paraId="4BFCE140" w14:textId="40300440" w:rsidR="0098263E" w:rsidRPr="0069113F" w:rsidRDefault="0098263E" w:rsidP="0098263E">
            <w:pPr>
              <w:spacing w:line="240" w:lineRule="auto"/>
              <w:jc w:val="center"/>
              <w:rPr>
                <w:rFonts w:eastAsia="Times New Roman" w:cs="Times New Roman"/>
                <w:color w:val="000000"/>
                <w:szCs w:val="24"/>
                <w:lang w:eastAsia="en-GB"/>
              </w:rPr>
            </w:pPr>
            <w:r>
              <w:rPr>
                <w:color w:val="000000"/>
              </w:rPr>
              <w:t>1143 (943,1366)</w:t>
            </w:r>
          </w:p>
        </w:tc>
      </w:tr>
      <w:tr w:rsidR="0098263E" w:rsidRPr="0069113F" w14:paraId="53EB24CB" w14:textId="77777777" w:rsidTr="0098263E">
        <w:trPr>
          <w:trHeight w:val="20"/>
        </w:trPr>
        <w:tc>
          <w:tcPr>
            <w:tcW w:w="1043" w:type="dxa"/>
            <w:tcBorders>
              <w:top w:val="nil"/>
              <w:left w:val="nil"/>
              <w:bottom w:val="nil"/>
              <w:right w:val="nil"/>
            </w:tcBorders>
            <w:shd w:val="clear" w:color="auto" w:fill="auto"/>
            <w:vAlign w:val="center"/>
            <w:hideMark/>
          </w:tcPr>
          <w:p w14:paraId="028FCF8E" w14:textId="77777777" w:rsidR="0098263E" w:rsidRPr="0069113F" w:rsidRDefault="0098263E" w:rsidP="0098263E">
            <w:pPr>
              <w:spacing w:line="240" w:lineRule="auto"/>
              <w:rPr>
                <w:rFonts w:eastAsia="Times New Roman" w:cs="Times New Roman"/>
                <w:color w:val="000000"/>
                <w:szCs w:val="24"/>
                <w:lang w:eastAsia="en-GB"/>
              </w:rPr>
            </w:pPr>
            <w:r w:rsidRPr="0069113F">
              <w:rPr>
                <w:rFonts w:eastAsia="Times New Roman" w:cs="Times New Roman"/>
                <w:color w:val="000000"/>
                <w:szCs w:val="24"/>
                <w:lang w:eastAsia="en-GB"/>
              </w:rPr>
              <w:t>Women 25-34</w:t>
            </w:r>
          </w:p>
        </w:tc>
        <w:tc>
          <w:tcPr>
            <w:tcW w:w="1636" w:type="dxa"/>
            <w:tcBorders>
              <w:top w:val="nil"/>
              <w:left w:val="nil"/>
              <w:bottom w:val="nil"/>
              <w:right w:val="nil"/>
            </w:tcBorders>
            <w:shd w:val="clear" w:color="auto" w:fill="auto"/>
            <w:noWrap/>
            <w:vAlign w:val="bottom"/>
            <w:hideMark/>
          </w:tcPr>
          <w:p w14:paraId="621A3913" w14:textId="699D7627" w:rsidR="0098263E" w:rsidRPr="0069113F" w:rsidRDefault="0098263E" w:rsidP="0098263E">
            <w:pPr>
              <w:spacing w:line="240" w:lineRule="auto"/>
              <w:jc w:val="center"/>
              <w:rPr>
                <w:rFonts w:eastAsia="Times New Roman" w:cs="Times New Roman"/>
                <w:color w:val="000000"/>
                <w:szCs w:val="24"/>
                <w:lang w:eastAsia="en-GB"/>
              </w:rPr>
            </w:pPr>
            <w:r>
              <w:rPr>
                <w:color w:val="000000"/>
              </w:rPr>
              <w:t>11 (7,16)</w:t>
            </w:r>
          </w:p>
        </w:tc>
        <w:tc>
          <w:tcPr>
            <w:tcW w:w="1417" w:type="dxa"/>
            <w:tcBorders>
              <w:top w:val="nil"/>
              <w:left w:val="nil"/>
              <w:bottom w:val="nil"/>
              <w:right w:val="nil"/>
            </w:tcBorders>
            <w:shd w:val="clear" w:color="auto" w:fill="auto"/>
            <w:noWrap/>
            <w:vAlign w:val="bottom"/>
            <w:hideMark/>
          </w:tcPr>
          <w:p w14:paraId="230C7A7A" w14:textId="705673A0" w:rsidR="0098263E" w:rsidRPr="0069113F" w:rsidRDefault="0098263E" w:rsidP="0098263E">
            <w:pPr>
              <w:spacing w:line="240" w:lineRule="auto"/>
              <w:jc w:val="center"/>
              <w:rPr>
                <w:rFonts w:eastAsia="Times New Roman" w:cs="Times New Roman"/>
                <w:color w:val="000000"/>
                <w:szCs w:val="24"/>
                <w:lang w:eastAsia="en-GB"/>
              </w:rPr>
            </w:pPr>
            <w:r>
              <w:rPr>
                <w:color w:val="000000"/>
              </w:rPr>
              <w:t>0 (0,0)*</w:t>
            </w:r>
          </w:p>
        </w:tc>
        <w:tc>
          <w:tcPr>
            <w:tcW w:w="1417" w:type="dxa"/>
            <w:tcBorders>
              <w:top w:val="nil"/>
              <w:left w:val="nil"/>
              <w:bottom w:val="nil"/>
              <w:right w:val="nil"/>
            </w:tcBorders>
            <w:shd w:val="clear" w:color="auto" w:fill="auto"/>
            <w:noWrap/>
            <w:vAlign w:val="bottom"/>
            <w:hideMark/>
          </w:tcPr>
          <w:p w14:paraId="30C36C5E" w14:textId="70D82C0F" w:rsidR="0098263E" w:rsidRPr="0069113F" w:rsidRDefault="0098263E" w:rsidP="0098263E">
            <w:pPr>
              <w:spacing w:line="240" w:lineRule="auto"/>
              <w:jc w:val="center"/>
              <w:rPr>
                <w:rFonts w:eastAsia="Times New Roman" w:cs="Times New Roman"/>
                <w:color w:val="000000"/>
                <w:szCs w:val="24"/>
                <w:lang w:eastAsia="en-GB"/>
              </w:rPr>
            </w:pPr>
            <w:r>
              <w:rPr>
                <w:color w:val="000000"/>
              </w:rPr>
              <w:t>0 (0,0)*</w:t>
            </w:r>
          </w:p>
        </w:tc>
        <w:tc>
          <w:tcPr>
            <w:tcW w:w="1516" w:type="dxa"/>
            <w:tcBorders>
              <w:top w:val="nil"/>
              <w:left w:val="nil"/>
              <w:bottom w:val="nil"/>
              <w:right w:val="nil"/>
            </w:tcBorders>
            <w:shd w:val="clear" w:color="auto" w:fill="auto"/>
            <w:noWrap/>
            <w:vAlign w:val="bottom"/>
            <w:hideMark/>
          </w:tcPr>
          <w:p w14:paraId="54212804" w14:textId="38FE2A51" w:rsidR="0098263E" w:rsidRPr="0069113F" w:rsidRDefault="0098263E" w:rsidP="0098263E">
            <w:pPr>
              <w:spacing w:line="240" w:lineRule="auto"/>
              <w:jc w:val="center"/>
              <w:rPr>
                <w:rFonts w:eastAsia="Times New Roman" w:cs="Times New Roman"/>
                <w:color w:val="000000"/>
                <w:szCs w:val="24"/>
                <w:lang w:eastAsia="en-GB"/>
              </w:rPr>
            </w:pPr>
            <w:r>
              <w:rPr>
                <w:color w:val="000000"/>
              </w:rPr>
              <w:t>1 (0,1)</w:t>
            </w:r>
          </w:p>
        </w:tc>
        <w:tc>
          <w:tcPr>
            <w:tcW w:w="1516" w:type="dxa"/>
            <w:tcBorders>
              <w:top w:val="nil"/>
              <w:left w:val="nil"/>
              <w:bottom w:val="nil"/>
              <w:right w:val="nil"/>
            </w:tcBorders>
            <w:shd w:val="clear" w:color="auto" w:fill="auto"/>
            <w:noWrap/>
            <w:vAlign w:val="bottom"/>
            <w:hideMark/>
          </w:tcPr>
          <w:p w14:paraId="17090170" w14:textId="602DA932" w:rsidR="0098263E" w:rsidRPr="0069113F" w:rsidRDefault="0098263E" w:rsidP="0098263E">
            <w:pPr>
              <w:spacing w:line="240" w:lineRule="auto"/>
              <w:jc w:val="center"/>
              <w:rPr>
                <w:rFonts w:eastAsia="Times New Roman" w:cs="Times New Roman"/>
                <w:color w:val="000000"/>
                <w:szCs w:val="24"/>
                <w:lang w:eastAsia="en-GB"/>
              </w:rPr>
            </w:pPr>
            <w:r>
              <w:rPr>
                <w:color w:val="000000"/>
              </w:rPr>
              <w:t>5 (3,7)</w:t>
            </w:r>
          </w:p>
        </w:tc>
        <w:tc>
          <w:tcPr>
            <w:tcW w:w="1516" w:type="dxa"/>
            <w:tcBorders>
              <w:top w:val="nil"/>
              <w:left w:val="nil"/>
              <w:bottom w:val="nil"/>
              <w:right w:val="nil"/>
            </w:tcBorders>
            <w:shd w:val="clear" w:color="auto" w:fill="auto"/>
            <w:noWrap/>
            <w:vAlign w:val="bottom"/>
            <w:hideMark/>
          </w:tcPr>
          <w:p w14:paraId="4F88F350" w14:textId="4B66CFC3" w:rsidR="0098263E" w:rsidRPr="0069113F" w:rsidRDefault="0098263E" w:rsidP="0098263E">
            <w:pPr>
              <w:spacing w:line="240" w:lineRule="auto"/>
              <w:jc w:val="center"/>
              <w:rPr>
                <w:rFonts w:eastAsia="Times New Roman" w:cs="Times New Roman"/>
                <w:color w:val="000000"/>
                <w:szCs w:val="24"/>
                <w:lang w:eastAsia="en-GB"/>
              </w:rPr>
            </w:pPr>
            <w:r>
              <w:rPr>
                <w:color w:val="000000"/>
              </w:rPr>
              <w:t>5 (4,8)</w:t>
            </w:r>
          </w:p>
        </w:tc>
      </w:tr>
      <w:tr w:rsidR="0098263E" w:rsidRPr="0069113F" w14:paraId="6C81BCE6" w14:textId="77777777" w:rsidTr="0098263E">
        <w:trPr>
          <w:trHeight w:val="20"/>
        </w:trPr>
        <w:tc>
          <w:tcPr>
            <w:tcW w:w="1043" w:type="dxa"/>
            <w:tcBorders>
              <w:top w:val="nil"/>
              <w:left w:val="nil"/>
              <w:bottom w:val="nil"/>
              <w:right w:val="nil"/>
            </w:tcBorders>
            <w:shd w:val="clear" w:color="auto" w:fill="auto"/>
            <w:vAlign w:val="center"/>
            <w:hideMark/>
          </w:tcPr>
          <w:p w14:paraId="7EEF6CB0" w14:textId="77777777" w:rsidR="0098263E" w:rsidRPr="0069113F" w:rsidRDefault="0098263E" w:rsidP="0098263E">
            <w:pPr>
              <w:spacing w:line="240" w:lineRule="auto"/>
              <w:rPr>
                <w:rFonts w:eastAsia="Times New Roman" w:cs="Times New Roman"/>
                <w:color w:val="000000"/>
                <w:szCs w:val="24"/>
                <w:lang w:eastAsia="en-GB"/>
              </w:rPr>
            </w:pPr>
            <w:r w:rsidRPr="0069113F">
              <w:rPr>
                <w:rFonts w:eastAsia="Times New Roman" w:cs="Times New Roman"/>
                <w:color w:val="000000"/>
                <w:szCs w:val="24"/>
                <w:lang w:eastAsia="en-GB"/>
              </w:rPr>
              <w:t>Women 35-44</w:t>
            </w:r>
          </w:p>
        </w:tc>
        <w:tc>
          <w:tcPr>
            <w:tcW w:w="1636" w:type="dxa"/>
            <w:tcBorders>
              <w:top w:val="nil"/>
              <w:left w:val="nil"/>
              <w:bottom w:val="nil"/>
              <w:right w:val="nil"/>
            </w:tcBorders>
            <w:shd w:val="clear" w:color="auto" w:fill="auto"/>
            <w:noWrap/>
            <w:vAlign w:val="bottom"/>
            <w:hideMark/>
          </w:tcPr>
          <w:p w14:paraId="4229A030" w14:textId="440011E0" w:rsidR="0098263E" w:rsidRPr="0069113F" w:rsidRDefault="0098263E" w:rsidP="0098263E">
            <w:pPr>
              <w:spacing w:line="240" w:lineRule="auto"/>
              <w:jc w:val="center"/>
              <w:rPr>
                <w:rFonts w:eastAsia="Times New Roman" w:cs="Times New Roman"/>
                <w:color w:val="000000"/>
                <w:szCs w:val="24"/>
                <w:lang w:eastAsia="en-GB"/>
              </w:rPr>
            </w:pPr>
            <w:r>
              <w:rPr>
                <w:color w:val="000000"/>
              </w:rPr>
              <w:t>70 (47,107)</w:t>
            </w:r>
          </w:p>
        </w:tc>
        <w:tc>
          <w:tcPr>
            <w:tcW w:w="1417" w:type="dxa"/>
            <w:tcBorders>
              <w:top w:val="nil"/>
              <w:left w:val="nil"/>
              <w:bottom w:val="nil"/>
              <w:right w:val="nil"/>
            </w:tcBorders>
            <w:shd w:val="clear" w:color="auto" w:fill="auto"/>
            <w:noWrap/>
            <w:vAlign w:val="bottom"/>
            <w:hideMark/>
          </w:tcPr>
          <w:p w14:paraId="51F31BD7" w14:textId="7C773E48" w:rsidR="0098263E" w:rsidRPr="0069113F" w:rsidRDefault="0098263E" w:rsidP="0098263E">
            <w:pPr>
              <w:spacing w:line="240" w:lineRule="auto"/>
              <w:jc w:val="center"/>
              <w:rPr>
                <w:rFonts w:eastAsia="Times New Roman" w:cs="Times New Roman"/>
                <w:color w:val="000000"/>
                <w:szCs w:val="24"/>
                <w:lang w:eastAsia="en-GB"/>
              </w:rPr>
            </w:pPr>
            <w:r>
              <w:rPr>
                <w:color w:val="000000"/>
              </w:rPr>
              <w:t>4 (3,6)</w:t>
            </w:r>
          </w:p>
        </w:tc>
        <w:tc>
          <w:tcPr>
            <w:tcW w:w="1417" w:type="dxa"/>
            <w:tcBorders>
              <w:top w:val="nil"/>
              <w:left w:val="nil"/>
              <w:bottom w:val="nil"/>
              <w:right w:val="nil"/>
            </w:tcBorders>
            <w:shd w:val="clear" w:color="auto" w:fill="auto"/>
            <w:noWrap/>
            <w:vAlign w:val="bottom"/>
            <w:hideMark/>
          </w:tcPr>
          <w:p w14:paraId="767FEF1A" w14:textId="7DE75956" w:rsidR="0098263E" w:rsidRPr="0069113F" w:rsidRDefault="0098263E" w:rsidP="0098263E">
            <w:pPr>
              <w:spacing w:line="240" w:lineRule="auto"/>
              <w:jc w:val="center"/>
              <w:rPr>
                <w:rFonts w:eastAsia="Times New Roman" w:cs="Times New Roman"/>
                <w:color w:val="000000"/>
                <w:szCs w:val="24"/>
                <w:lang w:eastAsia="en-GB"/>
              </w:rPr>
            </w:pPr>
            <w:r>
              <w:rPr>
                <w:color w:val="000000"/>
              </w:rPr>
              <w:t>6 (4,9)</w:t>
            </w:r>
          </w:p>
        </w:tc>
        <w:tc>
          <w:tcPr>
            <w:tcW w:w="1516" w:type="dxa"/>
            <w:tcBorders>
              <w:top w:val="nil"/>
              <w:left w:val="nil"/>
              <w:bottom w:val="nil"/>
              <w:right w:val="nil"/>
            </w:tcBorders>
            <w:shd w:val="clear" w:color="auto" w:fill="auto"/>
            <w:noWrap/>
            <w:vAlign w:val="bottom"/>
            <w:hideMark/>
          </w:tcPr>
          <w:p w14:paraId="2504BD25" w14:textId="59EA5B3A" w:rsidR="0098263E" w:rsidRPr="0069113F" w:rsidRDefault="0098263E" w:rsidP="0098263E">
            <w:pPr>
              <w:spacing w:line="240" w:lineRule="auto"/>
              <w:jc w:val="center"/>
              <w:rPr>
                <w:rFonts w:eastAsia="Times New Roman" w:cs="Times New Roman"/>
                <w:color w:val="000000"/>
                <w:szCs w:val="24"/>
                <w:lang w:eastAsia="en-GB"/>
              </w:rPr>
            </w:pPr>
            <w:r>
              <w:rPr>
                <w:color w:val="000000"/>
              </w:rPr>
              <w:t>10 (7,15)</w:t>
            </w:r>
          </w:p>
        </w:tc>
        <w:tc>
          <w:tcPr>
            <w:tcW w:w="1516" w:type="dxa"/>
            <w:tcBorders>
              <w:top w:val="nil"/>
              <w:left w:val="nil"/>
              <w:bottom w:val="nil"/>
              <w:right w:val="nil"/>
            </w:tcBorders>
            <w:shd w:val="clear" w:color="auto" w:fill="auto"/>
            <w:noWrap/>
            <w:vAlign w:val="bottom"/>
            <w:hideMark/>
          </w:tcPr>
          <w:p w14:paraId="41D9024B" w14:textId="27CEEFE5" w:rsidR="0098263E" w:rsidRPr="0069113F" w:rsidRDefault="0098263E" w:rsidP="0098263E">
            <w:pPr>
              <w:spacing w:line="240" w:lineRule="auto"/>
              <w:jc w:val="center"/>
              <w:rPr>
                <w:rFonts w:eastAsia="Times New Roman" w:cs="Times New Roman"/>
                <w:color w:val="000000"/>
                <w:szCs w:val="24"/>
                <w:lang w:eastAsia="en-GB"/>
              </w:rPr>
            </w:pPr>
            <w:r>
              <w:rPr>
                <w:color w:val="000000"/>
              </w:rPr>
              <w:t>19 (12,28)</w:t>
            </w:r>
          </w:p>
        </w:tc>
        <w:tc>
          <w:tcPr>
            <w:tcW w:w="1516" w:type="dxa"/>
            <w:tcBorders>
              <w:top w:val="nil"/>
              <w:left w:val="nil"/>
              <w:bottom w:val="nil"/>
              <w:right w:val="nil"/>
            </w:tcBorders>
            <w:shd w:val="clear" w:color="auto" w:fill="auto"/>
            <w:noWrap/>
            <w:vAlign w:val="bottom"/>
            <w:hideMark/>
          </w:tcPr>
          <w:p w14:paraId="3D39C685" w14:textId="48D5F69D" w:rsidR="0098263E" w:rsidRPr="0069113F" w:rsidRDefault="0098263E" w:rsidP="0098263E">
            <w:pPr>
              <w:spacing w:line="240" w:lineRule="auto"/>
              <w:jc w:val="center"/>
              <w:rPr>
                <w:rFonts w:eastAsia="Times New Roman" w:cs="Times New Roman"/>
                <w:color w:val="000000"/>
                <w:szCs w:val="24"/>
                <w:lang w:eastAsia="en-GB"/>
              </w:rPr>
            </w:pPr>
            <w:r>
              <w:rPr>
                <w:color w:val="000000"/>
              </w:rPr>
              <w:t>32 (21,49)</w:t>
            </w:r>
          </w:p>
        </w:tc>
      </w:tr>
      <w:tr w:rsidR="0098263E" w:rsidRPr="0069113F" w14:paraId="5D2D2DA9" w14:textId="77777777" w:rsidTr="0098263E">
        <w:trPr>
          <w:trHeight w:val="20"/>
        </w:trPr>
        <w:tc>
          <w:tcPr>
            <w:tcW w:w="1043" w:type="dxa"/>
            <w:tcBorders>
              <w:top w:val="nil"/>
              <w:left w:val="nil"/>
              <w:bottom w:val="nil"/>
              <w:right w:val="nil"/>
            </w:tcBorders>
            <w:shd w:val="clear" w:color="auto" w:fill="auto"/>
            <w:vAlign w:val="center"/>
            <w:hideMark/>
          </w:tcPr>
          <w:p w14:paraId="4838A290" w14:textId="77777777" w:rsidR="0098263E" w:rsidRPr="0069113F" w:rsidRDefault="0098263E" w:rsidP="0098263E">
            <w:pPr>
              <w:spacing w:line="240" w:lineRule="auto"/>
              <w:rPr>
                <w:rFonts w:eastAsia="Times New Roman" w:cs="Times New Roman"/>
                <w:color w:val="000000"/>
                <w:szCs w:val="24"/>
                <w:lang w:eastAsia="en-GB"/>
              </w:rPr>
            </w:pPr>
            <w:r w:rsidRPr="0069113F">
              <w:rPr>
                <w:rFonts w:eastAsia="Times New Roman" w:cs="Times New Roman"/>
                <w:color w:val="000000"/>
                <w:szCs w:val="24"/>
                <w:lang w:eastAsia="en-GB"/>
              </w:rPr>
              <w:t>Women 45-54</w:t>
            </w:r>
          </w:p>
        </w:tc>
        <w:tc>
          <w:tcPr>
            <w:tcW w:w="1636" w:type="dxa"/>
            <w:tcBorders>
              <w:top w:val="nil"/>
              <w:left w:val="nil"/>
              <w:bottom w:val="nil"/>
              <w:right w:val="nil"/>
            </w:tcBorders>
            <w:shd w:val="clear" w:color="auto" w:fill="auto"/>
            <w:noWrap/>
            <w:vAlign w:val="bottom"/>
            <w:hideMark/>
          </w:tcPr>
          <w:p w14:paraId="3FC15471" w14:textId="0D21F5FC" w:rsidR="0098263E" w:rsidRPr="0069113F" w:rsidRDefault="0098263E" w:rsidP="0098263E">
            <w:pPr>
              <w:spacing w:line="240" w:lineRule="auto"/>
              <w:jc w:val="center"/>
              <w:rPr>
                <w:rFonts w:eastAsia="Times New Roman" w:cs="Times New Roman"/>
                <w:color w:val="000000"/>
                <w:szCs w:val="24"/>
                <w:lang w:eastAsia="en-GB"/>
              </w:rPr>
            </w:pPr>
            <w:r>
              <w:rPr>
                <w:color w:val="000000"/>
              </w:rPr>
              <w:t>272 (207,347)</w:t>
            </w:r>
          </w:p>
        </w:tc>
        <w:tc>
          <w:tcPr>
            <w:tcW w:w="1417" w:type="dxa"/>
            <w:tcBorders>
              <w:top w:val="nil"/>
              <w:left w:val="nil"/>
              <w:bottom w:val="nil"/>
              <w:right w:val="nil"/>
            </w:tcBorders>
            <w:shd w:val="clear" w:color="auto" w:fill="auto"/>
            <w:noWrap/>
            <w:vAlign w:val="bottom"/>
            <w:hideMark/>
          </w:tcPr>
          <w:p w14:paraId="76D13CA1" w14:textId="250AA1B3" w:rsidR="0098263E" w:rsidRPr="0069113F" w:rsidRDefault="0098263E" w:rsidP="0098263E">
            <w:pPr>
              <w:spacing w:line="240" w:lineRule="auto"/>
              <w:jc w:val="center"/>
              <w:rPr>
                <w:rFonts w:eastAsia="Times New Roman" w:cs="Times New Roman"/>
                <w:color w:val="000000"/>
                <w:szCs w:val="24"/>
                <w:lang w:eastAsia="en-GB"/>
              </w:rPr>
            </w:pPr>
            <w:r>
              <w:rPr>
                <w:color w:val="000000"/>
              </w:rPr>
              <w:t>24 (18,31)</w:t>
            </w:r>
          </w:p>
        </w:tc>
        <w:tc>
          <w:tcPr>
            <w:tcW w:w="1417" w:type="dxa"/>
            <w:tcBorders>
              <w:top w:val="nil"/>
              <w:left w:val="nil"/>
              <w:bottom w:val="nil"/>
              <w:right w:val="nil"/>
            </w:tcBorders>
            <w:shd w:val="clear" w:color="auto" w:fill="auto"/>
            <w:noWrap/>
            <w:vAlign w:val="bottom"/>
            <w:hideMark/>
          </w:tcPr>
          <w:p w14:paraId="540FD490" w14:textId="684107BC" w:rsidR="0098263E" w:rsidRPr="0069113F" w:rsidRDefault="0098263E" w:rsidP="0098263E">
            <w:pPr>
              <w:spacing w:line="240" w:lineRule="auto"/>
              <w:jc w:val="center"/>
              <w:rPr>
                <w:rFonts w:eastAsia="Times New Roman" w:cs="Times New Roman"/>
                <w:color w:val="000000"/>
                <w:szCs w:val="24"/>
                <w:lang w:eastAsia="en-GB"/>
              </w:rPr>
            </w:pPr>
            <w:r>
              <w:rPr>
                <w:color w:val="000000"/>
              </w:rPr>
              <w:t>38 (29,48)</w:t>
            </w:r>
          </w:p>
        </w:tc>
        <w:tc>
          <w:tcPr>
            <w:tcW w:w="1516" w:type="dxa"/>
            <w:tcBorders>
              <w:top w:val="nil"/>
              <w:left w:val="nil"/>
              <w:bottom w:val="nil"/>
              <w:right w:val="nil"/>
            </w:tcBorders>
            <w:shd w:val="clear" w:color="auto" w:fill="auto"/>
            <w:noWrap/>
            <w:vAlign w:val="bottom"/>
            <w:hideMark/>
          </w:tcPr>
          <w:p w14:paraId="7E5A7DB0" w14:textId="27D16979" w:rsidR="0098263E" w:rsidRPr="0069113F" w:rsidRDefault="0098263E" w:rsidP="0098263E">
            <w:pPr>
              <w:spacing w:line="240" w:lineRule="auto"/>
              <w:jc w:val="center"/>
              <w:rPr>
                <w:rFonts w:eastAsia="Times New Roman" w:cs="Times New Roman"/>
                <w:color w:val="000000"/>
                <w:szCs w:val="24"/>
                <w:lang w:eastAsia="en-GB"/>
              </w:rPr>
            </w:pPr>
            <w:r>
              <w:rPr>
                <w:color w:val="000000"/>
              </w:rPr>
              <w:t>50 (38,64)</w:t>
            </w:r>
          </w:p>
        </w:tc>
        <w:tc>
          <w:tcPr>
            <w:tcW w:w="1516" w:type="dxa"/>
            <w:tcBorders>
              <w:top w:val="nil"/>
              <w:left w:val="nil"/>
              <w:bottom w:val="nil"/>
              <w:right w:val="nil"/>
            </w:tcBorders>
            <w:shd w:val="clear" w:color="auto" w:fill="auto"/>
            <w:noWrap/>
            <w:vAlign w:val="bottom"/>
            <w:hideMark/>
          </w:tcPr>
          <w:p w14:paraId="7094BFEC" w14:textId="406EA883" w:rsidR="0098263E" w:rsidRPr="0069113F" w:rsidRDefault="0098263E" w:rsidP="0098263E">
            <w:pPr>
              <w:spacing w:line="240" w:lineRule="auto"/>
              <w:jc w:val="center"/>
              <w:rPr>
                <w:rFonts w:eastAsia="Times New Roman" w:cs="Times New Roman"/>
                <w:color w:val="000000"/>
                <w:szCs w:val="24"/>
                <w:lang w:eastAsia="en-GB"/>
              </w:rPr>
            </w:pPr>
            <w:r>
              <w:rPr>
                <w:color w:val="000000"/>
              </w:rPr>
              <w:t>63 (48,81)</w:t>
            </w:r>
          </w:p>
        </w:tc>
        <w:tc>
          <w:tcPr>
            <w:tcW w:w="1516" w:type="dxa"/>
            <w:tcBorders>
              <w:top w:val="nil"/>
              <w:left w:val="nil"/>
              <w:bottom w:val="nil"/>
              <w:right w:val="nil"/>
            </w:tcBorders>
            <w:shd w:val="clear" w:color="auto" w:fill="auto"/>
            <w:noWrap/>
            <w:vAlign w:val="bottom"/>
            <w:hideMark/>
          </w:tcPr>
          <w:p w14:paraId="1593ABA9" w14:textId="70437018" w:rsidR="0098263E" w:rsidRPr="0069113F" w:rsidRDefault="0098263E" w:rsidP="0098263E">
            <w:pPr>
              <w:spacing w:line="240" w:lineRule="auto"/>
              <w:jc w:val="center"/>
              <w:rPr>
                <w:rFonts w:eastAsia="Times New Roman" w:cs="Times New Roman"/>
                <w:color w:val="000000"/>
                <w:szCs w:val="24"/>
                <w:lang w:eastAsia="en-GB"/>
              </w:rPr>
            </w:pPr>
            <w:r>
              <w:rPr>
                <w:color w:val="000000"/>
              </w:rPr>
              <w:t>96 (74,123)</w:t>
            </w:r>
          </w:p>
        </w:tc>
      </w:tr>
      <w:tr w:rsidR="0098263E" w:rsidRPr="0069113F" w14:paraId="33F468D9" w14:textId="77777777" w:rsidTr="0098263E">
        <w:trPr>
          <w:trHeight w:val="20"/>
        </w:trPr>
        <w:tc>
          <w:tcPr>
            <w:tcW w:w="1043" w:type="dxa"/>
            <w:tcBorders>
              <w:top w:val="nil"/>
              <w:left w:val="nil"/>
              <w:bottom w:val="nil"/>
              <w:right w:val="nil"/>
            </w:tcBorders>
            <w:shd w:val="clear" w:color="auto" w:fill="auto"/>
            <w:vAlign w:val="center"/>
            <w:hideMark/>
          </w:tcPr>
          <w:p w14:paraId="293DA03C" w14:textId="77777777" w:rsidR="0098263E" w:rsidRPr="0069113F" w:rsidRDefault="0098263E" w:rsidP="0098263E">
            <w:pPr>
              <w:spacing w:line="240" w:lineRule="auto"/>
              <w:rPr>
                <w:rFonts w:eastAsia="Times New Roman" w:cs="Times New Roman"/>
                <w:color w:val="000000"/>
                <w:szCs w:val="24"/>
                <w:lang w:eastAsia="en-GB"/>
              </w:rPr>
            </w:pPr>
            <w:r w:rsidRPr="0069113F">
              <w:rPr>
                <w:rFonts w:eastAsia="Times New Roman" w:cs="Times New Roman"/>
                <w:color w:val="000000"/>
                <w:szCs w:val="24"/>
                <w:lang w:eastAsia="en-GB"/>
              </w:rPr>
              <w:t>Women 55-64</w:t>
            </w:r>
          </w:p>
        </w:tc>
        <w:tc>
          <w:tcPr>
            <w:tcW w:w="1636" w:type="dxa"/>
            <w:tcBorders>
              <w:top w:val="nil"/>
              <w:left w:val="nil"/>
              <w:bottom w:val="nil"/>
              <w:right w:val="nil"/>
            </w:tcBorders>
            <w:shd w:val="clear" w:color="auto" w:fill="auto"/>
            <w:noWrap/>
            <w:vAlign w:val="bottom"/>
            <w:hideMark/>
          </w:tcPr>
          <w:p w14:paraId="3C38F098" w14:textId="62737602" w:rsidR="0098263E" w:rsidRPr="0069113F" w:rsidRDefault="0098263E" w:rsidP="0098263E">
            <w:pPr>
              <w:spacing w:line="240" w:lineRule="auto"/>
              <w:jc w:val="center"/>
              <w:rPr>
                <w:rFonts w:eastAsia="Times New Roman" w:cs="Times New Roman"/>
                <w:color w:val="000000"/>
                <w:szCs w:val="24"/>
                <w:lang w:eastAsia="en-GB"/>
              </w:rPr>
            </w:pPr>
            <w:r>
              <w:rPr>
                <w:color w:val="000000"/>
              </w:rPr>
              <w:t>794 (617,1009)</w:t>
            </w:r>
          </w:p>
        </w:tc>
        <w:tc>
          <w:tcPr>
            <w:tcW w:w="1417" w:type="dxa"/>
            <w:tcBorders>
              <w:top w:val="nil"/>
              <w:left w:val="nil"/>
              <w:bottom w:val="nil"/>
              <w:right w:val="nil"/>
            </w:tcBorders>
            <w:shd w:val="clear" w:color="auto" w:fill="auto"/>
            <w:noWrap/>
            <w:vAlign w:val="bottom"/>
            <w:hideMark/>
          </w:tcPr>
          <w:p w14:paraId="6F72C60A" w14:textId="784FF4F7" w:rsidR="0098263E" w:rsidRPr="0069113F" w:rsidRDefault="0098263E" w:rsidP="0098263E">
            <w:pPr>
              <w:spacing w:line="240" w:lineRule="auto"/>
              <w:jc w:val="center"/>
              <w:rPr>
                <w:rFonts w:eastAsia="Times New Roman" w:cs="Times New Roman"/>
                <w:color w:val="000000"/>
                <w:szCs w:val="24"/>
                <w:lang w:eastAsia="en-GB"/>
              </w:rPr>
            </w:pPr>
            <w:r>
              <w:rPr>
                <w:color w:val="000000"/>
              </w:rPr>
              <w:t>86 (67,110)</w:t>
            </w:r>
          </w:p>
        </w:tc>
        <w:tc>
          <w:tcPr>
            <w:tcW w:w="1417" w:type="dxa"/>
            <w:tcBorders>
              <w:top w:val="nil"/>
              <w:left w:val="nil"/>
              <w:bottom w:val="nil"/>
              <w:right w:val="nil"/>
            </w:tcBorders>
            <w:shd w:val="clear" w:color="auto" w:fill="auto"/>
            <w:noWrap/>
            <w:vAlign w:val="bottom"/>
            <w:hideMark/>
          </w:tcPr>
          <w:p w14:paraId="21247122" w14:textId="700C4347" w:rsidR="0098263E" w:rsidRPr="0069113F" w:rsidRDefault="0098263E" w:rsidP="0098263E">
            <w:pPr>
              <w:spacing w:line="240" w:lineRule="auto"/>
              <w:jc w:val="center"/>
              <w:rPr>
                <w:rFonts w:eastAsia="Times New Roman" w:cs="Times New Roman"/>
                <w:color w:val="000000"/>
                <w:szCs w:val="24"/>
                <w:lang w:eastAsia="en-GB"/>
              </w:rPr>
            </w:pPr>
            <w:r>
              <w:rPr>
                <w:color w:val="000000"/>
              </w:rPr>
              <w:t>111 (86,140)</w:t>
            </w:r>
          </w:p>
        </w:tc>
        <w:tc>
          <w:tcPr>
            <w:tcW w:w="1516" w:type="dxa"/>
            <w:tcBorders>
              <w:top w:val="nil"/>
              <w:left w:val="nil"/>
              <w:bottom w:val="nil"/>
              <w:right w:val="nil"/>
            </w:tcBorders>
            <w:shd w:val="clear" w:color="auto" w:fill="auto"/>
            <w:noWrap/>
            <w:vAlign w:val="bottom"/>
            <w:hideMark/>
          </w:tcPr>
          <w:p w14:paraId="0E14F6CD" w14:textId="7527A797" w:rsidR="0098263E" w:rsidRPr="0069113F" w:rsidRDefault="0098263E" w:rsidP="0098263E">
            <w:pPr>
              <w:spacing w:line="240" w:lineRule="auto"/>
              <w:jc w:val="center"/>
              <w:rPr>
                <w:rFonts w:eastAsia="Times New Roman" w:cs="Times New Roman"/>
                <w:color w:val="000000"/>
                <w:szCs w:val="24"/>
                <w:lang w:eastAsia="en-GB"/>
              </w:rPr>
            </w:pPr>
            <w:r>
              <w:rPr>
                <w:color w:val="000000"/>
              </w:rPr>
              <w:t>147 (115,187)</w:t>
            </w:r>
          </w:p>
        </w:tc>
        <w:tc>
          <w:tcPr>
            <w:tcW w:w="1516" w:type="dxa"/>
            <w:tcBorders>
              <w:top w:val="nil"/>
              <w:left w:val="nil"/>
              <w:bottom w:val="nil"/>
              <w:right w:val="nil"/>
            </w:tcBorders>
            <w:shd w:val="clear" w:color="auto" w:fill="auto"/>
            <w:noWrap/>
            <w:vAlign w:val="bottom"/>
            <w:hideMark/>
          </w:tcPr>
          <w:p w14:paraId="554CDAF5" w14:textId="1B6AD7C0" w:rsidR="0098263E" w:rsidRPr="0069113F" w:rsidRDefault="0098263E" w:rsidP="0098263E">
            <w:pPr>
              <w:spacing w:line="240" w:lineRule="auto"/>
              <w:jc w:val="center"/>
              <w:rPr>
                <w:rFonts w:eastAsia="Times New Roman" w:cs="Times New Roman"/>
                <w:color w:val="000000"/>
                <w:szCs w:val="24"/>
                <w:lang w:eastAsia="en-GB"/>
              </w:rPr>
            </w:pPr>
            <w:r>
              <w:rPr>
                <w:color w:val="000000"/>
              </w:rPr>
              <w:t>192 (149,244)</w:t>
            </w:r>
          </w:p>
        </w:tc>
        <w:tc>
          <w:tcPr>
            <w:tcW w:w="1516" w:type="dxa"/>
            <w:tcBorders>
              <w:top w:val="nil"/>
              <w:left w:val="nil"/>
              <w:bottom w:val="nil"/>
              <w:right w:val="nil"/>
            </w:tcBorders>
            <w:shd w:val="clear" w:color="auto" w:fill="auto"/>
            <w:noWrap/>
            <w:vAlign w:val="bottom"/>
            <w:hideMark/>
          </w:tcPr>
          <w:p w14:paraId="0078C399" w14:textId="7207E33F" w:rsidR="0098263E" w:rsidRPr="0069113F" w:rsidRDefault="0098263E" w:rsidP="0098263E">
            <w:pPr>
              <w:spacing w:line="240" w:lineRule="auto"/>
              <w:jc w:val="center"/>
              <w:rPr>
                <w:rFonts w:eastAsia="Times New Roman" w:cs="Times New Roman"/>
                <w:color w:val="000000"/>
                <w:szCs w:val="24"/>
                <w:lang w:eastAsia="en-GB"/>
              </w:rPr>
            </w:pPr>
            <w:r>
              <w:rPr>
                <w:color w:val="000000"/>
              </w:rPr>
              <w:t>258 (200,328)</w:t>
            </w:r>
          </w:p>
        </w:tc>
      </w:tr>
      <w:tr w:rsidR="0098263E" w:rsidRPr="0069113F" w14:paraId="4561E228" w14:textId="77777777" w:rsidTr="0098263E">
        <w:trPr>
          <w:trHeight w:val="20"/>
        </w:trPr>
        <w:tc>
          <w:tcPr>
            <w:tcW w:w="1043" w:type="dxa"/>
            <w:tcBorders>
              <w:top w:val="nil"/>
              <w:left w:val="nil"/>
              <w:bottom w:val="nil"/>
              <w:right w:val="nil"/>
            </w:tcBorders>
            <w:shd w:val="clear" w:color="auto" w:fill="auto"/>
            <w:vAlign w:val="center"/>
            <w:hideMark/>
          </w:tcPr>
          <w:p w14:paraId="42672360" w14:textId="77777777" w:rsidR="0098263E" w:rsidRPr="0069113F" w:rsidRDefault="0098263E" w:rsidP="0098263E">
            <w:pPr>
              <w:spacing w:line="240" w:lineRule="auto"/>
              <w:rPr>
                <w:rFonts w:eastAsia="Times New Roman" w:cs="Times New Roman"/>
                <w:color w:val="000000"/>
                <w:szCs w:val="24"/>
                <w:lang w:eastAsia="en-GB"/>
              </w:rPr>
            </w:pPr>
            <w:r w:rsidRPr="0069113F">
              <w:rPr>
                <w:rFonts w:eastAsia="Times New Roman" w:cs="Times New Roman"/>
                <w:color w:val="000000"/>
                <w:szCs w:val="24"/>
                <w:lang w:eastAsia="en-GB"/>
              </w:rPr>
              <w:t>Women 65-74</w:t>
            </w:r>
          </w:p>
        </w:tc>
        <w:tc>
          <w:tcPr>
            <w:tcW w:w="1636" w:type="dxa"/>
            <w:tcBorders>
              <w:top w:val="nil"/>
              <w:left w:val="nil"/>
              <w:bottom w:val="nil"/>
              <w:right w:val="nil"/>
            </w:tcBorders>
            <w:shd w:val="clear" w:color="auto" w:fill="auto"/>
            <w:noWrap/>
            <w:vAlign w:val="bottom"/>
            <w:hideMark/>
          </w:tcPr>
          <w:p w14:paraId="09C4F75A" w14:textId="7F49C626" w:rsidR="0098263E" w:rsidRPr="0069113F" w:rsidRDefault="0098263E" w:rsidP="0098263E">
            <w:pPr>
              <w:spacing w:line="240" w:lineRule="auto"/>
              <w:jc w:val="center"/>
              <w:rPr>
                <w:rFonts w:eastAsia="Times New Roman" w:cs="Times New Roman"/>
                <w:color w:val="000000"/>
                <w:szCs w:val="24"/>
                <w:lang w:eastAsia="en-GB"/>
              </w:rPr>
            </w:pPr>
            <w:r>
              <w:rPr>
                <w:color w:val="000000"/>
              </w:rPr>
              <w:t>1732 (1351,2207)</w:t>
            </w:r>
          </w:p>
        </w:tc>
        <w:tc>
          <w:tcPr>
            <w:tcW w:w="1417" w:type="dxa"/>
            <w:tcBorders>
              <w:top w:val="nil"/>
              <w:left w:val="nil"/>
              <w:bottom w:val="nil"/>
              <w:right w:val="nil"/>
            </w:tcBorders>
            <w:shd w:val="clear" w:color="auto" w:fill="auto"/>
            <w:noWrap/>
            <w:vAlign w:val="bottom"/>
            <w:hideMark/>
          </w:tcPr>
          <w:p w14:paraId="6451EED7" w14:textId="5AAE8F44" w:rsidR="0098263E" w:rsidRPr="0069113F" w:rsidRDefault="0098263E" w:rsidP="0098263E">
            <w:pPr>
              <w:spacing w:line="240" w:lineRule="auto"/>
              <w:jc w:val="center"/>
              <w:rPr>
                <w:rFonts w:eastAsia="Times New Roman" w:cs="Times New Roman"/>
                <w:color w:val="000000"/>
                <w:szCs w:val="24"/>
                <w:lang w:eastAsia="en-GB"/>
              </w:rPr>
            </w:pPr>
            <w:r>
              <w:rPr>
                <w:color w:val="000000"/>
              </w:rPr>
              <w:t>236 (184,301)</w:t>
            </w:r>
          </w:p>
        </w:tc>
        <w:tc>
          <w:tcPr>
            <w:tcW w:w="1417" w:type="dxa"/>
            <w:tcBorders>
              <w:top w:val="nil"/>
              <w:left w:val="nil"/>
              <w:bottom w:val="nil"/>
              <w:right w:val="nil"/>
            </w:tcBorders>
            <w:shd w:val="clear" w:color="auto" w:fill="auto"/>
            <w:noWrap/>
            <w:vAlign w:val="bottom"/>
            <w:hideMark/>
          </w:tcPr>
          <w:p w14:paraId="3644A252" w14:textId="2407935D" w:rsidR="0098263E" w:rsidRPr="0069113F" w:rsidRDefault="0098263E" w:rsidP="0098263E">
            <w:pPr>
              <w:spacing w:line="240" w:lineRule="auto"/>
              <w:jc w:val="center"/>
              <w:rPr>
                <w:rFonts w:eastAsia="Times New Roman" w:cs="Times New Roman"/>
                <w:color w:val="000000"/>
                <w:szCs w:val="24"/>
                <w:lang w:eastAsia="en-GB"/>
              </w:rPr>
            </w:pPr>
            <w:r>
              <w:rPr>
                <w:color w:val="000000"/>
              </w:rPr>
              <w:t>275 (215,351)</w:t>
            </w:r>
          </w:p>
        </w:tc>
        <w:tc>
          <w:tcPr>
            <w:tcW w:w="1516" w:type="dxa"/>
            <w:tcBorders>
              <w:top w:val="nil"/>
              <w:left w:val="nil"/>
              <w:bottom w:val="nil"/>
              <w:right w:val="nil"/>
            </w:tcBorders>
            <w:shd w:val="clear" w:color="auto" w:fill="auto"/>
            <w:noWrap/>
            <w:vAlign w:val="bottom"/>
            <w:hideMark/>
          </w:tcPr>
          <w:p w14:paraId="0213F311" w14:textId="7B9402C7" w:rsidR="0098263E" w:rsidRPr="0069113F" w:rsidRDefault="0098263E" w:rsidP="0098263E">
            <w:pPr>
              <w:spacing w:line="240" w:lineRule="auto"/>
              <w:jc w:val="center"/>
              <w:rPr>
                <w:rFonts w:eastAsia="Times New Roman" w:cs="Times New Roman"/>
                <w:color w:val="000000"/>
                <w:szCs w:val="24"/>
                <w:lang w:eastAsia="en-GB"/>
              </w:rPr>
            </w:pPr>
            <w:r>
              <w:rPr>
                <w:color w:val="000000"/>
              </w:rPr>
              <w:t>343 (268,438)</w:t>
            </w:r>
          </w:p>
        </w:tc>
        <w:tc>
          <w:tcPr>
            <w:tcW w:w="1516" w:type="dxa"/>
            <w:tcBorders>
              <w:top w:val="nil"/>
              <w:left w:val="nil"/>
              <w:bottom w:val="nil"/>
              <w:right w:val="nil"/>
            </w:tcBorders>
            <w:shd w:val="clear" w:color="auto" w:fill="auto"/>
            <w:noWrap/>
            <w:vAlign w:val="bottom"/>
            <w:hideMark/>
          </w:tcPr>
          <w:p w14:paraId="52608D65" w14:textId="1E5343DA" w:rsidR="0098263E" w:rsidRPr="0069113F" w:rsidRDefault="0098263E" w:rsidP="0098263E">
            <w:pPr>
              <w:spacing w:line="240" w:lineRule="auto"/>
              <w:jc w:val="center"/>
              <w:rPr>
                <w:rFonts w:eastAsia="Times New Roman" w:cs="Times New Roman"/>
                <w:color w:val="000000"/>
                <w:szCs w:val="24"/>
                <w:lang w:eastAsia="en-GB"/>
              </w:rPr>
            </w:pPr>
            <w:r>
              <w:rPr>
                <w:color w:val="000000"/>
              </w:rPr>
              <w:t>389 (303,496)</w:t>
            </w:r>
          </w:p>
        </w:tc>
        <w:tc>
          <w:tcPr>
            <w:tcW w:w="1516" w:type="dxa"/>
            <w:tcBorders>
              <w:top w:val="nil"/>
              <w:left w:val="nil"/>
              <w:bottom w:val="nil"/>
              <w:right w:val="nil"/>
            </w:tcBorders>
            <w:shd w:val="clear" w:color="auto" w:fill="auto"/>
            <w:noWrap/>
            <w:vAlign w:val="bottom"/>
            <w:hideMark/>
          </w:tcPr>
          <w:p w14:paraId="5D1D3AB4" w14:textId="7FDEA5F1" w:rsidR="0098263E" w:rsidRPr="0069113F" w:rsidRDefault="0098263E" w:rsidP="0098263E">
            <w:pPr>
              <w:spacing w:line="240" w:lineRule="auto"/>
              <w:jc w:val="center"/>
              <w:rPr>
                <w:rFonts w:eastAsia="Times New Roman" w:cs="Times New Roman"/>
                <w:color w:val="000000"/>
                <w:szCs w:val="24"/>
                <w:lang w:eastAsia="en-GB"/>
              </w:rPr>
            </w:pPr>
            <w:r>
              <w:rPr>
                <w:color w:val="000000"/>
              </w:rPr>
              <w:t>488 (380,622)</w:t>
            </w:r>
          </w:p>
        </w:tc>
      </w:tr>
      <w:tr w:rsidR="0098263E" w:rsidRPr="0069113F" w14:paraId="19A7E8D2" w14:textId="77777777" w:rsidTr="0098263E">
        <w:trPr>
          <w:trHeight w:val="20"/>
        </w:trPr>
        <w:tc>
          <w:tcPr>
            <w:tcW w:w="1043" w:type="dxa"/>
            <w:tcBorders>
              <w:top w:val="nil"/>
              <w:left w:val="nil"/>
              <w:bottom w:val="nil"/>
              <w:right w:val="nil"/>
            </w:tcBorders>
            <w:shd w:val="clear" w:color="auto" w:fill="auto"/>
            <w:vAlign w:val="center"/>
            <w:hideMark/>
          </w:tcPr>
          <w:p w14:paraId="572DFF68" w14:textId="77777777" w:rsidR="0098263E" w:rsidRPr="0069113F" w:rsidRDefault="0098263E" w:rsidP="0098263E">
            <w:pPr>
              <w:spacing w:line="240" w:lineRule="auto"/>
              <w:rPr>
                <w:rFonts w:eastAsia="Times New Roman" w:cs="Times New Roman"/>
                <w:color w:val="000000"/>
                <w:szCs w:val="24"/>
                <w:lang w:eastAsia="en-GB"/>
              </w:rPr>
            </w:pPr>
            <w:r w:rsidRPr="0069113F">
              <w:rPr>
                <w:rFonts w:eastAsia="Times New Roman" w:cs="Times New Roman"/>
                <w:color w:val="000000"/>
                <w:szCs w:val="24"/>
                <w:lang w:eastAsia="en-GB"/>
              </w:rPr>
              <w:t>Women 75-84</w:t>
            </w:r>
          </w:p>
        </w:tc>
        <w:tc>
          <w:tcPr>
            <w:tcW w:w="1636" w:type="dxa"/>
            <w:tcBorders>
              <w:top w:val="nil"/>
              <w:left w:val="nil"/>
              <w:bottom w:val="nil"/>
              <w:right w:val="nil"/>
            </w:tcBorders>
            <w:shd w:val="clear" w:color="auto" w:fill="auto"/>
            <w:noWrap/>
            <w:vAlign w:val="bottom"/>
            <w:hideMark/>
          </w:tcPr>
          <w:p w14:paraId="1AAC21AF" w14:textId="23CAF813" w:rsidR="0098263E" w:rsidRPr="0069113F" w:rsidRDefault="0098263E" w:rsidP="0098263E">
            <w:pPr>
              <w:spacing w:line="240" w:lineRule="auto"/>
              <w:jc w:val="center"/>
              <w:rPr>
                <w:rFonts w:eastAsia="Times New Roman" w:cs="Times New Roman"/>
                <w:color w:val="000000"/>
                <w:szCs w:val="24"/>
                <w:lang w:eastAsia="en-GB"/>
              </w:rPr>
            </w:pPr>
            <w:r>
              <w:rPr>
                <w:color w:val="000000"/>
              </w:rPr>
              <w:t>3699 (2866,4678)</w:t>
            </w:r>
          </w:p>
        </w:tc>
        <w:tc>
          <w:tcPr>
            <w:tcW w:w="1417" w:type="dxa"/>
            <w:tcBorders>
              <w:top w:val="nil"/>
              <w:left w:val="nil"/>
              <w:bottom w:val="nil"/>
              <w:right w:val="nil"/>
            </w:tcBorders>
            <w:shd w:val="clear" w:color="auto" w:fill="auto"/>
            <w:noWrap/>
            <w:vAlign w:val="bottom"/>
            <w:hideMark/>
          </w:tcPr>
          <w:p w14:paraId="5894F570" w14:textId="3B6AFE7D" w:rsidR="0098263E" w:rsidRPr="0069113F" w:rsidRDefault="0098263E" w:rsidP="0098263E">
            <w:pPr>
              <w:spacing w:line="240" w:lineRule="auto"/>
              <w:jc w:val="center"/>
              <w:rPr>
                <w:rFonts w:eastAsia="Times New Roman" w:cs="Times New Roman"/>
                <w:color w:val="000000"/>
                <w:szCs w:val="24"/>
                <w:lang w:eastAsia="en-GB"/>
              </w:rPr>
            </w:pPr>
            <w:r>
              <w:rPr>
                <w:color w:val="000000"/>
              </w:rPr>
              <w:t>612 (474,774)</w:t>
            </w:r>
          </w:p>
        </w:tc>
        <w:tc>
          <w:tcPr>
            <w:tcW w:w="1417" w:type="dxa"/>
            <w:tcBorders>
              <w:top w:val="nil"/>
              <w:left w:val="nil"/>
              <w:bottom w:val="nil"/>
              <w:right w:val="nil"/>
            </w:tcBorders>
            <w:shd w:val="clear" w:color="auto" w:fill="auto"/>
            <w:noWrap/>
            <w:vAlign w:val="bottom"/>
            <w:hideMark/>
          </w:tcPr>
          <w:p w14:paraId="6598B2BC" w14:textId="4872033F" w:rsidR="0098263E" w:rsidRPr="0069113F" w:rsidRDefault="0098263E" w:rsidP="0098263E">
            <w:pPr>
              <w:spacing w:line="240" w:lineRule="auto"/>
              <w:jc w:val="center"/>
              <w:rPr>
                <w:rFonts w:eastAsia="Times New Roman" w:cs="Times New Roman"/>
                <w:color w:val="000000"/>
                <w:szCs w:val="24"/>
                <w:lang w:eastAsia="en-GB"/>
              </w:rPr>
            </w:pPr>
            <w:r>
              <w:rPr>
                <w:color w:val="000000"/>
              </w:rPr>
              <w:t>734 (568,928)</w:t>
            </w:r>
          </w:p>
        </w:tc>
        <w:tc>
          <w:tcPr>
            <w:tcW w:w="1516" w:type="dxa"/>
            <w:tcBorders>
              <w:top w:val="nil"/>
              <w:left w:val="nil"/>
              <w:bottom w:val="nil"/>
              <w:right w:val="nil"/>
            </w:tcBorders>
            <w:shd w:val="clear" w:color="auto" w:fill="auto"/>
            <w:noWrap/>
            <w:vAlign w:val="bottom"/>
            <w:hideMark/>
          </w:tcPr>
          <w:p w14:paraId="2E0DC977" w14:textId="0BD38FED" w:rsidR="0098263E" w:rsidRPr="0069113F" w:rsidRDefault="0098263E" w:rsidP="0098263E">
            <w:pPr>
              <w:spacing w:line="240" w:lineRule="auto"/>
              <w:jc w:val="center"/>
              <w:rPr>
                <w:rFonts w:eastAsia="Times New Roman" w:cs="Times New Roman"/>
                <w:color w:val="000000"/>
                <w:szCs w:val="24"/>
                <w:lang w:eastAsia="en-GB"/>
              </w:rPr>
            </w:pPr>
            <w:r>
              <w:rPr>
                <w:color w:val="000000"/>
              </w:rPr>
              <w:t>758 (587,958)</w:t>
            </w:r>
          </w:p>
        </w:tc>
        <w:tc>
          <w:tcPr>
            <w:tcW w:w="1516" w:type="dxa"/>
            <w:tcBorders>
              <w:top w:val="nil"/>
              <w:left w:val="nil"/>
              <w:bottom w:val="nil"/>
              <w:right w:val="nil"/>
            </w:tcBorders>
            <w:shd w:val="clear" w:color="auto" w:fill="auto"/>
            <w:noWrap/>
            <w:vAlign w:val="bottom"/>
            <w:hideMark/>
          </w:tcPr>
          <w:p w14:paraId="61F694AC" w14:textId="50B56199" w:rsidR="0098263E" w:rsidRPr="0069113F" w:rsidRDefault="0098263E" w:rsidP="0098263E">
            <w:pPr>
              <w:spacing w:line="240" w:lineRule="auto"/>
              <w:jc w:val="center"/>
              <w:rPr>
                <w:rFonts w:eastAsia="Times New Roman" w:cs="Times New Roman"/>
                <w:color w:val="000000"/>
                <w:szCs w:val="24"/>
                <w:lang w:eastAsia="en-GB"/>
              </w:rPr>
            </w:pPr>
            <w:r>
              <w:rPr>
                <w:color w:val="000000"/>
              </w:rPr>
              <w:t>803 (622,1015)</w:t>
            </w:r>
          </w:p>
        </w:tc>
        <w:tc>
          <w:tcPr>
            <w:tcW w:w="1516" w:type="dxa"/>
            <w:tcBorders>
              <w:top w:val="nil"/>
              <w:left w:val="nil"/>
              <w:bottom w:val="nil"/>
              <w:right w:val="nil"/>
            </w:tcBorders>
            <w:shd w:val="clear" w:color="auto" w:fill="auto"/>
            <w:noWrap/>
            <w:vAlign w:val="bottom"/>
            <w:hideMark/>
          </w:tcPr>
          <w:p w14:paraId="4BB27E66" w14:textId="6BACA06A" w:rsidR="0098263E" w:rsidRPr="0069113F" w:rsidRDefault="0098263E" w:rsidP="0098263E">
            <w:pPr>
              <w:spacing w:line="240" w:lineRule="auto"/>
              <w:jc w:val="center"/>
              <w:rPr>
                <w:rFonts w:eastAsia="Times New Roman" w:cs="Times New Roman"/>
                <w:color w:val="000000"/>
                <w:szCs w:val="24"/>
                <w:lang w:eastAsia="en-GB"/>
              </w:rPr>
            </w:pPr>
            <w:r>
              <w:rPr>
                <w:color w:val="000000"/>
              </w:rPr>
              <w:t>793 (614,1003)</w:t>
            </w:r>
          </w:p>
        </w:tc>
      </w:tr>
      <w:tr w:rsidR="0098263E" w:rsidRPr="0069113F" w14:paraId="57658EA5" w14:textId="77777777" w:rsidTr="0098263E">
        <w:trPr>
          <w:trHeight w:val="20"/>
        </w:trPr>
        <w:tc>
          <w:tcPr>
            <w:tcW w:w="1043" w:type="dxa"/>
            <w:tcBorders>
              <w:top w:val="nil"/>
              <w:left w:val="nil"/>
              <w:bottom w:val="nil"/>
              <w:right w:val="nil"/>
            </w:tcBorders>
            <w:shd w:val="clear" w:color="auto" w:fill="auto"/>
            <w:vAlign w:val="center"/>
            <w:hideMark/>
          </w:tcPr>
          <w:p w14:paraId="599B8AFE" w14:textId="77777777" w:rsidR="0098263E" w:rsidRPr="0069113F" w:rsidRDefault="0098263E" w:rsidP="0098263E">
            <w:pPr>
              <w:spacing w:line="240" w:lineRule="auto"/>
              <w:rPr>
                <w:rFonts w:eastAsia="Times New Roman" w:cs="Times New Roman"/>
                <w:color w:val="000000"/>
                <w:szCs w:val="24"/>
                <w:lang w:eastAsia="en-GB"/>
              </w:rPr>
            </w:pPr>
            <w:r w:rsidRPr="0069113F">
              <w:rPr>
                <w:rFonts w:eastAsia="Times New Roman" w:cs="Times New Roman"/>
                <w:color w:val="000000"/>
                <w:szCs w:val="24"/>
                <w:lang w:eastAsia="en-GB"/>
              </w:rPr>
              <w:t>Women 85+</w:t>
            </w:r>
          </w:p>
        </w:tc>
        <w:tc>
          <w:tcPr>
            <w:tcW w:w="1636" w:type="dxa"/>
            <w:tcBorders>
              <w:top w:val="nil"/>
              <w:left w:val="nil"/>
              <w:bottom w:val="nil"/>
              <w:right w:val="nil"/>
            </w:tcBorders>
            <w:shd w:val="clear" w:color="auto" w:fill="auto"/>
            <w:noWrap/>
            <w:vAlign w:val="bottom"/>
            <w:hideMark/>
          </w:tcPr>
          <w:p w14:paraId="3F300FC9" w14:textId="6B6FE64A" w:rsidR="0098263E" w:rsidRPr="0069113F" w:rsidRDefault="0098263E" w:rsidP="0098263E">
            <w:pPr>
              <w:spacing w:line="240" w:lineRule="auto"/>
              <w:jc w:val="center"/>
              <w:rPr>
                <w:rFonts w:eastAsia="Times New Roman" w:cs="Times New Roman"/>
                <w:color w:val="000000"/>
                <w:szCs w:val="24"/>
                <w:lang w:eastAsia="en-GB"/>
              </w:rPr>
            </w:pPr>
            <w:r>
              <w:rPr>
                <w:color w:val="000000"/>
              </w:rPr>
              <w:t>6853 (5345,8684)</w:t>
            </w:r>
          </w:p>
        </w:tc>
        <w:tc>
          <w:tcPr>
            <w:tcW w:w="1417" w:type="dxa"/>
            <w:tcBorders>
              <w:top w:val="nil"/>
              <w:left w:val="nil"/>
              <w:bottom w:val="nil"/>
              <w:right w:val="nil"/>
            </w:tcBorders>
            <w:shd w:val="clear" w:color="auto" w:fill="auto"/>
            <w:noWrap/>
            <w:vAlign w:val="bottom"/>
            <w:hideMark/>
          </w:tcPr>
          <w:p w14:paraId="31DA5FDF" w14:textId="50E578A1" w:rsidR="0098263E" w:rsidRPr="0069113F" w:rsidRDefault="0098263E" w:rsidP="0098263E">
            <w:pPr>
              <w:spacing w:line="240" w:lineRule="auto"/>
              <w:jc w:val="center"/>
              <w:rPr>
                <w:rFonts w:eastAsia="Times New Roman" w:cs="Times New Roman"/>
                <w:color w:val="000000"/>
                <w:szCs w:val="24"/>
                <w:lang w:eastAsia="en-GB"/>
              </w:rPr>
            </w:pPr>
            <w:r>
              <w:rPr>
                <w:color w:val="000000"/>
              </w:rPr>
              <w:t>1314 (1025,1665)</w:t>
            </w:r>
          </w:p>
        </w:tc>
        <w:tc>
          <w:tcPr>
            <w:tcW w:w="1417" w:type="dxa"/>
            <w:tcBorders>
              <w:top w:val="nil"/>
              <w:left w:val="nil"/>
              <w:bottom w:val="nil"/>
              <w:right w:val="nil"/>
            </w:tcBorders>
            <w:shd w:val="clear" w:color="auto" w:fill="auto"/>
            <w:noWrap/>
            <w:vAlign w:val="bottom"/>
            <w:hideMark/>
          </w:tcPr>
          <w:p w14:paraId="219CBD4A" w14:textId="44FCD74D" w:rsidR="0098263E" w:rsidRPr="0069113F" w:rsidRDefault="0098263E" w:rsidP="0098263E">
            <w:pPr>
              <w:spacing w:line="240" w:lineRule="auto"/>
              <w:jc w:val="center"/>
              <w:rPr>
                <w:rFonts w:eastAsia="Times New Roman" w:cs="Times New Roman"/>
                <w:color w:val="000000"/>
                <w:szCs w:val="24"/>
                <w:lang w:eastAsia="en-GB"/>
              </w:rPr>
            </w:pPr>
            <w:r>
              <w:rPr>
                <w:color w:val="000000"/>
              </w:rPr>
              <w:t>1522 (1187,1929)</w:t>
            </w:r>
          </w:p>
        </w:tc>
        <w:tc>
          <w:tcPr>
            <w:tcW w:w="1516" w:type="dxa"/>
            <w:tcBorders>
              <w:top w:val="nil"/>
              <w:left w:val="nil"/>
              <w:bottom w:val="nil"/>
              <w:right w:val="nil"/>
            </w:tcBorders>
            <w:shd w:val="clear" w:color="auto" w:fill="auto"/>
            <w:noWrap/>
            <w:vAlign w:val="bottom"/>
            <w:hideMark/>
          </w:tcPr>
          <w:p w14:paraId="15167A1B" w14:textId="0CE39FFC" w:rsidR="0098263E" w:rsidRPr="0069113F" w:rsidRDefault="0098263E" w:rsidP="0098263E">
            <w:pPr>
              <w:spacing w:line="240" w:lineRule="auto"/>
              <w:jc w:val="center"/>
              <w:rPr>
                <w:rFonts w:eastAsia="Times New Roman" w:cs="Times New Roman"/>
                <w:color w:val="000000"/>
                <w:szCs w:val="24"/>
                <w:lang w:eastAsia="en-GB"/>
              </w:rPr>
            </w:pPr>
            <w:r>
              <w:rPr>
                <w:color w:val="000000"/>
              </w:rPr>
              <w:t>1540 (1201,1952)</w:t>
            </w:r>
          </w:p>
        </w:tc>
        <w:tc>
          <w:tcPr>
            <w:tcW w:w="1516" w:type="dxa"/>
            <w:tcBorders>
              <w:top w:val="nil"/>
              <w:left w:val="nil"/>
              <w:bottom w:val="nil"/>
              <w:right w:val="nil"/>
            </w:tcBorders>
            <w:shd w:val="clear" w:color="auto" w:fill="auto"/>
            <w:noWrap/>
            <w:vAlign w:val="bottom"/>
            <w:hideMark/>
          </w:tcPr>
          <w:p w14:paraId="1A571675" w14:textId="35501A51" w:rsidR="0098263E" w:rsidRPr="0069113F" w:rsidRDefault="0098263E" w:rsidP="0098263E">
            <w:pPr>
              <w:spacing w:line="240" w:lineRule="auto"/>
              <w:jc w:val="center"/>
              <w:rPr>
                <w:rFonts w:eastAsia="Times New Roman" w:cs="Times New Roman"/>
                <w:color w:val="000000"/>
                <w:szCs w:val="24"/>
                <w:lang w:eastAsia="en-GB"/>
              </w:rPr>
            </w:pPr>
            <w:r>
              <w:rPr>
                <w:color w:val="000000"/>
              </w:rPr>
              <w:t>1373 (1071,1740)</w:t>
            </w:r>
          </w:p>
        </w:tc>
        <w:tc>
          <w:tcPr>
            <w:tcW w:w="1516" w:type="dxa"/>
            <w:tcBorders>
              <w:top w:val="nil"/>
              <w:left w:val="nil"/>
              <w:bottom w:val="nil"/>
              <w:right w:val="nil"/>
            </w:tcBorders>
            <w:shd w:val="clear" w:color="auto" w:fill="auto"/>
            <w:noWrap/>
            <w:vAlign w:val="bottom"/>
            <w:hideMark/>
          </w:tcPr>
          <w:p w14:paraId="1A054645" w14:textId="1843CFAB" w:rsidR="0098263E" w:rsidRPr="0069113F" w:rsidRDefault="0098263E" w:rsidP="0098263E">
            <w:pPr>
              <w:spacing w:line="240" w:lineRule="auto"/>
              <w:jc w:val="center"/>
              <w:rPr>
                <w:rFonts w:eastAsia="Times New Roman" w:cs="Times New Roman"/>
                <w:color w:val="000000"/>
                <w:szCs w:val="24"/>
                <w:lang w:eastAsia="en-GB"/>
              </w:rPr>
            </w:pPr>
            <w:r>
              <w:rPr>
                <w:color w:val="000000"/>
              </w:rPr>
              <w:t>1103 (861,1398)</w:t>
            </w:r>
          </w:p>
        </w:tc>
      </w:tr>
      <w:tr w:rsidR="0098263E" w:rsidRPr="0069113F" w14:paraId="598F0A59" w14:textId="77777777" w:rsidTr="0098263E">
        <w:trPr>
          <w:trHeight w:val="20"/>
        </w:trPr>
        <w:tc>
          <w:tcPr>
            <w:tcW w:w="1043" w:type="dxa"/>
            <w:tcBorders>
              <w:top w:val="nil"/>
              <w:left w:val="nil"/>
              <w:bottom w:val="single" w:sz="8" w:space="0" w:color="auto"/>
              <w:right w:val="nil"/>
            </w:tcBorders>
            <w:shd w:val="clear" w:color="auto" w:fill="auto"/>
            <w:vAlign w:val="center"/>
            <w:hideMark/>
          </w:tcPr>
          <w:p w14:paraId="6E1E3804" w14:textId="77777777" w:rsidR="0098263E" w:rsidRPr="0069113F" w:rsidRDefault="0098263E" w:rsidP="0098263E">
            <w:pPr>
              <w:spacing w:line="240" w:lineRule="auto"/>
              <w:rPr>
                <w:rFonts w:eastAsia="Times New Roman" w:cs="Times New Roman"/>
                <w:i/>
                <w:iCs/>
                <w:color w:val="000000"/>
                <w:szCs w:val="24"/>
                <w:lang w:eastAsia="en-GB"/>
              </w:rPr>
            </w:pPr>
            <w:r w:rsidRPr="0069113F">
              <w:rPr>
                <w:rFonts w:eastAsia="Times New Roman" w:cs="Times New Roman"/>
                <w:i/>
                <w:iCs/>
                <w:color w:val="000000"/>
                <w:szCs w:val="24"/>
                <w:lang w:eastAsia="en-GB"/>
              </w:rPr>
              <w:t>Total</w:t>
            </w:r>
          </w:p>
        </w:tc>
        <w:tc>
          <w:tcPr>
            <w:tcW w:w="1636" w:type="dxa"/>
            <w:tcBorders>
              <w:top w:val="nil"/>
              <w:left w:val="nil"/>
              <w:bottom w:val="single" w:sz="8" w:space="0" w:color="auto"/>
              <w:right w:val="nil"/>
            </w:tcBorders>
            <w:shd w:val="clear" w:color="auto" w:fill="auto"/>
            <w:vAlign w:val="center"/>
            <w:hideMark/>
          </w:tcPr>
          <w:p w14:paraId="1857D6C2" w14:textId="12BF89F9" w:rsidR="0098263E" w:rsidRPr="0069113F" w:rsidRDefault="0098263E" w:rsidP="0098263E">
            <w:pPr>
              <w:spacing w:line="240" w:lineRule="auto"/>
              <w:jc w:val="center"/>
              <w:rPr>
                <w:rFonts w:eastAsia="Times New Roman" w:cs="Times New Roman"/>
                <w:i/>
                <w:iCs/>
                <w:color w:val="000000"/>
                <w:szCs w:val="24"/>
                <w:lang w:eastAsia="en-GB"/>
              </w:rPr>
            </w:pPr>
            <w:r>
              <w:rPr>
                <w:i/>
                <w:iCs/>
                <w:color w:val="000000"/>
              </w:rPr>
              <w:t>37969 (30628,46522)</w:t>
            </w:r>
          </w:p>
        </w:tc>
        <w:tc>
          <w:tcPr>
            <w:tcW w:w="1417" w:type="dxa"/>
            <w:tcBorders>
              <w:top w:val="nil"/>
              <w:left w:val="nil"/>
              <w:bottom w:val="single" w:sz="8" w:space="0" w:color="auto"/>
              <w:right w:val="nil"/>
            </w:tcBorders>
            <w:shd w:val="clear" w:color="auto" w:fill="auto"/>
            <w:vAlign w:val="center"/>
            <w:hideMark/>
          </w:tcPr>
          <w:p w14:paraId="7CD69A21" w14:textId="4274920E" w:rsidR="0098263E" w:rsidRPr="0069113F" w:rsidRDefault="0098263E" w:rsidP="0098263E">
            <w:pPr>
              <w:spacing w:line="240" w:lineRule="auto"/>
              <w:jc w:val="center"/>
              <w:rPr>
                <w:rFonts w:eastAsia="Times New Roman" w:cs="Times New Roman"/>
                <w:i/>
                <w:iCs/>
                <w:color w:val="000000"/>
                <w:szCs w:val="24"/>
                <w:lang w:eastAsia="en-GB"/>
              </w:rPr>
            </w:pPr>
            <w:r>
              <w:rPr>
                <w:i/>
                <w:iCs/>
                <w:color w:val="000000"/>
              </w:rPr>
              <w:t>6558 (5297,8021)</w:t>
            </w:r>
          </w:p>
        </w:tc>
        <w:tc>
          <w:tcPr>
            <w:tcW w:w="1417" w:type="dxa"/>
            <w:tcBorders>
              <w:top w:val="nil"/>
              <w:left w:val="nil"/>
              <w:bottom w:val="single" w:sz="8" w:space="0" w:color="auto"/>
              <w:right w:val="nil"/>
            </w:tcBorders>
            <w:shd w:val="clear" w:color="auto" w:fill="auto"/>
            <w:vAlign w:val="center"/>
            <w:hideMark/>
          </w:tcPr>
          <w:p w14:paraId="4FE3D308" w14:textId="510C1697" w:rsidR="0098263E" w:rsidRPr="0069113F" w:rsidRDefault="0098263E" w:rsidP="0098263E">
            <w:pPr>
              <w:spacing w:line="240" w:lineRule="auto"/>
              <w:jc w:val="center"/>
              <w:rPr>
                <w:rFonts w:eastAsia="Times New Roman" w:cs="Times New Roman"/>
                <w:i/>
                <w:iCs/>
                <w:color w:val="000000"/>
                <w:szCs w:val="24"/>
                <w:lang w:eastAsia="en-GB"/>
              </w:rPr>
            </w:pPr>
            <w:r>
              <w:rPr>
                <w:i/>
                <w:iCs/>
                <w:color w:val="000000"/>
              </w:rPr>
              <w:t>7612 (6145,9316)</w:t>
            </w:r>
          </w:p>
        </w:tc>
        <w:tc>
          <w:tcPr>
            <w:tcW w:w="1516" w:type="dxa"/>
            <w:tcBorders>
              <w:top w:val="nil"/>
              <w:left w:val="nil"/>
              <w:bottom w:val="single" w:sz="8" w:space="0" w:color="auto"/>
              <w:right w:val="nil"/>
            </w:tcBorders>
            <w:shd w:val="clear" w:color="auto" w:fill="auto"/>
            <w:vAlign w:val="center"/>
            <w:hideMark/>
          </w:tcPr>
          <w:p w14:paraId="7223BB3C" w14:textId="3582E396" w:rsidR="0098263E" w:rsidRPr="0069113F" w:rsidRDefault="0098263E" w:rsidP="0098263E">
            <w:pPr>
              <w:spacing w:line="240" w:lineRule="auto"/>
              <w:jc w:val="center"/>
              <w:rPr>
                <w:rFonts w:eastAsia="Times New Roman" w:cs="Times New Roman"/>
                <w:i/>
                <w:iCs/>
                <w:color w:val="000000"/>
                <w:szCs w:val="24"/>
                <w:lang w:eastAsia="en-GB"/>
              </w:rPr>
            </w:pPr>
            <w:r>
              <w:rPr>
                <w:i/>
                <w:iCs/>
                <w:color w:val="000000"/>
              </w:rPr>
              <w:t>7999 (6454,9798)</w:t>
            </w:r>
          </w:p>
        </w:tc>
        <w:tc>
          <w:tcPr>
            <w:tcW w:w="1516" w:type="dxa"/>
            <w:tcBorders>
              <w:top w:val="nil"/>
              <w:left w:val="nil"/>
              <w:bottom w:val="single" w:sz="8" w:space="0" w:color="auto"/>
              <w:right w:val="nil"/>
            </w:tcBorders>
            <w:shd w:val="clear" w:color="auto" w:fill="auto"/>
            <w:vAlign w:val="center"/>
            <w:hideMark/>
          </w:tcPr>
          <w:p w14:paraId="5FD2EB20" w14:textId="3461147B" w:rsidR="0098263E" w:rsidRPr="0069113F" w:rsidRDefault="0098263E" w:rsidP="0098263E">
            <w:pPr>
              <w:spacing w:line="240" w:lineRule="auto"/>
              <w:jc w:val="center"/>
              <w:rPr>
                <w:rFonts w:eastAsia="Times New Roman" w:cs="Times New Roman"/>
                <w:i/>
                <w:iCs/>
                <w:color w:val="000000"/>
                <w:szCs w:val="24"/>
                <w:lang w:eastAsia="en-GB"/>
              </w:rPr>
            </w:pPr>
            <w:r>
              <w:rPr>
                <w:i/>
                <w:iCs/>
                <w:color w:val="000000"/>
              </w:rPr>
              <w:t>7888 (6357,9677)</w:t>
            </w:r>
          </w:p>
        </w:tc>
        <w:tc>
          <w:tcPr>
            <w:tcW w:w="1516" w:type="dxa"/>
            <w:tcBorders>
              <w:top w:val="nil"/>
              <w:left w:val="nil"/>
              <w:bottom w:val="single" w:sz="8" w:space="0" w:color="auto"/>
              <w:right w:val="nil"/>
            </w:tcBorders>
            <w:shd w:val="clear" w:color="auto" w:fill="auto"/>
            <w:vAlign w:val="center"/>
            <w:hideMark/>
          </w:tcPr>
          <w:p w14:paraId="39930E0E" w14:textId="4E482F19" w:rsidR="0098263E" w:rsidRPr="0069113F" w:rsidRDefault="0098263E" w:rsidP="0098263E">
            <w:pPr>
              <w:spacing w:line="240" w:lineRule="auto"/>
              <w:jc w:val="center"/>
              <w:rPr>
                <w:rFonts w:eastAsia="Times New Roman" w:cs="Times New Roman"/>
                <w:i/>
                <w:iCs/>
                <w:color w:val="000000"/>
                <w:szCs w:val="24"/>
                <w:lang w:eastAsia="en-GB"/>
              </w:rPr>
            </w:pPr>
            <w:r>
              <w:rPr>
                <w:i/>
                <w:iCs/>
                <w:color w:val="000000"/>
              </w:rPr>
              <w:t>7911 (6374,9711)</w:t>
            </w:r>
          </w:p>
        </w:tc>
      </w:tr>
    </w:tbl>
    <w:p w14:paraId="13B82148" w14:textId="5E959E3A" w:rsidR="009450F1" w:rsidRDefault="009450F1" w:rsidP="009450F1">
      <w:pPr>
        <w:spacing w:after="0"/>
        <w:rPr>
          <w:rFonts w:cs="Times New Roman"/>
          <w:szCs w:val="24"/>
        </w:rPr>
      </w:pPr>
      <w:r>
        <w:rPr>
          <w:rFonts w:cs="Times New Roman"/>
          <w:szCs w:val="24"/>
        </w:rPr>
        <w:t xml:space="preserve">CHD, Coronary Heart Disease; IMD, Index of Multiple Deprivation; BAPC, </w:t>
      </w:r>
      <w:r w:rsidRPr="0069113F">
        <w:rPr>
          <w:rFonts w:cs="Times New Roman"/>
          <w:szCs w:val="24"/>
        </w:rPr>
        <w:t>Bayesian Age Period Cohort</w:t>
      </w:r>
      <w:r>
        <w:rPr>
          <w:rFonts w:cs="Times New Roman"/>
          <w:szCs w:val="24"/>
        </w:rPr>
        <w:t xml:space="preserve">; IMDQ, Index of Multiple Deprivation Quintile </w:t>
      </w:r>
    </w:p>
    <w:p w14:paraId="2780455E" w14:textId="694CE02C" w:rsidR="00F77B6C" w:rsidRPr="0073790B" w:rsidRDefault="00F77B6C" w:rsidP="0069113F">
      <w:pPr>
        <w:rPr>
          <w:rFonts w:cs="Times New Roman"/>
          <w:szCs w:val="24"/>
        </w:rPr>
      </w:pPr>
      <w:r w:rsidRPr="0069113F">
        <w:rPr>
          <w:rFonts w:cs="Times New Roman"/>
          <w:szCs w:val="24"/>
        </w:rPr>
        <w:t xml:space="preserve">*In the probabilistic analysis, 0 (0, 0) deaths were replaced with 1 (0, 1) death in order to fit a </w:t>
      </w:r>
      <w:r w:rsidR="008D778F" w:rsidRPr="0069113F">
        <w:rPr>
          <w:rFonts w:cs="Times New Roman"/>
          <w:szCs w:val="24"/>
        </w:rPr>
        <w:t>Pert</w:t>
      </w:r>
      <w:r w:rsidR="0073790B">
        <w:rPr>
          <w:rFonts w:cs="Times New Roman"/>
          <w:szCs w:val="24"/>
        </w:rPr>
        <w:t xml:space="preserve"> distribution.</w:t>
      </w:r>
      <w:r w:rsidRPr="0069113F">
        <w:rPr>
          <w:rFonts w:cs="Times New Roman"/>
          <w:b/>
          <w:szCs w:val="24"/>
        </w:rPr>
        <w:br w:type="page"/>
      </w:r>
    </w:p>
    <w:p w14:paraId="17A5AFB5" w14:textId="6CFC561B" w:rsidR="008F1E82" w:rsidRPr="0069113F" w:rsidRDefault="008F1E82" w:rsidP="0069113F">
      <w:pPr>
        <w:rPr>
          <w:rFonts w:cs="Times New Roman"/>
          <w:b/>
          <w:szCs w:val="24"/>
        </w:rPr>
      </w:pPr>
      <w:r w:rsidRPr="0069113F">
        <w:rPr>
          <w:rFonts w:cs="Times New Roman"/>
          <w:b/>
          <w:szCs w:val="24"/>
        </w:rPr>
        <w:lastRenderedPageBreak/>
        <w:t>References</w:t>
      </w:r>
    </w:p>
    <w:p w14:paraId="53A22F2B" w14:textId="77777777" w:rsidR="007C57A8" w:rsidRPr="007C57A8" w:rsidRDefault="008F1E82" w:rsidP="007C57A8">
      <w:pPr>
        <w:pStyle w:val="EndNoteBibliography"/>
        <w:spacing w:after="0"/>
      </w:pPr>
      <w:r w:rsidRPr="0069113F">
        <w:rPr>
          <w:szCs w:val="24"/>
        </w:rPr>
        <w:fldChar w:fldCharType="begin"/>
      </w:r>
      <w:r w:rsidRPr="0069113F">
        <w:rPr>
          <w:szCs w:val="24"/>
        </w:rPr>
        <w:instrText xml:space="preserve"> ADDIN EN.REFLIST </w:instrText>
      </w:r>
      <w:r w:rsidRPr="0069113F">
        <w:rPr>
          <w:szCs w:val="24"/>
        </w:rPr>
        <w:fldChar w:fldCharType="separate"/>
      </w:r>
      <w:r w:rsidR="007C57A8" w:rsidRPr="007C57A8">
        <w:t>1. NatCen Social Research, University College London, Department of Epidemiology and Public Health (2016 ) Health Survey for England, 2014, 2nd Edition ed.: UK Data Service.</w:t>
      </w:r>
    </w:p>
    <w:p w14:paraId="20D9DFF4" w14:textId="13D24AF7" w:rsidR="007C57A8" w:rsidRPr="007C57A8" w:rsidRDefault="007C57A8" w:rsidP="007C57A8">
      <w:pPr>
        <w:pStyle w:val="EndNoteBibliography"/>
        <w:spacing w:after="0"/>
      </w:pPr>
      <w:r w:rsidRPr="007C57A8">
        <w:t xml:space="preserve">2. HM Revenue &amp; Customs. UK Trade Statistics. </w:t>
      </w:r>
      <w:hyperlink r:id="rId7" w:history="1">
        <w:r w:rsidRPr="007C57A8">
          <w:rPr>
            <w:rStyle w:val="Hyperlink"/>
          </w:rPr>
          <w:t>https://www.uktradeinfo.com/</w:t>
        </w:r>
      </w:hyperlink>
      <w:r w:rsidRPr="007C57A8">
        <w:t xml:space="preserve"> (accessed February 2017 </w:t>
      </w:r>
    </w:p>
    <w:p w14:paraId="54517E15" w14:textId="77777777" w:rsidR="007C57A8" w:rsidRPr="007C57A8" w:rsidRDefault="007C57A8" w:rsidP="007C57A8">
      <w:pPr>
        <w:pStyle w:val="EndNoteBibliography"/>
        <w:spacing w:after="0"/>
        <w:rPr>
          <w:i/>
        </w:rPr>
      </w:pPr>
      <w:r w:rsidRPr="007C57A8">
        <w:t xml:space="preserve">3. Department for Environment Food &amp; Rural Affairs (DEFRA) (2017) </w:t>
      </w:r>
      <w:r w:rsidRPr="007C57A8">
        <w:rPr>
          <w:i/>
        </w:rPr>
        <w:t>Agriculture in the United Kingdom 2016.</w:t>
      </w:r>
    </w:p>
    <w:p w14:paraId="32A47D6B" w14:textId="54CE93F0" w:rsidR="007C57A8" w:rsidRPr="007C57A8" w:rsidRDefault="007C57A8" w:rsidP="007C57A8">
      <w:pPr>
        <w:pStyle w:val="EndNoteBibliography"/>
        <w:spacing w:after="0"/>
      </w:pPr>
      <w:r w:rsidRPr="007C57A8">
        <w:t xml:space="preserve">4. WTO. Tariff Analysis Online. </w:t>
      </w:r>
      <w:hyperlink r:id="rId8" w:history="1">
        <w:r w:rsidRPr="007C57A8">
          <w:rPr>
            <w:rStyle w:val="Hyperlink"/>
          </w:rPr>
          <w:t>http://tao.wto.org/default.aspx</w:t>
        </w:r>
      </w:hyperlink>
      <w:r w:rsidRPr="007C57A8">
        <w:t xml:space="preserve"> (accessed February 2017 </w:t>
      </w:r>
    </w:p>
    <w:p w14:paraId="32BC7D8B" w14:textId="691D2105" w:rsidR="007C57A8" w:rsidRPr="007C57A8" w:rsidRDefault="007C57A8" w:rsidP="007C57A8">
      <w:pPr>
        <w:pStyle w:val="EndNoteBibliography"/>
        <w:spacing w:after="0"/>
      </w:pPr>
      <w:r w:rsidRPr="007C57A8">
        <w:t xml:space="preserve">5. HM Government. Trade Tariff. </w:t>
      </w:r>
      <w:hyperlink r:id="rId9" w:history="1">
        <w:r w:rsidRPr="007C57A8">
          <w:rPr>
            <w:rStyle w:val="Hyperlink"/>
          </w:rPr>
          <w:t>https://www.gov.uk/trade-tariff/sections</w:t>
        </w:r>
      </w:hyperlink>
      <w:r w:rsidRPr="007C57A8">
        <w:t xml:space="preserve"> (accessed February 2017 </w:t>
      </w:r>
    </w:p>
    <w:p w14:paraId="35014BFB" w14:textId="77777777" w:rsidR="007C57A8" w:rsidRPr="007C57A8" w:rsidRDefault="007C57A8" w:rsidP="007C57A8">
      <w:pPr>
        <w:pStyle w:val="EndNoteBibliography"/>
        <w:spacing w:after="0"/>
      </w:pPr>
      <w:r w:rsidRPr="007C57A8">
        <w:t xml:space="preserve">6. European Commission (2016) </w:t>
      </w:r>
      <w:r w:rsidRPr="007C57A8">
        <w:rPr>
          <w:i/>
        </w:rPr>
        <w:t>EU Agricultural Outlook. Prospects for EU agricultural markets and income 2016-2026</w:t>
      </w:r>
      <w:r w:rsidRPr="007C57A8">
        <w:t>.</w:t>
      </w:r>
    </w:p>
    <w:p w14:paraId="15AD66D7" w14:textId="77777777" w:rsidR="007C57A8" w:rsidRPr="007C57A8" w:rsidRDefault="007C57A8" w:rsidP="007C57A8">
      <w:pPr>
        <w:pStyle w:val="EndNoteBibliography"/>
        <w:spacing w:after="0"/>
      </w:pPr>
      <w:r w:rsidRPr="007C57A8">
        <w:t xml:space="preserve">7. Swinbank A (2017) </w:t>
      </w:r>
      <w:r w:rsidRPr="007C57A8">
        <w:rPr>
          <w:i/>
        </w:rPr>
        <w:t>World trade rules and the policy options for British agriculture post-Brexit</w:t>
      </w:r>
      <w:r w:rsidRPr="007C57A8">
        <w:t>. UK Trade Policy Observatory.</w:t>
      </w:r>
    </w:p>
    <w:p w14:paraId="49E90DDE" w14:textId="77777777" w:rsidR="007C57A8" w:rsidRPr="007C57A8" w:rsidRDefault="007C57A8" w:rsidP="007C57A8">
      <w:pPr>
        <w:pStyle w:val="EndNoteBibliography"/>
        <w:spacing w:after="0"/>
      </w:pPr>
      <w:r w:rsidRPr="007C57A8">
        <w:t>8. Van Berkum S, Jongeneel R, Vrolijk H</w:t>
      </w:r>
      <w:r w:rsidRPr="007C57A8">
        <w:rPr>
          <w:i/>
        </w:rPr>
        <w:t xml:space="preserve"> et al. </w:t>
      </w:r>
      <w:r w:rsidRPr="007C57A8">
        <w:t xml:space="preserve">(2016) </w:t>
      </w:r>
      <w:r w:rsidRPr="007C57A8">
        <w:rPr>
          <w:i/>
        </w:rPr>
        <w:t>Implications of a UK exit from the EU for British agriculture</w:t>
      </w:r>
      <w:r w:rsidRPr="007C57A8">
        <w:t>. no. 9462577730. LEI Wageningen UR.</w:t>
      </w:r>
    </w:p>
    <w:p w14:paraId="6B2D253D" w14:textId="58A59CE7" w:rsidR="007C57A8" w:rsidRPr="007C57A8" w:rsidRDefault="007C57A8" w:rsidP="007C57A8">
      <w:pPr>
        <w:pStyle w:val="EndNoteBibliography"/>
        <w:spacing w:after="0"/>
      </w:pPr>
      <w:r w:rsidRPr="007C57A8">
        <w:t xml:space="preserve">9. British Soft Drinks Association. (2017) Making it Happen. Annual report 2017. </w:t>
      </w:r>
      <w:hyperlink r:id="rId10" w:history="1">
        <w:r w:rsidRPr="007C57A8">
          <w:rPr>
            <w:rStyle w:val="Hyperlink"/>
          </w:rPr>
          <w:t>http://www.britishsoftdrinks.com/write/MediaUploads/Publications/BSDA_Drinks_Report_2017.pdf</w:t>
        </w:r>
      </w:hyperlink>
      <w:r w:rsidRPr="007C57A8">
        <w:t xml:space="preserve"> </w:t>
      </w:r>
    </w:p>
    <w:p w14:paraId="50D68764" w14:textId="0008BB1E" w:rsidR="007C57A8" w:rsidRPr="007C57A8" w:rsidRDefault="007C57A8" w:rsidP="007C57A8">
      <w:pPr>
        <w:pStyle w:val="EndNoteBibliography"/>
        <w:spacing w:after="0"/>
      </w:pPr>
      <w:r w:rsidRPr="007C57A8">
        <w:t xml:space="preserve">10. (2015) Market research provider, Euromonitor International. </w:t>
      </w:r>
      <w:hyperlink r:id="rId11" w:history="1">
        <w:r w:rsidRPr="007C57A8">
          <w:rPr>
            <w:rStyle w:val="Hyperlink"/>
          </w:rPr>
          <w:t>www.euromonitor.com</w:t>
        </w:r>
      </w:hyperlink>
      <w:r w:rsidRPr="007C57A8">
        <w:t xml:space="preserve"> </w:t>
      </w:r>
    </w:p>
    <w:p w14:paraId="2F7A2A61" w14:textId="77777777" w:rsidR="007C57A8" w:rsidRPr="007C57A8" w:rsidRDefault="007C57A8" w:rsidP="007C57A8">
      <w:pPr>
        <w:pStyle w:val="EndNoteBibliography"/>
        <w:spacing w:after="0"/>
      </w:pPr>
      <w:r w:rsidRPr="007C57A8">
        <w:t>11. Office for Budget Responsibility (2016) Economic and fiscal outlook - March 2016.</w:t>
      </w:r>
    </w:p>
    <w:p w14:paraId="4EC4EE6D" w14:textId="77777777" w:rsidR="007C57A8" w:rsidRPr="007C57A8" w:rsidRDefault="007C57A8" w:rsidP="007C57A8">
      <w:pPr>
        <w:pStyle w:val="EndNoteBibliography"/>
        <w:spacing w:after="0"/>
      </w:pPr>
      <w:r w:rsidRPr="007C57A8">
        <w:t>12. Guzman Castillo M, Gillespie DOS, Allen K</w:t>
      </w:r>
      <w:r w:rsidRPr="007C57A8">
        <w:rPr>
          <w:i/>
        </w:rPr>
        <w:t xml:space="preserve"> et al. </w:t>
      </w:r>
      <w:r w:rsidRPr="007C57A8">
        <w:t xml:space="preserve">(2014) Future Declines of Coronary Heart Disease Mortality in England and Wales Could Counter the Burden of Population Ageing. </w:t>
      </w:r>
      <w:r w:rsidRPr="007C57A8">
        <w:rPr>
          <w:i/>
        </w:rPr>
        <w:t>PloS one</w:t>
      </w:r>
      <w:r w:rsidRPr="007C57A8">
        <w:t xml:space="preserve"> </w:t>
      </w:r>
      <w:r w:rsidRPr="007C57A8">
        <w:rPr>
          <w:b/>
        </w:rPr>
        <w:t>9</w:t>
      </w:r>
      <w:r w:rsidRPr="007C57A8">
        <w:t>, e99482.</w:t>
      </w:r>
    </w:p>
    <w:p w14:paraId="3E698D06" w14:textId="77777777" w:rsidR="007C57A8" w:rsidRPr="007C57A8" w:rsidRDefault="007C57A8" w:rsidP="007C57A8">
      <w:pPr>
        <w:pStyle w:val="EndNoteBibliography"/>
        <w:spacing w:after="0"/>
      </w:pPr>
      <w:r w:rsidRPr="007C57A8">
        <w:t>13. Office for National Statistics (ONS) Number of registered deaths by sex, cause, year, the Adjusted Index of Multiple Deprivation 2010 quintiles (fifths) of Lower Super Output Areas and age group, England, 2002 to 2013.</w:t>
      </w:r>
    </w:p>
    <w:p w14:paraId="085BACCC" w14:textId="77777777" w:rsidR="007C57A8" w:rsidRPr="007C57A8" w:rsidRDefault="007C57A8" w:rsidP="007C57A8">
      <w:pPr>
        <w:pStyle w:val="EndNoteBibliography"/>
        <w:spacing w:after="0"/>
      </w:pPr>
      <w:r w:rsidRPr="007C57A8">
        <w:t>14. Office for National Statistics Deaths registered in England and Wales: 2013.</w:t>
      </w:r>
    </w:p>
    <w:p w14:paraId="76FE5572" w14:textId="4E959877" w:rsidR="007C57A8" w:rsidRPr="007C57A8" w:rsidRDefault="007C57A8" w:rsidP="007C57A8">
      <w:pPr>
        <w:pStyle w:val="EndNoteBibliography"/>
        <w:spacing w:after="0"/>
      </w:pPr>
      <w:r w:rsidRPr="007C57A8">
        <w:t xml:space="preserve">15. Department for Environment Food &amp; Rural Affairs (DEFRA) (2017) Family food datasets. </w:t>
      </w:r>
      <w:hyperlink r:id="rId12" w:history="1">
        <w:r w:rsidRPr="007C57A8">
          <w:rPr>
            <w:rStyle w:val="Hyperlink"/>
          </w:rPr>
          <w:t>https://www.gov.uk/government/statistical-data-sets/family-food-datasets</w:t>
        </w:r>
      </w:hyperlink>
      <w:r w:rsidRPr="007C57A8">
        <w:t xml:space="preserve"> </w:t>
      </w:r>
    </w:p>
    <w:p w14:paraId="46EB87D8" w14:textId="77777777" w:rsidR="007C57A8" w:rsidRPr="007C57A8" w:rsidRDefault="007C57A8" w:rsidP="007C57A8">
      <w:pPr>
        <w:pStyle w:val="EndNoteBibliography"/>
        <w:spacing w:after="0"/>
      </w:pPr>
      <w:r w:rsidRPr="007C57A8">
        <w:t>16. Afshin A, Peñalvo JL, Del Gobbo L</w:t>
      </w:r>
      <w:r w:rsidRPr="007C57A8">
        <w:rPr>
          <w:i/>
        </w:rPr>
        <w:t xml:space="preserve"> et al. </w:t>
      </w:r>
      <w:r w:rsidRPr="007C57A8">
        <w:t xml:space="preserve">(2017) The prospective impact of food pricing on improving dietary consumption: A systematic review and meta-analysis. </w:t>
      </w:r>
      <w:r w:rsidRPr="007C57A8">
        <w:rPr>
          <w:i/>
        </w:rPr>
        <w:t>PloS one</w:t>
      </w:r>
      <w:r w:rsidRPr="007C57A8">
        <w:t xml:space="preserve"> </w:t>
      </w:r>
      <w:r w:rsidRPr="007C57A8">
        <w:rPr>
          <w:b/>
        </w:rPr>
        <w:t>12</w:t>
      </w:r>
      <w:r w:rsidRPr="007C57A8">
        <w:t>, e0172277.</w:t>
      </w:r>
    </w:p>
    <w:p w14:paraId="592DDBC1" w14:textId="77777777" w:rsidR="007C57A8" w:rsidRPr="007C57A8" w:rsidRDefault="007C57A8" w:rsidP="007C57A8">
      <w:pPr>
        <w:pStyle w:val="EndNoteBibliography"/>
        <w:spacing w:after="0"/>
      </w:pPr>
      <w:r w:rsidRPr="007C57A8">
        <w:t>17. Colchero MA, Popkin BM, Rivera JA</w:t>
      </w:r>
      <w:r w:rsidRPr="007C57A8">
        <w:rPr>
          <w:i/>
        </w:rPr>
        <w:t xml:space="preserve"> et al. </w:t>
      </w:r>
      <w:r w:rsidRPr="007C57A8">
        <w:t xml:space="preserve">(2016) Beverage purchases from stores in Mexico under the excise tax on sugar sweetened beverages: observational study. </w:t>
      </w:r>
      <w:r w:rsidRPr="007C57A8">
        <w:rPr>
          <w:i/>
        </w:rPr>
        <w:t>BMJ</w:t>
      </w:r>
      <w:r w:rsidRPr="007C57A8">
        <w:t xml:space="preserve"> </w:t>
      </w:r>
      <w:r w:rsidRPr="007C57A8">
        <w:rPr>
          <w:b/>
        </w:rPr>
        <w:t>352</w:t>
      </w:r>
      <w:r w:rsidRPr="007C57A8">
        <w:t>, h6704.</w:t>
      </w:r>
    </w:p>
    <w:p w14:paraId="70FB69EE" w14:textId="77777777" w:rsidR="007C57A8" w:rsidRPr="007C57A8" w:rsidRDefault="007C57A8" w:rsidP="007C57A8">
      <w:pPr>
        <w:pStyle w:val="EndNoteBibliography"/>
        <w:spacing w:after="0"/>
      </w:pPr>
      <w:r w:rsidRPr="007C57A8">
        <w:t>18. NatCen Social Research, MRC Human Nutrition Research, University College London Medical School (2015 ) National Diet and Nutrition Survey Years 1-4, 2008/09-2011/12, 7th Edition ed.: UK Data Service.</w:t>
      </w:r>
    </w:p>
    <w:p w14:paraId="11472785" w14:textId="77777777" w:rsidR="007C57A8" w:rsidRPr="007C57A8" w:rsidRDefault="007C57A8" w:rsidP="007C57A8">
      <w:pPr>
        <w:pStyle w:val="EndNoteBibliography"/>
        <w:spacing w:after="0"/>
      </w:pPr>
      <w:r w:rsidRPr="007C57A8">
        <w:t>19. Micha R, Peñalvo JL, Cudhea F</w:t>
      </w:r>
      <w:r w:rsidRPr="007C57A8">
        <w:rPr>
          <w:i/>
        </w:rPr>
        <w:t xml:space="preserve"> et al. </w:t>
      </w:r>
      <w:r w:rsidRPr="007C57A8">
        <w:t xml:space="preserve">(2017) Association between dietary factors and mortality from heart disease, stroke, and type 2 diabetes in the united states. </w:t>
      </w:r>
      <w:r w:rsidRPr="007C57A8">
        <w:rPr>
          <w:i/>
        </w:rPr>
        <w:t>JAMA</w:t>
      </w:r>
      <w:r w:rsidRPr="007C57A8">
        <w:t xml:space="preserve"> </w:t>
      </w:r>
      <w:r w:rsidRPr="007C57A8">
        <w:rPr>
          <w:b/>
        </w:rPr>
        <w:t>317</w:t>
      </w:r>
      <w:r w:rsidRPr="007C57A8">
        <w:t>, 912-924.</w:t>
      </w:r>
    </w:p>
    <w:p w14:paraId="4448AF39" w14:textId="77777777" w:rsidR="007C57A8" w:rsidRPr="007C57A8" w:rsidRDefault="007C57A8" w:rsidP="007C57A8">
      <w:pPr>
        <w:pStyle w:val="EndNoteBibliography"/>
      </w:pPr>
      <w:r w:rsidRPr="007C57A8">
        <w:t>20. Allen K, Pearson-Stuttard J, Hooton W</w:t>
      </w:r>
      <w:r w:rsidRPr="007C57A8">
        <w:rPr>
          <w:i/>
        </w:rPr>
        <w:t xml:space="preserve"> et al. </w:t>
      </w:r>
      <w:r w:rsidRPr="007C57A8">
        <w:t xml:space="preserve">(2015) Potential of trans fats policies to reduce socioeconomic inequalities in mortality from coronary heart disease in England: cost effectiveness modelling study. </w:t>
      </w:r>
      <w:r w:rsidRPr="007C57A8">
        <w:rPr>
          <w:i/>
        </w:rPr>
        <w:t>BMJ</w:t>
      </w:r>
      <w:r w:rsidRPr="007C57A8">
        <w:t xml:space="preserve"> </w:t>
      </w:r>
      <w:r w:rsidRPr="007C57A8">
        <w:rPr>
          <w:b/>
        </w:rPr>
        <w:t>351</w:t>
      </w:r>
      <w:r w:rsidRPr="007C57A8">
        <w:t>, h4583.</w:t>
      </w:r>
    </w:p>
    <w:p w14:paraId="357EE5F2" w14:textId="7E2749D7" w:rsidR="008F1E82" w:rsidRPr="0069113F" w:rsidRDefault="008F1E82" w:rsidP="0069113F">
      <w:pPr>
        <w:rPr>
          <w:rFonts w:cs="Times New Roman"/>
          <w:szCs w:val="24"/>
        </w:rPr>
      </w:pPr>
      <w:r w:rsidRPr="0069113F">
        <w:rPr>
          <w:rFonts w:cs="Times New Roman"/>
          <w:szCs w:val="24"/>
        </w:rPr>
        <w:fldChar w:fldCharType="end"/>
      </w:r>
    </w:p>
    <w:sectPr w:rsidR="008F1E82" w:rsidRPr="0069113F" w:rsidSect="00541554">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5D04E" w14:textId="77777777" w:rsidR="001E2BB9" w:rsidRDefault="001E2BB9" w:rsidP="003A114E">
      <w:pPr>
        <w:spacing w:after="0" w:line="240" w:lineRule="auto"/>
      </w:pPr>
      <w:r>
        <w:separator/>
      </w:r>
    </w:p>
  </w:endnote>
  <w:endnote w:type="continuationSeparator" w:id="0">
    <w:p w14:paraId="13D52A8F" w14:textId="77777777" w:rsidR="001E2BB9" w:rsidRDefault="001E2BB9" w:rsidP="003A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090012"/>
      <w:docPartObj>
        <w:docPartGallery w:val="Page Numbers (Bottom of Page)"/>
        <w:docPartUnique/>
      </w:docPartObj>
    </w:sdtPr>
    <w:sdtEndPr>
      <w:rPr>
        <w:noProof/>
      </w:rPr>
    </w:sdtEndPr>
    <w:sdtContent>
      <w:p w14:paraId="0B595C2F" w14:textId="77777777" w:rsidR="001E2BB9" w:rsidRDefault="001E2BB9">
        <w:pPr>
          <w:pStyle w:val="Footer"/>
          <w:jc w:val="center"/>
        </w:pPr>
        <w:r>
          <w:fldChar w:fldCharType="begin"/>
        </w:r>
        <w:r>
          <w:instrText xml:space="preserve"> PAGE   \* MERGEFORMAT </w:instrText>
        </w:r>
        <w:r>
          <w:fldChar w:fldCharType="separate"/>
        </w:r>
        <w:r w:rsidR="00E32DC9">
          <w:rPr>
            <w:noProof/>
          </w:rPr>
          <w:t>4</w:t>
        </w:r>
        <w:r>
          <w:rPr>
            <w:noProof/>
          </w:rPr>
          <w:fldChar w:fldCharType="end"/>
        </w:r>
      </w:p>
    </w:sdtContent>
  </w:sdt>
  <w:p w14:paraId="7E322035" w14:textId="77777777" w:rsidR="001E2BB9" w:rsidRDefault="001E2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6BA5E" w14:textId="77777777" w:rsidR="001E2BB9" w:rsidRDefault="001E2BB9" w:rsidP="003A114E">
      <w:pPr>
        <w:spacing w:after="0" w:line="240" w:lineRule="auto"/>
      </w:pPr>
      <w:r>
        <w:separator/>
      </w:r>
    </w:p>
  </w:footnote>
  <w:footnote w:type="continuationSeparator" w:id="0">
    <w:p w14:paraId="15DB7FA4" w14:textId="77777777" w:rsidR="001E2BB9" w:rsidRDefault="001E2BB9" w:rsidP="003A11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0tbCwNDM1MTA3MjVX0lEKTi0uzszPAykwrAUAHMT5OiwAAAA="/>
    <w:docVar w:name="EN.InstantFormat" w:val="&lt;ENInstantFormat&gt;&lt;Enabled&gt;1&lt;/Enabled&gt;&lt;ScanUnformatted&gt;1&lt;/ScanUnformatted&gt;&lt;ScanChanges&gt;1&lt;/ScanChanges&gt;&lt;Suspended&gt;0&lt;/Suspended&gt;&lt;/ENInstantFormat&gt;"/>
    <w:docVar w:name="EN.Layout" w:val="&lt;ENLayout&gt;&lt;Style&gt;Public Health Nutri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rfrts5sr9296ea90uxsfvhf9zwdwstft0f&quot;&gt;CAP&lt;record-ids&gt;&lt;item&gt;13&lt;/item&gt;&lt;item&gt;61&lt;/item&gt;&lt;item&gt;215&lt;/item&gt;&lt;item&gt;221&lt;/item&gt;&lt;item&gt;351&lt;/item&gt;&lt;item&gt;358&lt;/item&gt;&lt;item&gt;376&lt;/item&gt;&lt;item&gt;379&lt;/item&gt;&lt;item&gt;387&lt;/item&gt;&lt;item&gt;392&lt;/item&gt;&lt;item&gt;405&lt;/item&gt;&lt;item&gt;406&lt;/item&gt;&lt;item&gt;407&lt;/item&gt;&lt;item&gt;408&lt;/item&gt;&lt;item&gt;411&lt;/item&gt;&lt;item&gt;575&lt;/item&gt;&lt;item&gt;579&lt;/item&gt;&lt;item&gt;580&lt;/item&gt;&lt;item&gt;669&lt;/item&gt;&lt;item&gt;769&lt;/item&gt;&lt;/record-ids&gt;&lt;/item&gt;&lt;/Libraries&gt;"/>
  </w:docVars>
  <w:rsids>
    <w:rsidRoot w:val="00BE7217"/>
    <w:rsid w:val="00006EC8"/>
    <w:rsid w:val="00017841"/>
    <w:rsid w:val="00024A98"/>
    <w:rsid w:val="000274B1"/>
    <w:rsid w:val="00047DE2"/>
    <w:rsid w:val="000519C1"/>
    <w:rsid w:val="00051F0F"/>
    <w:rsid w:val="000704D6"/>
    <w:rsid w:val="00073A57"/>
    <w:rsid w:val="000A648F"/>
    <w:rsid w:val="000B64A8"/>
    <w:rsid w:val="000B693A"/>
    <w:rsid w:val="000E442A"/>
    <w:rsid w:val="00117BFA"/>
    <w:rsid w:val="0012781A"/>
    <w:rsid w:val="00154ACB"/>
    <w:rsid w:val="00157D45"/>
    <w:rsid w:val="001E2BB9"/>
    <w:rsid w:val="0020752E"/>
    <w:rsid w:val="00221863"/>
    <w:rsid w:val="002352BF"/>
    <w:rsid w:val="00245370"/>
    <w:rsid w:val="00282E15"/>
    <w:rsid w:val="002A1A5B"/>
    <w:rsid w:val="002A7067"/>
    <w:rsid w:val="002D291A"/>
    <w:rsid w:val="003175DC"/>
    <w:rsid w:val="003508BE"/>
    <w:rsid w:val="003536E1"/>
    <w:rsid w:val="00386CA3"/>
    <w:rsid w:val="003A114E"/>
    <w:rsid w:val="003D1200"/>
    <w:rsid w:val="003F7C7A"/>
    <w:rsid w:val="004126B0"/>
    <w:rsid w:val="0042297C"/>
    <w:rsid w:val="00446135"/>
    <w:rsid w:val="00451615"/>
    <w:rsid w:val="00456C94"/>
    <w:rsid w:val="00475786"/>
    <w:rsid w:val="0049010A"/>
    <w:rsid w:val="004B2F8D"/>
    <w:rsid w:val="004D7FB3"/>
    <w:rsid w:val="004F663B"/>
    <w:rsid w:val="00500252"/>
    <w:rsid w:val="00500EEA"/>
    <w:rsid w:val="00540FF2"/>
    <w:rsid w:val="00541554"/>
    <w:rsid w:val="00590164"/>
    <w:rsid w:val="005C196A"/>
    <w:rsid w:val="005F4AAA"/>
    <w:rsid w:val="0060335C"/>
    <w:rsid w:val="00604031"/>
    <w:rsid w:val="006046D2"/>
    <w:rsid w:val="00656CB6"/>
    <w:rsid w:val="0069113F"/>
    <w:rsid w:val="006B6913"/>
    <w:rsid w:val="006C207C"/>
    <w:rsid w:val="00726F0E"/>
    <w:rsid w:val="0073790B"/>
    <w:rsid w:val="00747DCB"/>
    <w:rsid w:val="007A3E2B"/>
    <w:rsid w:val="007A5807"/>
    <w:rsid w:val="007B2607"/>
    <w:rsid w:val="007C57A8"/>
    <w:rsid w:val="007F5101"/>
    <w:rsid w:val="00805915"/>
    <w:rsid w:val="00806DE5"/>
    <w:rsid w:val="0083618F"/>
    <w:rsid w:val="0088608D"/>
    <w:rsid w:val="008965CD"/>
    <w:rsid w:val="008D778F"/>
    <w:rsid w:val="008F1E82"/>
    <w:rsid w:val="00902F40"/>
    <w:rsid w:val="009450F1"/>
    <w:rsid w:val="0098263E"/>
    <w:rsid w:val="009917FF"/>
    <w:rsid w:val="009C4A51"/>
    <w:rsid w:val="009E73E4"/>
    <w:rsid w:val="00A36BDA"/>
    <w:rsid w:val="00A41F1C"/>
    <w:rsid w:val="00AA5BD8"/>
    <w:rsid w:val="00AD0332"/>
    <w:rsid w:val="00AE17C3"/>
    <w:rsid w:val="00AF24BA"/>
    <w:rsid w:val="00B26D2C"/>
    <w:rsid w:val="00B73A78"/>
    <w:rsid w:val="00BC7ECE"/>
    <w:rsid w:val="00BE61D8"/>
    <w:rsid w:val="00BE7217"/>
    <w:rsid w:val="00BF1856"/>
    <w:rsid w:val="00BF5FB6"/>
    <w:rsid w:val="00C12B63"/>
    <w:rsid w:val="00C374AA"/>
    <w:rsid w:val="00C834BC"/>
    <w:rsid w:val="00CF25E8"/>
    <w:rsid w:val="00D11AB2"/>
    <w:rsid w:val="00D20848"/>
    <w:rsid w:val="00D26F93"/>
    <w:rsid w:val="00D43BBB"/>
    <w:rsid w:val="00D723E0"/>
    <w:rsid w:val="00E03D2D"/>
    <w:rsid w:val="00E05AA9"/>
    <w:rsid w:val="00E32DC9"/>
    <w:rsid w:val="00E50878"/>
    <w:rsid w:val="00E51B2D"/>
    <w:rsid w:val="00E51FF4"/>
    <w:rsid w:val="00E73838"/>
    <w:rsid w:val="00E9171E"/>
    <w:rsid w:val="00E9627C"/>
    <w:rsid w:val="00ED0BB6"/>
    <w:rsid w:val="00EE18BE"/>
    <w:rsid w:val="00F02264"/>
    <w:rsid w:val="00F41EF1"/>
    <w:rsid w:val="00F42046"/>
    <w:rsid w:val="00F67BA4"/>
    <w:rsid w:val="00F77B6C"/>
    <w:rsid w:val="00FB6F49"/>
    <w:rsid w:val="00FF3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ADE5"/>
  <w15:chartTrackingRefBased/>
  <w15:docId w15:val="{43859963-E062-4315-A333-71DD2AD1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067"/>
    <w:pPr>
      <w:spacing w:after="120" w:line="360" w:lineRule="auto"/>
    </w:pPr>
    <w:rPr>
      <w:rFonts w:ascii="Times New Roman" w:hAnsi="Times New Roman"/>
      <w:sz w:val="24"/>
    </w:rPr>
  </w:style>
  <w:style w:type="paragraph" w:styleId="Heading1">
    <w:name w:val="heading 1"/>
    <w:basedOn w:val="Normal"/>
    <w:next w:val="Normal"/>
    <w:link w:val="Heading1Char"/>
    <w:uiPriority w:val="9"/>
    <w:qFormat/>
    <w:rsid w:val="002A7067"/>
    <w:pPr>
      <w:keepNext/>
      <w:keepLines/>
      <w:spacing w:before="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04031"/>
    <w:pPr>
      <w:keepNext/>
      <w:keepLines/>
      <w:spacing w:before="40" w:after="40"/>
      <w:outlineLvl w:val="1"/>
    </w:pPr>
    <w:rPr>
      <w:rFonts w:ascii="Cambria" w:eastAsiaTheme="majorEastAsia" w:hAnsi="Cambria" w:cstheme="majorBidi"/>
      <w:i/>
      <w:sz w:val="22"/>
      <w:szCs w:val="26"/>
    </w:rPr>
  </w:style>
  <w:style w:type="paragraph" w:styleId="Heading3">
    <w:name w:val="heading 3"/>
    <w:basedOn w:val="Normal"/>
    <w:next w:val="Normal"/>
    <w:link w:val="Heading3Char"/>
    <w:uiPriority w:val="9"/>
    <w:unhideWhenUsed/>
    <w:qFormat/>
    <w:rsid w:val="00604031"/>
    <w:pPr>
      <w:keepNext/>
      <w:keepLines/>
      <w:spacing w:after="0" w:line="240" w:lineRule="auto"/>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067"/>
    <w:rPr>
      <w:rFonts w:ascii="Times New Roman" w:eastAsiaTheme="majorEastAsia" w:hAnsi="Times New Roman" w:cstheme="majorBidi"/>
      <w:b/>
      <w:sz w:val="24"/>
      <w:szCs w:val="32"/>
    </w:rPr>
  </w:style>
  <w:style w:type="paragraph" w:customStyle="1" w:styleId="EndNoteBibliographyTitle">
    <w:name w:val="EndNote Bibliography Title"/>
    <w:basedOn w:val="Normal"/>
    <w:link w:val="EndNoteBibliographyTitleChar"/>
    <w:rsid w:val="003A114E"/>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3A114E"/>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3A114E"/>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3A114E"/>
    <w:rPr>
      <w:rFonts w:ascii="Times New Roman" w:hAnsi="Times New Roman" w:cs="Times New Roman"/>
      <w:noProof/>
      <w:sz w:val="24"/>
      <w:lang w:val="en-US"/>
    </w:rPr>
  </w:style>
  <w:style w:type="character" w:styleId="Hyperlink">
    <w:name w:val="Hyperlink"/>
    <w:basedOn w:val="DefaultParagraphFont"/>
    <w:uiPriority w:val="99"/>
    <w:unhideWhenUsed/>
    <w:rsid w:val="003A114E"/>
    <w:rPr>
      <w:color w:val="0563C1" w:themeColor="hyperlink"/>
      <w:u w:val="single"/>
    </w:rPr>
  </w:style>
  <w:style w:type="character" w:customStyle="1" w:styleId="Mention">
    <w:name w:val="Mention"/>
    <w:basedOn w:val="DefaultParagraphFont"/>
    <w:uiPriority w:val="99"/>
    <w:semiHidden/>
    <w:unhideWhenUsed/>
    <w:rsid w:val="003A114E"/>
    <w:rPr>
      <w:color w:val="2B579A"/>
      <w:shd w:val="clear" w:color="auto" w:fill="E6E6E6"/>
    </w:rPr>
  </w:style>
  <w:style w:type="paragraph" w:styleId="Header">
    <w:name w:val="header"/>
    <w:basedOn w:val="Normal"/>
    <w:link w:val="HeaderChar"/>
    <w:uiPriority w:val="99"/>
    <w:unhideWhenUsed/>
    <w:rsid w:val="003A1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14E"/>
    <w:rPr>
      <w:rFonts w:ascii="Times New Roman" w:hAnsi="Times New Roman"/>
      <w:sz w:val="24"/>
    </w:rPr>
  </w:style>
  <w:style w:type="paragraph" w:styleId="Footer">
    <w:name w:val="footer"/>
    <w:basedOn w:val="Normal"/>
    <w:link w:val="FooterChar"/>
    <w:uiPriority w:val="99"/>
    <w:unhideWhenUsed/>
    <w:rsid w:val="003A1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14E"/>
    <w:rPr>
      <w:rFonts w:ascii="Times New Roman" w:hAnsi="Times New Roman"/>
      <w:sz w:val="24"/>
    </w:rPr>
  </w:style>
  <w:style w:type="character" w:customStyle="1" w:styleId="Heading3Char">
    <w:name w:val="Heading 3 Char"/>
    <w:basedOn w:val="DefaultParagraphFont"/>
    <w:link w:val="Heading3"/>
    <w:uiPriority w:val="9"/>
    <w:rsid w:val="00604031"/>
    <w:rPr>
      <w:rFonts w:ascii="Times New Roman" w:eastAsiaTheme="majorEastAsia" w:hAnsi="Times New Roman" w:cstheme="majorBidi"/>
      <w:sz w:val="24"/>
      <w:szCs w:val="24"/>
    </w:rPr>
  </w:style>
  <w:style w:type="character" w:customStyle="1" w:styleId="Heading2Char">
    <w:name w:val="Heading 2 Char"/>
    <w:basedOn w:val="DefaultParagraphFont"/>
    <w:link w:val="Heading2"/>
    <w:uiPriority w:val="9"/>
    <w:rsid w:val="00604031"/>
    <w:rPr>
      <w:rFonts w:ascii="Cambria" w:eastAsiaTheme="majorEastAsia" w:hAnsi="Cambria" w:cstheme="majorBidi"/>
      <w:i/>
      <w:szCs w:val="26"/>
    </w:rPr>
  </w:style>
  <w:style w:type="paragraph" w:styleId="NoSpacing">
    <w:name w:val="No Spacing"/>
    <w:link w:val="NoSpacingChar"/>
    <w:uiPriority w:val="1"/>
    <w:qFormat/>
    <w:rsid w:val="00604031"/>
    <w:pPr>
      <w:spacing w:after="0" w:line="240" w:lineRule="auto"/>
    </w:pPr>
    <w:rPr>
      <w:rFonts w:ascii="Times New Roman" w:hAnsi="Times New Roman"/>
      <w:sz w:val="24"/>
    </w:rPr>
  </w:style>
  <w:style w:type="table" w:styleId="TableGrid">
    <w:name w:val="Table Grid"/>
    <w:basedOn w:val="TableNormal"/>
    <w:uiPriority w:val="39"/>
    <w:rsid w:val="00604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031"/>
    <w:rPr>
      <w:sz w:val="16"/>
      <w:szCs w:val="16"/>
    </w:rPr>
  </w:style>
  <w:style w:type="paragraph" w:styleId="CommentText">
    <w:name w:val="annotation text"/>
    <w:basedOn w:val="Normal"/>
    <w:link w:val="CommentTextChar"/>
    <w:uiPriority w:val="99"/>
    <w:semiHidden/>
    <w:unhideWhenUsed/>
    <w:rsid w:val="00604031"/>
    <w:pPr>
      <w:spacing w:after="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04031"/>
    <w:rPr>
      <w:sz w:val="20"/>
      <w:szCs w:val="20"/>
    </w:rPr>
  </w:style>
  <w:style w:type="paragraph" w:styleId="CommentSubject">
    <w:name w:val="annotation subject"/>
    <w:basedOn w:val="CommentText"/>
    <w:next w:val="CommentText"/>
    <w:link w:val="CommentSubjectChar"/>
    <w:uiPriority w:val="99"/>
    <w:semiHidden/>
    <w:unhideWhenUsed/>
    <w:rsid w:val="00604031"/>
    <w:rPr>
      <w:b/>
      <w:bCs/>
    </w:rPr>
  </w:style>
  <w:style w:type="character" w:customStyle="1" w:styleId="CommentSubjectChar">
    <w:name w:val="Comment Subject Char"/>
    <w:basedOn w:val="CommentTextChar"/>
    <w:link w:val="CommentSubject"/>
    <w:uiPriority w:val="99"/>
    <w:semiHidden/>
    <w:rsid w:val="00604031"/>
    <w:rPr>
      <w:b/>
      <w:bCs/>
      <w:sz w:val="20"/>
      <w:szCs w:val="20"/>
    </w:rPr>
  </w:style>
  <w:style w:type="paragraph" w:styleId="BalloonText">
    <w:name w:val="Balloon Text"/>
    <w:basedOn w:val="Normal"/>
    <w:link w:val="BalloonTextChar"/>
    <w:uiPriority w:val="99"/>
    <w:semiHidden/>
    <w:unhideWhenUsed/>
    <w:rsid w:val="00604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031"/>
    <w:rPr>
      <w:rFonts w:ascii="Segoe UI" w:hAnsi="Segoe UI" w:cs="Segoe UI"/>
      <w:sz w:val="18"/>
      <w:szCs w:val="18"/>
    </w:rPr>
  </w:style>
  <w:style w:type="paragraph" w:styleId="Revision">
    <w:name w:val="Revision"/>
    <w:hidden/>
    <w:uiPriority w:val="99"/>
    <w:semiHidden/>
    <w:rsid w:val="006B6913"/>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540FF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6886">
      <w:bodyDiv w:val="1"/>
      <w:marLeft w:val="0"/>
      <w:marRight w:val="0"/>
      <w:marTop w:val="0"/>
      <w:marBottom w:val="0"/>
      <w:divBdr>
        <w:top w:val="none" w:sz="0" w:space="0" w:color="auto"/>
        <w:left w:val="none" w:sz="0" w:space="0" w:color="auto"/>
        <w:bottom w:val="none" w:sz="0" w:space="0" w:color="auto"/>
        <w:right w:val="none" w:sz="0" w:space="0" w:color="auto"/>
      </w:divBdr>
    </w:div>
    <w:div w:id="311642091">
      <w:bodyDiv w:val="1"/>
      <w:marLeft w:val="0"/>
      <w:marRight w:val="0"/>
      <w:marTop w:val="0"/>
      <w:marBottom w:val="0"/>
      <w:divBdr>
        <w:top w:val="none" w:sz="0" w:space="0" w:color="auto"/>
        <w:left w:val="none" w:sz="0" w:space="0" w:color="auto"/>
        <w:bottom w:val="none" w:sz="0" w:space="0" w:color="auto"/>
        <w:right w:val="none" w:sz="0" w:space="0" w:color="auto"/>
      </w:divBdr>
    </w:div>
    <w:div w:id="340551925">
      <w:bodyDiv w:val="1"/>
      <w:marLeft w:val="0"/>
      <w:marRight w:val="0"/>
      <w:marTop w:val="0"/>
      <w:marBottom w:val="0"/>
      <w:divBdr>
        <w:top w:val="none" w:sz="0" w:space="0" w:color="auto"/>
        <w:left w:val="none" w:sz="0" w:space="0" w:color="auto"/>
        <w:bottom w:val="none" w:sz="0" w:space="0" w:color="auto"/>
        <w:right w:val="none" w:sz="0" w:space="0" w:color="auto"/>
      </w:divBdr>
    </w:div>
    <w:div w:id="380830407">
      <w:bodyDiv w:val="1"/>
      <w:marLeft w:val="0"/>
      <w:marRight w:val="0"/>
      <w:marTop w:val="0"/>
      <w:marBottom w:val="0"/>
      <w:divBdr>
        <w:top w:val="none" w:sz="0" w:space="0" w:color="auto"/>
        <w:left w:val="none" w:sz="0" w:space="0" w:color="auto"/>
        <w:bottom w:val="none" w:sz="0" w:space="0" w:color="auto"/>
        <w:right w:val="none" w:sz="0" w:space="0" w:color="auto"/>
      </w:divBdr>
    </w:div>
    <w:div w:id="1013651909">
      <w:bodyDiv w:val="1"/>
      <w:marLeft w:val="0"/>
      <w:marRight w:val="0"/>
      <w:marTop w:val="0"/>
      <w:marBottom w:val="0"/>
      <w:divBdr>
        <w:top w:val="none" w:sz="0" w:space="0" w:color="auto"/>
        <w:left w:val="none" w:sz="0" w:space="0" w:color="auto"/>
        <w:bottom w:val="none" w:sz="0" w:space="0" w:color="auto"/>
        <w:right w:val="none" w:sz="0" w:space="0" w:color="auto"/>
      </w:divBdr>
    </w:div>
    <w:div w:id="1115441697">
      <w:bodyDiv w:val="1"/>
      <w:marLeft w:val="0"/>
      <w:marRight w:val="0"/>
      <w:marTop w:val="0"/>
      <w:marBottom w:val="0"/>
      <w:divBdr>
        <w:top w:val="none" w:sz="0" w:space="0" w:color="auto"/>
        <w:left w:val="none" w:sz="0" w:space="0" w:color="auto"/>
        <w:bottom w:val="none" w:sz="0" w:space="0" w:color="auto"/>
        <w:right w:val="none" w:sz="0" w:space="0" w:color="auto"/>
      </w:divBdr>
    </w:div>
    <w:div w:id="1333795484">
      <w:bodyDiv w:val="1"/>
      <w:marLeft w:val="0"/>
      <w:marRight w:val="0"/>
      <w:marTop w:val="0"/>
      <w:marBottom w:val="0"/>
      <w:divBdr>
        <w:top w:val="none" w:sz="0" w:space="0" w:color="auto"/>
        <w:left w:val="none" w:sz="0" w:space="0" w:color="auto"/>
        <w:bottom w:val="none" w:sz="0" w:space="0" w:color="auto"/>
        <w:right w:val="none" w:sz="0" w:space="0" w:color="auto"/>
      </w:divBdr>
    </w:div>
    <w:div w:id="15804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o.wto.org/default.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ktradeinfo.com/" TargetMode="External"/><Relationship Id="rId12" Type="http://schemas.openxmlformats.org/officeDocument/2006/relationships/hyperlink" Target="https://www.gov.uk/government/statistical-data-sets/family-food-datase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uromonito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ritishsoftdrinks.com/write/MediaUploads/Publications/BSDA_Drinks_Report_2017.pdf" TargetMode="External"/><Relationship Id="rId4" Type="http://schemas.openxmlformats.org/officeDocument/2006/relationships/webSettings" Target="webSettings.xml"/><Relationship Id="rId9" Type="http://schemas.openxmlformats.org/officeDocument/2006/relationships/hyperlink" Target="https://www.gov.uk/trade-tariff/se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EE258-80E6-428A-8E3D-7BE8056C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8762</Words>
  <Characters>49947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dc:creator>
  <cp:keywords/>
  <dc:description/>
  <cp:lastModifiedBy>Seferidi, Paraskevi</cp:lastModifiedBy>
  <cp:revision>11</cp:revision>
  <dcterms:created xsi:type="dcterms:W3CDTF">2018-05-04T10:48:00Z</dcterms:created>
  <dcterms:modified xsi:type="dcterms:W3CDTF">2018-05-09T10:58:00Z</dcterms:modified>
</cp:coreProperties>
</file>