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45" w:rsidRPr="00CD5CFB" w:rsidRDefault="00341D45" w:rsidP="00341D45">
      <w:pPr>
        <w:spacing w:before="240" w:line="360" w:lineRule="auto"/>
        <w:rPr>
          <w:rFonts w:asciiTheme="minorHAnsi" w:hAnsiTheme="minorHAnsi"/>
          <w:b/>
          <w:szCs w:val="20"/>
          <w:lang w:val="en-GB"/>
        </w:rPr>
      </w:pPr>
      <w:r w:rsidRPr="00CD5CFB">
        <w:rPr>
          <w:rFonts w:asciiTheme="minorHAnsi" w:hAnsiTheme="minorHAnsi"/>
          <w:b/>
          <w:szCs w:val="20"/>
          <w:lang w:val="en-GB"/>
        </w:rPr>
        <w:t>SUPPLEMENTARY FILES</w:t>
      </w:r>
    </w:p>
    <w:p w:rsidR="0082784C" w:rsidRPr="00CD5CFB" w:rsidRDefault="0082784C" w:rsidP="00341D45">
      <w:pPr>
        <w:spacing w:before="240" w:line="360" w:lineRule="auto"/>
        <w:rPr>
          <w:rFonts w:asciiTheme="minorHAnsi" w:hAnsiTheme="minorHAnsi"/>
          <w:position w:val="1"/>
          <w:lang w:val="en-GB"/>
        </w:rPr>
      </w:pPr>
      <w:r w:rsidRPr="00CD5CFB">
        <w:rPr>
          <w:rFonts w:asciiTheme="minorHAnsi" w:hAnsiTheme="minorHAnsi"/>
          <w:b/>
          <w:szCs w:val="20"/>
          <w:lang w:val="en-GB"/>
        </w:rPr>
        <w:t>Supplementary table 1</w:t>
      </w:r>
      <w:r w:rsidRPr="00CD5CFB">
        <w:rPr>
          <w:rFonts w:asciiTheme="minorHAnsi" w:hAnsiTheme="minorHAnsi"/>
          <w:lang w:val="en-GB"/>
        </w:rPr>
        <w:t>: methods to compute the three</w:t>
      </w:r>
      <w:r w:rsidRPr="00CD5CFB">
        <w:rPr>
          <w:rFonts w:asciiTheme="minorHAnsi" w:hAnsiTheme="minorHAnsi"/>
          <w:position w:val="1"/>
          <w:lang w:val="en-GB"/>
        </w:rPr>
        <w:t xml:space="preserve"> hypothesis-oriented dietary scores and the dietary inflammatory index.</w:t>
      </w:r>
    </w:p>
    <w:tbl>
      <w:tblPr>
        <w:tblStyle w:val="Grilledutableau"/>
        <w:tblW w:w="1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2551"/>
        <w:gridCol w:w="8220"/>
      </w:tblGrid>
      <w:tr w:rsidR="00CD5CFB" w:rsidRPr="00CD5CFB" w:rsidTr="005279AE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b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Score / index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b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Foods / nutrients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b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Scoring procedure</w:t>
            </w:r>
          </w:p>
        </w:tc>
      </w:tr>
      <w:tr w:rsidR="00CD5CFB" w:rsidRPr="00CD5CFB" w:rsidTr="005279AE">
        <w:tc>
          <w:tcPr>
            <w:tcW w:w="3288" w:type="dxa"/>
            <w:tcBorders>
              <w:top w:val="single" w:sz="4" w:space="0" w:color="auto"/>
            </w:tcBorders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Mediterranean diet score 1 §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8220" w:type="dxa"/>
            <w:tcBorders>
              <w:top w:val="single" w:sz="4" w:space="0" w:color="auto"/>
            </w:tcBorders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</w:tr>
      <w:tr w:rsidR="00CD5CFB" w:rsidRPr="00CD5CFB" w:rsidTr="005279AE">
        <w:tc>
          <w:tcPr>
            <w:tcW w:w="3288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Vegetables</w:t>
            </w:r>
            <w:r w:rsidR="005279AE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(g/day)</w:t>
            </w:r>
          </w:p>
        </w:tc>
        <w:tc>
          <w:tcPr>
            <w:tcW w:w="8220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="00CE15F1"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Legumes</w:t>
            </w:r>
            <w:r w:rsidR="005279AE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(g/day)</w:t>
            </w:r>
          </w:p>
        </w:tc>
        <w:tc>
          <w:tcPr>
            <w:tcW w:w="8220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="00CE15F1"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Fruits &amp; nuts</w:t>
            </w:r>
            <w:r w:rsidR="005279AE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(g/day)</w:t>
            </w:r>
          </w:p>
        </w:tc>
        <w:tc>
          <w:tcPr>
            <w:tcW w:w="8220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="00CE15F1"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Cereals</w:t>
            </w:r>
            <w:r w:rsidR="005279AE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(g/day)</w:t>
            </w:r>
          </w:p>
        </w:tc>
        <w:tc>
          <w:tcPr>
            <w:tcW w:w="8220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="00CE15F1"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Fish</w:t>
            </w:r>
            <w:r w:rsidR="005279AE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(g/day)</w:t>
            </w:r>
          </w:p>
        </w:tc>
        <w:tc>
          <w:tcPr>
            <w:tcW w:w="8220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="00CE15F1"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Dairy products</w:t>
            </w:r>
            <w:r w:rsidR="005279AE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(g/day)</w:t>
            </w:r>
          </w:p>
        </w:tc>
        <w:tc>
          <w:tcPr>
            <w:tcW w:w="8220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="00CE15F1"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below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Meat</w:t>
            </w:r>
            <w:r w:rsidR="005279AE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(g/day)</w:t>
            </w:r>
          </w:p>
        </w:tc>
        <w:tc>
          <w:tcPr>
            <w:tcW w:w="8220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="00CE15F1"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below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Poultry</w:t>
            </w:r>
            <w:r w:rsidR="005279AE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(g/day)</w:t>
            </w:r>
          </w:p>
        </w:tc>
        <w:tc>
          <w:tcPr>
            <w:tcW w:w="8220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="00CE15F1"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below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Alcohol</w:t>
            </w:r>
            <w:r w:rsidR="005279AE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(g/day)</w:t>
            </w:r>
          </w:p>
        </w:tc>
        <w:tc>
          <w:tcPr>
            <w:tcW w:w="8220" w:type="dxa"/>
          </w:tcPr>
          <w:p w:rsidR="0082784C" w:rsidRPr="00CD5CFB" w:rsidRDefault="0082784C" w:rsidP="00CB13A3">
            <w:pPr>
              <w:spacing w:after="0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Men: 1 if consumption between 10 and 50 g/day, 0 otherwise</w:t>
            </w:r>
          </w:p>
          <w:p w:rsidR="0082784C" w:rsidRPr="00CD5CFB" w:rsidRDefault="0082784C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Women: 1 if consumption between 5 and 25 g/day,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Mediterranean diet score 2 §§</w:t>
            </w: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Vegetables (g/day)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Legumes (g/day)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Fruits &amp; nuts (g/day)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Cereals (g/day)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Fish (g/day)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Dairy products (g/day)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above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Meat (g/day)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below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Poultry (g/day)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1 if </w:t>
            </w:r>
            <w:r w:rsidRPr="00CD5CFB">
              <w:rPr>
                <w:rFonts w:asciiTheme="minorHAnsi" w:hAnsiTheme="minorHAnsi"/>
                <w:b/>
                <w:position w:val="1"/>
                <w:szCs w:val="22"/>
                <w:lang w:val="en-GB"/>
              </w:rPr>
              <w:t>below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sex-specific median,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Alcohol (g/day)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Men: 1 if consumption between 10 and 50 g/day, 0 otherwise</w:t>
            </w:r>
          </w:p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Women: 1 if consumption between 5 and 25 g/day, 0 otherwise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Alternative healthy eating index †</w:t>
            </w: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Vegetables (servings/day)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 if no serving, 10 if 5 servings/day; score intermediate intakes proportionately between 0 and 10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Fruit (servings/day)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 if no serving, 10 if 4 servings/day; score intermediate intakes proportionately between 0 and 10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Nuts &amp; soy (servings/day)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 if no serving, 10 if 1 serving/day; score intermediate intakes proportionately between 0 and 10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Ratio of white to red meat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 if zero, 10 if 4; score intermediate ratios proportionately between 0 and 10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Cereal </w:t>
            </w:r>
            <w:proofErr w:type="spellStart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fiber</w:t>
            </w:r>
            <w:proofErr w:type="spellEnd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(g/day)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 if 0 g/d, 10 if 15 g/day; score intermediate intakes proportionately between 0 and 10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Trans fat (% energy)</w:t>
            </w:r>
            <w:r w:rsidR="00CB13A3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*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0 if ≥4 , 10 if 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sym w:font="Symbol" w:char="F0A3"/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0.5; score intermediate intakes proportionately between 0 and 10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Polyunsaturated to saturated fatty acids ratio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 if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sym w:font="Symbol" w:char="F0A3"/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0.1 , 10 if ≥1; score intermediate intakes proportionately between 0 and 10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Duration of multivitamin use (years)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 if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sym w:font="Symbol" w:char="F0A3"/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5 , 10 if ≥5; score intermediate intakes proportionately between 0 and 10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Alcohol (servings/day)</w:t>
            </w:r>
          </w:p>
        </w:tc>
        <w:tc>
          <w:tcPr>
            <w:tcW w:w="8220" w:type="dxa"/>
          </w:tcPr>
          <w:p w:rsidR="005279AE" w:rsidRPr="00CD5CFB" w:rsidRDefault="005279AE" w:rsidP="00CB13A3">
            <w:pPr>
              <w:spacing w:after="0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Men: 0 if 0 or &gt;3.5, 10 if 1.5 to 2.5. score intermediate intakes proportionately between 0 and 10</w:t>
            </w:r>
          </w:p>
          <w:p w:rsidR="005279AE" w:rsidRPr="00CD5CFB" w:rsidRDefault="005279AE" w:rsidP="00CB13A3">
            <w:pPr>
              <w:spacing w:after="0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Women: 0 if 0 or &gt;2.5, 10 if 0.5 to 1.5. score intermediate intakes proportionately between 0 and 10</w:t>
            </w:r>
          </w:p>
        </w:tc>
      </w:tr>
      <w:tr w:rsidR="00CD5CFB" w:rsidRPr="00CD5CFB" w:rsidTr="005279AE">
        <w:tc>
          <w:tcPr>
            <w:tcW w:w="3288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Dietary inflammatory index ǂ</w:t>
            </w:r>
          </w:p>
        </w:tc>
        <w:tc>
          <w:tcPr>
            <w:tcW w:w="2551" w:type="dxa"/>
          </w:tcPr>
          <w:p w:rsidR="005279AE" w:rsidRPr="00CD5CFB" w:rsidRDefault="005279AE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8220" w:type="dxa"/>
          </w:tcPr>
          <w:p w:rsidR="005279AE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Multiply by</w:t>
            </w:r>
          </w:p>
        </w:tc>
      </w:tr>
      <w:tr w:rsidR="00CD5CFB" w:rsidRPr="00CD5CFB" w:rsidTr="005279AE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Alcohol (g)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-0.278</w:t>
            </w:r>
          </w:p>
        </w:tc>
      </w:tr>
      <w:tr w:rsidR="00CD5CFB" w:rsidRPr="00CD5CFB" w:rsidTr="005279AE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Vitamin B</w:t>
            </w:r>
            <w:r w:rsidRPr="00CD5CFB">
              <w:rPr>
                <w:rFonts w:asciiTheme="minorHAnsi" w:hAnsiTheme="minorHAnsi"/>
                <w:position w:val="1"/>
                <w:szCs w:val="22"/>
                <w:vertAlign w:val="subscript"/>
                <w:lang w:val="en-GB"/>
              </w:rPr>
              <w:t>12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0.106</w:t>
            </w:r>
          </w:p>
        </w:tc>
      </w:tr>
      <w:tr w:rsidR="00CD5CFB" w:rsidRPr="00CD5CFB" w:rsidTr="005279AE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Vitamin B</w:t>
            </w:r>
            <w:r w:rsidRPr="00CD5CFB">
              <w:rPr>
                <w:rFonts w:asciiTheme="minorHAnsi" w:hAnsiTheme="minorHAnsi"/>
                <w:position w:val="1"/>
                <w:szCs w:val="22"/>
                <w:vertAlign w:val="subscript"/>
                <w:lang w:val="en-GB"/>
              </w:rPr>
              <w:t>6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-0.365</w:t>
            </w:r>
          </w:p>
        </w:tc>
      </w:tr>
      <w:tr w:rsidR="00CD5CFB" w:rsidRPr="00CD5CFB" w:rsidTr="005279AE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sym w:font="Symbol" w:char="F020"/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sym w:font="Symbol" w:char="F062"/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-Carotene (mg)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-0.584</w:t>
            </w:r>
          </w:p>
        </w:tc>
      </w:tr>
      <w:tr w:rsidR="00CD5CFB" w:rsidRPr="00CD5CFB" w:rsidTr="005279AE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Caffeine (g)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-0.110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Carbohydrate (g)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0.097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Cholesterol (mg)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0.110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Energy (kcal)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0.180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Eugenol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-0.140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Total fat (g)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0.298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Fibre (g)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-0.663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Folic acid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-0.190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Garlic (g)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-0.412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Ginger (g)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-0.453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Fe (mg)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0.032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Mg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-0.484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MUFA (g)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-0.009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Niacin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-0.246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n-3 Fatty acids (g)</w:t>
            </w:r>
            <w:r w:rsidR="00BC7631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-0.436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n-6 Fatty acids (g)</w:t>
            </w:r>
            <w:r w:rsidR="00BC7631"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-0.159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Onion (g)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-0.301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Protein (g)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0.021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PUFA (g)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-0.337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Riboflavin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-0.068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Saffron (g)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-0.140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Saturated fat (g)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0.373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Se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-0.191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proofErr w:type="spellStart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Thiamin</w:t>
            </w:r>
            <w:proofErr w:type="spellEnd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-0.098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i/>
                <w:position w:val="1"/>
                <w:szCs w:val="22"/>
                <w:lang w:val="en-GB"/>
              </w:rPr>
              <w:t>Trans</w:t>
            </w: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fat (g)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0.229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Turmeric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-0.785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Vitamin A (RE)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-0.401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Vitamin C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-0.424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Vitamin D (mg)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-0.446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Vitamin E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-0.419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Zn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-0.313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Green/black tea (g)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-0.536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Flavan-3-ol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-0.415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Flavones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-0.616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proofErr w:type="spellStart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Flavonols</w:t>
            </w:r>
            <w:proofErr w:type="spellEnd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-0.467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proofErr w:type="spellStart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Flavonones</w:t>
            </w:r>
            <w:proofErr w:type="spellEnd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-0.250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proofErr w:type="spellStart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Anthocyanidins</w:t>
            </w:r>
            <w:proofErr w:type="spellEnd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-0.131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proofErr w:type="spellStart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Isoflavones</w:t>
            </w:r>
            <w:proofErr w:type="spellEnd"/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 xml:space="preserve">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-0.593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Pepper (g)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-0.131</w:t>
            </w:r>
          </w:p>
        </w:tc>
      </w:tr>
      <w:tr w:rsidR="00CD5CFB" w:rsidRPr="00CD5CFB" w:rsidTr="00CB13A3">
        <w:tc>
          <w:tcPr>
            <w:tcW w:w="3288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Thyme/oregano (mg) *</w:t>
            </w:r>
          </w:p>
        </w:tc>
        <w:tc>
          <w:tcPr>
            <w:tcW w:w="8220" w:type="dxa"/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-0.102</w:t>
            </w:r>
          </w:p>
        </w:tc>
      </w:tr>
      <w:tr w:rsidR="00CB13A3" w:rsidRPr="00CD5CFB" w:rsidTr="00CB13A3">
        <w:tc>
          <w:tcPr>
            <w:tcW w:w="3288" w:type="dxa"/>
            <w:tcBorders>
              <w:bottom w:val="single" w:sz="4" w:space="0" w:color="auto"/>
            </w:tcBorders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13A3" w:rsidRPr="00CD5CFB" w:rsidRDefault="00CB13A3" w:rsidP="00CB13A3">
            <w:pPr>
              <w:spacing w:after="0" w:line="360" w:lineRule="auto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Rosemary (mg) *</w:t>
            </w: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CB13A3" w:rsidRPr="00CD5CFB" w:rsidRDefault="00CB13A3" w:rsidP="00CB13A3">
            <w:pPr>
              <w:spacing w:after="0" w:line="360" w:lineRule="auto"/>
              <w:jc w:val="center"/>
              <w:rPr>
                <w:rFonts w:asciiTheme="minorHAnsi" w:hAnsiTheme="minorHAnsi"/>
                <w:position w:val="1"/>
                <w:szCs w:val="22"/>
                <w:lang w:val="en-GB"/>
              </w:rPr>
            </w:pPr>
            <w:r w:rsidRPr="00CD5CFB">
              <w:rPr>
                <w:rFonts w:asciiTheme="minorHAnsi" w:hAnsiTheme="minorHAnsi"/>
                <w:position w:val="1"/>
                <w:szCs w:val="22"/>
                <w:lang w:val="en-GB"/>
              </w:rPr>
              <w:t>-0.013</w:t>
            </w:r>
          </w:p>
        </w:tc>
      </w:tr>
    </w:tbl>
    <w:p w:rsidR="0082784C" w:rsidRPr="00CD5CFB" w:rsidRDefault="0082784C" w:rsidP="00CB13A3">
      <w:pPr>
        <w:spacing w:after="0" w:line="360" w:lineRule="auto"/>
        <w:rPr>
          <w:rFonts w:asciiTheme="minorHAnsi" w:hAnsiTheme="minorHAnsi"/>
          <w:position w:val="1"/>
          <w:lang w:val="en-GB" w:eastAsia="fr-CH"/>
        </w:rPr>
      </w:pPr>
    </w:p>
    <w:p w:rsidR="0082784C" w:rsidRPr="00CD5CFB" w:rsidRDefault="0082784C" w:rsidP="0082784C">
      <w:pPr>
        <w:spacing w:after="0" w:line="360" w:lineRule="auto"/>
        <w:rPr>
          <w:rFonts w:asciiTheme="minorHAnsi" w:hAnsiTheme="minorHAnsi"/>
          <w:szCs w:val="20"/>
          <w:lang w:val="en-GB"/>
        </w:rPr>
      </w:pPr>
      <w:r w:rsidRPr="00CD5CFB">
        <w:rPr>
          <w:rFonts w:asciiTheme="minorHAnsi" w:hAnsiTheme="minorHAnsi"/>
          <w:szCs w:val="20"/>
          <w:lang w:val="en-GB"/>
        </w:rPr>
        <w:lastRenderedPageBreak/>
        <w:t xml:space="preserve">§ according to </w:t>
      </w:r>
      <w:proofErr w:type="spellStart"/>
      <w:r w:rsidRPr="00CD5CFB">
        <w:rPr>
          <w:rFonts w:asciiTheme="minorHAnsi" w:hAnsiTheme="minorHAnsi"/>
          <w:szCs w:val="20"/>
          <w:lang w:val="en-GB"/>
        </w:rPr>
        <w:t>Trichopoulou</w:t>
      </w:r>
      <w:proofErr w:type="spellEnd"/>
      <w:r w:rsidRPr="00CD5CFB">
        <w:rPr>
          <w:rFonts w:asciiTheme="minorHAnsi" w:hAnsiTheme="minorHAnsi"/>
          <w:szCs w:val="20"/>
          <w:lang w:val="en-GB"/>
        </w:rPr>
        <w:t xml:space="preserve"> et al </w:t>
      </w:r>
      <w:r w:rsidR="00973C66" w:rsidRPr="00CD5CFB">
        <w:rPr>
          <w:rFonts w:asciiTheme="minorHAnsi" w:hAnsiTheme="minorHAnsi"/>
          <w:szCs w:val="20"/>
          <w:lang w:val="en-GB"/>
        </w:rPr>
        <w:fldChar w:fldCharType="begin"/>
      </w:r>
      <w:r w:rsidR="00973C66" w:rsidRPr="00CD5CFB">
        <w:rPr>
          <w:rFonts w:asciiTheme="minorHAnsi" w:hAnsiTheme="minorHAnsi"/>
          <w:szCs w:val="20"/>
          <w:lang w:val="en-GB"/>
        </w:rPr>
        <w:instrText xml:space="preserve"> ADDIN EN.CITE &lt;EndNote&gt;&lt;Cite&gt;&lt;Author&gt;Trichopoulou&lt;/Author&gt;&lt;Year&gt;2003&lt;/Year&gt;&lt;RecNum&gt;36&lt;/RecNum&gt;&lt;DisplayText&gt;&lt;style face="superscript"&gt;(1)&lt;/style&gt;&lt;/DisplayText&gt;&lt;record&gt;&lt;rec-number&gt;36&lt;/rec-number&gt;&lt;foreign-keys&gt;&lt;key app="EN" db-id="szvdx0xa42zev0ep0phxxvzcwrr2rarxtdfv" timestamp="1512065902"&gt;36&lt;/key&gt;&lt;/foreign-keys&gt;&lt;ref-type name="Journal Article"&gt;17&lt;/ref-type&gt;&lt;contributors&gt;&lt;authors&gt;&lt;author&gt;Trichopoulou, Antonia &lt;/author&gt;&lt;author&gt;Costacou, Tina &lt;/author&gt;&lt;author&gt;Bamia, Christina &lt;/author&gt;&lt;author&gt;Trichopoulos, Dimitrios &lt;/author&gt;&lt;/authors&gt;&lt;/contributors&gt;&lt;titles&gt;&lt;title&gt;Adherence to a Mediterranean Diet and Survival in a Greek Population&lt;/title&gt;&lt;secondary-title&gt;The New England Journal of Medicine&lt;/secondary-title&gt;&lt;/titles&gt;&lt;periodical&gt;&lt;full-title&gt;The New England Journal of Medicine&lt;/full-title&gt;&lt;abbr-1&gt;New Engl J Med&lt;/abbr-1&gt;&lt;/periodical&gt;&lt;pages&gt;2599-2608&lt;/pages&gt;&lt;volume&gt;348&lt;/volume&gt;&lt;dates&gt;&lt;year&gt;2003&lt;/year&gt;&lt;/dates&gt;&lt;urls&gt;&lt;/urls&gt;&lt;/record&gt;&lt;/Cite&gt;&lt;/EndNote&gt;</w:instrText>
      </w:r>
      <w:r w:rsidR="00973C66" w:rsidRPr="00CD5CFB">
        <w:rPr>
          <w:rFonts w:asciiTheme="minorHAnsi" w:hAnsiTheme="minorHAnsi"/>
          <w:szCs w:val="20"/>
          <w:lang w:val="en-GB"/>
        </w:rPr>
        <w:fldChar w:fldCharType="separate"/>
      </w:r>
      <w:r w:rsidR="00973C66" w:rsidRPr="00CD5CFB">
        <w:rPr>
          <w:rFonts w:asciiTheme="minorHAnsi" w:hAnsiTheme="minorHAnsi"/>
          <w:noProof/>
          <w:szCs w:val="20"/>
          <w:vertAlign w:val="superscript"/>
          <w:lang w:val="en-GB"/>
        </w:rPr>
        <w:t>(1)</w:t>
      </w:r>
      <w:r w:rsidR="00973C66" w:rsidRPr="00CD5CFB">
        <w:rPr>
          <w:rFonts w:asciiTheme="minorHAnsi" w:hAnsiTheme="minorHAnsi"/>
          <w:szCs w:val="20"/>
          <w:lang w:val="en-GB"/>
        </w:rPr>
        <w:fldChar w:fldCharType="end"/>
      </w:r>
      <w:r w:rsidRPr="00CD5CFB">
        <w:rPr>
          <w:rFonts w:asciiTheme="minorHAnsi" w:hAnsiTheme="minorHAnsi"/>
          <w:szCs w:val="20"/>
          <w:lang w:val="en-GB"/>
        </w:rPr>
        <w:t xml:space="preserve">; §§, according to </w:t>
      </w:r>
      <w:proofErr w:type="spellStart"/>
      <w:r w:rsidRPr="00CD5CFB">
        <w:rPr>
          <w:rFonts w:asciiTheme="minorHAnsi" w:hAnsiTheme="minorHAnsi"/>
          <w:szCs w:val="20"/>
          <w:lang w:val="en-GB"/>
        </w:rPr>
        <w:t>Vormund</w:t>
      </w:r>
      <w:proofErr w:type="spellEnd"/>
      <w:r w:rsidRPr="00CD5CFB">
        <w:rPr>
          <w:rFonts w:asciiTheme="minorHAnsi" w:hAnsiTheme="minorHAnsi"/>
          <w:szCs w:val="20"/>
          <w:lang w:val="en-GB"/>
        </w:rPr>
        <w:t xml:space="preserve"> et al. </w:t>
      </w:r>
      <w:r w:rsidR="00973C66" w:rsidRPr="00CD5CFB">
        <w:rPr>
          <w:rFonts w:asciiTheme="minorHAnsi" w:hAnsiTheme="minorHAnsi"/>
          <w:szCs w:val="20"/>
          <w:lang w:val="en-GB"/>
        </w:rPr>
        <w:fldChar w:fldCharType="begin"/>
      </w:r>
      <w:r w:rsidR="00973C66" w:rsidRPr="00CD5CFB">
        <w:rPr>
          <w:rFonts w:asciiTheme="minorHAnsi" w:hAnsiTheme="minorHAnsi"/>
          <w:szCs w:val="20"/>
          <w:lang w:val="en-GB"/>
        </w:rPr>
        <w:instrText xml:space="preserve"> ADDIN EN.CITE &lt;EndNote&gt;&lt;Cite&gt;&lt;Author&gt;Vormund&lt;/Author&gt;&lt;Year&gt;2015&lt;/Year&gt;&lt;RecNum&gt;41&lt;/RecNum&gt;&lt;DisplayText&gt;&lt;style face="superscript"&gt;(2)&lt;/style&gt;&lt;/DisplayText&gt;&lt;record&gt;&lt;rec-number&gt;41&lt;/rec-number&gt;&lt;foreign-keys&gt;&lt;key app="EN" db-id="szvdx0xa42zev0ep0phxxvzcwrr2rarxtdfv" timestamp="1512065903"&gt;41&lt;/key&gt;&lt;/foreign-keys&gt;&lt;ref-type name="Journal Article"&gt;17&lt;/ref-type&gt;&lt;contributors&gt;&lt;authors&gt;&lt;author&gt;Vormund, Kerstin&lt;/author&gt;&lt;author&gt;Braun, Julia&lt;/author&gt;&lt;author&gt;Rohrmann, Sabine&lt;/author&gt;&lt;author&gt;Bopp, Matthias&lt;/author&gt;&lt;author&gt;Ballmer, Peter&lt;/author&gt;&lt;author&gt;Faeh, David&lt;/author&gt;&lt;/authors&gt;&lt;/contributors&gt;&lt;titles&gt;&lt;title&gt;Mediterranean diet and mortality in Switzerland: an alpine paradox?&lt;/title&gt;&lt;secondary-title&gt;European Journal of Nutrition&lt;/secondary-title&gt;&lt;/titles&gt;&lt;periodical&gt;&lt;full-title&gt;European Journal of Nutrition&lt;/full-title&gt;&lt;abbr-1&gt;Eur J Nutr&lt;/abbr-1&gt;&lt;/periodical&gt;&lt;pages&gt;139-148&lt;/pages&gt;&lt;volume&gt;54&lt;/volume&gt;&lt;dates&gt;&lt;year&gt;2015&lt;/year&gt;&lt;/dates&gt;&lt;isbn&gt;1436-6215 (Electronic) 1436-6207 (Linking)&lt;/isbn&gt;&lt;accession-num&gt;24710740&lt;/accession-num&gt;&lt;urls&gt;&lt;/urls&gt;&lt;electronic-resource-num&gt;10.1007/s00394-014-0695-y&lt;/electronic-resource-num&gt;&lt;/record&gt;&lt;/Cite&gt;&lt;/EndNote&gt;</w:instrText>
      </w:r>
      <w:r w:rsidR="00973C66" w:rsidRPr="00CD5CFB">
        <w:rPr>
          <w:rFonts w:asciiTheme="minorHAnsi" w:hAnsiTheme="minorHAnsi"/>
          <w:szCs w:val="20"/>
          <w:lang w:val="en-GB"/>
        </w:rPr>
        <w:fldChar w:fldCharType="separate"/>
      </w:r>
      <w:r w:rsidR="00973C66" w:rsidRPr="00CD5CFB">
        <w:rPr>
          <w:rFonts w:asciiTheme="minorHAnsi" w:hAnsiTheme="minorHAnsi"/>
          <w:noProof/>
          <w:szCs w:val="20"/>
          <w:vertAlign w:val="superscript"/>
          <w:lang w:val="en-GB"/>
        </w:rPr>
        <w:t>(2)</w:t>
      </w:r>
      <w:r w:rsidR="00973C66" w:rsidRPr="00CD5CFB">
        <w:rPr>
          <w:rFonts w:asciiTheme="minorHAnsi" w:hAnsiTheme="minorHAnsi"/>
          <w:szCs w:val="20"/>
          <w:lang w:val="en-GB"/>
        </w:rPr>
        <w:fldChar w:fldCharType="end"/>
      </w:r>
      <w:r w:rsidRPr="00CD5CFB">
        <w:rPr>
          <w:rFonts w:asciiTheme="minorHAnsi" w:hAnsiTheme="minorHAnsi"/>
          <w:szCs w:val="20"/>
          <w:lang w:val="en-GB"/>
        </w:rPr>
        <w:t xml:space="preserve">; </w:t>
      </w:r>
      <w:r w:rsidRPr="00CD5CFB">
        <w:rPr>
          <w:rFonts w:asciiTheme="minorHAnsi" w:hAnsiTheme="minorHAnsi"/>
          <w:position w:val="1"/>
          <w:lang w:val="en-GB"/>
        </w:rPr>
        <w:t xml:space="preserve">† according to </w:t>
      </w:r>
      <w:r w:rsidRPr="00CD5CFB">
        <w:rPr>
          <w:rFonts w:asciiTheme="minorHAnsi" w:hAnsiTheme="minorHAnsi"/>
          <w:position w:val="1"/>
          <w:sz w:val="24"/>
          <w:szCs w:val="24"/>
          <w:lang w:val="en-GB"/>
        </w:rPr>
        <w:t xml:space="preserve">McCullough et al. </w:t>
      </w:r>
      <w:r w:rsidRPr="00CD5CFB">
        <w:rPr>
          <w:rFonts w:asciiTheme="minorHAnsi" w:hAnsiTheme="minorHAnsi"/>
          <w:position w:val="1"/>
          <w:sz w:val="24"/>
          <w:szCs w:val="24"/>
          <w:lang w:val="en-GB"/>
        </w:rPr>
        <w:fldChar w:fldCharType="begin"/>
      </w:r>
      <w:r w:rsidR="00973C66" w:rsidRPr="00CD5CFB">
        <w:rPr>
          <w:rFonts w:asciiTheme="minorHAnsi" w:hAnsiTheme="minorHAnsi"/>
          <w:position w:val="1"/>
          <w:sz w:val="24"/>
          <w:szCs w:val="24"/>
          <w:lang w:val="en-GB"/>
        </w:rPr>
        <w:instrText xml:space="preserve"> ADDIN EN.CITE &lt;EndNote&gt;&lt;Cite&gt;&lt;Author&gt;McCullough&lt;/Author&gt;&lt;Year&gt;2002&lt;/Year&gt;&lt;RecNum&gt;40&lt;/RecNum&gt;&lt;DisplayText&gt;&lt;style face="superscript"&gt;(3)&lt;/style&gt;&lt;/DisplayText&gt;&lt;record&gt;&lt;rec-number&gt;40&lt;/rec-number&gt;&lt;foreign-keys&gt;&lt;key app="EN" db-id="szvdx0xa42zev0ep0phxxvzcwrr2rarxtdfv" timestamp="1512065903"&gt;40&lt;/key&gt;&lt;/foreign-keys&gt;&lt;ref-type name="Journal Article"&gt;17&lt;/ref-type&gt;&lt;contributors&gt;&lt;authors&gt;&lt;author&gt;McCullough, Marjorie L.&lt;/author&gt;&lt;author&gt;Feskanich, Diane&lt;/author&gt;&lt;author&gt;Stampfer, Meir J&lt;/author&gt;&lt;author&gt;Giovannucci, Edward L&lt;/author&gt;&lt;author&gt;Rimm, Eric B&lt;/author&gt;&lt;author&gt;Hu, Frank B&lt;/author&gt;&lt;author&gt;Spiegelman, Donna&lt;/author&gt;&lt;author&gt;Hunter, David J&lt;/author&gt;&lt;author&gt;Colditz, Graham A&lt;/author&gt;&lt;author&gt;Willett, Walter C&lt;/author&gt;&lt;/authors&gt;&lt;/contributors&gt;&lt;titles&gt;&lt;title&gt;Diet quality and major chronic disease risk in men and women: Moving toward improved dietary guidance&lt;/title&gt;&lt;secondary-title&gt;American Journal of Clinical Nutrition&lt;/secondary-title&gt;&lt;/titles&gt;&lt;periodical&gt;&lt;full-title&gt;American journal of clinical nutrition&lt;/full-title&gt;&lt;abbr-1&gt;Am J Clin Nutr&lt;/abbr-1&gt;&lt;/periodical&gt;&lt;pages&gt;1261-1271&lt;/pages&gt;&lt;volume&gt;76&lt;/volume&gt;&lt;dates&gt;&lt;year&gt;2002&lt;/year&gt;&lt;/dates&gt;&lt;isbn&gt;0002-9165 (Print)\n0002-9165 (Linking)&lt;/isbn&gt;&lt;accession-num&gt;12450892&lt;/accession-num&gt;&lt;urls&gt;&lt;/urls&gt;&lt;/record&gt;&lt;/Cite&gt;&lt;/EndNote&gt;</w:instrText>
      </w:r>
      <w:r w:rsidRPr="00CD5CFB">
        <w:rPr>
          <w:rFonts w:asciiTheme="minorHAnsi" w:hAnsiTheme="minorHAnsi"/>
          <w:position w:val="1"/>
          <w:sz w:val="24"/>
          <w:szCs w:val="24"/>
          <w:lang w:val="en-GB"/>
        </w:rPr>
        <w:fldChar w:fldCharType="separate"/>
      </w:r>
      <w:r w:rsidR="00973C66" w:rsidRPr="00CD5CFB">
        <w:rPr>
          <w:rFonts w:asciiTheme="minorHAnsi" w:hAnsiTheme="minorHAnsi"/>
          <w:noProof/>
          <w:position w:val="1"/>
          <w:sz w:val="24"/>
          <w:szCs w:val="24"/>
          <w:vertAlign w:val="superscript"/>
          <w:lang w:val="en-GB"/>
        </w:rPr>
        <w:t>(3)</w:t>
      </w:r>
      <w:r w:rsidRPr="00CD5CFB">
        <w:rPr>
          <w:rFonts w:asciiTheme="minorHAnsi" w:hAnsiTheme="minorHAnsi"/>
          <w:position w:val="1"/>
          <w:sz w:val="24"/>
          <w:szCs w:val="24"/>
          <w:lang w:val="en-GB"/>
        </w:rPr>
        <w:fldChar w:fldCharType="end"/>
      </w:r>
      <w:r w:rsidRPr="00CD5CFB">
        <w:rPr>
          <w:rFonts w:asciiTheme="minorHAnsi" w:hAnsiTheme="minorHAnsi"/>
          <w:position w:val="1"/>
          <w:sz w:val="24"/>
          <w:szCs w:val="24"/>
          <w:lang w:val="en-GB"/>
        </w:rPr>
        <w:t xml:space="preserve">; </w:t>
      </w:r>
      <w:r w:rsidRPr="00CD5CFB">
        <w:rPr>
          <w:rFonts w:asciiTheme="minorHAnsi" w:hAnsiTheme="minorHAnsi"/>
          <w:position w:val="1"/>
          <w:lang w:val="en-GB"/>
        </w:rPr>
        <w:t xml:space="preserve">ǂ, according to </w:t>
      </w:r>
      <w:proofErr w:type="spellStart"/>
      <w:r w:rsidRPr="00CD5CFB">
        <w:rPr>
          <w:rFonts w:asciiTheme="minorHAnsi" w:hAnsiTheme="minorHAnsi"/>
          <w:position w:val="1"/>
          <w:lang w:val="en-GB"/>
        </w:rPr>
        <w:t>Shivappa</w:t>
      </w:r>
      <w:proofErr w:type="spellEnd"/>
      <w:r w:rsidRPr="00CD5CFB">
        <w:rPr>
          <w:rFonts w:asciiTheme="minorHAnsi" w:hAnsiTheme="minorHAnsi"/>
          <w:position w:val="1"/>
          <w:lang w:val="en-GB"/>
        </w:rPr>
        <w:t xml:space="preserve"> et al. </w:t>
      </w:r>
      <w:r w:rsidR="00973C66" w:rsidRPr="00CD5CFB">
        <w:rPr>
          <w:rFonts w:asciiTheme="minorHAnsi" w:hAnsiTheme="minorHAnsi"/>
          <w:position w:val="1"/>
          <w:lang w:val="en-GB"/>
        </w:rPr>
        <w:fldChar w:fldCharType="begin"/>
      </w:r>
      <w:r w:rsidR="00973C66" w:rsidRPr="00CD5CFB">
        <w:rPr>
          <w:rFonts w:asciiTheme="minorHAnsi" w:hAnsiTheme="minorHAnsi"/>
          <w:position w:val="1"/>
          <w:lang w:val="en-GB"/>
        </w:rPr>
        <w:instrText xml:space="preserve"> ADDIN EN.CITE &lt;EndNote&gt;&lt;Cite&gt;&lt;Author&gt;Shivappa&lt;/Author&gt;&lt;Year&gt;2014&lt;/Year&gt;&lt;RecNum&gt;19&lt;/RecNum&gt;&lt;DisplayText&gt;&lt;style face="superscript"&gt;(4)&lt;/style&gt;&lt;/DisplayText&gt;&lt;record&gt;&lt;rec-number&gt;19&lt;/rec-number&gt;&lt;foreign-keys&gt;&lt;key app="EN" db-id="szvdx0xa42zev0ep0phxxvzcwrr2rarxtdfv" timestamp="1512065902"&gt;19&lt;/key&gt;&lt;/foreign-keys&gt;&lt;ref-type name="Journal Article"&gt;17&lt;/ref-type&gt;&lt;contributors&gt;&lt;authors&gt;&lt;author&gt;Shivappa, Nitin&lt;/author&gt;&lt;author&gt;Steck, Susan E&lt;/author&gt;&lt;author&gt;Hurley, Thomas G&lt;/author&gt;&lt;author&gt;Hussey, James R&lt;/author&gt;&lt;author&gt;Hébert, James R&lt;/author&gt;&lt;/authors&gt;&lt;/contributors&gt;&lt;titles&gt;&lt;title&gt;Designing and developing a literature-derived, population-based dietary inflammatory index&lt;/title&gt;&lt;secondary-title&gt;Public Health Nutrition&lt;/secondary-title&gt;&lt;/titles&gt;&lt;periodical&gt;&lt;full-title&gt;Public Health Nutrition&lt;/full-title&gt;&lt;abbr-1&gt;Public Health Nutr&lt;/abbr-1&gt;&lt;/periodical&gt;&lt;pages&gt;1689-1696&lt;/pages&gt;&lt;volume&gt;17&lt;/volume&gt;&lt;dates&gt;&lt;year&gt;2014&lt;/year&gt;&lt;/dates&gt;&lt;isbn&gt;1475-2727&lt;/isbn&gt;&lt;accession-num&gt;23941862&lt;/accession-num&gt;&lt;urls&gt;&lt;/urls&gt;&lt;electronic-resource-num&gt;10.1017/S1368980013002115&lt;/electronic-resource-num&gt;&lt;/record&gt;&lt;/Cite&gt;&lt;/EndNote&gt;</w:instrText>
      </w:r>
      <w:r w:rsidR="00973C66" w:rsidRPr="00CD5CFB">
        <w:rPr>
          <w:rFonts w:asciiTheme="minorHAnsi" w:hAnsiTheme="minorHAnsi"/>
          <w:position w:val="1"/>
          <w:lang w:val="en-GB"/>
        </w:rPr>
        <w:fldChar w:fldCharType="separate"/>
      </w:r>
      <w:r w:rsidR="00973C66" w:rsidRPr="00CD5CFB">
        <w:rPr>
          <w:rFonts w:asciiTheme="minorHAnsi" w:hAnsiTheme="minorHAnsi"/>
          <w:noProof/>
          <w:position w:val="1"/>
          <w:vertAlign w:val="superscript"/>
          <w:lang w:val="en-GB"/>
        </w:rPr>
        <w:t>(4)</w:t>
      </w:r>
      <w:r w:rsidR="00973C66" w:rsidRPr="00CD5CFB">
        <w:rPr>
          <w:rFonts w:asciiTheme="minorHAnsi" w:hAnsiTheme="minorHAnsi"/>
          <w:position w:val="1"/>
          <w:lang w:val="en-GB"/>
        </w:rPr>
        <w:fldChar w:fldCharType="end"/>
      </w:r>
      <w:r w:rsidRPr="00CD5CFB">
        <w:rPr>
          <w:rFonts w:asciiTheme="minorHAnsi" w:hAnsiTheme="minorHAnsi"/>
          <w:position w:val="1"/>
          <w:lang w:val="en-GB"/>
        </w:rPr>
        <w:t xml:space="preserve">. </w:t>
      </w:r>
      <w:r w:rsidR="005279AE" w:rsidRPr="00CD5CFB">
        <w:rPr>
          <w:rFonts w:asciiTheme="minorHAnsi" w:hAnsiTheme="minorHAnsi"/>
          <w:position w:val="1"/>
          <w:lang w:val="en-GB"/>
        </w:rPr>
        <w:t>Items marked with an asterisk (*) were not included in the calculations for the current study.</w:t>
      </w:r>
    </w:p>
    <w:p w:rsidR="0082784C" w:rsidRPr="00CD5CFB" w:rsidRDefault="0082784C">
      <w:pPr>
        <w:spacing w:after="0" w:line="240" w:lineRule="auto"/>
        <w:rPr>
          <w:rFonts w:asciiTheme="minorHAnsi" w:hAnsiTheme="minorHAnsi"/>
          <w:b/>
          <w:szCs w:val="20"/>
          <w:lang w:val="en-GB"/>
        </w:rPr>
      </w:pPr>
    </w:p>
    <w:p w:rsidR="0082784C" w:rsidRPr="00CD5CFB" w:rsidRDefault="0082784C" w:rsidP="00341D45">
      <w:pPr>
        <w:spacing w:before="240" w:line="360" w:lineRule="auto"/>
        <w:rPr>
          <w:rFonts w:asciiTheme="minorHAnsi" w:hAnsiTheme="minorHAnsi"/>
          <w:b/>
          <w:szCs w:val="20"/>
          <w:lang w:val="en-GB"/>
        </w:rPr>
        <w:sectPr w:rsidR="0082784C" w:rsidRPr="00CD5CFB" w:rsidSect="0082784C">
          <w:footerReference w:type="default" r:id="rId6"/>
          <w:pgSz w:w="16840" w:h="11907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:rsidR="00341D45" w:rsidRPr="00CD5CFB" w:rsidRDefault="0026677B" w:rsidP="00341D45">
      <w:pPr>
        <w:spacing w:before="240" w:line="360" w:lineRule="auto"/>
        <w:rPr>
          <w:rFonts w:asciiTheme="minorHAnsi" w:hAnsiTheme="minorHAnsi"/>
          <w:szCs w:val="20"/>
          <w:lang w:val="en-GB"/>
        </w:rPr>
      </w:pPr>
      <w:r w:rsidRPr="00CD5CFB">
        <w:rPr>
          <w:rFonts w:asciiTheme="minorHAnsi" w:hAnsiTheme="minorHAnsi"/>
          <w:b/>
          <w:szCs w:val="20"/>
          <w:lang w:val="en-GB"/>
        </w:rPr>
        <w:lastRenderedPageBreak/>
        <w:t xml:space="preserve">Supplementary table </w:t>
      </w:r>
      <w:r w:rsidR="00017BBA" w:rsidRPr="00CD5CFB">
        <w:rPr>
          <w:rFonts w:asciiTheme="minorHAnsi" w:hAnsiTheme="minorHAnsi"/>
          <w:b/>
          <w:szCs w:val="20"/>
          <w:lang w:val="en-GB"/>
        </w:rPr>
        <w:t>2</w:t>
      </w:r>
      <w:r w:rsidR="00341D45" w:rsidRPr="00CD5CFB">
        <w:rPr>
          <w:rFonts w:asciiTheme="minorHAnsi" w:hAnsiTheme="minorHAnsi"/>
          <w:szCs w:val="20"/>
          <w:lang w:val="en-GB"/>
        </w:rPr>
        <w:t xml:space="preserve">: Comparison between excluded and included participants, </w:t>
      </w:r>
      <w:proofErr w:type="spellStart"/>
      <w:r w:rsidR="00341D45" w:rsidRPr="00CD5CFB">
        <w:rPr>
          <w:rFonts w:asciiTheme="minorHAnsi" w:hAnsiTheme="minorHAnsi"/>
          <w:szCs w:val="20"/>
          <w:lang w:val="en-GB"/>
        </w:rPr>
        <w:t>CoLaus</w:t>
      </w:r>
      <w:proofErr w:type="spellEnd"/>
      <w:r w:rsidR="00341D45" w:rsidRPr="00CD5CFB">
        <w:rPr>
          <w:rFonts w:asciiTheme="minorHAnsi" w:hAnsiTheme="minorHAnsi"/>
          <w:szCs w:val="20"/>
          <w:lang w:val="en-GB"/>
        </w:rPr>
        <w:t xml:space="preserve"> study, Lausanne, Switzerland, 2009-2012.</w:t>
      </w:r>
    </w:p>
    <w:tbl>
      <w:tblPr>
        <w:tblStyle w:val="TableauGrille2-Accentuation5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281"/>
        <w:gridCol w:w="2282"/>
        <w:gridCol w:w="1699"/>
      </w:tblGrid>
      <w:tr w:rsidR="00CD5CFB" w:rsidRPr="00CD5CFB" w:rsidTr="00F84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rPr>
                <w:rFonts w:asciiTheme="minorHAnsi" w:hAnsiTheme="minorHAnsi" w:cs="Arial"/>
                <w:b w:val="0"/>
                <w:lang w:val="en-GB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Included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Excluded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P-value</w:t>
            </w:r>
          </w:p>
        </w:tc>
      </w:tr>
      <w:tr w:rsidR="00CD5CFB" w:rsidRPr="00CD5CFB" w:rsidTr="00F8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Sample size</w:t>
            </w: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4027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1037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CD5CFB" w:rsidRPr="00CD5CFB" w:rsidTr="00F8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Gender (male)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1873 (46.5)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484 (46.7)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0.926</w:t>
            </w:r>
          </w:p>
        </w:tc>
      </w:tr>
      <w:tr w:rsidR="00CD5CFB" w:rsidRPr="00CD5CFB" w:rsidTr="00F8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Age (years)</w:t>
            </w:r>
          </w:p>
        </w:tc>
        <w:tc>
          <w:tcPr>
            <w:tcW w:w="2281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57.2 ± 10.2</w:t>
            </w:r>
          </w:p>
        </w:tc>
        <w:tc>
          <w:tcPr>
            <w:tcW w:w="2282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60.0 ± 11.3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&lt;0.001</w:t>
            </w:r>
          </w:p>
        </w:tc>
      </w:tr>
      <w:tr w:rsidR="00CD5CFB" w:rsidRPr="00CD5CFB" w:rsidTr="00F8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Education</w:t>
            </w:r>
          </w:p>
        </w:tc>
        <w:tc>
          <w:tcPr>
            <w:tcW w:w="2281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282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&lt;0.001</w:t>
            </w:r>
          </w:p>
        </w:tc>
      </w:tr>
      <w:tr w:rsidR="00CD5CFB" w:rsidRPr="00CD5CFB" w:rsidTr="00F8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left="284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High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930 (23.1)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149 (14.4)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CD5CFB" w:rsidRPr="00CD5CFB" w:rsidTr="00F8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left="284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Middle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1083 (26.9)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223 (21.6)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CD5CFB" w:rsidRPr="00CD5CFB" w:rsidTr="00F8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left="284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Low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2014 (50.0)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660 (64.0)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CD5CFB" w:rsidRPr="00CD5CFB" w:rsidTr="00F8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BMI (kg/m</w:t>
            </w:r>
            <w:r w:rsidRPr="00CD5CFB">
              <w:rPr>
                <w:rFonts w:asciiTheme="minorHAnsi" w:hAnsiTheme="minorHAnsi" w:cs="Arial"/>
                <w:b w:val="0"/>
                <w:vertAlign w:val="superscript"/>
                <w:lang w:val="en-GB"/>
              </w:rPr>
              <w:t>2</w:t>
            </w:r>
            <w:r w:rsidRPr="00CD5CFB">
              <w:rPr>
                <w:rFonts w:asciiTheme="minorHAnsi" w:hAnsiTheme="minorHAnsi" w:cs="Arial"/>
                <w:b w:val="0"/>
                <w:lang w:val="en-GB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26.0 ± 4.5</w:t>
            </w:r>
          </w:p>
        </w:tc>
        <w:tc>
          <w:tcPr>
            <w:tcW w:w="2282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27.0 ± 5.1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&lt;0.001</w:t>
            </w:r>
          </w:p>
        </w:tc>
      </w:tr>
      <w:tr w:rsidR="00CD5CFB" w:rsidRPr="00CD5CFB" w:rsidTr="00F8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BMI categories</w:t>
            </w:r>
          </w:p>
        </w:tc>
        <w:tc>
          <w:tcPr>
            <w:tcW w:w="2281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282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&lt;0.001</w:t>
            </w:r>
          </w:p>
        </w:tc>
      </w:tr>
      <w:tr w:rsidR="00CD5CFB" w:rsidRPr="00CD5CFB" w:rsidTr="00F8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left="284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Normal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1816 (45.1)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364 (37.5)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CD5CFB" w:rsidRPr="00CD5CFB" w:rsidTr="00F8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left="284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Overweight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1570 (39.0)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390 (40.1)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CD5CFB" w:rsidRPr="00CD5CFB" w:rsidTr="00F8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left="284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Obese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641 (15.9)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218 (22.4)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CD5CFB" w:rsidRPr="00CD5CFB" w:rsidTr="00F8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Smoking status</w:t>
            </w:r>
          </w:p>
        </w:tc>
        <w:tc>
          <w:tcPr>
            <w:tcW w:w="2281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82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&lt;0.001</w:t>
            </w:r>
          </w:p>
        </w:tc>
      </w:tr>
      <w:tr w:rsidR="00CD5CFB" w:rsidRPr="00CD5CFB" w:rsidTr="00F8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left="284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Current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1680 (41.7)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355 (36.2)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CD5CFB" w:rsidRPr="00CD5CFB" w:rsidTr="00F8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left="284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Former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1528 (37.9)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355 (36.2)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CD5CFB" w:rsidRPr="00CD5CFB" w:rsidTr="00F8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left="284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Never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819 (20.3)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270 (27.6)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CD5CFB" w:rsidRPr="00CD5CFB" w:rsidTr="00F8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>Sedentary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2078 (56.4)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327 (65.8)</w:t>
            </w:r>
          </w:p>
        </w:tc>
        <w:tc>
          <w:tcPr>
            <w:tcW w:w="1699" w:type="dxa"/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&lt;0.001</w:t>
            </w:r>
          </w:p>
        </w:tc>
      </w:tr>
      <w:tr w:rsidR="00CD5CFB" w:rsidRPr="00CD5CFB" w:rsidTr="00F8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rPr>
                <w:rFonts w:asciiTheme="minorHAnsi" w:hAnsiTheme="minorHAnsi" w:cs="Arial"/>
                <w:b w:val="0"/>
                <w:lang w:val="en-GB"/>
              </w:rPr>
            </w:pPr>
            <w:r w:rsidRPr="00CD5CFB">
              <w:rPr>
                <w:rFonts w:asciiTheme="minorHAnsi" w:hAnsiTheme="minorHAnsi" w:cs="Arial"/>
                <w:b w:val="0"/>
                <w:lang w:val="en-GB"/>
              </w:rPr>
              <w:t xml:space="preserve">Diabetes 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385 (9.6)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1D45" w:rsidRPr="00CD5CFB" w:rsidRDefault="00341D45" w:rsidP="00F84FA2">
            <w:pPr>
              <w:spacing w:after="0" w:line="360" w:lineRule="auto"/>
              <w:ind w:right="4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5CFB">
              <w:rPr>
                <w:rFonts w:asciiTheme="minorHAnsi" w:hAnsiTheme="minorHAnsi"/>
              </w:rPr>
              <w:t>154 (15.1)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341D45" w:rsidRPr="00CD5CFB" w:rsidRDefault="00341D45" w:rsidP="00F84FA2">
            <w:pPr>
              <w:spacing w:after="0" w:line="360" w:lineRule="auto"/>
              <w:ind w:right="6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  <w:r w:rsidRPr="00CD5CFB">
              <w:rPr>
                <w:rFonts w:asciiTheme="minorHAnsi" w:hAnsiTheme="minorHAnsi" w:cs="Arial"/>
                <w:lang w:val="en-GB"/>
              </w:rPr>
              <w:t>&lt;0.001</w:t>
            </w:r>
          </w:p>
        </w:tc>
      </w:tr>
    </w:tbl>
    <w:p w:rsidR="00341D45" w:rsidRPr="00CD5CFB" w:rsidRDefault="00341D45" w:rsidP="00341D45">
      <w:pPr>
        <w:spacing w:before="240" w:line="480" w:lineRule="auto"/>
        <w:jc w:val="both"/>
        <w:rPr>
          <w:rFonts w:asciiTheme="minorHAnsi" w:hAnsiTheme="minorHAnsi"/>
          <w:szCs w:val="20"/>
          <w:lang w:val="en-GB"/>
        </w:rPr>
      </w:pPr>
      <w:r w:rsidRPr="00CD5CFB">
        <w:rPr>
          <w:rFonts w:asciiTheme="minorHAnsi" w:hAnsiTheme="minorHAnsi"/>
          <w:szCs w:val="20"/>
          <w:lang w:val="en-GB"/>
        </w:rPr>
        <w:t>BMI, body mass index. Results are expressed as number of participants (percentage) for categorical variables or as average ± standard deviation for continuous variables. Between group comparisons using chi-square for categorical variables or student’s t-test for continuous variables.</w:t>
      </w:r>
    </w:p>
    <w:p w:rsidR="00341D45" w:rsidRPr="00CD5CFB" w:rsidRDefault="00341D45" w:rsidP="00341D45">
      <w:pPr>
        <w:spacing w:after="0" w:line="240" w:lineRule="auto"/>
        <w:rPr>
          <w:rFonts w:asciiTheme="minorHAnsi" w:hAnsiTheme="minorHAnsi"/>
          <w:szCs w:val="20"/>
          <w:lang w:val="en-GB"/>
        </w:rPr>
      </w:pPr>
      <w:r w:rsidRPr="00CD5CFB">
        <w:rPr>
          <w:rFonts w:asciiTheme="minorHAnsi" w:hAnsiTheme="minorHAnsi"/>
          <w:szCs w:val="20"/>
          <w:lang w:val="en-GB"/>
        </w:rPr>
        <w:br w:type="page"/>
      </w:r>
    </w:p>
    <w:p w:rsidR="00341D45" w:rsidRPr="00CD5CFB" w:rsidRDefault="0026677B" w:rsidP="00341D45">
      <w:pPr>
        <w:spacing w:before="240" w:line="360" w:lineRule="auto"/>
        <w:rPr>
          <w:rFonts w:asciiTheme="minorHAnsi" w:hAnsiTheme="minorHAnsi"/>
          <w:szCs w:val="20"/>
          <w:lang w:val="en-GB"/>
        </w:rPr>
      </w:pPr>
      <w:r w:rsidRPr="00CD5CFB">
        <w:rPr>
          <w:rFonts w:asciiTheme="minorHAnsi" w:hAnsiTheme="minorHAnsi"/>
          <w:b/>
          <w:szCs w:val="20"/>
          <w:lang w:val="en-GB"/>
        </w:rPr>
        <w:lastRenderedPageBreak/>
        <w:t xml:space="preserve">Supplementary table </w:t>
      </w:r>
      <w:r w:rsidR="00017BBA" w:rsidRPr="00CD5CFB">
        <w:rPr>
          <w:rFonts w:asciiTheme="minorHAnsi" w:hAnsiTheme="minorHAnsi"/>
          <w:b/>
          <w:szCs w:val="20"/>
          <w:lang w:val="en-GB"/>
        </w:rPr>
        <w:t>3</w:t>
      </w:r>
      <w:r w:rsidR="00341D45" w:rsidRPr="00CD5CFB">
        <w:rPr>
          <w:rFonts w:asciiTheme="minorHAnsi" w:hAnsiTheme="minorHAnsi"/>
          <w:b/>
          <w:szCs w:val="20"/>
          <w:lang w:val="en-GB"/>
        </w:rPr>
        <w:t xml:space="preserve">: </w:t>
      </w:r>
      <w:r w:rsidR="00341D45" w:rsidRPr="00CD5CFB">
        <w:rPr>
          <w:rFonts w:asciiTheme="minorHAnsi" w:hAnsiTheme="minorHAnsi"/>
          <w:szCs w:val="20"/>
          <w:lang w:val="en-GB"/>
        </w:rPr>
        <w:t xml:space="preserve">multivariate associations between selected dietary patterns or scores with C-reactive protein levels. </w:t>
      </w:r>
      <w:proofErr w:type="spellStart"/>
      <w:r w:rsidR="00341D45" w:rsidRPr="00CD5CFB">
        <w:rPr>
          <w:rFonts w:asciiTheme="minorHAnsi" w:hAnsiTheme="minorHAnsi"/>
          <w:szCs w:val="20"/>
          <w:lang w:val="en-GB"/>
        </w:rPr>
        <w:t>CoLaus</w:t>
      </w:r>
      <w:proofErr w:type="spellEnd"/>
      <w:r w:rsidR="00341D45" w:rsidRPr="00CD5CFB">
        <w:rPr>
          <w:rFonts w:asciiTheme="minorHAnsi" w:hAnsiTheme="minorHAnsi"/>
          <w:szCs w:val="20"/>
          <w:lang w:val="en-GB"/>
        </w:rPr>
        <w:t xml:space="preserve"> study, Lausanne, Switzerland, 2009-2012.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4"/>
        <w:gridCol w:w="2264"/>
        <w:gridCol w:w="2264"/>
      </w:tblGrid>
      <w:tr w:rsidR="00CD5CFB" w:rsidRPr="00CD5CFB" w:rsidTr="00F84FA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D45" w:rsidRPr="00CD5CFB" w:rsidRDefault="00341D45" w:rsidP="00F84FA2">
            <w:pPr>
              <w:spacing w:after="0" w:line="48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41D45" w:rsidRPr="00CD5CFB" w:rsidRDefault="00341D45" w:rsidP="00F84FA2">
            <w:pPr>
              <w:spacing w:after="0" w:line="480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D5CFB">
              <w:rPr>
                <w:rFonts w:asciiTheme="minorHAnsi" w:hAnsiTheme="minorHAnsi"/>
                <w:b/>
                <w:lang w:val="en-GB"/>
              </w:rPr>
              <w:t>Fruits &amp; Vegetables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41D45" w:rsidRPr="00CD5CFB" w:rsidRDefault="00341D45" w:rsidP="00F84FA2">
            <w:pPr>
              <w:spacing w:after="0" w:line="480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D5CFB">
              <w:rPr>
                <w:rFonts w:asciiTheme="minorHAnsi" w:hAnsiTheme="minorHAnsi"/>
                <w:b/>
                <w:lang w:val="en-GB"/>
              </w:rPr>
              <w:t>Mediterranean diet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41D45" w:rsidRPr="00CD5CFB" w:rsidRDefault="00341D45" w:rsidP="00F84FA2">
            <w:pPr>
              <w:spacing w:after="0" w:line="480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D5CFB">
              <w:rPr>
                <w:rFonts w:asciiTheme="minorHAnsi" w:hAnsiTheme="minorHAnsi"/>
                <w:b/>
                <w:lang w:val="en-GB"/>
              </w:rPr>
              <w:t>AHEI</w:t>
            </w:r>
          </w:p>
        </w:tc>
      </w:tr>
      <w:tr w:rsidR="00CD5CFB" w:rsidRPr="00CD5CFB" w:rsidTr="00F84FA2">
        <w:tc>
          <w:tcPr>
            <w:tcW w:w="2268" w:type="dxa"/>
            <w:tcBorders>
              <w:top w:val="single" w:sz="4" w:space="0" w:color="auto"/>
            </w:tcBorders>
          </w:tcPr>
          <w:p w:rsidR="00341D45" w:rsidRPr="00CD5CFB" w:rsidRDefault="00341D45" w:rsidP="00F84FA2">
            <w:pPr>
              <w:spacing w:after="0" w:line="480" w:lineRule="auto"/>
              <w:rPr>
                <w:rFonts w:asciiTheme="minorHAnsi" w:hAnsiTheme="minorHAnsi"/>
                <w:lang w:val="en-GB"/>
              </w:rPr>
            </w:pPr>
            <w:r w:rsidRPr="00CD5CFB">
              <w:rPr>
                <w:rFonts w:asciiTheme="minorHAnsi" w:hAnsiTheme="minorHAnsi"/>
                <w:lang w:val="en-GB"/>
              </w:rPr>
              <w:t>Fruit intake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341D45" w:rsidRPr="00CD5CFB" w:rsidRDefault="005A2783" w:rsidP="00F84FA2">
            <w:pPr>
              <w:spacing w:after="0" w:line="480" w:lineRule="auto"/>
              <w:jc w:val="center"/>
              <w:rPr>
                <w:rFonts w:asciiTheme="minorHAnsi" w:hAnsiTheme="minorHAnsi"/>
                <w:lang w:val="en-GB"/>
              </w:rPr>
            </w:pPr>
            <w:r w:rsidRPr="00CD5CFB">
              <w:rPr>
                <w:rFonts w:asciiTheme="minorHAnsi" w:hAnsiTheme="minorHAnsi"/>
                <w:lang w:val="en-GB"/>
              </w:rPr>
              <w:t>-0.018</w:t>
            </w:r>
            <w:r w:rsidR="00E34808" w:rsidRPr="00CD5CFB">
              <w:rPr>
                <w:rFonts w:asciiTheme="minorHAnsi" w:hAnsiTheme="minorHAnsi"/>
                <w:lang w:val="en-GB"/>
              </w:rPr>
              <w:t xml:space="preserve"> (0.322</w:t>
            </w:r>
            <w:r w:rsidR="00341D45" w:rsidRPr="00CD5CFB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341D45" w:rsidRPr="00CD5CFB" w:rsidRDefault="00341D45" w:rsidP="00F84FA2">
            <w:pPr>
              <w:spacing w:after="0" w:line="480" w:lineRule="auto"/>
              <w:jc w:val="center"/>
              <w:rPr>
                <w:rFonts w:asciiTheme="minorHAnsi" w:hAnsiTheme="minorHAnsi"/>
                <w:lang w:val="en-GB"/>
              </w:rPr>
            </w:pPr>
            <w:r w:rsidRPr="00CD5CFB">
              <w:rPr>
                <w:rFonts w:asciiTheme="minorHAnsi" w:hAnsiTheme="minorHAnsi"/>
                <w:lang w:val="en-GB"/>
              </w:rPr>
              <w:t>-0.032 (0.063)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341D45" w:rsidRPr="00CD5CFB" w:rsidRDefault="00341D45" w:rsidP="00F84FA2">
            <w:pPr>
              <w:spacing w:after="0" w:line="480" w:lineRule="auto"/>
              <w:jc w:val="center"/>
              <w:rPr>
                <w:rFonts w:asciiTheme="minorHAnsi" w:hAnsiTheme="minorHAnsi"/>
                <w:lang w:val="en-GB"/>
              </w:rPr>
            </w:pPr>
            <w:r w:rsidRPr="00CD5CFB">
              <w:rPr>
                <w:rFonts w:asciiTheme="minorHAnsi" w:hAnsiTheme="minorHAnsi"/>
                <w:lang w:val="en-GB"/>
              </w:rPr>
              <w:t>-0.015 (0.399)</w:t>
            </w:r>
          </w:p>
        </w:tc>
      </w:tr>
      <w:tr w:rsidR="00CD5CFB" w:rsidRPr="00CD5CFB" w:rsidTr="00F84FA2">
        <w:tc>
          <w:tcPr>
            <w:tcW w:w="2268" w:type="dxa"/>
            <w:tcBorders>
              <w:bottom w:val="single" w:sz="4" w:space="0" w:color="auto"/>
            </w:tcBorders>
          </w:tcPr>
          <w:p w:rsidR="00341D45" w:rsidRPr="00CD5CFB" w:rsidRDefault="00341D45" w:rsidP="00F84FA2">
            <w:pPr>
              <w:spacing w:after="0" w:line="480" w:lineRule="auto"/>
              <w:rPr>
                <w:rFonts w:asciiTheme="minorHAnsi" w:hAnsiTheme="minorHAnsi"/>
                <w:lang w:val="en-GB"/>
              </w:rPr>
            </w:pPr>
            <w:r w:rsidRPr="00CD5CFB">
              <w:rPr>
                <w:rFonts w:asciiTheme="minorHAnsi" w:hAnsiTheme="minorHAnsi"/>
                <w:lang w:val="en-GB"/>
              </w:rPr>
              <w:t>Selected score/pattern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41D45" w:rsidRPr="00CD5CFB" w:rsidRDefault="005A2783" w:rsidP="005A2783">
            <w:pPr>
              <w:spacing w:after="0" w:line="480" w:lineRule="auto"/>
              <w:jc w:val="center"/>
              <w:rPr>
                <w:rFonts w:asciiTheme="minorHAnsi" w:hAnsiTheme="minorHAnsi"/>
                <w:lang w:val="en-GB"/>
              </w:rPr>
            </w:pPr>
            <w:r w:rsidRPr="00CD5CFB">
              <w:rPr>
                <w:rFonts w:asciiTheme="minorHAnsi" w:hAnsiTheme="minorHAnsi"/>
                <w:lang w:val="en-GB"/>
              </w:rPr>
              <w:t>-0.071</w:t>
            </w:r>
            <w:r w:rsidR="00341D45" w:rsidRPr="00CD5CFB">
              <w:rPr>
                <w:rFonts w:asciiTheme="minorHAnsi" w:hAnsiTheme="minorHAnsi"/>
                <w:lang w:val="en-GB"/>
              </w:rPr>
              <w:t xml:space="preserve"> (</w:t>
            </w:r>
            <w:r w:rsidRPr="00CD5CFB">
              <w:rPr>
                <w:rFonts w:asciiTheme="minorHAnsi" w:hAnsiTheme="minorHAnsi"/>
                <w:lang w:val="en-GB"/>
              </w:rPr>
              <w:t>&lt;0.001</w:t>
            </w:r>
            <w:r w:rsidR="00341D45" w:rsidRPr="00CD5CFB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41D45" w:rsidRPr="00CD5CFB" w:rsidRDefault="00341D45" w:rsidP="00F84FA2">
            <w:pPr>
              <w:spacing w:after="0" w:line="480" w:lineRule="auto"/>
              <w:jc w:val="center"/>
              <w:rPr>
                <w:rFonts w:asciiTheme="minorHAnsi" w:hAnsiTheme="minorHAnsi"/>
                <w:lang w:val="en-GB"/>
              </w:rPr>
            </w:pPr>
            <w:r w:rsidRPr="00CD5CFB">
              <w:rPr>
                <w:rFonts w:asciiTheme="minorHAnsi" w:hAnsiTheme="minorHAnsi"/>
                <w:lang w:val="en-GB"/>
              </w:rPr>
              <w:t>-0.035 (0.027)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41D45" w:rsidRPr="00CD5CFB" w:rsidRDefault="00341D45" w:rsidP="00F84FA2">
            <w:pPr>
              <w:spacing w:after="0" w:line="480" w:lineRule="auto"/>
              <w:jc w:val="center"/>
              <w:rPr>
                <w:rFonts w:asciiTheme="minorHAnsi" w:hAnsiTheme="minorHAnsi"/>
                <w:lang w:val="en-GB"/>
              </w:rPr>
            </w:pPr>
            <w:r w:rsidRPr="00CD5CFB">
              <w:rPr>
                <w:rFonts w:asciiTheme="minorHAnsi" w:hAnsiTheme="minorHAnsi"/>
                <w:lang w:val="en-GB"/>
              </w:rPr>
              <w:t>-0.061 (&lt;0.001)</w:t>
            </w:r>
          </w:p>
        </w:tc>
      </w:tr>
    </w:tbl>
    <w:p w:rsidR="00341D45" w:rsidRPr="00CD5CFB" w:rsidRDefault="00341D45" w:rsidP="00341D45">
      <w:pPr>
        <w:spacing w:before="240" w:line="480" w:lineRule="auto"/>
        <w:rPr>
          <w:rFonts w:asciiTheme="majorHAnsi" w:hAnsiTheme="majorHAnsi"/>
          <w:lang w:val="en-GB"/>
        </w:rPr>
      </w:pPr>
      <w:r w:rsidRPr="00CD5CFB">
        <w:rPr>
          <w:rFonts w:asciiTheme="minorHAnsi" w:hAnsiTheme="minorHAnsi"/>
          <w:szCs w:val="20"/>
          <w:lang w:val="en-GB"/>
        </w:rPr>
        <w:t>AHEI, alternate healthy eating index. Data from 4027 participants. Results are expressed as standardized regression coefficients and (p-value). Multivariable analysis adjusting for age (continuous), body mass index (continuous), gender, smoking (never, former, current), educational level (high, middle</w:t>
      </w:r>
      <w:r w:rsidRPr="00CD5CFB">
        <w:rPr>
          <w:rFonts w:asciiTheme="majorHAnsi" w:hAnsiTheme="majorHAnsi"/>
          <w:lang w:val="en-GB"/>
        </w:rPr>
        <w:t>, low),</w:t>
      </w:r>
      <w:bookmarkStart w:id="0" w:name="_GoBack"/>
      <w:bookmarkEnd w:id="0"/>
      <w:r w:rsidR="00CD5CFB">
        <w:rPr>
          <w:rFonts w:asciiTheme="majorHAnsi" w:hAnsiTheme="majorHAnsi"/>
          <w:lang w:val="en-GB"/>
        </w:rPr>
        <w:t xml:space="preserve"> </w:t>
      </w:r>
      <w:r w:rsidR="008E34FA" w:rsidRPr="00CD5CFB">
        <w:rPr>
          <w:rFonts w:asciiTheme="majorHAnsi" w:hAnsiTheme="majorHAnsi"/>
          <w:lang w:val="en-GB"/>
        </w:rPr>
        <w:t>sedentary status (yes/no)</w:t>
      </w:r>
      <w:r w:rsidRPr="00CD5CFB">
        <w:rPr>
          <w:rFonts w:asciiTheme="majorHAnsi" w:hAnsiTheme="majorHAnsi"/>
          <w:lang w:val="en-GB"/>
        </w:rPr>
        <w:t>, diabetes (yes/no) and total caloric intake (continuous).</w:t>
      </w:r>
    </w:p>
    <w:p w:rsidR="00341D45" w:rsidRPr="00CD5CFB" w:rsidRDefault="00341D45" w:rsidP="00341D45">
      <w:pPr>
        <w:spacing w:after="0" w:line="240" w:lineRule="auto"/>
        <w:rPr>
          <w:rFonts w:asciiTheme="minorHAnsi" w:hAnsiTheme="minorHAnsi"/>
          <w:b/>
          <w:szCs w:val="20"/>
          <w:lang w:val="en-GB"/>
        </w:rPr>
      </w:pPr>
    </w:p>
    <w:p w:rsidR="0097103C" w:rsidRPr="00CD5CFB" w:rsidRDefault="0097103C">
      <w:pPr>
        <w:spacing w:after="0" w:line="240" w:lineRule="auto"/>
        <w:rPr>
          <w:rFonts w:asciiTheme="minorHAnsi" w:hAnsiTheme="minorHAnsi"/>
          <w:b/>
          <w:szCs w:val="20"/>
          <w:lang w:val="en-GB"/>
        </w:rPr>
      </w:pPr>
      <w:r w:rsidRPr="00CD5CFB">
        <w:rPr>
          <w:rFonts w:asciiTheme="minorHAnsi" w:hAnsiTheme="minorHAnsi"/>
          <w:b/>
          <w:szCs w:val="20"/>
          <w:lang w:val="en-GB"/>
        </w:rPr>
        <w:br w:type="page"/>
      </w:r>
    </w:p>
    <w:p w:rsidR="00341D45" w:rsidRPr="00CD5CFB" w:rsidRDefault="0097103C" w:rsidP="00341D45">
      <w:pPr>
        <w:spacing w:after="0" w:line="240" w:lineRule="auto"/>
        <w:rPr>
          <w:rFonts w:asciiTheme="minorHAnsi" w:hAnsiTheme="minorHAnsi"/>
          <w:b/>
          <w:szCs w:val="20"/>
          <w:lang w:val="en-GB"/>
        </w:rPr>
      </w:pPr>
      <w:r w:rsidRPr="00CD5CFB">
        <w:rPr>
          <w:rFonts w:asciiTheme="minorHAnsi" w:hAnsiTheme="minorHAnsi"/>
          <w:b/>
          <w:szCs w:val="20"/>
          <w:lang w:val="en-GB"/>
        </w:rPr>
        <w:lastRenderedPageBreak/>
        <w:t>References</w:t>
      </w:r>
    </w:p>
    <w:p w:rsidR="0097103C" w:rsidRPr="00CD5CFB" w:rsidRDefault="0097103C" w:rsidP="00341D45">
      <w:pPr>
        <w:spacing w:after="0" w:line="240" w:lineRule="auto"/>
        <w:rPr>
          <w:rFonts w:asciiTheme="minorHAnsi" w:hAnsiTheme="minorHAnsi"/>
          <w:b/>
          <w:szCs w:val="20"/>
          <w:lang w:val="en-GB"/>
        </w:rPr>
      </w:pPr>
    </w:p>
    <w:p w:rsidR="00973C66" w:rsidRPr="00CD5CFB" w:rsidRDefault="00973C66" w:rsidP="00973C66">
      <w:pPr>
        <w:pStyle w:val="EndNoteBibliography"/>
        <w:spacing w:after="120" w:line="360" w:lineRule="auto"/>
        <w:ind w:left="426" w:hanging="426"/>
        <w:rPr>
          <w:rFonts w:asciiTheme="majorHAnsi" w:hAnsiTheme="majorHAnsi"/>
          <w:sz w:val="22"/>
          <w:lang w:val="de-CH"/>
        </w:rPr>
      </w:pPr>
      <w:r w:rsidRPr="00CD5CFB">
        <w:rPr>
          <w:rFonts w:asciiTheme="majorHAnsi" w:hAnsiTheme="majorHAnsi"/>
          <w:sz w:val="22"/>
          <w:lang w:val="en-GB"/>
        </w:rPr>
        <w:fldChar w:fldCharType="begin"/>
      </w:r>
      <w:r w:rsidRPr="00CD5CFB">
        <w:rPr>
          <w:rFonts w:asciiTheme="majorHAnsi" w:hAnsiTheme="majorHAnsi"/>
          <w:sz w:val="22"/>
          <w:lang w:val="en-GB"/>
        </w:rPr>
        <w:instrText xml:space="preserve"> ADDIN EN.REFLIST </w:instrText>
      </w:r>
      <w:r w:rsidRPr="00CD5CFB">
        <w:rPr>
          <w:rFonts w:asciiTheme="majorHAnsi" w:hAnsiTheme="majorHAnsi"/>
          <w:sz w:val="22"/>
          <w:lang w:val="en-GB"/>
        </w:rPr>
        <w:fldChar w:fldCharType="separate"/>
      </w:r>
      <w:r w:rsidRPr="00CD5CFB">
        <w:rPr>
          <w:rFonts w:asciiTheme="majorHAnsi" w:hAnsiTheme="majorHAnsi"/>
          <w:sz w:val="22"/>
        </w:rPr>
        <w:t>1. Trichopoulou A, Costacou T, Bamia C</w:t>
      </w:r>
      <w:r w:rsidRPr="00CD5CFB">
        <w:rPr>
          <w:rFonts w:asciiTheme="majorHAnsi" w:hAnsiTheme="majorHAnsi"/>
          <w:i/>
          <w:sz w:val="22"/>
        </w:rPr>
        <w:t xml:space="preserve"> et al. </w:t>
      </w:r>
      <w:r w:rsidRPr="00CD5CFB">
        <w:rPr>
          <w:rFonts w:asciiTheme="majorHAnsi" w:hAnsiTheme="majorHAnsi"/>
          <w:sz w:val="22"/>
        </w:rPr>
        <w:t xml:space="preserve">(2003) Adherence to a Mediterranean Diet and Survival in a Greek Population. </w:t>
      </w:r>
      <w:r w:rsidRPr="00CD5CFB">
        <w:rPr>
          <w:rFonts w:asciiTheme="majorHAnsi" w:hAnsiTheme="majorHAnsi"/>
          <w:i/>
          <w:sz w:val="22"/>
          <w:lang w:val="de-CH"/>
        </w:rPr>
        <w:t>New Engl J Med</w:t>
      </w:r>
      <w:r w:rsidRPr="00CD5CFB">
        <w:rPr>
          <w:rFonts w:asciiTheme="majorHAnsi" w:hAnsiTheme="majorHAnsi"/>
          <w:sz w:val="22"/>
          <w:lang w:val="de-CH"/>
        </w:rPr>
        <w:t xml:space="preserve"> </w:t>
      </w:r>
      <w:r w:rsidRPr="00CD5CFB">
        <w:rPr>
          <w:rFonts w:asciiTheme="majorHAnsi" w:hAnsiTheme="majorHAnsi"/>
          <w:b/>
          <w:sz w:val="22"/>
          <w:lang w:val="de-CH"/>
        </w:rPr>
        <w:t>348</w:t>
      </w:r>
      <w:r w:rsidRPr="00CD5CFB">
        <w:rPr>
          <w:rFonts w:asciiTheme="majorHAnsi" w:hAnsiTheme="majorHAnsi"/>
          <w:sz w:val="22"/>
          <w:lang w:val="de-CH"/>
        </w:rPr>
        <w:t>, 2599-2608.</w:t>
      </w:r>
    </w:p>
    <w:p w:rsidR="00973C66" w:rsidRPr="00CD5CFB" w:rsidRDefault="00973C66" w:rsidP="00973C66">
      <w:pPr>
        <w:pStyle w:val="EndNoteBibliography"/>
        <w:spacing w:after="120" w:line="360" w:lineRule="auto"/>
        <w:ind w:left="426" w:hanging="426"/>
        <w:rPr>
          <w:rFonts w:asciiTheme="majorHAnsi" w:hAnsiTheme="majorHAnsi"/>
          <w:sz w:val="22"/>
          <w:lang w:val="de-CH"/>
        </w:rPr>
      </w:pPr>
      <w:r w:rsidRPr="00CD5CFB">
        <w:rPr>
          <w:rFonts w:asciiTheme="majorHAnsi" w:hAnsiTheme="majorHAnsi"/>
          <w:sz w:val="22"/>
          <w:lang w:val="de-CH"/>
        </w:rPr>
        <w:t>2. Vormund K, Braun J, Rohrmann S</w:t>
      </w:r>
      <w:r w:rsidRPr="00CD5CFB">
        <w:rPr>
          <w:rFonts w:asciiTheme="majorHAnsi" w:hAnsiTheme="majorHAnsi"/>
          <w:i/>
          <w:sz w:val="22"/>
          <w:lang w:val="de-CH"/>
        </w:rPr>
        <w:t xml:space="preserve"> et al. </w:t>
      </w:r>
      <w:r w:rsidRPr="00CD5CFB">
        <w:rPr>
          <w:rFonts w:asciiTheme="majorHAnsi" w:hAnsiTheme="majorHAnsi"/>
          <w:sz w:val="22"/>
          <w:lang w:val="de-CH"/>
        </w:rPr>
        <w:t xml:space="preserve">(2015) Mediterranean diet and mortality in Switzerland: an alpine paradox? </w:t>
      </w:r>
      <w:r w:rsidRPr="00CD5CFB">
        <w:rPr>
          <w:rFonts w:asciiTheme="majorHAnsi" w:hAnsiTheme="majorHAnsi"/>
          <w:i/>
          <w:sz w:val="22"/>
          <w:lang w:val="de-CH"/>
        </w:rPr>
        <w:t>Eur J Nutr</w:t>
      </w:r>
      <w:r w:rsidRPr="00CD5CFB">
        <w:rPr>
          <w:rFonts w:asciiTheme="majorHAnsi" w:hAnsiTheme="majorHAnsi"/>
          <w:sz w:val="22"/>
          <w:lang w:val="de-CH"/>
        </w:rPr>
        <w:t xml:space="preserve"> </w:t>
      </w:r>
      <w:r w:rsidRPr="00CD5CFB">
        <w:rPr>
          <w:rFonts w:asciiTheme="majorHAnsi" w:hAnsiTheme="majorHAnsi"/>
          <w:b/>
          <w:sz w:val="22"/>
          <w:lang w:val="de-CH"/>
        </w:rPr>
        <w:t>54</w:t>
      </w:r>
      <w:r w:rsidRPr="00CD5CFB">
        <w:rPr>
          <w:rFonts w:asciiTheme="majorHAnsi" w:hAnsiTheme="majorHAnsi"/>
          <w:sz w:val="22"/>
          <w:lang w:val="de-CH"/>
        </w:rPr>
        <w:t>, 139-148.</w:t>
      </w:r>
    </w:p>
    <w:p w:rsidR="00973C66" w:rsidRPr="00CD5CFB" w:rsidRDefault="00973C66" w:rsidP="00973C66">
      <w:pPr>
        <w:pStyle w:val="EndNoteBibliography"/>
        <w:spacing w:after="120" w:line="360" w:lineRule="auto"/>
        <w:ind w:left="426" w:hanging="426"/>
        <w:rPr>
          <w:rFonts w:asciiTheme="majorHAnsi" w:hAnsiTheme="majorHAnsi"/>
          <w:sz w:val="22"/>
        </w:rPr>
      </w:pPr>
      <w:r w:rsidRPr="00CD5CFB">
        <w:rPr>
          <w:rFonts w:asciiTheme="majorHAnsi" w:hAnsiTheme="majorHAnsi"/>
          <w:sz w:val="22"/>
          <w:lang w:val="de-CH"/>
        </w:rPr>
        <w:t>3. McCullough ML, Feskanich D, Stampfer MJ</w:t>
      </w:r>
      <w:r w:rsidRPr="00CD5CFB">
        <w:rPr>
          <w:rFonts w:asciiTheme="majorHAnsi" w:hAnsiTheme="majorHAnsi"/>
          <w:i/>
          <w:sz w:val="22"/>
          <w:lang w:val="de-CH"/>
        </w:rPr>
        <w:t xml:space="preserve"> et al. </w:t>
      </w:r>
      <w:r w:rsidRPr="00CD5CFB">
        <w:rPr>
          <w:rFonts w:asciiTheme="majorHAnsi" w:hAnsiTheme="majorHAnsi"/>
          <w:sz w:val="22"/>
        </w:rPr>
        <w:t xml:space="preserve">(2002) Diet quality and major chronic disease risk in men and women: Moving toward improved dietary guidance. </w:t>
      </w:r>
      <w:r w:rsidRPr="00CD5CFB">
        <w:rPr>
          <w:rFonts w:asciiTheme="majorHAnsi" w:hAnsiTheme="majorHAnsi"/>
          <w:i/>
          <w:sz w:val="22"/>
        </w:rPr>
        <w:t>Am J Clin Nutr</w:t>
      </w:r>
      <w:r w:rsidRPr="00CD5CFB">
        <w:rPr>
          <w:rFonts w:asciiTheme="majorHAnsi" w:hAnsiTheme="majorHAnsi"/>
          <w:sz w:val="22"/>
        </w:rPr>
        <w:t xml:space="preserve"> </w:t>
      </w:r>
      <w:r w:rsidRPr="00CD5CFB">
        <w:rPr>
          <w:rFonts w:asciiTheme="majorHAnsi" w:hAnsiTheme="majorHAnsi"/>
          <w:b/>
          <w:sz w:val="22"/>
        </w:rPr>
        <w:t>76</w:t>
      </w:r>
      <w:r w:rsidRPr="00CD5CFB">
        <w:rPr>
          <w:rFonts w:asciiTheme="majorHAnsi" w:hAnsiTheme="majorHAnsi"/>
          <w:sz w:val="22"/>
        </w:rPr>
        <w:t>, 1261-1271.</w:t>
      </w:r>
    </w:p>
    <w:p w:rsidR="00973C66" w:rsidRPr="00CD5CFB" w:rsidRDefault="00973C66" w:rsidP="00973C66">
      <w:pPr>
        <w:pStyle w:val="EndNoteBibliography"/>
        <w:spacing w:after="120" w:line="360" w:lineRule="auto"/>
        <w:ind w:left="426" w:hanging="426"/>
        <w:rPr>
          <w:rFonts w:asciiTheme="majorHAnsi" w:hAnsiTheme="majorHAnsi"/>
          <w:sz w:val="22"/>
        </w:rPr>
      </w:pPr>
      <w:r w:rsidRPr="00CD5CFB">
        <w:rPr>
          <w:rFonts w:asciiTheme="majorHAnsi" w:hAnsiTheme="majorHAnsi"/>
          <w:sz w:val="22"/>
          <w:lang w:val="fr-CH"/>
        </w:rPr>
        <w:t>4. Shivappa N, Steck SE, Hurley TG</w:t>
      </w:r>
      <w:r w:rsidRPr="00CD5CFB">
        <w:rPr>
          <w:rFonts w:asciiTheme="majorHAnsi" w:hAnsiTheme="majorHAnsi"/>
          <w:i/>
          <w:sz w:val="22"/>
          <w:lang w:val="fr-CH"/>
        </w:rPr>
        <w:t xml:space="preserve"> et al. </w:t>
      </w:r>
      <w:r w:rsidRPr="00CD5CFB">
        <w:rPr>
          <w:rFonts w:asciiTheme="majorHAnsi" w:hAnsiTheme="majorHAnsi"/>
          <w:sz w:val="22"/>
        </w:rPr>
        <w:t xml:space="preserve">(2014) Designing and developing a literature-derived, population-based dietary inflammatory index. </w:t>
      </w:r>
      <w:r w:rsidRPr="00CD5CFB">
        <w:rPr>
          <w:rFonts w:asciiTheme="majorHAnsi" w:hAnsiTheme="majorHAnsi"/>
          <w:i/>
          <w:sz w:val="22"/>
        </w:rPr>
        <w:t>Public Health Nutr</w:t>
      </w:r>
      <w:r w:rsidRPr="00CD5CFB">
        <w:rPr>
          <w:rFonts w:asciiTheme="majorHAnsi" w:hAnsiTheme="majorHAnsi"/>
          <w:sz w:val="22"/>
        </w:rPr>
        <w:t xml:space="preserve"> </w:t>
      </w:r>
      <w:r w:rsidRPr="00CD5CFB">
        <w:rPr>
          <w:rFonts w:asciiTheme="majorHAnsi" w:hAnsiTheme="majorHAnsi"/>
          <w:b/>
          <w:sz w:val="22"/>
        </w:rPr>
        <w:t>17</w:t>
      </w:r>
      <w:r w:rsidRPr="00CD5CFB">
        <w:rPr>
          <w:rFonts w:asciiTheme="majorHAnsi" w:hAnsiTheme="majorHAnsi"/>
          <w:sz w:val="22"/>
        </w:rPr>
        <w:t>, 1689-1696.</w:t>
      </w:r>
    </w:p>
    <w:p w:rsidR="00664266" w:rsidRPr="00CD5CFB" w:rsidRDefault="00973C66" w:rsidP="00973C66">
      <w:pPr>
        <w:pStyle w:val="Sansinterligne"/>
        <w:spacing w:after="120" w:line="360" w:lineRule="auto"/>
        <w:ind w:left="426" w:hanging="426"/>
        <w:rPr>
          <w:rFonts w:asciiTheme="minorHAnsi" w:hAnsiTheme="minorHAnsi"/>
          <w:lang w:val="en-GB"/>
        </w:rPr>
      </w:pPr>
      <w:r w:rsidRPr="00CD5CFB">
        <w:rPr>
          <w:rFonts w:asciiTheme="majorHAnsi" w:hAnsiTheme="majorHAnsi"/>
          <w:sz w:val="22"/>
          <w:lang w:val="en-GB"/>
        </w:rPr>
        <w:fldChar w:fldCharType="end"/>
      </w:r>
    </w:p>
    <w:sectPr w:rsidR="00664266" w:rsidRPr="00CD5CFB" w:rsidSect="00341D45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2D" w:rsidRDefault="00E13C2D" w:rsidP="0045030A">
      <w:r>
        <w:separator/>
      </w:r>
    </w:p>
  </w:endnote>
  <w:endnote w:type="continuationSeparator" w:id="0">
    <w:p w:rsidR="00E13C2D" w:rsidRDefault="00E13C2D" w:rsidP="004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983354"/>
      <w:docPartObj>
        <w:docPartGallery w:val="Page Numbers (Bottom of Page)"/>
        <w:docPartUnique/>
      </w:docPartObj>
    </w:sdtPr>
    <w:sdtEndPr/>
    <w:sdtContent>
      <w:p w:rsidR="00341D45" w:rsidRDefault="00341D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FB" w:rsidRPr="00CD5CFB">
          <w:rPr>
            <w:noProof/>
            <w:lang w:val="fr-FR"/>
          </w:rPr>
          <w:t>2</w:t>
        </w:r>
        <w:r>
          <w:fldChar w:fldCharType="end"/>
        </w:r>
      </w:p>
    </w:sdtContent>
  </w:sdt>
  <w:p w:rsidR="0045030A" w:rsidRDefault="004503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2D" w:rsidRDefault="00E13C2D" w:rsidP="0045030A">
      <w:r>
        <w:separator/>
      </w:r>
    </w:p>
  </w:footnote>
  <w:footnote w:type="continuationSeparator" w:id="0">
    <w:p w:rsidR="00E13C2D" w:rsidRDefault="00E13C2D" w:rsidP="0045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ublic Health Nutrition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vdx0xa42zev0ep0phxxvzcwrr2rarxtdfv&quot;&gt;Nutrition_inflammation&lt;record-ids&gt;&lt;item&gt;19&lt;/item&gt;&lt;item&gt;36&lt;/item&gt;&lt;item&gt;40&lt;/item&gt;&lt;item&gt;41&lt;/item&gt;&lt;/record-ids&gt;&lt;/item&gt;&lt;/Libraries&gt;"/>
  </w:docVars>
  <w:rsids>
    <w:rsidRoot w:val="00341D45"/>
    <w:rsid w:val="00016CA4"/>
    <w:rsid w:val="00017BBA"/>
    <w:rsid w:val="00057CED"/>
    <w:rsid w:val="000F0D32"/>
    <w:rsid w:val="00146EDE"/>
    <w:rsid w:val="0026677B"/>
    <w:rsid w:val="00281E53"/>
    <w:rsid w:val="002B7181"/>
    <w:rsid w:val="00341D45"/>
    <w:rsid w:val="00396DCF"/>
    <w:rsid w:val="004100FA"/>
    <w:rsid w:val="0045030A"/>
    <w:rsid w:val="005279AE"/>
    <w:rsid w:val="00580A8E"/>
    <w:rsid w:val="005A2783"/>
    <w:rsid w:val="005D740C"/>
    <w:rsid w:val="00664266"/>
    <w:rsid w:val="00747486"/>
    <w:rsid w:val="0082784C"/>
    <w:rsid w:val="0084535D"/>
    <w:rsid w:val="00856D0A"/>
    <w:rsid w:val="008E34FA"/>
    <w:rsid w:val="0097103C"/>
    <w:rsid w:val="00973C66"/>
    <w:rsid w:val="00B34911"/>
    <w:rsid w:val="00B443F8"/>
    <w:rsid w:val="00BC7631"/>
    <w:rsid w:val="00C136C1"/>
    <w:rsid w:val="00CB13A3"/>
    <w:rsid w:val="00CD5CFB"/>
    <w:rsid w:val="00CE15F1"/>
    <w:rsid w:val="00D60C21"/>
    <w:rsid w:val="00E13C2D"/>
    <w:rsid w:val="00E34808"/>
    <w:rsid w:val="00F643DA"/>
    <w:rsid w:val="00F86033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45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535D"/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45030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sz w:val="20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45030A"/>
  </w:style>
  <w:style w:type="paragraph" w:styleId="Pieddepage">
    <w:name w:val="footer"/>
    <w:basedOn w:val="Normal"/>
    <w:link w:val="PieddepageCar"/>
    <w:uiPriority w:val="99"/>
    <w:unhideWhenUsed/>
    <w:rsid w:val="0045030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sz w:val="20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45030A"/>
  </w:style>
  <w:style w:type="table" w:styleId="Grilledutableau">
    <w:name w:val="Table Grid"/>
    <w:basedOn w:val="TableauNormal"/>
    <w:uiPriority w:val="59"/>
    <w:rsid w:val="00341D45"/>
    <w:rPr>
      <w:rFonts w:ascii="Calibri" w:eastAsia="Times New Roman" w:hAnsi="Calibri" w:cs="Times New Roman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51">
    <w:name w:val="Tableau Grille 2 - Accentuation 51"/>
    <w:basedOn w:val="TableauNormal"/>
    <w:uiPriority w:val="47"/>
    <w:rsid w:val="00341D45"/>
    <w:rPr>
      <w:rFonts w:asciiTheme="minorHAnsi" w:hAnsiTheme="minorHAnsi"/>
      <w:sz w:val="22"/>
    </w:r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13A3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ar"/>
    <w:rsid w:val="00973C66"/>
    <w:pPr>
      <w:spacing w:after="0"/>
      <w:jc w:val="center"/>
    </w:pPr>
    <w:rPr>
      <w:rFonts w:ascii="Arial" w:hAnsi="Arial" w:cs="Arial"/>
      <w:noProof/>
      <w:sz w:val="20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73C66"/>
    <w:rPr>
      <w:rFonts w:eastAsia="Times New Roman" w:cs="Arial"/>
      <w:noProof/>
    </w:rPr>
  </w:style>
  <w:style w:type="paragraph" w:customStyle="1" w:styleId="EndNoteBibliography">
    <w:name w:val="EndNote Bibliography"/>
    <w:basedOn w:val="Normal"/>
    <w:link w:val="EndNoteBibliographyCar"/>
    <w:rsid w:val="00973C66"/>
    <w:pPr>
      <w:spacing w:line="240" w:lineRule="auto"/>
    </w:pPr>
    <w:rPr>
      <w:rFonts w:ascii="Arial" w:hAnsi="Arial" w:cs="Arial"/>
      <w:noProof/>
      <w:sz w:val="20"/>
    </w:rPr>
  </w:style>
  <w:style w:type="character" w:customStyle="1" w:styleId="EndNoteBibliographyCar">
    <w:name w:val="EndNote Bibliography Car"/>
    <w:basedOn w:val="Policepardfaut"/>
    <w:link w:val="EndNoteBibliography"/>
    <w:rsid w:val="00973C66"/>
    <w:rPr>
      <w:rFonts w:eastAsia="Times New Roman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_CFO_Compétences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_CFO_Compétences" id="{F261A1D7-D9B9-4A3E-9604-431426B697CF}" vid="{DDFCCE1E-12A7-46DE-8330-DB367F8B372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1704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2018-07-13T05:22:00Z</dcterms:created>
  <dcterms:modified xsi:type="dcterms:W3CDTF">2018-07-13T05:23:00Z</dcterms:modified>
</cp:coreProperties>
</file>