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E2" w:rsidRPr="008A2DE2" w:rsidRDefault="008A2DE2" w:rsidP="008A2DE2">
      <w:pPr>
        <w:pStyle w:val="Heading2"/>
        <w:spacing w:before="120" w:beforeAutospacing="0" w:after="120" w:afterAutospacing="0"/>
        <w:jc w:val="both"/>
        <w:rPr>
          <w:rFonts w:eastAsia="GrotMacronReg"/>
          <w:color w:val="1C497D"/>
          <w:sz w:val="24"/>
          <w:szCs w:val="24"/>
        </w:rPr>
      </w:pPr>
      <w:r w:rsidRPr="000E1383">
        <w:rPr>
          <w:rFonts w:eastAsia="GrotMacronReg"/>
          <w:color w:val="1C497D"/>
          <w:sz w:val="24"/>
          <w:szCs w:val="24"/>
        </w:rPr>
        <w:t>Supplementa</w:t>
      </w:r>
      <w:r w:rsidR="00863FC1">
        <w:rPr>
          <w:rFonts w:eastAsia="GrotMacronReg"/>
          <w:color w:val="1C497D"/>
          <w:sz w:val="24"/>
          <w:szCs w:val="24"/>
        </w:rPr>
        <w:t xml:space="preserve">l File </w:t>
      </w:r>
      <w:bookmarkStart w:id="0" w:name="_GoBack"/>
      <w:bookmarkEnd w:id="0"/>
      <w:r>
        <w:rPr>
          <w:rFonts w:eastAsia="GrotMacronReg"/>
          <w:color w:val="1C497D"/>
          <w:sz w:val="24"/>
          <w:szCs w:val="24"/>
        </w:rPr>
        <w:t>2</w:t>
      </w:r>
      <w:r w:rsidRPr="000E1383">
        <w:rPr>
          <w:rFonts w:eastAsia="GrotMacronReg"/>
          <w:color w:val="1C497D"/>
          <w:sz w:val="24"/>
          <w:szCs w:val="24"/>
        </w:rPr>
        <w:t xml:space="preserve">: </w:t>
      </w:r>
      <w:r w:rsidR="00A83D4A">
        <w:rPr>
          <w:rFonts w:eastAsia="GrotMacronReg"/>
          <w:color w:val="1C497D"/>
          <w:sz w:val="24"/>
          <w:szCs w:val="24"/>
        </w:rPr>
        <w:t xml:space="preserve">Table of </w:t>
      </w:r>
      <w:r>
        <w:rPr>
          <w:rFonts w:eastAsia="GrotMacronReg"/>
          <w:color w:val="1C497D"/>
          <w:sz w:val="24"/>
          <w:szCs w:val="24"/>
        </w:rPr>
        <w:t>actions and prioritisation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764"/>
        <w:gridCol w:w="1027"/>
      </w:tblGrid>
      <w:tr w:rsidR="008A2DE2" w:rsidRPr="00F7129F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b/>
                <w:sz w:val="20"/>
                <w:szCs w:val="20"/>
              </w:rPr>
            </w:pPr>
            <w:r w:rsidRPr="009E773D">
              <w:rPr>
                <w:b/>
                <w:sz w:val="20"/>
                <w:szCs w:val="20"/>
              </w:rPr>
              <w:t>Policy Action</w:t>
            </w:r>
          </w:p>
        </w:tc>
        <w:tc>
          <w:tcPr>
            <w:tcW w:w="1843" w:type="dxa"/>
          </w:tcPr>
          <w:p w:rsidR="008A2DE2" w:rsidRPr="009E773D" w:rsidRDefault="008A2DE2" w:rsidP="003A74CC">
            <w:pPr>
              <w:rPr>
                <w:b/>
                <w:sz w:val="20"/>
                <w:szCs w:val="20"/>
              </w:rPr>
            </w:pPr>
            <w:r w:rsidRPr="009E773D">
              <w:rPr>
                <w:b/>
                <w:sz w:val="20"/>
                <w:szCs w:val="20"/>
              </w:rPr>
              <w:t>Policy Action</w:t>
            </w:r>
          </w:p>
          <w:p w:rsidR="008A2DE2" w:rsidRPr="009E773D" w:rsidRDefault="008A2DE2" w:rsidP="003A74CC">
            <w:pPr>
              <w:rPr>
                <w:b/>
                <w:sz w:val="20"/>
                <w:szCs w:val="20"/>
              </w:rPr>
            </w:pPr>
            <w:r w:rsidRPr="009E773D">
              <w:rPr>
                <w:b/>
                <w:sz w:val="20"/>
                <w:szCs w:val="20"/>
              </w:rPr>
              <w:t xml:space="preserve"> (short-hand)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/>
                <w:color w:val="000000"/>
                <w:sz w:val="20"/>
                <w:szCs w:val="20"/>
              </w:rPr>
              <w:t>Weighted Score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Government to introduce composition standards for processed foods and dishes sold through food service in relation to free sugar, saturated fat and salt.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Composition standards for processed foods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229.4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Government continues to argue that the European Commission should develop a nutrient profile model for regulating nutrition and health claims within two years.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Nutrient profile model for nutrition and health claims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85.8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Government argues for an amendment to the European Union’s Food Information to Consumers Regulation to enable added sugar labelling on front-of-pack supplementary nutrition information.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Sugar labelling on FOP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Government to significantly reduce the exposure of children under the age of 16 years to the promotion of HFSS food and drink by removing such promotion from: a) broadcast media before 9pm; b) all non-broadcast media (including digital) which have an above average child audience; and c) the sponsorship of cultural and sporting events which appeal to children.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Control advertising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264.4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Government to implement the levy on sugary drinks by April 2018 and redesign the levy as a sales tax to ensure that the intervention provides a clear price differential at point of sale to promote a reduction in consumption of sugary drinks.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Implement levy on sugary drinks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Government to ensure that existing income-support programmes, such as Universal Credit and related precursors, provide adequate levels of financial support to cover the costs of living, including the cost of purchasing nutrient-rich diets.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Income support to cover cost of healthy diets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165.5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The Department of Education to work with Ofsted, the Care Quality Commission and Food Standards Agency to set out a new framework and independent body for inspection and monitoring of school and nursery food standards in England.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Monitoring of school and nursery food standards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188.3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 xml:space="preserve">Government to make Buying Standards for Food and Catering Services mandatory for all </w:t>
            </w:r>
            <w:proofErr w:type="gramStart"/>
            <w:r w:rsidRPr="009E773D">
              <w:rPr>
                <w:sz w:val="20"/>
                <w:szCs w:val="20"/>
              </w:rPr>
              <w:t>public sector</w:t>
            </w:r>
            <w:proofErr w:type="gramEnd"/>
            <w:r w:rsidRPr="009E773D">
              <w:rPr>
                <w:sz w:val="20"/>
                <w:szCs w:val="20"/>
              </w:rPr>
              <w:t xml:space="preserve"> institutions by 2020.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28D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Make buying standards mandatory 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171.2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6328DD">
              <w:rPr>
                <w:sz w:val="20"/>
                <w:szCs w:val="20"/>
              </w:rPr>
              <w:t>Government to provide incentives and information appropriate to all organisations (especially small- and medium-sized enterprises) to promote and sustain the provision of healthy food in workplaces (including in employee canteens and in vending machines) – building on pledge H4 in the Public Health Responsibility Deal on Health at Work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Promote healthy food in workplaces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137.6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Government to support local authorities to develop supplementary planning guidance and provide them with sufficient powers for a simplified mechanism of planning laws to enable them to both promote healthier food options and discourage less healthy offers.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Strengthen planning laws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169.4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 xml:space="preserve">Government to establish an appropriately-financed agency which </w:t>
            </w:r>
            <w:proofErr w:type="gramStart"/>
            <w:r w:rsidRPr="009E773D">
              <w:rPr>
                <w:sz w:val="20"/>
                <w:szCs w:val="20"/>
              </w:rPr>
              <w:t>is able to</w:t>
            </w:r>
            <w:proofErr w:type="gramEnd"/>
            <w:r w:rsidRPr="009E773D">
              <w:rPr>
                <w:sz w:val="20"/>
                <w:szCs w:val="20"/>
              </w:rPr>
              <w:t xml:space="preserve"> provide evidence-based guidance and support for retailers and food service outlets to both encourage and enable them to provide healthier food choices.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Establish agency to support retailers and food service outlets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132.1</w:t>
            </w:r>
          </w:p>
        </w:tc>
      </w:tr>
      <w:tr w:rsidR="008A2DE2" w:rsidTr="003A74CC">
        <w:tc>
          <w:tcPr>
            <w:tcW w:w="5382" w:type="dxa"/>
          </w:tcPr>
          <w:p w:rsidR="008A2DE2" w:rsidRPr="009E773D" w:rsidRDefault="008A2DE2" w:rsidP="003A74CC">
            <w:pPr>
              <w:rPr>
                <w:sz w:val="20"/>
                <w:szCs w:val="20"/>
              </w:rPr>
            </w:pPr>
            <w:r w:rsidRPr="009E773D">
              <w:rPr>
                <w:sz w:val="20"/>
                <w:szCs w:val="20"/>
              </w:rPr>
              <w:t>Government to ensure that robust provisions are in place to explicitly protect and promote public health within international trade agreements to which England is signatory.</w:t>
            </w:r>
          </w:p>
        </w:tc>
        <w:tc>
          <w:tcPr>
            <w:tcW w:w="1843" w:type="dxa"/>
            <w:vAlign w:val="center"/>
          </w:tcPr>
          <w:p w:rsidR="008A2DE2" w:rsidRPr="009E773D" w:rsidRDefault="008A2DE2" w:rsidP="003A74C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bCs/>
                <w:color w:val="000000"/>
                <w:sz w:val="20"/>
                <w:szCs w:val="20"/>
              </w:rPr>
              <w:t>Protect public health within international trade agreements</w:t>
            </w:r>
          </w:p>
        </w:tc>
        <w:tc>
          <w:tcPr>
            <w:tcW w:w="764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7" w:type="dxa"/>
            <w:vAlign w:val="center"/>
          </w:tcPr>
          <w:p w:rsidR="008A2DE2" w:rsidRPr="009E773D" w:rsidRDefault="008A2DE2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773D">
              <w:rPr>
                <w:rFonts w:ascii="Calibri" w:hAnsi="Calibri"/>
                <w:color w:val="000000"/>
                <w:sz w:val="20"/>
                <w:szCs w:val="20"/>
              </w:rPr>
              <w:t>155.9</w:t>
            </w:r>
          </w:p>
        </w:tc>
      </w:tr>
    </w:tbl>
    <w:p w:rsidR="008A2DE2" w:rsidRDefault="008A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764"/>
        <w:gridCol w:w="1027"/>
      </w:tblGrid>
      <w:tr w:rsidR="00A83D4A" w:rsidRPr="007C72FD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b/>
                <w:sz w:val="20"/>
                <w:szCs w:val="20"/>
              </w:rPr>
            </w:pPr>
            <w:r w:rsidRPr="007C72FD">
              <w:rPr>
                <w:b/>
                <w:sz w:val="20"/>
                <w:szCs w:val="20"/>
              </w:rPr>
              <w:lastRenderedPageBreak/>
              <w:t>Infrastructure Support Action</w:t>
            </w:r>
          </w:p>
        </w:tc>
        <w:tc>
          <w:tcPr>
            <w:tcW w:w="1843" w:type="dxa"/>
          </w:tcPr>
          <w:p w:rsidR="00A83D4A" w:rsidRPr="007C72FD" w:rsidRDefault="00A83D4A" w:rsidP="003A74CC">
            <w:pPr>
              <w:rPr>
                <w:b/>
                <w:sz w:val="20"/>
                <w:szCs w:val="20"/>
              </w:rPr>
            </w:pPr>
            <w:r w:rsidRPr="007C72FD">
              <w:rPr>
                <w:b/>
                <w:sz w:val="20"/>
                <w:szCs w:val="20"/>
              </w:rPr>
              <w:t>Infrastructure Support Action</w:t>
            </w:r>
          </w:p>
          <w:p w:rsidR="00A83D4A" w:rsidRPr="007C72FD" w:rsidRDefault="00A83D4A" w:rsidP="003A74CC">
            <w:pPr>
              <w:rPr>
                <w:b/>
                <w:sz w:val="20"/>
                <w:szCs w:val="20"/>
              </w:rPr>
            </w:pPr>
            <w:r w:rsidRPr="007C72FD">
              <w:rPr>
                <w:b/>
                <w:sz w:val="20"/>
                <w:szCs w:val="20"/>
              </w:rPr>
              <w:t xml:space="preserve"> (short-hand)</w:t>
            </w:r>
          </w:p>
        </w:tc>
        <w:tc>
          <w:tcPr>
            <w:tcW w:w="764" w:type="dxa"/>
            <w:vAlign w:val="center"/>
          </w:tcPr>
          <w:p w:rsidR="00A83D4A" w:rsidRPr="007C72FD" w:rsidRDefault="00A83D4A" w:rsidP="003A74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72FD">
              <w:rPr>
                <w:rFonts w:ascii="Calibri" w:hAnsi="Calibri"/>
                <w:b/>
                <w:sz w:val="20"/>
                <w:szCs w:val="20"/>
              </w:rPr>
              <w:t>Total Score</w:t>
            </w:r>
          </w:p>
        </w:tc>
        <w:tc>
          <w:tcPr>
            <w:tcW w:w="1027" w:type="dxa"/>
            <w:vAlign w:val="center"/>
          </w:tcPr>
          <w:p w:rsidR="00A83D4A" w:rsidRPr="007C72FD" w:rsidRDefault="00A83D4A" w:rsidP="003A74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72FD">
              <w:rPr>
                <w:rFonts w:ascii="Calibri" w:hAnsi="Calibri"/>
                <w:b/>
                <w:sz w:val="20"/>
                <w:szCs w:val="20"/>
              </w:rPr>
              <w:t>Weighted Score</w:t>
            </w:r>
          </w:p>
        </w:tc>
      </w:tr>
      <w:tr w:rsidR="00A83D4A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sz w:val="20"/>
                <w:szCs w:val="20"/>
              </w:rPr>
            </w:pPr>
            <w:r w:rsidRPr="007C72FD">
              <w:rPr>
                <w:sz w:val="20"/>
                <w:szCs w:val="20"/>
              </w:rPr>
              <w:t>Cabinet to make a clear statement on the prioritisation of sustainable health and environmental policies as a core principle in the form of a 25-year Food and Farming framework and commission a National Food and Nutrition Action Plan.</w:t>
            </w:r>
          </w:p>
        </w:tc>
        <w:tc>
          <w:tcPr>
            <w:tcW w:w="1843" w:type="dxa"/>
            <w:vAlign w:val="center"/>
          </w:tcPr>
          <w:p w:rsidR="00A83D4A" w:rsidRPr="007C72FD" w:rsidRDefault="00A83D4A" w:rsidP="003A74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C72FD">
              <w:rPr>
                <w:rFonts w:ascii="Calibri" w:hAnsi="Calibri"/>
                <w:bCs/>
                <w:sz w:val="20"/>
                <w:szCs w:val="20"/>
              </w:rPr>
              <w:t>Prioritise sustainable health with food and farming framework</w:t>
            </w:r>
          </w:p>
        </w:tc>
        <w:tc>
          <w:tcPr>
            <w:tcW w:w="764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27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190.6</w:t>
            </w:r>
          </w:p>
        </w:tc>
      </w:tr>
      <w:tr w:rsidR="00A83D4A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sz w:val="20"/>
                <w:szCs w:val="20"/>
              </w:rPr>
            </w:pPr>
            <w:r w:rsidRPr="007C72FD">
              <w:rPr>
                <w:sz w:val="20"/>
                <w:szCs w:val="20"/>
              </w:rPr>
              <w:t>Parliament to adopt a National Food and Nutrition Action Plan, to ensure healthy and sustainable food supplies affordable to all, and commission regular reports on current food supply standards.</w:t>
            </w:r>
          </w:p>
        </w:tc>
        <w:tc>
          <w:tcPr>
            <w:tcW w:w="1843" w:type="dxa"/>
            <w:vAlign w:val="center"/>
          </w:tcPr>
          <w:p w:rsidR="00A83D4A" w:rsidRPr="007C72FD" w:rsidRDefault="00A83D4A" w:rsidP="003A74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C72FD">
              <w:rPr>
                <w:rFonts w:ascii="Calibri" w:hAnsi="Calibri"/>
                <w:bCs/>
                <w:sz w:val="20"/>
                <w:szCs w:val="20"/>
              </w:rPr>
              <w:t>Adopt National Food and Nutrition Action Plan</w:t>
            </w:r>
          </w:p>
        </w:tc>
        <w:tc>
          <w:tcPr>
            <w:tcW w:w="764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7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185.3</w:t>
            </w:r>
          </w:p>
        </w:tc>
      </w:tr>
      <w:tr w:rsidR="00A83D4A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sz w:val="20"/>
                <w:szCs w:val="20"/>
              </w:rPr>
            </w:pPr>
            <w:r w:rsidRPr="007C72FD">
              <w:rPr>
                <w:sz w:val="20"/>
                <w:szCs w:val="20"/>
              </w:rPr>
              <w:t>Government to exclude people with commercial interests in the food or beverage industry (current or within ten years) from participating in government committees related to food and nutrition policy.</w:t>
            </w:r>
          </w:p>
        </w:tc>
        <w:tc>
          <w:tcPr>
            <w:tcW w:w="1843" w:type="dxa"/>
            <w:vAlign w:val="center"/>
          </w:tcPr>
          <w:p w:rsidR="00A83D4A" w:rsidRPr="007C72FD" w:rsidRDefault="00A83D4A" w:rsidP="003A74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C72FD">
              <w:rPr>
                <w:rFonts w:ascii="Calibri" w:hAnsi="Calibri"/>
                <w:bCs/>
                <w:sz w:val="20"/>
                <w:szCs w:val="20"/>
              </w:rPr>
              <w:t>Exclude food industry from government committees</w:t>
            </w:r>
          </w:p>
        </w:tc>
        <w:tc>
          <w:tcPr>
            <w:tcW w:w="764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27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161.8</w:t>
            </w:r>
          </w:p>
        </w:tc>
      </w:tr>
      <w:tr w:rsidR="00A83D4A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sz w:val="20"/>
                <w:szCs w:val="20"/>
              </w:rPr>
            </w:pPr>
            <w:r w:rsidRPr="007C72FD">
              <w:rPr>
                <w:sz w:val="20"/>
                <w:szCs w:val="20"/>
              </w:rPr>
              <w:t>Government to identify a suite of indicators to monitor the food environment to be included in the public health outcomes framework.</w:t>
            </w:r>
          </w:p>
        </w:tc>
        <w:tc>
          <w:tcPr>
            <w:tcW w:w="1843" w:type="dxa"/>
            <w:vAlign w:val="center"/>
          </w:tcPr>
          <w:p w:rsidR="00A83D4A" w:rsidRPr="007C72FD" w:rsidRDefault="00A83D4A" w:rsidP="003A74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C72FD">
              <w:rPr>
                <w:rFonts w:ascii="Calibri" w:hAnsi="Calibri"/>
                <w:bCs/>
                <w:sz w:val="20"/>
                <w:szCs w:val="20"/>
              </w:rPr>
              <w:t>Monitor food environment</w:t>
            </w:r>
          </w:p>
        </w:tc>
        <w:tc>
          <w:tcPr>
            <w:tcW w:w="764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27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174.8</w:t>
            </w:r>
          </w:p>
        </w:tc>
      </w:tr>
      <w:tr w:rsidR="00A83D4A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sz w:val="20"/>
                <w:szCs w:val="20"/>
              </w:rPr>
            </w:pPr>
            <w:r w:rsidRPr="007C72FD">
              <w:rPr>
                <w:sz w:val="20"/>
                <w:szCs w:val="20"/>
              </w:rPr>
              <w:t>Government to outline a plan to evaluate policies related to the food environment and commission independent evaluations of major programmes and policies.</w:t>
            </w:r>
          </w:p>
        </w:tc>
        <w:tc>
          <w:tcPr>
            <w:tcW w:w="1843" w:type="dxa"/>
            <w:vAlign w:val="center"/>
          </w:tcPr>
          <w:p w:rsidR="00A83D4A" w:rsidRPr="007C72FD" w:rsidRDefault="00A83D4A" w:rsidP="003A74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C72FD">
              <w:rPr>
                <w:rFonts w:ascii="Calibri" w:hAnsi="Calibri"/>
                <w:bCs/>
                <w:sz w:val="20"/>
                <w:szCs w:val="20"/>
              </w:rPr>
              <w:t>Implement independent evaluations of major programmes</w:t>
            </w:r>
          </w:p>
        </w:tc>
        <w:tc>
          <w:tcPr>
            <w:tcW w:w="764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27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</w:tr>
      <w:tr w:rsidR="00A83D4A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sz w:val="20"/>
                <w:szCs w:val="20"/>
              </w:rPr>
            </w:pPr>
            <w:r w:rsidRPr="007C72FD">
              <w:rPr>
                <w:sz w:val="20"/>
                <w:szCs w:val="20"/>
              </w:rPr>
              <w:t>Government to establish a statutory, independent and well-resourced health promotion agency to improve population nutrition outcomes (that includes a nutritionist, chief scientist, civil society and target population stakeholder groups) to promote healthy policies, programmes and strategies.</w:t>
            </w:r>
          </w:p>
        </w:tc>
        <w:tc>
          <w:tcPr>
            <w:tcW w:w="1843" w:type="dxa"/>
            <w:vAlign w:val="center"/>
          </w:tcPr>
          <w:p w:rsidR="00A83D4A" w:rsidRPr="007C72FD" w:rsidRDefault="00A83D4A" w:rsidP="003A74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C72FD">
              <w:rPr>
                <w:rFonts w:ascii="Calibri" w:hAnsi="Calibri"/>
                <w:bCs/>
                <w:sz w:val="20"/>
                <w:szCs w:val="20"/>
              </w:rPr>
              <w:t>Establish independent nutrition promotion agency</w:t>
            </w:r>
          </w:p>
        </w:tc>
        <w:tc>
          <w:tcPr>
            <w:tcW w:w="764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27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159.2</w:t>
            </w:r>
          </w:p>
        </w:tc>
      </w:tr>
      <w:tr w:rsidR="00A83D4A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sz w:val="20"/>
                <w:szCs w:val="20"/>
              </w:rPr>
            </w:pPr>
            <w:r w:rsidRPr="007C72FD">
              <w:rPr>
                <w:sz w:val="20"/>
                <w:szCs w:val="20"/>
              </w:rPr>
              <w:t>Cabinet to set up and maintain robust coordination mechanisms across departments to ensure policy coherence, alignment, and integration of food and nutrition.</w:t>
            </w:r>
          </w:p>
        </w:tc>
        <w:tc>
          <w:tcPr>
            <w:tcW w:w="1843" w:type="dxa"/>
            <w:vAlign w:val="center"/>
          </w:tcPr>
          <w:p w:rsidR="00A83D4A" w:rsidRPr="007C72FD" w:rsidRDefault="00A83D4A" w:rsidP="003A74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C72FD">
              <w:rPr>
                <w:rFonts w:ascii="Calibri" w:hAnsi="Calibri"/>
                <w:bCs/>
                <w:sz w:val="20"/>
                <w:szCs w:val="20"/>
              </w:rPr>
              <w:t>Establish coordination mechanisms across departments</w:t>
            </w:r>
          </w:p>
        </w:tc>
        <w:tc>
          <w:tcPr>
            <w:tcW w:w="764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7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153.7</w:t>
            </w:r>
          </w:p>
        </w:tc>
      </w:tr>
      <w:tr w:rsidR="00A83D4A" w:rsidTr="003A74CC">
        <w:tc>
          <w:tcPr>
            <w:tcW w:w="5382" w:type="dxa"/>
          </w:tcPr>
          <w:p w:rsidR="00A83D4A" w:rsidRPr="007C72FD" w:rsidRDefault="00A83D4A" w:rsidP="003A74CC">
            <w:pPr>
              <w:rPr>
                <w:sz w:val="20"/>
                <w:szCs w:val="20"/>
              </w:rPr>
            </w:pPr>
            <w:r w:rsidRPr="007C72FD">
              <w:rPr>
                <w:sz w:val="20"/>
                <w:szCs w:val="20"/>
              </w:rPr>
              <w:t xml:space="preserve">Government to undertake health and health equity impact assessments of all government policies which affect food </w:t>
            </w:r>
            <w:proofErr w:type="gramStart"/>
            <w:r w:rsidRPr="007C72FD">
              <w:rPr>
                <w:sz w:val="20"/>
                <w:szCs w:val="20"/>
              </w:rPr>
              <w:t>in order to</w:t>
            </w:r>
            <w:proofErr w:type="gramEnd"/>
            <w:r w:rsidRPr="007C72FD">
              <w:rPr>
                <w:sz w:val="20"/>
                <w:szCs w:val="20"/>
              </w:rPr>
              <w:t xml:space="preserve"> reduce inequalities in population nutrition and health outcomes, and reduce food poverty.</w:t>
            </w:r>
          </w:p>
        </w:tc>
        <w:tc>
          <w:tcPr>
            <w:tcW w:w="1843" w:type="dxa"/>
            <w:vAlign w:val="center"/>
          </w:tcPr>
          <w:p w:rsidR="00A83D4A" w:rsidRPr="007C72FD" w:rsidRDefault="00A83D4A" w:rsidP="003A74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C72FD">
              <w:rPr>
                <w:rFonts w:ascii="Calibri" w:hAnsi="Calibri"/>
                <w:bCs/>
                <w:sz w:val="20"/>
                <w:szCs w:val="20"/>
              </w:rPr>
              <w:t>Assess impact of policies on nutrition and health</w:t>
            </w:r>
          </w:p>
        </w:tc>
        <w:tc>
          <w:tcPr>
            <w:tcW w:w="764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27" w:type="dxa"/>
            <w:vAlign w:val="center"/>
          </w:tcPr>
          <w:p w:rsidR="00A83D4A" w:rsidRPr="00181926" w:rsidRDefault="00A83D4A" w:rsidP="003A74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1926"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</w:tr>
    </w:tbl>
    <w:p w:rsidR="00A83D4A" w:rsidRPr="00CD34CB" w:rsidRDefault="00A83D4A" w:rsidP="00A83D4A">
      <w:pPr>
        <w:rPr>
          <w:b/>
        </w:rPr>
      </w:pPr>
    </w:p>
    <w:p w:rsidR="00A83D4A" w:rsidRDefault="00A83D4A"/>
    <w:sectPr w:rsidR="00A83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otMacron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E2"/>
    <w:rsid w:val="00323621"/>
    <w:rsid w:val="00863FC1"/>
    <w:rsid w:val="008A2DE2"/>
    <w:rsid w:val="00A13744"/>
    <w:rsid w:val="00A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735F"/>
  <w15:chartTrackingRefBased/>
  <w15:docId w15:val="{E917ACA7-0AF4-457B-95ED-82FBE7E3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DE2"/>
  </w:style>
  <w:style w:type="paragraph" w:styleId="Heading2">
    <w:name w:val="heading 2"/>
    <w:basedOn w:val="Normal"/>
    <w:link w:val="Heading2Char"/>
    <w:uiPriority w:val="9"/>
    <w:qFormat/>
    <w:rsid w:val="008A2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2D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Gillian</cp:lastModifiedBy>
  <cp:revision>2</cp:revision>
  <dcterms:created xsi:type="dcterms:W3CDTF">2017-11-16T15:16:00Z</dcterms:created>
  <dcterms:modified xsi:type="dcterms:W3CDTF">2017-11-16T15:16:00Z</dcterms:modified>
</cp:coreProperties>
</file>