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4DA" w:rsidRPr="00CF1F2B" w:rsidRDefault="00B934DA" w:rsidP="00EC3516">
      <w:pPr>
        <w:ind w:left="2880" w:hanging="2880"/>
        <w:rPr>
          <w:rFonts w:ascii="Times New Roman" w:hAnsi="Times New Roman" w:cs="Times New Roman"/>
          <w:sz w:val="20"/>
          <w:szCs w:val="20"/>
          <w:vertAlign w:val="superscript"/>
        </w:rPr>
      </w:pPr>
      <w:bookmarkStart w:id="0" w:name="_GoBack"/>
      <w:bookmarkEnd w:id="0"/>
      <w:r w:rsidRPr="00CF1F2B">
        <w:rPr>
          <w:rFonts w:asciiTheme="majorBidi" w:hAnsiTheme="majorBidi" w:cstheme="majorBidi"/>
          <w:b/>
          <w:bCs/>
        </w:rPr>
        <w:t>Supplementa</w:t>
      </w:r>
      <w:r w:rsidR="00CF1F2B">
        <w:rPr>
          <w:rFonts w:asciiTheme="majorBidi" w:hAnsiTheme="majorBidi" w:cstheme="majorBidi"/>
          <w:b/>
          <w:bCs/>
        </w:rPr>
        <w:t>l</w:t>
      </w:r>
      <w:r w:rsidRPr="00CF1F2B">
        <w:rPr>
          <w:rFonts w:asciiTheme="majorBidi" w:hAnsiTheme="majorBidi" w:cstheme="majorBidi"/>
          <w:b/>
          <w:bCs/>
        </w:rPr>
        <w:t xml:space="preserve"> Table 1 </w:t>
      </w:r>
      <w:r w:rsidRPr="00CF1F2B">
        <w:rPr>
          <w:rFonts w:asciiTheme="majorBidi" w:hAnsiTheme="majorBidi" w:cstheme="majorBidi"/>
          <w:b/>
          <w:bCs/>
        </w:rPr>
        <w:tab/>
      </w:r>
      <w:r w:rsidRPr="00CF1F2B">
        <w:rPr>
          <w:rFonts w:asciiTheme="majorBidi" w:hAnsiTheme="majorBidi" w:cstheme="majorBidi"/>
          <w:bCs/>
        </w:rPr>
        <w:t>Comparison between original YEP Study sample (</w:t>
      </w:r>
      <w:r w:rsidRPr="00CF1F2B">
        <w:rPr>
          <w:rFonts w:asciiTheme="majorBidi" w:hAnsiTheme="majorBidi" w:cstheme="majorBidi"/>
          <w:bCs/>
          <w:i/>
          <w:iCs/>
        </w:rPr>
        <w:t>N</w:t>
      </w:r>
      <w:r w:rsidRPr="00CF1F2B">
        <w:rPr>
          <w:rFonts w:asciiTheme="majorBidi" w:hAnsiTheme="majorBidi" w:cstheme="majorBidi"/>
          <w:bCs/>
        </w:rPr>
        <w:t xml:space="preserve"> = 3264) and present sample (</w:t>
      </w:r>
      <w:r w:rsidRPr="00CF1F2B">
        <w:rPr>
          <w:rFonts w:asciiTheme="majorBidi" w:hAnsiTheme="majorBidi" w:cstheme="majorBidi"/>
          <w:bCs/>
          <w:i/>
          <w:iCs/>
        </w:rPr>
        <w:t xml:space="preserve">N </w:t>
      </w:r>
      <w:r w:rsidRPr="00CF1F2B">
        <w:rPr>
          <w:rFonts w:asciiTheme="majorBidi" w:hAnsiTheme="majorBidi" w:cstheme="majorBidi"/>
          <w:bCs/>
          <w:iCs/>
        </w:rPr>
        <w:t>=</w:t>
      </w:r>
      <w:r w:rsidRPr="00CF1F2B">
        <w:rPr>
          <w:rFonts w:asciiTheme="majorBidi" w:hAnsiTheme="majorBidi" w:cstheme="majorBidi"/>
          <w:bCs/>
          <w:i/>
          <w:iCs/>
        </w:rPr>
        <w:t xml:space="preserve"> </w:t>
      </w:r>
      <w:proofErr w:type="gramStart"/>
      <w:r w:rsidRPr="00CF1F2B">
        <w:rPr>
          <w:rFonts w:asciiTheme="majorBidi" w:hAnsiTheme="majorBidi" w:cstheme="majorBidi"/>
          <w:bCs/>
        </w:rPr>
        <w:t>1785)</w:t>
      </w:r>
      <w:r w:rsidRPr="00CF1F2B">
        <w:rPr>
          <w:rFonts w:ascii="Times New Roman" w:hAnsi="Times New Roman" w:cs="Times New Roman"/>
          <w:sz w:val="20"/>
          <w:szCs w:val="20"/>
          <w:vertAlign w:val="superscript"/>
        </w:rPr>
        <w:t>†</w:t>
      </w:r>
      <w:proofErr w:type="gramEnd"/>
    </w:p>
    <w:p w:rsidR="00EC3516" w:rsidRPr="00CF1F2B" w:rsidRDefault="00EC3516" w:rsidP="00EC3516">
      <w:pPr>
        <w:ind w:left="2880" w:hanging="2880"/>
        <w:rPr>
          <w:rFonts w:asciiTheme="majorBidi" w:hAnsiTheme="majorBidi" w:cstheme="majorBidi"/>
          <w:bCs/>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2308"/>
        <w:gridCol w:w="3136"/>
      </w:tblGrid>
      <w:tr w:rsidR="00CF1F2B" w:rsidRPr="00CF1F2B" w:rsidTr="005777CD">
        <w:tc>
          <w:tcPr>
            <w:tcW w:w="2174" w:type="pct"/>
            <w:tcBorders>
              <w:top w:val="single" w:sz="4" w:space="0" w:color="auto"/>
              <w:bottom w:val="single" w:sz="4" w:space="0" w:color="auto"/>
            </w:tcBorders>
          </w:tcPr>
          <w:p w:rsidR="00B934DA" w:rsidRPr="00CF1F2B" w:rsidRDefault="00B934DA" w:rsidP="005777CD">
            <w:pPr>
              <w:jc w:val="center"/>
              <w:rPr>
                <w:rFonts w:ascii="Times New Roman" w:hAnsi="Times New Roman" w:cs="Times New Roman"/>
                <w:bCs/>
                <w:sz w:val="20"/>
                <w:szCs w:val="20"/>
              </w:rPr>
            </w:pPr>
            <w:r w:rsidRPr="00CF1F2B">
              <w:rPr>
                <w:rFonts w:ascii="Times New Roman" w:hAnsi="Times New Roman" w:cs="Times New Roman"/>
                <w:bCs/>
                <w:sz w:val="20"/>
                <w:szCs w:val="20"/>
              </w:rPr>
              <w:t>Sociodemographic variable</w:t>
            </w:r>
          </w:p>
          <w:p w:rsidR="00B934DA" w:rsidRPr="00CF1F2B" w:rsidRDefault="00B934DA" w:rsidP="005777CD">
            <w:pPr>
              <w:jc w:val="center"/>
              <w:rPr>
                <w:rFonts w:ascii="Times New Roman" w:hAnsi="Times New Roman" w:cs="Times New Roman"/>
                <w:bCs/>
                <w:sz w:val="20"/>
                <w:szCs w:val="20"/>
              </w:rPr>
            </w:pPr>
            <w:r w:rsidRPr="00CF1F2B">
              <w:rPr>
                <w:rFonts w:ascii="Times New Roman" w:hAnsi="Times New Roman" w:cs="Times New Roman"/>
                <w:bCs/>
                <w:sz w:val="20"/>
                <w:szCs w:val="20"/>
              </w:rPr>
              <w:t>(at baseline)</w:t>
            </w:r>
          </w:p>
        </w:tc>
        <w:tc>
          <w:tcPr>
            <w:tcW w:w="1198" w:type="pct"/>
            <w:tcBorders>
              <w:top w:val="single" w:sz="4" w:space="0" w:color="auto"/>
              <w:bottom w:val="single" w:sz="4" w:space="0" w:color="auto"/>
            </w:tcBorders>
          </w:tcPr>
          <w:p w:rsidR="00B934DA" w:rsidRPr="00CF1F2B" w:rsidRDefault="00B934DA" w:rsidP="005777CD">
            <w:pPr>
              <w:jc w:val="center"/>
              <w:rPr>
                <w:rFonts w:ascii="Times New Roman" w:hAnsi="Times New Roman" w:cs="Times New Roman"/>
                <w:bCs/>
                <w:sz w:val="20"/>
                <w:szCs w:val="20"/>
              </w:rPr>
            </w:pPr>
            <w:r w:rsidRPr="00CF1F2B">
              <w:rPr>
                <w:rFonts w:ascii="Times New Roman" w:hAnsi="Times New Roman" w:cs="Times New Roman"/>
                <w:bCs/>
                <w:sz w:val="20"/>
                <w:szCs w:val="20"/>
              </w:rPr>
              <w:t>Original YEP sample</w:t>
            </w:r>
          </w:p>
          <w:p w:rsidR="00B934DA" w:rsidRPr="00CF1F2B" w:rsidRDefault="00B934DA" w:rsidP="005777CD">
            <w:pPr>
              <w:jc w:val="center"/>
              <w:rPr>
                <w:rFonts w:ascii="Times New Roman" w:hAnsi="Times New Roman" w:cs="Times New Roman"/>
                <w:bCs/>
                <w:sz w:val="20"/>
                <w:szCs w:val="20"/>
              </w:rPr>
            </w:pPr>
            <w:r w:rsidRPr="00CF1F2B">
              <w:rPr>
                <w:rFonts w:ascii="Times New Roman" w:hAnsi="Times New Roman" w:cs="Times New Roman"/>
                <w:bCs/>
                <w:i/>
                <w:iCs/>
                <w:sz w:val="20"/>
                <w:szCs w:val="20"/>
              </w:rPr>
              <w:t xml:space="preserve">n </w:t>
            </w:r>
            <w:r w:rsidRPr="00CF1F2B">
              <w:rPr>
                <w:rFonts w:ascii="Times New Roman" w:hAnsi="Times New Roman" w:cs="Times New Roman"/>
                <w:bCs/>
                <w:sz w:val="20"/>
                <w:szCs w:val="20"/>
              </w:rPr>
              <w:t>(%)</w:t>
            </w:r>
          </w:p>
        </w:tc>
        <w:tc>
          <w:tcPr>
            <w:tcW w:w="1628" w:type="pct"/>
            <w:tcBorders>
              <w:top w:val="single" w:sz="4" w:space="0" w:color="auto"/>
              <w:bottom w:val="single" w:sz="4" w:space="0" w:color="auto"/>
            </w:tcBorders>
          </w:tcPr>
          <w:p w:rsidR="00B934DA" w:rsidRPr="00CF1F2B" w:rsidRDefault="00B934DA" w:rsidP="005777CD">
            <w:pPr>
              <w:jc w:val="center"/>
              <w:rPr>
                <w:rFonts w:ascii="Times New Roman" w:hAnsi="Times New Roman" w:cs="Times New Roman"/>
                <w:bCs/>
                <w:sz w:val="20"/>
                <w:szCs w:val="20"/>
              </w:rPr>
            </w:pPr>
            <w:r w:rsidRPr="00CF1F2B">
              <w:rPr>
                <w:rFonts w:ascii="Times New Roman" w:hAnsi="Times New Roman" w:cs="Times New Roman"/>
                <w:bCs/>
                <w:sz w:val="20"/>
                <w:szCs w:val="20"/>
              </w:rPr>
              <w:t>Present sample</w:t>
            </w:r>
          </w:p>
          <w:p w:rsidR="00B934DA" w:rsidRPr="00CF1F2B" w:rsidRDefault="00B934DA" w:rsidP="005777CD">
            <w:pPr>
              <w:jc w:val="center"/>
              <w:rPr>
                <w:rFonts w:ascii="Times New Roman" w:hAnsi="Times New Roman" w:cs="Times New Roman"/>
                <w:bCs/>
                <w:sz w:val="20"/>
                <w:szCs w:val="20"/>
              </w:rPr>
            </w:pPr>
            <w:r w:rsidRPr="00CF1F2B">
              <w:rPr>
                <w:rFonts w:ascii="Times New Roman" w:hAnsi="Times New Roman" w:cs="Times New Roman"/>
                <w:bCs/>
                <w:i/>
                <w:iCs/>
                <w:sz w:val="20"/>
                <w:szCs w:val="20"/>
              </w:rPr>
              <w:t xml:space="preserve">n </w:t>
            </w:r>
            <w:r w:rsidRPr="00CF1F2B">
              <w:rPr>
                <w:rFonts w:ascii="Times New Roman" w:hAnsi="Times New Roman" w:cs="Times New Roman"/>
                <w:bCs/>
                <w:sz w:val="20"/>
                <w:szCs w:val="20"/>
              </w:rPr>
              <w:t>(%)</w:t>
            </w:r>
          </w:p>
        </w:tc>
      </w:tr>
      <w:tr w:rsidR="00CF1F2B" w:rsidRPr="00CF1F2B" w:rsidTr="005777CD">
        <w:tc>
          <w:tcPr>
            <w:tcW w:w="2174" w:type="pct"/>
          </w:tcPr>
          <w:p w:rsidR="00B934DA" w:rsidRPr="00CF1F2B" w:rsidRDefault="00B934DA" w:rsidP="005777CD">
            <w:pPr>
              <w:rPr>
                <w:rFonts w:ascii="Times New Roman" w:hAnsi="Times New Roman" w:cs="Times New Roman"/>
                <w:sz w:val="20"/>
                <w:szCs w:val="20"/>
              </w:rPr>
            </w:pPr>
            <w:r w:rsidRPr="00CF1F2B">
              <w:rPr>
                <w:rFonts w:ascii="Times New Roman" w:hAnsi="Times New Roman" w:cs="Times New Roman"/>
                <w:sz w:val="20"/>
                <w:szCs w:val="20"/>
              </w:rPr>
              <w:t xml:space="preserve">Gender </w:t>
            </w:r>
            <w:r w:rsidRPr="00CF1F2B">
              <w:rPr>
                <w:rFonts w:ascii="Times New Roman" w:hAnsi="Times New Roman" w:cs="Times New Roman"/>
                <w:i/>
                <w:iCs/>
                <w:sz w:val="20"/>
                <w:szCs w:val="20"/>
              </w:rPr>
              <w:t>N</w:t>
            </w:r>
            <w:r w:rsidRPr="00CF1F2B">
              <w:rPr>
                <w:rFonts w:ascii="Times New Roman" w:hAnsi="Times New Roman" w:cs="Times New Roman"/>
                <w:sz w:val="20"/>
                <w:szCs w:val="20"/>
              </w:rPr>
              <w:t xml:space="preserve"> (%)</w:t>
            </w:r>
          </w:p>
        </w:tc>
        <w:tc>
          <w:tcPr>
            <w:tcW w:w="1198" w:type="pct"/>
          </w:tcPr>
          <w:p w:rsidR="00B934DA" w:rsidRPr="00CF1F2B" w:rsidRDefault="00B934DA" w:rsidP="005777CD">
            <w:pPr>
              <w:rPr>
                <w:rFonts w:ascii="Times New Roman" w:hAnsi="Times New Roman" w:cs="Times New Roman"/>
                <w:bCs/>
                <w:sz w:val="20"/>
                <w:szCs w:val="20"/>
              </w:rPr>
            </w:pPr>
          </w:p>
        </w:tc>
        <w:tc>
          <w:tcPr>
            <w:tcW w:w="1628" w:type="pct"/>
          </w:tcPr>
          <w:p w:rsidR="00B934DA" w:rsidRPr="00CF1F2B" w:rsidRDefault="00B934DA" w:rsidP="005777CD">
            <w:pPr>
              <w:rPr>
                <w:rFonts w:ascii="Times New Roman" w:hAnsi="Times New Roman" w:cs="Times New Roman"/>
                <w:bCs/>
                <w:sz w:val="20"/>
                <w:szCs w:val="20"/>
              </w:rPr>
            </w:pPr>
          </w:p>
        </w:tc>
      </w:tr>
      <w:tr w:rsidR="00CF1F2B" w:rsidRPr="00CF1F2B" w:rsidTr="005777CD">
        <w:tc>
          <w:tcPr>
            <w:tcW w:w="2174" w:type="pct"/>
          </w:tcPr>
          <w:p w:rsidR="00B934DA" w:rsidRPr="00CF1F2B" w:rsidRDefault="00B934DA" w:rsidP="005777CD">
            <w:pPr>
              <w:rPr>
                <w:rFonts w:ascii="Times New Roman" w:hAnsi="Times New Roman" w:cs="Times New Roman"/>
                <w:sz w:val="20"/>
                <w:szCs w:val="20"/>
              </w:rPr>
            </w:pPr>
            <w:r w:rsidRPr="00CF1F2B">
              <w:rPr>
                <w:rFonts w:ascii="Times New Roman" w:hAnsi="Times New Roman" w:cs="Times New Roman"/>
                <w:sz w:val="20"/>
                <w:szCs w:val="20"/>
              </w:rPr>
              <w:t xml:space="preserve">  Girls</w:t>
            </w:r>
          </w:p>
        </w:tc>
        <w:tc>
          <w:tcPr>
            <w:tcW w:w="119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1737 (53.2)</w:t>
            </w:r>
          </w:p>
        </w:tc>
        <w:tc>
          <w:tcPr>
            <w:tcW w:w="162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996 (55.8)</w:t>
            </w:r>
          </w:p>
        </w:tc>
      </w:tr>
      <w:tr w:rsidR="00CF1F2B" w:rsidRPr="00CF1F2B" w:rsidTr="005777CD">
        <w:tc>
          <w:tcPr>
            <w:tcW w:w="2174" w:type="pct"/>
          </w:tcPr>
          <w:p w:rsidR="00B934DA" w:rsidRPr="00CF1F2B" w:rsidRDefault="00B934DA" w:rsidP="005777CD">
            <w:pPr>
              <w:rPr>
                <w:rFonts w:ascii="Times New Roman" w:hAnsi="Times New Roman" w:cs="Times New Roman"/>
                <w:sz w:val="20"/>
                <w:szCs w:val="20"/>
              </w:rPr>
            </w:pPr>
            <w:r w:rsidRPr="00CF1F2B">
              <w:rPr>
                <w:rFonts w:ascii="Times New Roman" w:hAnsi="Times New Roman" w:cs="Times New Roman"/>
                <w:sz w:val="20"/>
                <w:szCs w:val="20"/>
              </w:rPr>
              <w:t xml:space="preserve">  Boys</w:t>
            </w:r>
          </w:p>
        </w:tc>
        <w:tc>
          <w:tcPr>
            <w:tcW w:w="119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1527 (46.8)</w:t>
            </w:r>
          </w:p>
        </w:tc>
        <w:tc>
          <w:tcPr>
            <w:tcW w:w="162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789 (44.2)</w:t>
            </w:r>
          </w:p>
        </w:tc>
      </w:tr>
      <w:tr w:rsidR="00CF1F2B" w:rsidRPr="00CF1F2B" w:rsidTr="005777CD">
        <w:tc>
          <w:tcPr>
            <w:tcW w:w="2174" w:type="pct"/>
          </w:tcPr>
          <w:p w:rsidR="00B934DA" w:rsidRPr="00CF1F2B" w:rsidRDefault="00B934DA" w:rsidP="005777CD">
            <w:pPr>
              <w:rPr>
                <w:rFonts w:ascii="Times New Roman" w:hAnsi="Times New Roman" w:cs="Times New Roman"/>
                <w:sz w:val="20"/>
                <w:szCs w:val="20"/>
              </w:rPr>
            </w:pPr>
          </w:p>
        </w:tc>
        <w:tc>
          <w:tcPr>
            <w:tcW w:w="1198" w:type="pct"/>
          </w:tcPr>
          <w:p w:rsidR="00B934DA" w:rsidRPr="00CF1F2B" w:rsidRDefault="00B934DA" w:rsidP="005777CD">
            <w:pPr>
              <w:jc w:val="center"/>
              <w:rPr>
                <w:rFonts w:ascii="Times New Roman" w:hAnsi="Times New Roman" w:cs="Times New Roman"/>
                <w:sz w:val="20"/>
                <w:szCs w:val="20"/>
              </w:rPr>
            </w:pPr>
          </w:p>
        </w:tc>
        <w:tc>
          <w:tcPr>
            <w:tcW w:w="1628" w:type="pct"/>
          </w:tcPr>
          <w:p w:rsidR="00B934DA" w:rsidRPr="00CF1F2B" w:rsidRDefault="00B934DA" w:rsidP="005777CD">
            <w:pPr>
              <w:jc w:val="center"/>
              <w:rPr>
                <w:rFonts w:ascii="Times New Roman" w:hAnsi="Times New Roman" w:cs="Times New Roman"/>
                <w:sz w:val="20"/>
                <w:szCs w:val="20"/>
              </w:rPr>
            </w:pPr>
          </w:p>
        </w:tc>
      </w:tr>
      <w:tr w:rsidR="00CF1F2B" w:rsidRPr="00CF1F2B" w:rsidTr="005777CD">
        <w:tc>
          <w:tcPr>
            <w:tcW w:w="2174" w:type="pct"/>
          </w:tcPr>
          <w:p w:rsidR="00B934DA" w:rsidRPr="00CF1F2B" w:rsidRDefault="00B934DA" w:rsidP="005777CD">
            <w:pPr>
              <w:rPr>
                <w:rFonts w:ascii="Times New Roman" w:hAnsi="Times New Roman" w:cs="Times New Roman"/>
                <w:sz w:val="20"/>
                <w:szCs w:val="20"/>
              </w:rPr>
            </w:pPr>
            <w:r w:rsidRPr="00CF1F2B">
              <w:rPr>
                <w:rFonts w:ascii="Times New Roman" w:hAnsi="Times New Roman" w:cs="Times New Roman"/>
                <w:sz w:val="20"/>
                <w:szCs w:val="20"/>
              </w:rPr>
              <w:t xml:space="preserve">Year level </w:t>
            </w:r>
          </w:p>
        </w:tc>
        <w:tc>
          <w:tcPr>
            <w:tcW w:w="1198" w:type="pct"/>
          </w:tcPr>
          <w:p w:rsidR="00B934DA" w:rsidRPr="00CF1F2B" w:rsidRDefault="00B934DA" w:rsidP="005777CD">
            <w:pPr>
              <w:jc w:val="center"/>
              <w:rPr>
                <w:rFonts w:ascii="Times New Roman" w:hAnsi="Times New Roman" w:cs="Times New Roman"/>
                <w:sz w:val="20"/>
                <w:szCs w:val="20"/>
              </w:rPr>
            </w:pPr>
          </w:p>
        </w:tc>
        <w:tc>
          <w:tcPr>
            <w:tcW w:w="1628" w:type="pct"/>
          </w:tcPr>
          <w:p w:rsidR="00B934DA" w:rsidRPr="00CF1F2B" w:rsidRDefault="00B934DA" w:rsidP="005777CD">
            <w:pPr>
              <w:jc w:val="center"/>
              <w:rPr>
                <w:rFonts w:ascii="Times New Roman" w:hAnsi="Times New Roman" w:cs="Times New Roman"/>
                <w:sz w:val="20"/>
                <w:szCs w:val="20"/>
              </w:rPr>
            </w:pPr>
          </w:p>
        </w:tc>
      </w:tr>
      <w:tr w:rsidR="00CF1F2B" w:rsidRPr="00CF1F2B" w:rsidTr="005777CD">
        <w:tc>
          <w:tcPr>
            <w:tcW w:w="2174" w:type="pct"/>
          </w:tcPr>
          <w:p w:rsidR="00B934DA" w:rsidRPr="00CF1F2B" w:rsidRDefault="00B934DA" w:rsidP="005777CD">
            <w:pPr>
              <w:rPr>
                <w:rFonts w:ascii="Times New Roman" w:hAnsi="Times New Roman" w:cs="Times New Roman"/>
                <w:sz w:val="20"/>
                <w:szCs w:val="20"/>
              </w:rPr>
            </w:pPr>
            <w:r w:rsidRPr="00CF1F2B">
              <w:rPr>
                <w:rFonts w:ascii="Times New Roman" w:hAnsi="Times New Roman" w:cs="Times New Roman"/>
                <w:sz w:val="20"/>
                <w:szCs w:val="20"/>
              </w:rPr>
              <w:t xml:space="preserve">  Year 7 (Year 9 at follow-up)</w:t>
            </w:r>
          </w:p>
        </w:tc>
        <w:tc>
          <w:tcPr>
            <w:tcW w:w="119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2010 (61.6)</w:t>
            </w:r>
          </w:p>
        </w:tc>
        <w:tc>
          <w:tcPr>
            <w:tcW w:w="162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1155 (64.7)</w:t>
            </w:r>
          </w:p>
        </w:tc>
      </w:tr>
      <w:tr w:rsidR="00CF1F2B" w:rsidRPr="00CF1F2B" w:rsidTr="005777CD">
        <w:tc>
          <w:tcPr>
            <w:tcW w:w="2174" w:type="pct"/>
          </w:tcPr>
          <w:p w:rsidR="00B934DA" w:rsidRPr="00CF1F2B" w:rsidRDefault="00B934DA" w:rsidP="005777CD">
            <w:pPr>
              <w:rPr>
                <w:rFonts w:ascii="Times New Roman" w:hAnsi="Times New Roman" w:cs="Times New Roman"/>
                <w:sz w:val="20"/>
                <w:szCs w:val="20"/>
              </w:rPr>
            </w:pPr>
            <w:r w:rsidRPr="00CF1F2B">
              <w:rPr>
                <w:rFonts w:ascii="Times New Roman" w:hAnsi="Times New Roman" w:cs="Times New Roman"/>
                <w:sz w:val="20"/>
                <w:szCs w:val="20"/>
              </w:rPr>
              <w:t xml:space="preserve">  Year 9 (Year 11 at follow-up)</w:t>
            </w:r>
          </w:p>
        </w:tc>
        <w:tc>
          <w:tcPr>
            <w:tcW w:w="119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1254 (38.4)</w:t>
            </w:r>
          </w:p>
        </w:tc>
        <w:tc>
          <w:tcPr>
            <w:tcW w:w="162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630 (35.3)</w:t>
            </w:r>
          </w:p>
        </w:tc>
      </w:tr>
      <w:tr w:rsidR="00CF1F2B" w:rsidRPr="00CF1F2B" w:rsidTr="005777CD">
        <w:tc>
          <w:tcPr>
            <w:tcW w:w="2174" w:type="pct"/>
          </w:tcPr>
          <w:p w:rsidR="00B934DA" w:rsidRPr="00CF1F2B" w:rsidRDefault="00B934DA" w:rsidP="005777CD">
            <w:pPr>
              <w:rPr>
                <w:rFonts w:ascii="Times New Roman" w:hAnsi="Times New Roman" w:cs="Times New Roman"/>
                <w:bCs/>
                <w:sz w:val="20"/>
                <w:szCs w:val="20"/>
              </w:rPr>
            </w:pPr>
          </w:p>
        </w:tc>
        <w:tc>
          <w:tcPr>
            <w:tcW w:w="1198" w:type="pct"/>
          </w:tcPr>
          <w:p w:rsidR="00B934DA" w:rsidRPr="00CF1F2B" w:rsidRDefault="00B934DA" w:rsidP="005777CD">
            <w:pPr>
              <w:jc w:val="center"/>
              <w:rPr>
                <w:rFonts w:ascii="Times New Roman" w:hAnsi="Times New Roman" w:cs="Times New Roman"/>
                <w:sz w:val="20"/>
                <w:szCs w:val="20"/>
              </w:rPr>
            </w:pPr>
          </w:p>
        </w:tc>
        <w:tc>
          <w:tcPr>
            <w:tcW w:w="1628" w:type="pct"/>
          </w:tcPr>
          <w:p w:rsidR="00B934DA" w:rsidRPr="00CF1F2B" w:rsidRDefault="00B934DA" w:rsidP="005777CD">
            <w:pPr>
              <w:jc w:val="center"/>
              <w:rPr>
                <w:rFonts w:ascii="Times New Roman" w:hAnsi="Times New Roman" w:cs="Times New Roman"/>
                <w:sz w:val="20"/>
                <w:szCs w:val="20"/>
              </w:rPr>
            </w:pPr>
          </w:p>
        </w:tc>
      </w:tr>
      <w:tr w:rsidR="00CF1F2B" w:rsidRPr="00CF1F2B" w:rsidTr="005777CD">
        <w:tc>
          <w:tcPr>
            <w:tcW w:w="2174" w:type="pct"/>
          </w:tcPr>
          <w:p w:rsidR="00B934DA" w:rsidRPr="00CF1F2B" w:rsidRDefault="00B934DA" w:rsidP="005777CD">
            <w:pPr>
              <w:rPr>
                <w:rFonts w:ascii="Times New Roman" w:hAnsi="Times New Roman" w:cs="Times New Roman"/>
                <w:sz w:val="20"/>
                <w:szCs w:val="20"/>
              </w:rPr>
            </w:pPr>
            <w:r w:rsidRPr="00CF1F2B">
              <w:rPr>
                <w:rFonts w:ascii="Times New Roman" w:hAnsi="Times New Roman" w:cs="Times New Roman"/>
                <w:sz w:val="20"/>
                <w:szCs w:val="20"/>
              </w:rPr>
              <w:t>Region</w:t>
            </w:r>
          </w:p>
        </w:tc>
        <w:tc>
          <w:tcPr>
            <w:tcW w:w="1198" w:type="pct"/>
          </w:tcPr>
          <w:p w:rsidR="00B934DA" w:rsidRPr="00CF1F2B" w:rsidRDefault="00B934DA" w:rsidP="005777CD">
            <w:pPr>
              <w:jc w:val="center"/>
              <w:rPr>
                <w:rFonts w:ascii="Times New Roman" w:hAnsi="Times New Roman" w:cs="Times New Roman"/>
                <w:sz w:val="20"/>
                <w:szCs w:val="20"/>
              </w:rPr>
            </w:pPr>
          </w:p>
        </w:tc>
        <w:tc>
          <w:tcPr>
            <w:tcW w:w="1628" w:type="pct"/>
          </w:tcPr>
          <w:p w:rsidR="00B934DA" w:rsidRPr="00CF1F2B" w:rsidRDefault="00B934DA" w:rsidP="005777CD">
            <w:pPr>
              <w:jc w:val="center"/>
              <w:rPr>
                <w:rFonts w:ascii="Times New Roman" w:hAnsi="Times New Roman" w:cs="Times New Roman"/>
                <w:sz w:val="20"/>
                <w:szCs w:val="20"/>
              </w:rPr>
            </w:pPr>
          </w:p>
        </w:tc>
      </w:tr>
      <w:tr w:rsidR="00CF1F2B" w:rsidRPr="00CF1F2B" w:rsidTr="005777CD">
        <w:tc>
          <w:tcPr>
            <w:tcW w:w="2174" w:type="pct"/>
          </w:tcPr>
          <w:p w:rsidR="00B934DA" w:rsidRPr="00CF1F2B" w:rsidRDefault="00B934DA" w:rsidP="005777CD">
            <w:pPr>
              <w:rPr>
                <w:rFonts w:ascii="Times New Roman" w:hAnsi="Times New Roman" w:cs="Times New Roman"/>
                <w:sz w:val="20"/>
                <w:szCs w:val="20"/>
              </w:rPr>
            </w:pPr>
            <w:r w:rsidRPr="00CF1F2B">
              <w:rPr>
                <w:rFonts w:ascii="Times New Roman" w:hAnsi="Times New Roman" w:cs="Times New Roman"/>
                <w:sz w:val="20"/>
                <w:szCs w:val="20"/>
              </w:rPr>
              <w:t xml:space="preserve">  Metro</w:t>
            </w:r>
          </w:p>
        </w:tc>
        <w:tc>
          <w:tcPr>
            <w:tcW w:w="119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1029 (31.5)</w:t>
            </w:r>
          </w:p>
        </w:tc>
        <w:tc>
          <w:tcPr>
            <w:tcW w:w="162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450 (25.2)</w:t>
            </w:r>
          </w:p>
        </w:tc>
      </w:tr>
      <w:tr w:rsidR="00CF1F2B" w:rsidRPr="00CF1F2B" w:rsidTr="005777CD">
        <w:tc>
          <w:tcPr>
            <w:tcW w:w="2174" w:type="pct"/>
          </w:tcPr>
          <w:p w:rsidR="00B934DA" w:rsidRPr="00CF1F2B" w:rsidRDefault="00B934DA" w:rsidP="005777CD">
            <w:pPr>
              <w:rPr>
                <w:rFonts w:ascii="Times New Roman" w:hAnsi="Times New Roman" w:cs="Times New Roman"/>
                <w:sz w:val="20"/>
                <w:szCs w:val="20"/>
              </w:rPr>
            </w:pPr>
            <w:r w:rsidRPr="00CF1F2B">
              <w:rPr>
                <w:rFonts w:ascii="Times New Roman" w:hAnsi="Times New Roman" w:cs="Times New Roman"/>
                <w:sz w:val="20"/>
                <w:szCs w:val="20"/>
              </w:rPr>
              <w:t xml:space="preserve">  Rural</w:t>
            </w:r>
          </w:p>
        </w:tc>
        <w:tc>
          <w:tcPr>
            <w:tcW w:w="119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2235 (68.5)</w:t>
            </w:r>
          </w:p>
        </w:tc>
        <w:tc>
          <w:tcPr>
            <w:tcW w:w="1628" w:type="pct"/>
          </w:tcPr>
          <w:p w:rsidR="00B934DA" w:rsidRPr="00CF1F2B" w:rsidRDefault="00B934DA" w:rsidP="005777CD">
            <w:pPr>
              <w:jc w:val="center"/>
              <w:rPr>
                <w:rFonts w:ascii="Times New Roman" w:hAnsi="Times New Roman" w:cs="Times New Roman"/>
                <w:sz w:val="20"/>
                <w:szCs w:val="20"/>
              </w:rPr>
            </w:pPr>
            <w:r w:rsidRPr="00CF1F2B">
              <w:rPr>
                <w:rFonts w:ascii="Times New Roman" w:hAnsi="Times New Roman" w:cs="Times New Roman"/>
                <w:sz w:val="20"/>
                <w:szCs w:val="20"/>
              </w:rPr>
              <w:t>1335 (74.8)</w:t>
            </w:r>
          </w:p>
        </w:tc>
      </w:tr>
    </w:tbl>
    <w:p w:rsidR="00B934DA" w:rsidRPr="00CF1F2B" w:rsidRDefault="00B934DA" w:rsidP="00B934DA">
      <w:pPr>
        <w:rPr>
          <w:rFonts w:ascii="Times New Roman" w:hAnsi="Times New Roman" w:cs="Times New Roman"/>
          <w:sz w:val="20"/>
          <w:szCs w:val="20"/>
        </w:rPr>
      </w:pPr>
      <w:r w:rsidRPr="00CF1F2B">
        <w:rPr>
          <w:rFonts w:ascii="Times New Roman" w:hAnsi="Times New Roman" w:cs="Times New Roman"/>
          <w:sz w:val="20"/>
          <w:szCs w:val="20"/>
        </w:rPr>
        <w:t>YEP. Youth Eating Patterns. Metro. Metropolitan.</w:t>
      </w:r>
    </w:p>
    <w:p w:rsidR="00B934DA" w:rsidRPr="00CF1F2B" w:rsidRDefault="00B934DA" w:rsidP="00B934DA">
      <w:pPr>
        <w:rPr>
          <w:rFonts w:ascii="Times New Roman" w:hAnsi="Times New Roman" w:cs="Times New Roman"/>
          <w:sz w:val="20"/>
          <w:szCs w:val="20"/>
        </w:rPr>
      </w:pPr>
      <w:r w:rsidRPr="00CF1F2B">
        <w:rPr>
          <w:rFonts w:ascii="Times New Roman" w:hAnsi="Times New Roman" w:cs="Times New Roman"/>
          <w:sz w:val="20"/>
          <w:szCs w:val="20"/>
        </w:rPr>
        <w:t xml:space="preserve">†To be included in the present study, adolescents had to have responded to all variables of interest at both baseline (2004/05) and follow-up (2006/07).  </w:t>
      </w:r>
    </w:p>
    <w:p w:rsidR="00B934DA" w:rsidRPr="00CF1F2B" w:rsidRDefault="00B934DA" w:rsidP="00B934DA">
      <w:pPr>
        <w:spacing w:line="360" w:lineRule="auto"/>
        <w:rPr>
          <w:rFonts w:ascii="Times New Roman" w:hAnsi="Times New Roman" w:cs="Times New Roman"/>
          <w:sz w:val="20"/>
          <w:szCs w:val="20"/>
        </w:rPr>
      </w:pPr>
    </w:p>
    <w:p w:rsidR="00B934DA" w:rsidRPr="00CF1F2B" w:rsidRDefault="00B934DA" w:rsidP="00B934DA">
      <w:pPr>
        <w:spacing w:line="360" w:lineRule="auto"/>
        <w:rPr>
          <w:rFonts w:ascii="Times New Roman" w:hAnsi="Times New Roman" w:cs="Times New Roman"/>
          <w:sz w:val="20"/>
          <w:szCs w:val="20"/>
        </w:rPr>
        <w:sectPr w:rsidR="00B934DA" w:rsidRPr="00CF1F2B" w:rsidSect="005777CD">
          <w:pgSz w:w="11900" w:h="16840"/>
          <w:pgMar w:top="1134" w:right="1134" w:bottom="1134" w:left="1134" w:header="709" w:footer="709" w:gutter="0"/>
          <w:cols w:space="708"/>
          <w:docGrid w:linePitch="360"/>
        </w:sectPr>
      </w:pPr>
    </w:p>
    <w:p w:rsidR="00B934DA" w:rsidRPr="00CF1F2B" w:rsidRDefault="00B934DA" w:rsidP="00EC3516">
      <w:pPr>
        <w:ind w:left="2880" w:hanging="2880"/>
        <w:rPr>
          <w:rFonts w:asciiTheme="majorBidi" w:hAnsiTheme="majorBidi" w:cstheme="majorBidi"/>
          <w:b/>
          <w:bCs/>
        </w:rPr>
      </w:pPr>
      <w:r w:rsidRPr="00CF1F2B">
        <w:rPr>
          <w:rFonts w:asciiTheme="majorBidi" w:hAnsiTheme="majorBidi" w:cstheme="majorBidi"/>
          <w:b/>
          <w:bCs/>
        </w:rPr>
        <w:lastRenderedPageBreak/>
        <w:t>Supplementa</w:t>
      </w:r>
      <w:r w:rsidR="00CF1F2B">
        <w:rPr>
          <w:rFonts w:asciiTheme="majorBidi" w:hAnsiTheme="majorBidi" w:cstheme="majorBidi"/>
          <w:b/>
          <w:bCs/>
        </w:rPr>
        <w:t>l</w:t>
      </w:r>
      <w:r w:rsidRPr="00CF1F2B">
        <w:rPr>
          <w:rFonts w:asciiTheme="majorBidi" w:hAnsiTheme="majorBidi" w:cstheme="majorBidi"/>
          <w:b/>
          <w:bCs/>
        </w:rPr>
        <w:t xml:space="preserve"> Table 2</w:t>
      </w:r>
      <w:r w:rsidRPr="00CF1F2B">
        <w:rPr>
          <w:rFonts w:asciiTheme="majorBidi" w:hAnsiTheme="majorBidi" w:cstheme="majorBidi"/>
          <w:b/>
          <w:bCs/>
        </w:rPr>
        <w:tab/>
      </w:r>
      <w:r w:rsidRPr="00CF1F2B">
        <w:rPr>
          <w:rFonts w:asciiTheme="majorBidi" w:hAnsiTheme="majorBidi" w:cstheme="majorBidi"/>
          <w:bCs/>
        </w:rPr>
        <w:t>Cross-tabulation of breakfast skipping</w:t>
      </w:r>
      <w:r w:rsidRPr="00CF1F2B">
        <w:rPr>
          <w:rFonts w:ascii="Times New Roman" w:hAnsi="Times New Roman" w:cs="Times New Roman"/>
          <w:sz w:val="20"/>
          <w:szCs w:val="20"/>
        </w:rPr>
        <w:t>†</w:t>
      </w:r>
      <w:r w:rsidRPr="00CF1F2B">
        <w:rPr>
          <w:rFonts w:asciiTheme="majorBidi" w:hAnsiTheme="majorBidi" w:cstheme="majorBidi"/>
          <w:bCs/>
        </w:rPr>
        <w:t xml:space="preserve"> at baseline (2004/05) and follow-up (2006/07) in an Australian adolescent sample (</w:t>
      </w:r>
      <w:r w:rsidRPr="00CF1F2B">
        <w:rPr>
          <w:rFonts w:asciiTheme="majorBidi" w:hAnsiTheme="majorBidi" w:cstheme="majorBidi"/>
          <w:bCs/>
          <w:i/>
          <w:iCs/>
        </w:rPr>
        <w:t>N</w:t>
      </w:r>
      <w:r w:rsidRPr="00CF1F2B">
        <w:rPr>
          <w:rFonts w:asciiTheme="majorBidi" w:hAnsiTheme="majorBidi" w:cstheme="majorBidi"/>
          <w:bCs/>
        </w:rPr>
        <w:t xml:space="preserve"> = 1785)</w:t>
      </w:r>
      <w:r w:rsidRPr="00CF1F2B">
        <w:rPr>
          <w:rFonts w:asciiTheme="majorBidi" w:hAnsiTheme="majorBidi" w:cstheme="majorBidi"/>
          <w:b/>
          <w:bCs/>
        </w:rPr>
        <w:t xml:space="preserve"> </w:t>
      </w:r>
    </w:p>
    <w:p w:rsidR="00EC3516" w:rsidRPr="00CF1F2B" w:rsidRDefault="00EC3516" w:rsidP="00EC3516">
      <w:pPr>
        <w:ind w:left="2880" w:hanging="2880"/>
        <w:rPr>
          <w:rFonts w:asciiTheme="majorBidi" w:hAnsiTheme="majorBidi" w:cstheme="majorBidi"/>
          <w:b/>
          <w:bCs/>
        </w:rPr>
      </w:pPr>
    </w:p>
    <w:tbl>
      <w:tblPr>
        <w:tblStyle w:val="TableGrid"/>
        <w:tblW w:w="5000" w:type="pct"/>
        <w:tblLook w:val="04A0" w:firstRow="1" w:lastRow="0" w:firstColumn="1" w:lastColumn="0" w:noHBand="0" w:noVBand="1"/>
      </w:tblPr>
      <w:tblGrid>
        <w:gridCol w:w="2218"/>
        <w:gridCol w:w="2099"/>
        <w:gridCol w:w="2099"/>
        <w:gridCol w:w="1933"/>
        <w:gridCol w:w="1515"/>
      </w:tblGrid>
      <w:tr w:rsidR="00CF1F2B" w:rsidRPr="00CF1F2B" w:rsidTr="005777CD">
        <w:tc>
          <w:tcPr>
            <w:tcW w:w="1124" w:type="pct"/>
            <w:tcBorders>
              <w:top w:val="single" w:sz="4" w:space="0" w:color="auto"/>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1064" w:type="pct"/>
            <w:tcBorders>
              <w:top w:val="single" w:sz="4" w:space="0" w:color="auto"/>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2812" w:type="pct"/>
            <w:gridSpan w:val="3"/>
            <w:tcBorders>
              <w:top w:val="single" w:sz="4" w:space="0" w:color="auto"/>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Follow-up breakfast skipping</w:t>
            </w:r>
          </w:p>
        </w:tc>
      </w:tr>
      <w:tr w:rsidR="00CF1F2B" w:rsidRPr="00CF1F2B" w:rsidTr="005777CD">
        <w:tc>
          <w:tcPr>
            <w:tcW w:w="1124"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1064"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1064" w:type="pct"/>
            <w:tcBorders>
              <w:top w:val="single" w:sz="4" w:space="0" w:color="auto"/>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Infrequent</w:t>
            </w:r>
          </w:p>
        </w:tc>
        <w:tc>
          <w:tcPr>
            <w:tcW w:w="980" w:type="pct"/>
            <w:tcBorders>
              <w:top w:val="single" w:sz="4" w:space="0" w:color="auto"/>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Frequent</w:t>
            </w:r>
          </w:p>
        </w:tc>
        <w:tc>
          <w:tcPr>
            <w:tcW w:w="768" w:type="pct"/>
            <w:tcBorders>
              <w:top w:val="single" w:sz="4" w:space="0" w:color="auto"/>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 xml:space="preserve">Total </w:t>
            </w:r>
          </w:p>
        </w:tc>
      </w:tr>
      <w:tr w:rsidR="00CF1F2B" w:rsidRPr="00CF1F2B" w:rsidTr="005777CD">
        <w:tc>
          <w:tcPr>
            <w:tcW w:w="1124" w:type="pct"/>
            <w:vMerge w:val="restar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Baseline breakfast skipping</w:t>
            </w:r>
          </w:p>
        </w:tc>
        <w:tc>
          <w:tcPr>
            <w:tcW w:w="1064" w:type="pct"/>
            <w:tcBorders>
              <w:top w:val="nil"/>
              <w:left w:val="nil"/>
              <w:bottom w:val="nil"/>
              <w:right w:val="nil"/>
            </w:tcBorders>
          </w:tcPr>
          <w:p w:rsidR="00B934DA" w:rsidRPr="00CF1F2B" w:rsidRDefault="00B934DA" w:rsidP="005777CD">
            <w:pPr>
              <w:spacing w:line="360" w:lineRule="auto"/>
              <w:rPr>
                <w:rFonts w:asciiTheme="majorBidi" w:hAnsiTheme="majorBidi" w:cstheme="majorBidi"/>
                <w:sz w:val="20"/>
                <w:szCs w:val="20"/>
              </w:rPr>
            </w:pPr>
            <w:r w:rsidRPr="00CF1F2B">
              <w:rPr>
                <w:rFonts w:asciiTheme="majorBidi" w:hAnsiTheme="majorBidi" w:cstheme="majorBidi"/>
                <w:sz w:val="20"/>
                <w:szCs w:val="20"/>
              </w:rPr>
              <w:t xml:space="preserve">Infrequent, </w:t>
            </w:r>
            <w:r w:rsidRPr="00CF1F2B">
              <w:rPr>
                <w:rFonts w:asciiTheme="majorBidi" w:hAnsiTheme="majorBidi" w:cstheme="majorBidi"/>
                <w:i/>
                <w:sz w:val="20"/>
                <w:szCs w:val="20"/>
              </w:rPr>
              <w:t xml:space="preserve">n </w:t>
            </w:r>
            <w:r w:rsidRPr="00CF1F2B">
              <w:rPr>
                <w:rFonts w:asciiTheme="majorBidi" w:hAnsiTheme="majorBidi" w:cstheme="majorBidi"/>
                <w:sz w:val="20"/>
                <w:szCs w:val="20"/>
              </w:rPr>
              <w:t>(%)</w:t>
            </w:r>
          </w:p>
        </w:tc>
        <w:tc>
          <w:tcPr>
            <w:tcW w:w="1064" w:type="pct"/>
            <w:tcBorders>
              <w:top w:val="single" w:sz="4" w:space="0" w:color="auto"/>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1237 (85.3)</w:t>
            </w:r>
          </w:p>
        </w:tc>
        <w:tc>
          <w:tcPr>
            <w:tcW w:w="980" w:type="pct"/>
            <w:tcBorders>
              <w:top w:val="single" w:sz="4" w:space="0" w:color="auto"/>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214 (14.7)</w:t>
            </w:r>
          </w:p>
        </w:tc>
        <w:tc>
          <w:tcPr>
            <w:tcW w:w="768" w:type="pct"/>
            <w:tcBorders>
              <w:top w:val="single" w:sz="4" w:space="0" w:color="auto"/>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1451 (100.0)</w:t>
            </w:r>
          </w:p>
        </w:tc>
      </w:tr>
      <w:tr w:rsidR="00CF1F2B" w:rsidRPr="00CF1F2B" w:rsidTr="005777CD">
        <w:tc>
          <w:tcPr>
            <w:tcW w:w="1124" w:type="pct"/>
            <w:vMerge/>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1064" w:type="pct"/>
            <w:tcBorders>
              <w:top w:val="nil"/>
              <w:left w:val="nil"/>
              <w:bottom w:val="nil"/>
              <w:right w:val="nil"/>
            </w:tcBorders>
          </w:tcPr>
          <w:p w:rsidR="00B934DA" w:rsidRPr="00CF1F2B" w:rsidRDefault="00B934DA" w:rsidP="005777CD">
            <w:pPr>
              <w:spacing w:line="360" w:lineRule="auto"/>
              <w:rPr>
                <w:rFonts w:asciiTheme="majorBidi" w:hAnsiTheme="majorBidi" w:cstheme="majorBidi"/>
                <w:sz w:val="20"/>
                <w:szCs w:val="20"/>
              </w:rPr>
            </w:pPr>
            <w:r w:rsidRPr="00CF1F2B">
              <w:rPr>
                <w:rFonts w:asciiTheme="majorBidi" w:hAnsiTheme="majorBidi" w:cstheme="majorBidi"/>
                <w:sz w:val="20"/>
                <w:szCs w:val="20"/>
              </w:rPr>
              <w:t xml:space="preserve">Frequent, </w:t>
            </w:r>
            <w:r w:rsidRPr="00CF1F2B">
              <w:rPr>
                <w:rFonts w:asciiTheme="majorBidi" w:hAnsiTheme="majorBidi" w:cstheme="majorBidi"/>
                <w:i/>
                <w:sz w:val="20"/>
                <w:szCs w:val="20"/>
              </w:rPr>
              <w:t xml:space="preserve">n </w:t>
            </w:r>
            <w:r w:rsidRPr="00CF1F2B">
              <w:rPr>
                <w:rFonts w:asciiTheme="majorBidi" w:hAnsiTheme="majorBidi" w:cstheme="majorBidi"/>
                <w:sz w:val="20"/>
                <w:szCs w:val="20"/>
              </w:rPr>
              <w:t xml:space="preserve">(%) </w:t>
            </w:r>
          </w:p>
        </w:tc>
        <w:tc>
          <w:tcPr>
            <w:tcW w:w="1064"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 xml:space="preserve">  135 (40.4)</w:t>
            </w:r>
          </w:p>
        </w:tc>
        <w:tc>
          <w:tcPr>
            <w:tcW w:w="980"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 xml:space="preserve"> 199 (59.6)</w:t>
            </w:r>
          </w:p>
        </w:tc>
        <w:tc>
          <w:tcPr>
            <w:tcW w:w="768"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 xml:space="preserve"> 334 (100.0)</w:t>
            </w:r>
          </w:p>
        </w:tc>
      </w:tr>
      <w:tr w:rsidR="00CF1F2B" w:rsidRPr="00CF1F2B" w:rsidTr="005777CD">
        <w:tc>
          <w:tcPr>
            <w:tcW w:w="1124" w:type="pct"/>
            <w:vMerge/>
            <w:tcBorders>
              <w:top w:val="nil"/>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1064" w:type="pct"/>
            <w:tcBorders>
              <w:top w:val="nil"/>
              <w:left w:val="nil"/>
              <w:bottom w:val="single" w:sz="4" w:space="0" w:color="auto"/>
              <w:right w:val="nil"/>
            </w:tcBorders>
          </w:tcPr>
          <w:p w:rsidR="00B934DA" w:rsidRPr="00CF1F2B" w:rsidRDefault="00B934DA" w:rsidP="005777CD">
            <w:pPr>
              <w:spacing w:line="360" w:lineRule="auto"/>
              <w:rPr>
                <w:rFonts w:asciiTheme="majorBidi" w:hAnsiTheme="majorBidi" w:cstheme="majorBidi"/>
                <w:sz w:val="20"/>
                <w:szCs w:val="20"/>
              </w:rPr>
            </w:pPr>
            <w:r w:rsidRPr="00CF1F2B">
              <w:rPr>
                <w:rFonts w:asciiTheme="majorBidi" w:hAnsiTheme="majorBidi" w:cstheme="majorBidi"/>
                <w:sz w:val="20"/>
                <w:szCs w:val="20"/>
              </w:rPr>
              <w:t xml:space="preserve">Total, </w:t>
            </w:r>
            <w:r w:rsidRPr="00CF1F2B">
              <w:rPr>
                <w:rFonts w:asciiTheme="majorBidi" w:hAnsiTheme="majorBidi" w:cstheme="majorBidi"/>
                <w:i/>
                <w:sz w:val="20"/>
                <w:szCs w:val="20"/>
              </w:rPr>
              <w:t xml:space="preserve">n </w:t>
            </w:r>
            <w:r w:rsidRPr="00CF1F2B">
              <w:rPr>
                <w:rFonts w:asciiTheme="majorBidi" w:hAnsiTheme="majorBidi" w:cstheme="majorBidi"/>
                <w:sz w:val="20"/>
                <w:szCs w:val="20"/>
              </w:rPr>
              <w:t>(%)</w:t>
            </w:r>
          </w:p>
        </w:tc>
        <w:tc>
          <w:tcPr>
            <w:tcW w:w="1064" w:type="pct"/>
            <w:tcBorders>
              <w:top w:val="nil"/>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1372 (76.9)</w:t>
            </w:r>
          </w:p>
        </w:tc>
        <w:tc>
          <w:tcPr>
            <w:tcW w:w="980" w:type="pct"/>
            <w:tcBorders>
              <w:top w:val="nil"/>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 xml:space="preserve"> 413 (23.1)</w:t>
            </w:r>
          </w:p>
        </w:tc>
        <w:tc>
          <w:tcPr>
            <w:tcW w:w="768" w:type="pct"/>
            <w:tcBorders>
              <w:top w:val="nil"/>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1785 (100.0)</w:t>
            </w:r>
          </w:p>
        </w:tc>
      </w:tr>
    </w:tbl>
    <w:p w:rsidR="00B934DA" w:rsidRPr="00CF1F2B" w:rsidRDefault="00B934DA" w:rsidP="00B934DA">
      <w:pPr>
        <w:pStyle w:val="NoSpacing"/>
        <w:rPr>
          <w:rFonts w:ascii="Times New Roman" w:hAnsi="Times New Roman" w:cs="Times New Roman"/>
          <w:sz w:val="20"/>
          <w:szCs w:val="20"/>
        </w:rPr>
      </w:pPr>
      <w:r w:rsidRPr="00CF1F2B">
        <w:rPr>
          <w:rFonts w:ascii="Times New Roman" w:hAnsi="Times New Roman" w:cs="Times New Roman"/>
          <w:sz w:val="20"/>
          <w:szCs w:val="20"/>
        </w:rPr>
        <w:t>†Skipping breakfast: adolescents were classified as ‘frequent skippers’ (of breakfast) if they reported skipping breakfast on ‘most days’ or ‘every day’.</w:t>
      </w:r>
    </w:p>
    <w:p w:rsidR="00B934DA" w:rsidRPr="00CF1F2B" w:rsidRDefault="00B934DA" w:rsidP="00B934DA">
      <w:pPr>
        <w:rPr>
          <w:rFonts w:asciiTheme="majorBidi" w:hAnsiTheme="majorBidi" w:cstheme="majorBidi"/>
          <w:b/>
          <w:bCs/>
        </w:rPr>
      </w:pPr>
    </w:p>
    <w:p w:rsidR="00B934DA" w:rsidRPr="00CF1F2B" w:rsidRDefault="00B934DA" w:rsidP="00B934DA">
      <w:pPr>
        <w:rPr>
          <w:rFonts w:asciiTheme="majorBidi" w:hAnsiTheme="majorBidi" w:cstheme="majorBidi"/>
          <w:b/>
          <w:bCs/>
        </w:rPr>
      </w:pPr>
    </w:p>
    <w:p w:rsidR="00B934DA" w:rsidRPr="00CF1F2B" w:rsidRDefault="00B934DA" w:rsidP="00B934DA">
      <w:pPr>
        <w:rPr>
          <w:rFonts w:asciiTheme="majorBidi" w:hAnsiTheme="majorBidi" w:cstheme="majorBidi"/>
          <w:b/>
          <w:bCs/>
        </w:rPr>
      </w:pPr>
    </w:p>
    <w:p w:rsidR="00B934DA" w:rsidRPr="00CF1F2B" w:rsidRDefault="00B934DA" w:rsidP="00B934DA">
      <w:pPr>
        <w:rPr>
          <w:rFonts w:asciiTheme="majorBidi" w:hAnsiTheme="majorBidi" w:cstheme="majorBidi"/>
          <w:b/>
          <w:bCs/>
        </w:rPr>
      </w:pPr>
    </w:p>
    <w:p w:rsidR="00B934DA" w:rsidRPr="00CF1F2B" w:rsidRDefault="00B934DA" w:rsidP="00B934DA">
      <w:pPr>
        <w:rPr>
          <w:rFonts w:asciiTheme="majorBidi" w:hAnsiTheme="majorBidi" w:cstheme="majorBidi"/>
          <w:b/>
          <w:bCs/>
        </w:rPr>
      </w:pPr>
    </w:p>
    <w:p w:rsidR="00B934DA" w:rsidRPr="00CF1F2B" w:rsidRDefault="00B934DA" w:rsidP="00B934DA">
      <w:pPr>
        <w:rPr>
          <w:rFonts w:asciiTheme="majorBidi" w:hAnsiTheme="majorBidi" w:cstheme="majorBidi"/>
          <w:b/>
          <w:bCs/>
        </w:rPr>
      </w:pPr>
    </w:p>
    <w:p w:rsidR="00B934DA" w:rsidRPr="00CF1F2B" w:rsidRDefault="00B934DA" w:rsidP="00B934DA">
      <w:pPr>
        <w:spacing w:line="360" w:lineRule="auto"/>
        <w:rPr>
          <w:rFonts w:ascii="Times New Roman" w:hAnsi="Times New Roman" w:cs="Times New Roman"/>
          <w:sz w:val="20"/>
          <w:szCs w:val="20"/>
        </w:rPr>
      </w:pPr>
    </w:p>
    <w:p w:rsidR="00B934DA" w:rsidRPr="00CF1F2B" w:rsidRDefault="00B934DA" w:rsidP="00B934DA">
      <w:pPr>
        <w:rPr>
          <w:rFonts w:ascii="Times New Roman" w:hAnsi="Times New Roman" w:cs="Times New Roman"/>
          <w:sz w:val="20"/>
          <w:szCs w:val="20"/>
          <w:lang w:eastAsia="zh-CN"/>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pStyle w:val="NoSpacing"/>
        <w:rPr>
          <w:rFonts w:ascii="Times New Roman" w:hAnsi="Times New Roman" w:cs="Times New Roman"/>
          <w:sz w:val="20"/>
          <w:szCs w:val="20"/>
        </w:rPr>
      </w:pPr>
    </w:p>
    <w:p w:rsidR="00B934DA" w:rsidRPr="00CF1F2B" w:rsidRDefault="00B934DA" w:rsidP="00B934DA">
      <w:pPr>
        <w:spacing w:line="360" w:lineRule="auto"/>
        <w:ind w:left="2880" w:hanging="2880"/>
        <w:rPr>
          <w:rFonts w:asciiTheme="majorBidi" w:hAnsiTheme="majorBidi" w:cstheme="majorBidi"/>
          <w:b/>
          <w:bCs/>
        </w:rPr>
      </w:pPr>
    </w:p>
    <w:p w:rsidR="00B934DA" w:rsidRPr="00CF1F2B" w:rsidRDefault="00B934DA" w:rsidP="00B934DA">
      <w:pPr>
        <w:spacing w:line="360" w:lineRule="auto"/>
        <w:ind w:left="2880" w:hanging="2880"/>
        <w:rPr>
          <w:rFonts w:asciiTheme="majorBidi" w:hAnsiTheme="majorBidi" w:cstheme="majorBidi"/>
          <w:b/>
          <w:bCs/>
        </w:rPr>
      </w:pPr>
    </w:p>
    <w:p w:rsidR="00B934DA" w:rsidRPr="00CF1F2B" w:rsidRDefault="00B934DA" w:rsidP="00B934DA">
      <w:pPr>
        <w:spacing w:line="360" w:lineRule="auto"/>
        <w:ind w:left="2880" w:hanging="2880"/>
        <w:rPr>
          <w:rFonts w:asciiTheme="majorBidi" w:hAnsiTheme="majorBidi" w:cstheme="majorBidi"/>
          <w:b/>
          <w:bCs/>
        </w:rPr>
      </w:pPr>
    </w:p>
    <w:p w:rsidR="00B934DA" w:rsidRPr="00CF1F2B" w:rsidRDefault="00B934DA" w:rsidP="00EC3516">
      <w:pPr>
        <w:ind w:left="2880" w:hanging="2880"/>
        <w:rPr>
          <w:rFonts w:asciiTheme="majorBidi" w:hAnsiTheme="majorBidi" w:cstheme="majorBidi"/>
          <w:bCs/>
        </w:rPr>
      </w:pPr>
      <w:r w:rsidRPr="00CF1F2B">
        <w:rPr>
          <w:rFonts w:asciiTheme="majorBidi" w:hAnsiTheme="majorBidi" w:cstheme="majorBidi"/>
          <w:b/>
          <w:bCs/>
        </w:rPr>
        <w:lastRenderedPageBreak/>
        <w:t>Supplementa</w:t>
      </w:r>
      <w:r w:rsidR="00CF1F2B">
        <w:rPr>
          <w:rFonts w:asciiTheme="majorBidi" w:hAnsiTheme="majorBidi" w:cstheme="majorBidi"/>
          <w:b/>
          <w:bCs/>
        </w:rPr>
        <w:t>l</w:t>
      </w:r>
      <w:r w:rsidRPr="00CF1F2B">
        <w:rPr>
          <w:rFonts w:asciiTheme="majorBidi" w:hAnsiTheme="majorBidi" w:cstheme="majorBidi"/>
          <w:b/>
          <w:bCs/>
        </w:rPr>
        <w:t xml:space="preserve"> Table 3</w:t>
      </w:r>
      <w:r w:rsidRPr="00CF1F2B">
        <w:rPr>
          <w:rFonts w:asciiTheme="majorBidi" w:hAnsiTheme="majorBidi" w:cstheme="majorBidi"/>
          <w:b/>
          <w:bCs/>
        </w:rPr>
        <w:tab/>
      </w:r>
      <w:r w:rsidRPr="00CF1F2B">
        <w:rPr>
          <w:rFonts w:asciiTheme="majorBidi" w:hAnsiTheme="majorBidi" w:cstheme="majorBidi"/>
          <w:bCs/>
        </w:rPr>
        <w:t>Cross-tabulation of lunch skipping</w:t>
      </w:r>
      <w:r w:rsidRPr="00CF1F2B">
        <w:rPr>
          <w:rFonts w:ascii="Times New Roman" w:hAnsi="Times New Roman" w:cs="Times New Roman"/>
          <w:sz w:val="20"/>
          <w:szCs w:val="20"/>
        </w:rPr>
        <w:t>†</w:t>
      </w:r>
      <w:r w:rsidRPr="00CF1F2B">
        <w:rPr>
          <w:rFonts w:asciiTheme="majorBidi" w:hAnsiTheme="majorBidi" w:cstheme="majorBidi"/>
          <w:bCs/>
        </w:rPr>
        <w:t xml:space="preserve"> at baseline (2004/05) and follow-up (2006/07) in an Australian adolescent sample (</w:t>
      </w:r>
      <w:r w:rsidRPr="00CF1F2B">
        <w:rPr>
          <w:rFonts w:asciiTheme="majorBidi" w:hAnsiTheme="majorBidi" w:cstheme="majorBidi"/>
          <w:bCs/>
          <w:i/>
          <w:iCs/>
        </w:rPr>
        <w:t>N</w:t>
      </w:r>
      <w:r w:rsidRPr="00CF1F2B">
        <w:rPr>
          <w:rFonts w:asciiTheme="majorBidi" w:hAnsiTheme="majorBidi" w:cstheme="majorBidi"/>
          <w:bCs/>
        </w:rPr>
        <w:t xml:space="preserve"> = 1785)</w:t>
      </w:r>
      <w:r w:rsidRPr="00CF1F2B">
        <w:rPr>
          <w:rFonts w:asciiTheme="majorBidi" w:hAnsiTheme="majorBidi" w:cstheme="majorBidi"/>
          <w:b/>
          <w:bCs/>
        </w:rPr>
        <w:t xml:space="preserve"> </w:t>
      </w:r>
    </w:p>
    <w:tbl>
      <w:tblPr>
        <w:tblStyle w:val="TableGrid"/>
        <w:tblW w:w="5000" w:type="pct"/>
        <w:tblLook w:val="04A0" w:firstRow="1" w:lastRow="0" w:firstColumn="1" w:lastColumn="0" w:noHBand="0" w:noVBand="1"/>
      </w:tblPr>
      <w:tblGrid>
        <w:gridCol w:w="2218"/>
        <w:gridCol w:w="2099"/>
        <w:gridCol w:w="2099"/>
        <w:gridCol w:w="1933"/>
        <w:gridCol w:w="1515"/>
      </w:tblGrid>
      <w:tr w:rsidR="00CF1F2B" w:rsidRPr="00CF1F2B" w:rsidTr="005777CD">
        <w:tc>
          <w:tcPr>
            <w:tcW w:w="1124" w:type="pct"/>
            <w:tcBorders>
              <w:top w:val="single" w:sz="4" w:space="0" w:color="auto"/>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1064" w:type="pct"/>
            <w:tcBorders>
              <w:top w:val="single" w:sz="4" w:space="0" w:color="auto"/>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2812" w:type="pct"/>
            <w:gridSpan w:val="3"/>
            <w:tcBorders>
              <w:top w:val="single" w:sz="4" w:space="0" w:color="auto"/>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Follow-up lunch skipping</w:t>
            </w:r>
          </w:p>
        </w:tc>
      </w:tr>
      <w:tr w:rsidR="00CF1F2B" w:rsidRPr="00CF1F2B" w:rsidTr="005777CD">
        <w:tc>
          <w:tcPr>
            <w:tcW w:w="1124"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1064"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1064" w:type="pct"/>
            <w:tcBorders>
              <w:top w:val="single" w:sz="4" w:space="0" w:color="auto"/>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Infrequent</w:t>
            </w:r>
          </w:p>
        </w:tc>
        <w:tc>
          <w:tcPr>
            <w:tcW w:w="980" w:type="pct"/>
            <w:tcBorders>
              <w:top w:val="single" w:sz="4" w:space="0" w:color="auto"/>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Frequent</w:t>
            </w:r>
          </w:p>
        </w:tc>
        <w:tc>
          <w:tcPr>
            <w:tcW w:w="768" w:type="pct"/>
            <w:tcBorders>
              <w:top w:val="single" w:sz="4" w:space="0" w:color="auto"/>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Total</w:t>
            </w:r>
          </w:p>
        </w:tc>
      </w:tr>
      <w:tr w:rsidR="00CF1F2B" w:rsidRPr="00CF1F2B" w:rsidTr="005777CD">
        <w:tc>
          <w:tcPr>
            <w:tcW w:w="1124" w:type="pct"/>
            <w:vMerge w:val="restar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Baseline lunch skipping</w:t>
            </w:r>
          </w:p>
        </w:tc>
        <w:tc>
          <w:tcPr>
            <w:tcW w:w="1064"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 xml:space="preserve">Infrequent, </w:t>
            </w:r>
            <w:r w:rsidRPr="00CF1F2B">
              <w:rPr>
                <w:rFonts w:asciiTheme="majorBidi" w:hAnsiTheme="majorBidi" w:cstheme="majorBidi"/>
                <w:i/>
                <w:iCs/>
                <w:sz w:val="20"/>
                <w:szCs w:val="20"/>
              </w:rPr>
              <w:t>n</w:t>
            </w:r>
            <w:r w:rsidRPr="00CF1F2B">
              <w:rPr>
                <w:rFonts w:asciiTheme="majorBidi" w:hAnsiTheme="majorBidi" w:cstheme="majorBidi"/>
                <w:sz w:val="20"/>
                <w:szCs w:val="20"/>
              </w:rPr>
              <w:t xml:space="preserve"> (%)</w:t>
            </w:r>
          </w:p>
        </w:tc>
        <w:tc>
          <w:tcPr>
            <w:tcW w:w="1064" w:type="pct"/>
            <w:tcBorders>
              <w:top w:val="single" w:sz="4" w:space="0" w:color="auto"/>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1467 (92.1)</w:t>
            </w:r>
          </w:p>
        </w:tc>
        <w:tc>
          <w:tcPr>
            <w:tcW w:w="980" w:type="pct"/>
            <w:tcBorders>
              <w:top w:val="single" w:sz="4" w:space="0" w:color="auto"/>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125 (7.9)</w:t>
            </w:r>
          </w:p>
        </w:tc>
        <w:tc>
          <w:tcPr>
            <w:tcW w:w="768" w:type="pct"/>
            <w:tcBorders>
              <w:top w:val="single" w:sz="4" w:space="0" w:color="auto"/>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1592 (100.0)</w:t>
            </w:r>
          </w:p>
        </w:tc>
      </w:tr>
      <w:tr w:rsidR="00CF1F2B" w:rsidRPr="00CF1F2B" w:rsidTr="005777CD">
        <w:tc>
          <w:tcPr>
            <w:tcW w:w="1124" w:type="pct"/>
            <w:vMerge/>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1064"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 xml:space="preserve">Frequent, </w:t>
            </w:r>
            <w:r w:rsidRPr="00CF1F2B">
              <w:rPr>
                <w:rFonts w:asciiTheme="majorBidi" w:hAnsiTheme="majorBidi" w:cstheme="majorBidi"/>
                <w:i/>
                <w:iCs/>
                <w:sz w:val="20"/>
                <w:szCs w:val="20"/>
              </w:rPr>
              <w:t>n</w:t>
            </w:r>
            <w:r w:rsidRPr="00CF1F2B">
              <w:rPr>
                <w:rFonts w:asciiTheme="majorBidi" w:hAnsiTheme="majorBidi" w:cstheme="majorBidi"/>
                <w:sz w:val="20"/>
                <w:szCs w:val="20"/>
              </w:rPr>
              <w:t xml:space="preserve"> (%)</w:t>
            </w:r>
          </w:p>
        </w:tc>
        <w:tc>
          <w:tcPr>
            <w:tcW w:w="1064"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 xml:space="preserve"> 141 (73.1)</w:t>
            </w:r>
          </w:p>
        </w:tc>
        <w:tc>
          <w:tcPr>
            <w:tcW w:w="980"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 xml:space="preserve"> 52 (26.9) </w:t>
            </w:r>
          </w:p>
        </w:tc>
        <w:tc>
          <w:tcPr>
            <w:tcW w:w="768" w:type="pct"/>
            <w:tcBorders>
              <w:top w:val="nil"/>
              <w:left w:val="nil"/>
              <w:bottom w:val="nil"/>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193 (100.0)</w:t>
            </w:r>
          </w:p>
        </w:tc>
      </w:tr>
      <w:tr w:rsidR="00CF1F2B" w:rsidRPr="00CF1F2B" w:rsidTr="005777CD">
        <w:tc>
          <w:tcPr>
            <w:tcW w:w="1124" w:type="pct"/>
            <w:vMerge/>
            <w:tcBorders>
              <w:top w:val="nil"/>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p>
        </w:tc>
        <w:tc>
          <w:tcPr>
            <w:tcW w:w="1064" w:type="pct"/>
            <w:tcBorders>
              <w:top w:val="nil"/>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 xml:space="preserve">Total, </w:t>
            </w:r>
            <w:r w:rsidRPr="00CF1F2B">
              <w:rPr>
                <w:rFonts w:asciiTheme="majorBidi" w:hAnsiTheme="majorBidi" w:cstheme="majorBidi"/>
                <w:i/>
                <w:iCs/>
                <w:sz w:val="20"/>
                <w:szCs w:val="20"/>
              </w:rPr>
              <w:t>n</w:t>
            </w:r>
            <w:r w:rsidRPr="00CF1F2B">
              <w:rPr>
                <w:rFonts w:asciiTheme="majorBidi" w:hAnsiTheme="majorBidi" w:cstheme="majorBidi"/>
                <w:sz w:val="20"/>
                <w:szCs w:val="20"/>
              </w:rPr>
              <w:t xml:space="preserve"> (%)</w:t>
            </w:r>
          </w:p>
        </w:tc>
        <w:tc>
          <w:tcPr>
            <w:tcW w:w="1064" w:type="pct"/>
            <w:tcBorders>
              <w:top w:val="nil"/>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1608 (90.1)</w:t>
            </w:r>
          </w:p>
        </w:tc>
        <w:tc>
          <w:tcPr>
            <w:tcW w:w="980" w:type="pct"/>
            <w:tcBorders>
              <w:top w:val="nil"/>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177 (9.9)</w:t>
            </w:r>
          </w:p>
        </w:tc>
        <w:tc>
          <w:tcPr>
            <w:tcW w:w="768" w:type="pct"/>
            <w:tcBorders>
              <w:top w:val="nil"/>
              <w:left w:val="nil"/>
              <w:bottom w:val="single" w:sz="4" w:space="0" w:color="auto"/>
              <w:right w:val="nil"/>
            </w:tcBorders>
          </w:tcPr>
          <w:p w:rsidR="00B934DA" w:rsidRPr="00CF1F2B" w:rsidRDefault="00B934DA" w:rsidP="005777CD">
            <w:pPr>
              <w:spacing w:line="360" w:lineRule="auto"/>
              <w:jc w:val="center"/>
              <w:rPr>
                <w:rFonts w:asciiTheme="majorBidi" w:hAnsiTheme="majorBidi" w:cstheme="majorBidi"/>
                <w:sz w:val="20"/>
                <w:szCs w:val="20"/>
              </w:rPr>
            </w:pPr>
            <w:r w:rsidRPr="00CF1F2B">
              <w:rPr>
                <w:rFonts w:asciiTheme="majorBidi" w:hAnsiTheme="majorBidi" w:cstheme="majorBidi"/>
                <w:sz w:val="20"/>
                <w:szCs w:val="20"/>
              </w:rPr>
              <w:t>1785 (100.0)</w:t>
            </w:r>
          </w:p>
        </w:tc>
      </w:tr>
    </w:tbl>
    <w:p w:rsidR="00B934DA" w:rsidRPr="00CF1F2B" w:rsidRDefault="00B934DA" w:rsidP="00B934DA">
      <w:pPr>
        <w:pStyle w:val="NoSpacing"/>
        <w:rPr>
          <w:rFonts w:asciiTheme="majorBidi" w:hAnsiTheme="majorBidi" w:cstheme="majorBidi"/>
          <w:b/>
          <w:bCs/>
        </w:rPr>
      </w:pPr>
      <w:r w:rsidRPr="00CF1F2B">
        <w:rPr>
          <w:rFonts w:ascii="Times New Roman" w:hAnsi="Times New Roman" w:cs="Times New Roman"/>
          <w:sz w:val="20"/>
          <w:szCs w:val="20"/>
        </w:rPr>
        <w:t>†Skipping lunch: adolescents were classified as ‘frequent skippers’ (of lunch) if they reported skipping lunch on ‘most days’ or ‘every day’.</w:t>
      </w:r>
    </w:p>
    <w:p w:rsidR="00B934DA" w:rsidRPr="00CF1F2B" w:rsidRDefault="00B934DA" w:rsidP="00B934DA">
      <w:pPr>
        <w:rPr>
          <w:rFonts w:asciiTheme="majorBidi" w:hAnsiTheme="majorBidi" w:cstheme="majorBidi"/>
          <w:b/>
          <w:bCs/>
        </w:rPr>
      </w:pPr>
    </w:p>
    <w:p w:rsidR="00B934DA" w:rsidRPr="00CF1F2B" w:rsidRDefault="00B934DA"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pPr>
    </w:p>
    <w:p w:rsidR="00C4366D" w:rsidRPr="00CF1F2B" w:rsidRDefault="00C4366D" w:rsidP="00B934DA">
      <w:pPr>
        <w:rPr>
          <w:rFonts w:asciiTheme="majorBidi" w:hAnsiTheme="majorBidi" w:cstheme="majorBidi"/>
          <w:b/>
          <w:bCs/>
        </w:rPr>
        <w:sectPr w:rsidR="00C4366D" w:rsidRPr="00CF1F2B" w:rsidSect="005777CD">
          <w:headerReference w:type="default" r:id="rId6"/>
          <w:footerReference w:type="even" r:id="rId7"/>
          <w:footerReference w:type="default" r:id="rId8"/>
          <w:pgSz w:w="11906" w:h="16838" w:code="9"/>
          <w:pgMar w:top="1021" w:right="1021" w:bottom="1021" w:left="1021" w:header="709" w:footer="709" w:gutter="0"/>
          <w:cols w:space="708"/>
          <w:docGrid w:linePitch="360"/>
        </w:sectPr>
      </w:pPr>
    </w:p>
    <w:p w:rsidR="00C4366D" w:rsidRPr="00CF1F2B" w:rsidRDefault="00C4366D" w:rsidP="00C4366D">
      <w:pPr>
        <w:pStyle w:val="NoSpacing"/>
        <w:ind w:left="1440" w:hanging="1440"/>
        <w:rPr>
          <w:rFonts w:ascii="Times New Roman" w:hAnsi="Times New Roman" w:cs="Times New Roman"/>
          <w:sz w:val="24"/>
          <w:szCs w:val="24"/>
        </w:rPr>
      </w:pPr>
      <w:r w:rsidRPr="00CF1F2B">
        <w:rPr>
          <w:rFonts w:asciiTheme="majorBidi" w:hAnsiTheme="majorBidi" w:cstheme="majorBidi"/>
          <w:b/>
          <w:bCs/>
        </w:rPr>
        <w:lastRenderedPageBreak/>
        <w:t>Supplementa</w:t>
      </w:r>
      <w:r w:rsidR="00CF1F2B">
        <w:rPr>
          <w:rFonts w:asciiTheme="majorBidi" w:hAnsiTheme="majorBidi" w:cstheme="majorBidi"/>
          <w:b/>
          <w:bCs/>
        </w:rPr>
        <w:t>l</w:t>
      </w:r>
      <w:r w:rsidRPr="00CF1F2B">
        <w:rPr>
          <w:rFonts w:asciiTheme="majorBidi" w:hAnsiTheme="majorBidi" w:cstheme="majorBidi"/>
          <w:b/>
          <w:bCs/>
        </w:rPr>
        <w:t xml:space="preserve"> Table 4</w:t>
      </w:r>
      <w:r w:rsidRPr="00CF1F2B">
        <w:rPr>
          <w:rFonts w:ascii="Times New Roman" w:hAnsi="Times New Roman" w:cs="Times New Roman"/>
          <w:sz w:val="24"/>
          <w:szCs w:val="24"/>
        </w:rPr>
        <w:t xml:space="preserve"> Associations between perceived friends’ support of healthy eating and frequency of breakfast and lunch skipping at baseline (2004/05) among Australian adolescents, adjusting for Pearson variables (</w:t>
      </w:r>
      <w:r w:rsidRPr="00CF1F2B">
        <w:rPr>
          <w:rFonts w:ascii="Times New Roman" w:hAnsi="Times New Roman" w:cs="Times New Roman"/>
          <w:i/>
          <w:sz w:val="24"/>
          <w:szCs w:val="24"/>
        </w:rPr>
        <w:t>N=</w:t>
      </w:r>
      <w:r w:rsidRPr="00CF1F2B">
        <w:rPr>
          <w:rFonts w:ascii="Times New Roman" w:hAnsi="Times New Roman" w:cs="Times New Roman"/>
          <w:sz w:val="24"/>
          <w:szCs w:val="24"/>
        </w:rPr>
        <w:t xml:space="preserve">1785) </w:t>
      </w:r>
    </w:p>
    <w:tbl>
      <w:tblPr>
        <w:tblpPr w:leftFromText="180" w:rightFromText="180" w:vertAnchor="text" w:horzAnchor="margin" w:tblpXSpec="center" w:tblpY="319"/>
        <w:tblW w:w="16302" w:type="dxa"/>
        <w:tblLayout w:type="fixed"/>
        <w:tblLook w:val="04A0" w:firstRow="1" w:lastRow="0" w:firstColumn="1" w:lastColumn="0" w:noHBand="0" w:noVBand="1"/>
      </w:tblPr>
      <w:tblGrid>
        <w:gridCol w:w="2835"/>
        <w:gridCol w:w="709"/>
        <w:gridCol w:w="156"/>
        <w:gridCol w:w="1262"/>
        <w:gridCol w:w="283"/>
        <w:gridCol w:w="709"/>
        <w:gridCol w:w="1417"/>
        <w:gridCol w:w="284"/>
        <w:gridCol w:w="709"/>
        <w:gridCol w:w="1275"/>
        <w:gridCol w:w="284"/>
        <w:gridCol w:w="850"/>
        <w:gridCol w:w="1134"/>
        <w:gridCol w:w="236"/>
        <w:gridCol w:w="615"/>
        <w:gridCol w:w="1276"/>
        <w:gridCol w:w="283"/>
        <w:gridCol w:w="709"/>
        <w:gridCol w:w="1276"/>
      </w:tblGrid>
      <w:tr w:rsidR="00CF1F2B" w:rsidRPr="00CF1F2B" w:rsidTr="00326BA7">
        <w:trPr>
          <w:trHeight w:val="315"/>
        </w:trPr>
        <w:tc>
          <w:tcPr>
            <w:tcW w:w="2835"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865"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262"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83"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126"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Breakfast skipping</w:t>
            </w:r>
          </w:p>
        </w:tc>
        <w:tc>
          <w:tcPr>
            <w:tcW w:w="284"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709"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275"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84"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850"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134"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36"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891"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Lunch skipping</w:t>
            </w:r>
          </w:p>
        </w:tc>
        <w:tc>
          <w:tcPr>
            <w:tcW w:w="283"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276"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r>
      <w:tr w:rsidR="00CF1F2B" w:rsidRPr="00CF1F2B" w:rsidTr="00326BA7">
        <w:trPr>
          <w:trHeight w:val="315"/>
        </w:trPr>
        <w:tc>
          <w:tcPr>
            <w:tcW w:w="2835"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127" w:type="dxa"/>
            <w:gridSpan w:val="3"/>
            <w:tcBorders>
              <w:top w:val="nil"/>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best friend</w:t>
            </w:r>
          </w:p>
        </w:tc>
        <w:tc>
          <w:tcPr>
            <w:tcW w:w="283"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126"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mother</w:t>
            </w:r>
          </w:p>
        </w:tc>
        <w:tc>
          <w:tcPr>
            <w:tcW w:w="284"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984"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all</w:t>
            </w:r>
          </w:p>
        </w:tc>
        <w:tc>
          <w:tcPr>
            <w:tcW w:w="284"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984" w:type="dxa"/>
            <w:gridSpan w:val="2"/>
            <w:tcBorders>
              <w:top w:val="single" w:sz="8" w:space="0" w:color="auto"/>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best friend</w:t>
            </w:r>
          </w:p>
        </w:tc>
        <w:tc>
          <w:tcPr>
            <w:tcW w:w="236"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891" w:type="dxa"/>
            <w:gridSpan w:val="2"/>
            <w:tcBorders>
              <w:top w:val="single" w:sz="8" w:space="0" w:color="auto"/>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mother</w:t>
            </w:r>
          </w:p>
        </w:tc>
        <w:tc>
          <w:tcPr>
            <w:tcW w:w="283"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985" w:type="dxa"/>
            <w:gridSpan w:val="2"/>
            <w:tcBorders>
              <w:top w:val="single" w:sz="8" w:space="0" w:color="auto"/>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all</w:t>
            </w:r>
          </w:p>
        </w:tc>
      </w:tr>
      <w:tr w:rsidR="00CF1F2B" w:rsidRPr="00CF1F2B" w:rsidTr="00326BA7">
        <w:trPr>
          <w:trHeight w:val="315"/>
        </w:trPr>
        <w:tc>
          <w:tcPr>
            <w:tcW w:w="2835" w:type="dxa"/>
            <w:tcBorders>
              <w:top w:val="nil"/>
              <w:left w:val="nil"/>
              <w:bottom w:val="single" w:sz="8" w:space="0" w:color="auto"/>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Measure</w:t>
            </w:r>
          </w:p>
        </w:tc>
        <w:tc>
          <w:tcPr>
            <w:tcW w:w="709"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418" w:type="dxa"/>
            <w:gridSpan w:val="2"/>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c>
          <w:tcPr>
            <w:tcW w:w="283"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417"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c>
          <w:tcPr>
            <w:tcW w:w="284"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single" w:sz="8" w:space="0" w:color="auto"/>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275"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c>
          <w:tcPr>
            <w:tcW w:w="284"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0"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134"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c>
          <w:tcPr>
            <w:tcW w:w="236"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615"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276"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c>
          <w:tcPr>
            <w:tcW w:w="283"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276"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r>
      <w:tr w:rsidR="00CF1F2B" w:rsidRPr="00CF1F2B" w:rsidTr="00326B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Friends eat healthy food with you§</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nil"/>
              <w:right w:val="nil"/>
            </w:tcBorders>
            <w:shd w:val="clear" w:color="000000" w:fill="FFFFFF"/>
            <w:vAlign w:val="center"/>
          </w:tcPr>
          <w:p w:rsidR="00326BA7" w:rsidRPr="00CF1F2B" w:rsidRDefault="00326BA7" w:rsidP="00326BA7">
            <w:pPr>
              <w:jc w:val="center"/>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nil"/>
              <w:right w:val="nil"/>
            </w:tcBorders>
            <w:shd w:val="clear" w:color="000000" w:fill="FFFFFF"/>
            <w:vAlign w:val="center"/>
          </w:tcPr>
          <w:p w:rsidR="00326BA7" w:rsidRPr="00CF1F2B" w:rsidRDefault="00326BA7" w:rsidP="00326BA7">
            <w:pPr>
              <w:jc w:val="center"/>
              <w:rPr>
                <w:rFonts w:ascii="Times New Roman" w:eastAsia="Times New Roman" w:hAnsi="Times New Roman" w:cs="Times New Roman"/>
                <w:sz w:val="20"/>
                <w:szCs w:val="20"/>
                <w:lang w:val="en-GB" w:eastAsia="en-GB"/>
              </w:rPr>
            </w:pP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nil"/>
              <w:right w:val="nil"/>
            </w:tcBorders>
            <w:shd w:val="clear" w:color="000000" w:fill="FFFFFF"/>
            <w:vAlign w:val="center"/>
          </w:tcPr>
          <w:p w:rsidR="00326BA7" w:rsidRPr="00CF1F2B" w:rsidRDefault="00326BA7" w:rsidP="00326BA7">
            <w:pPr>
              <w:jc w:val="center"/>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r>
      <w:tr w:rsidR="00CF1F2B" w:rsidRPr="00CF1F2B" w:rsidTr="00326B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Sometimes</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0.77</w:t>
            </w: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0.62, 0.97*</w:t>
            </w: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0.69</w:t>
            </w: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0.55, 0.88**</w:t>
            </w:r>
          </w:p>
        </w:tc>
        <w:tc>
          <w:tcPr>
            <w:tcW w:w="284" w:type="dxa"/>
            <w:tcBorders>
              <w:top w:val="nil"/>
              <w:left w:val="nil"/>
              <w:bottom w:val="nil"/>
              <w:right w:val="nil"/>
            </w:tcBorders>
            <w:shd w:val="clear" w:color="000000" w:fill="FFFFFF"/>
            <w:vAlign w:val="center"/>
          </w:tcPr>
          <w:p w:rsidR="00326BA7" w:rsidRPr="00CF1F2B" w:rsidRDefault="00326BA7" w:rsidP="00326B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0.75</w:t>
            </w: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0.59, 0.95*</w:t>
            </w:r>
          </w:p>
        </w:tc>
        <w:tc>
          <w:tcPr>
            <w:tcW w:w="284" w:type="dxa"/>
            <w:tcBorders>
              <w:top w:val="nil"/>
              <w:left w:val="nil"/>
              <w:bottom w:val="nil"/>
              <w:right w:val="nil"/>
            </w:tcBorders>
            <w:shd w:val="clear" w:color="000000" w:fill="FFFFFF"/>
            <w:vAlign w:val="center"/>
          </w:tcPr>
          <w:p w:rsidR="00326BA7" w:rsidRPr="00CF1F2B" w:rsidRDefault="00326BA7" w:rsidP="00326B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0.67</w:t>
            </w: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0.46, 0.97*</w:t>
            </w: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0.60</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0.41, 0.86**</w:t>
            </w:r>
          </w:p>
        </w:tc>
        <w:tc>
          <w:tcPr>
            <w:tcW w:w="283" w:type="dxa"/>
            <w:tcBorders>
              <w:top w:val="nil"/>
              <w:left w:val="nil"/>
              <w:bottom w:val="nil"/>
              <w:right w:val="nil"/>
            </w:tcBorders>
            <w:shd w:val="clear" w:color="000000" w:fill="FFFFFF"/>
            <w:vAlign w:val="center"/>
          </w:tcPr>
          <w:p w:rsidR="00326BA7" w:rsidRPr="00CF1F2B" w:rsidRDefault="00326BA7" w:rsidP="00326B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0.65</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0.46, 0.94*</w:t>
            </w:r>
          </w:p>
        </w:tc>
      </w:tr>
      <w:tr w:rsidR="00CF1F2B" w:rsidRPr="00CF1F2B" w:rsidTr="00326B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Often</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0.65</w:t>
            </w: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0.47, 0.91*</w:t>
            </w: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0.57</w:t>
            </w: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0.42, 0.77***</w:t>
            </w: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0.68</w:t>
            </w: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0.50, 0.94*</w:t>
            </w: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0.73</w:t>
            </w: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0.46, 1.14</w:t>
            </w: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0.59</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036, 0.99*</w:t>
            </w:r>
          </w:p>
        </w:tc>
        <w:tc>
          <w:tcPr>
            <w:tcW w:w="283"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0.73</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0.43, 1.22</w:t>
            </w:r>
          </w:p>
        </w:tc>
      </w:tr>
      <w:tr w:rsidR="00CF1F2B" w:rsidRPr="00CF1F2B" w:rsidTr="00326B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r>
      <w:tr w:rsidR="00CF1F2B" w:rsidRPr="00CF1F2B" w:rsidTr="00326B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Friends discourage ‘junk’ food</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r>
      <w:tr w:rsidR="00CF1F2B" w:rsidRPr="00CF1F2B" w:rsidTr="00326BA7">
        <w:trPr>
          <w:trHeight w:val="51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Sometimes</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0.98</w:t>
            </w: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0.75, 1.29</w:t>
            </w: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0.92</w:t>
            </w: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0.68, 1.26</w:t>
            </w: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0.99</w:t>
            </w: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0.73, 1.33</w:t>
            </w: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1.05</w:t>
            </w: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0.82, 1.35</w:t>
            </w: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1.01</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0.79, 1.31</w:t>
            </w:r>
          </w:p>
        </w:tc>
        <w:tc>
          <w:tcPr>
            <w:tcW w:w="283"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1.10</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0.85, 1.44</w:t>
            </w:r>
          </w:p>
        </w:tc>
      </w:tr>
      <w:tr w:rsidR="00CF1F2B" w:rsidRPr="00CF1F2B" w:rsidTr="00326B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Often</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0.98</w:t>
            </w: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0.63, 1.52</w:t>
            </w: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0.91</w:t>
            </w: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0.58, 1.42</w:t>
            </w: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1.00</w:t>
            </w: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0.63, 1.61</w:t>
            </w: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0.75</w:t>
            </w: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0.42, 1.34</w:t>
            </w: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0.71</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0.37, 1.36</w:t>
            </w:r>
          </w:p>
        </w:tc>
        <w:tc>
          <w:tcPr>
            <w:tcW w:w="283"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0.77</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0.43, 1.39</w:t>
            </w:r>
          </w:p>
        </w:tc>
      </w:tr>
      <w:tr w:rsidR="00CF1F2B" w:rsidRPr="00CF1F2B" w:rsidTr="00326B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r>
      <w:tr w:rsidR="00CF1F2B" w:rsidRPr="00CF1F2B" w:rsidTr="00326B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Friends encourage healthy food</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r>
      <w:tr w:rsidR="00CF1F2B" w:rsidRPr="00CF1F2B" w:rsidTr="00326B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Sometimes</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1.13</w:t>
            </w: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0.85, 1.50</w:t>
            </w: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1.02</w:t>
            </w: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0.78, 1.34</w:t>
            </w: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1.10</w:t>
            </w: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0.84, 1.44</w:t>
            </w: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0.97</w:t>
            </w: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0.70, 1.35</w:t>
            </w: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0.92</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0.65, 1.32</w:t>
            </w:r>
          </w:p>
        </w:tc>
        <w:tc>
          <w:tcPr>
            <w:tcW w:w="283"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1.01</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0.71, 1.42</w:t>
            </w:r>
          </w:p>
        </w:tc>
      </w:tr>
      <w:tr w:rsidR="00CF1F2B" w:rsidRPr="00CF1F2B" w:rsidTr="00326B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326B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Often</w:t>
            </w: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1.28</w:t>
            </w:r>
          </w:p>
        </w:tc>
        <w:tc>
          <w:tcPr>
            <w:tcW w:w="1418" w:type="dxa"/>
            <w:gridSpan w:val="2"/>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0.89, 1.85</w:t>
            </w:r>
          </w:p>
        </w:tc>
        <w:tc>
          <w:tcPr>
            <w:tcW w:w="283"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1.05</w:t>
            </w:r>
          </w:p>
        </w:tc>
        <w:tc>
          <w:tcPr>
            <w:tcW w:w="1417"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0.71, 1.54</w:t>
            </w: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1.24</w:t>
            </w:r>
          </w:p>
        </w:tc>
        <w:tc>
          <w:tcPr>
            <w:tcW w:w="127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0.85, 1.81</w:t>
            </w:r>
          </w:p>
        </w:tc>
        <w:tc>
          <w:tcPr>
            <w:tcW w:w="284"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850"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1.04</w:t>
            </w:r>
          </w:p>
        </w:tc>
        <w:tc>
          <w:tcPr>
            <w:tcW w:w="1134"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0.74, 1.44</w:t>
            </w:r>
          </w:p>
        </w:tc>
        <w:tc>
          <w:tcPr>
            <w:tcW w:w="23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0.81</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0.53, 1.23</w:t>
            </w:r>
          </w:p>
        </w:tc>
        <w:tc>
          <w:tcPr>
            <w:tcW w:w="283" w:type="dxa"/>
            <w:tcBorders>
              <w:top w:val="nil"/>
              <w:left w:val="nil"/>
              <w:bottom w:val="nil"/>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0.92</w:t>
            </w:r>
          </w:p>
        </w:tc>
        <w:tc>
          <w:tcPr>
            <w:tcW w:w="1276" w:type="dxa"/>
            <w:tcBorders>
              <w:top w:val="nil"/>
              <w:left w:val="nil"/>
              <w:bottom w:val="nil"/>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r w:rsidRPr="00CF1F2B">
              <w:rPr>
                <w:rFonts w:ascii="Times New Roman" w:hAnsi="Times New Roman" w:cs="Times New Roman"/>
                <w:sz w:val="20"/>
                <w:szCs w:val="20"/>
              </w:rPr>
              <w:t>0.62, 1.36</w:t>
            </w:r>
          </w:p>
        </w:tc>
      </w:tr>
      <w:tr w:rsidR="00CF1F2B" w:rsidRPr="00CF1F2B" w:rsidTr="00326BA7">
        <w:trPr>
          <w:trHeight w:val="315"/>
        </w:trPr>
        <w:tc>
          <w:tcPr>
            <w:tcW w:w="2835" w:type="dxa"/>
            <w:tcBorders>
              <w:top w:val="nil"/>
              <w:left w:val="nil"/>
              <w:bottom w:val="single" w:sz="8" w:space="0" w:color="auto"/>
              <w:right w:val="nil"/>
            </w:tcBorders>
            <w:shd w:val="clear" w:color="000000" w:fill="FFFFFF"/>
            <w:noWrap/>
            <w:vAlign w:val="bottom"/>
            <w:hideMark/>
          </w:tcPr>
          <w:p w:rsidR="00326BA7" w:rsidRPr="00CF1F2B" w:rsidRDefault="00326BA7" w:rsidP="00326B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709" w:type="dxa"/>
            <w:tcBorders>
              <w:top w:val="nil"/>
              <w:left w:val="nil"/>
              <w:bottom w:val="single" w:sz="8" w:space="0" w:color="auto"/>
              <w:right w:val="nil"/>
            </w:tcBorders>
            <w:shd w:val="clear" w:color="000000" w:fill="FFFFFF"/>
            <w:noWrap/>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8" w:type="dxa"/>
            <w:gridSpan w:val="2"/>
            <w:tcBorders>
              <w:top w:val="nil"/>
              <w:left w:val="nil"/>
              <w:bottom w:val="single" w:sz="8" w:space="0" w:color="auto"/>
              <w:right w:val="nil"/>
            </w:tcBorders>
            <w:shd w:val="clear" w:color="000000" w:fill="FFFFFF"/>
            <w:noWrap/>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single" w:sz="8" w:space="0" w:color="auto"/>
              <w:right w:val="nil"/>
            </w:tcBorders>
            <w:shd w:val="clear" w:color="000000" w:fill="FFFFFF"/>
            <w:noWrap/>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709" w:type="dxa"/>
            <w:tcBorders>
              <w:top w:val="nil"/>
              <w:left w:val="nil"/>
              <w:bottom w:val="single" w:sz="8" w:space="0" w:color="auto"/>
              <w:right w:val="nil"/>
            </w:tcBorders>
            <w:shd w:val="clear" w:color="000000" w:fill="FFFFFF"/>
            <w:noWrap/>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417" w:type="dxa"/>
            <w:tcBorders>
              <w:top w:val="nil"/>
              <w:left w:val="nil"/>
              <w:bottom w:val="single" w:sz="8" w:space="0" w:color="auto"/>
              <w:right w:val="nil"/>
            </w:tcBorders>
            <w:shd w:val="clear" w:color="000000" w:fill="FFFFFF"/>
            <w:noWrap/>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single" w:sz="8" w:space="0" w:color="auto"/>
              <w:right w:val="nil"/>
            </w:tcBorders>
            <w:shd w:val="clear" w:color="000000" w:fill="FFFFFF"/>
            <w:noWrap/>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single" w:sz="8" w:space="0" w:color="auto"/>
              <w:right w:val="nil"/>
            </w:tcBorders>
            <w:shd w:val="clear" w:color="000000" w:fill="FFFFFF"/>
            <w:noWrap/>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5" w:type="dxa"/>
            <w:tcBorders>
              <w:top w:val="nil"/>
              <w:left w:val="nil"/>
              <w:bottom w:val="single" w:sz="8" w:space="0" w:color="auto"/>
              <w:right w:val="nil"/>
            </w:tcBorders>
            <w:shd w:val="clear" w:color="000000" w:fill="FFFFFF"/>
            <w:noWrap/>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4" w:type="dxa"/>
            <w:tcBorders>
              <w:top w:val="nil"/>
              <w:left w:val="nil"/>
              <w:bottom w:val="single" w:sz="8" w:space="0" w:color="auto"/>
              <w:right w:val="nil"/>
            </w:tcBorders>
            <w:shd w:val="clear" w:color="000000" w:fill="FFFFFF"/>
            <w:noWrap/>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850" w:type="dxa"/>
            <w:tcBorders>
              <w:top w:val="nil"/>
              <w:left w:val="nil"/>
              <w:bottom w:val="single" w:sz="8" w:space="0" w:color="auto"/>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134" w:type="dxa"/>
            <w:tcBorders>
              <w:top w:val="nil"/>
              <w:left w:val="nil"/>
              <w:bottom w:val="single" w:sz="8" w:space="0" w:color="auto"/>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36" w:type="dxa"/>
            <w:tcBorders>
              <w:top w:val="nil"/>
              <w:left w:val="nil"/>
              <w:bottom w:val="single" w:sz="8" w:space="0" w:color="auto"/>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615" w:type="dxa"/>
            <w:tcBorders>
              <w:top w:val="nil"/>
              <w:left w:val="nil"/>
              <w:bottom w:val="single" w:sz="8" w:space="0" w:color="auto"/>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single" w:sz="8" w:space="0" w:color="auto"/>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283" w:type="dxa"/>
            <w:tcBorders>
              <w:top w:val="nil"/>
              <w:left w:val="nil"/>
              <w:bottom w:val="single" w:sz="8" w:space="0" w:color="auto"/>
              <w:right w:val="nil"/>
            </w:tcBorders>
            <w:shd w:val="clear" w:color="000000" w:fill="FFFFFF"/>
            <w:vAlign w:val="center"/>
          </w:tcPr>
          <w:p w:rsidR="00326BA7" w:rsidRPr="00CF1F2B" w:rsidRDefault="00326BA7" w:rsidP="00326BA7">
            <w:pPr>
              <w:jc w:val="right"/>
              <w:rPr>
                <w:rFonts w:ascii="Times New Roman" w:eastAsia="Times New Roman" w:hAnsi="Times New Roman" w:cs="Times New Roman"/>
                <w:sz w:val="20"/>
                <w:szCs w:val="20"/>
                <w:lang w:val="en-GB" w:eastAsia="en-GB"/>
              </w:rPr>
            </w:pPr>
          </w:p>
        </w:tc>
        <w:tc>
          <w:tcPr>
            <w:tcW w:w="709" w:type="dxa"/>
            <w:tcBorders>
              <w:top w:val="nil"/>
              <w:left w:val="nil"/>
              <w:bottom w:val="single" w:sz="8" w:space="0" w:color="auto"/>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c>
          <w:tcPr>
            <w:tcW w:w="1276" w:type="dxa"/>
            <w:tcBorders>
              <w:top w:val="nil"/>
              <w:left w:val="nil"/>
              <w:bottom w:val="single" w:sz="8" w:space="0" w:color="auto"/>
              <w:right w:val="nil"/>
            </w:tcBorders>
            <w:shd w:val="clear" w:color="000000" w:fill="FFFFFF"/>
          </w:tcPr>
          <w:p w:rsidR="00326BA7" w:rsidRPr="00CF1F2B" w:rsidRDefault="00326BA7" w:rsidP="00326BA7">
            <w:pPr>
              <w:widowControl w:val="0"/>
              <w:autoSpaceDE w:val="0"/>
              <w:autoSpaceDN w:val="0"/>
              <w:adjustRightInd w:val="0"/>
              <w:jc w:val="right"/>
              <w:rPr>
                <w:rFonts w:ascii="Times New Roman" w:hAnsi="Times New Roman" w:cs="Times New Roman"/>
                <w:sz w:val="20"/>
                <w:szCs w:val="20"/>
              </w:rPr>
            </w:pPr>
          </w:p>
        </w:tc>
      </w:tr>
    </w:tbl>
    <w:p w:rsidR="00C4366D" w:rsidRPr="00CF1F2B" w:rsidRDefault="00C4366D" w:rsidP="00C4366D">
      <w:pPr>
        <w:pStyle w:val="NoSpacing"/>
        <w:spacing w:line="360" w:lineRule="auto"/>
        <w:ind w:left="1440" w:hanging="1440"/>
        <w:rPr>
          <w:rFonts w:ascii="Times New Roman" w:hAnsi="Times New Roman" w:cs="Times New Roman"/>
          <w:sz w:val="24"/>
          <w:szCs w:val="24"/>
        </w:rPr>
      </w:pPr>
    </w:p>
    <w:p w:rsidR="00C4366D" w:rsidRPr="00CF1F2B" w:rsidRDefault="00C4366D" w:rsidP="00C4366D">
      <w:pPr>
        <w:widowControl w:val="0"/>
        <w:autoSpaceDE w:val="0"/>
        <w:autoSpaceDN w:val="0"/>
        <w:adjustRightInd w:val="0"/>
        <w:rPr>
          <w:rFonts w:ascii="Times New Roman" w:hAnsi="Times New Roman" w:cs="Times New Roman"/>
          <w:sz w:val="20"/>
          <w:szCs w:val="20"/>
        </w:rPr>
      </w:pPr>
    </w:p>
    <w:p w:rsidR="00C4366D" w:rsidRPr="00CF1F2B" w:rsidRDefault="00C4366D" w:rsidP="00C4366D">
      <w:pPr>
        <w:widowControl w:val="0"/>
        <w:autoSpaceDE w:val="0"/>
        <w:autoSpaceDN w:val="0"/>
        <w:adjustRightInd w:val="0"/>
        <w:rPr>
          <w:rFonts w:ascii="Times New Roman" w:hAnsi="Times New Roman" w:cs="Times New Roman"/>
          <w:sz w:val="20"/>
          <w:szCs w:val="20"/>
        </w:rPr>
      </w:pPr>
    </w:p>
    <w:p w:rsidR="00C4366D" w:rsidRPr="00CF1F2B" w:rsidRDefault="00C4366D" w:rsidP="00C4366D">
      <w:pPr>
        <w:widowControl w:val="0"/>
        <w:autoSpaceDE w:val="0"/>
        <w:autoSpaceDN w:val="0"/>
        <w:adjustRightInd w:val="0"/>
        <w:rPr>
          <w:rFonts w:ascii="Times New Roman" w:hAnsi="Times New Roman" w:cs="Times New Roman"/>
          <w:sz w:val="20"/>
          <w:szCs w:val="20"/>
        </w:rPr>
      </w:pPr>
      <w:r w:rsidRPr="00CF1F2B">
        <w:rPr>
          <w:rFonts w:ascii="Times New Roman" w:hAnsi="Times New Roman" w:cs="Times New Roman"/>
          <w:sz w:val="20"/>
          <w:szCs w:val="20"/>
        </w:rPr>
        <w:t>OR. Odds ratio. CI. Confidence interval.</w:t>
      </w:r>
    </w:p>
    <w:p w:rsidR="00C4366D" w:rsidRPr="00CF1F2B" w:rsidRDefault="00C4366D" w:rsidP="00C4366D">
      <w:pPr>
        <w:widowControl w:val="0"/>
        <w:autoSpaceDE w:val="0"/>
        <w:autoSpaceDN w:val="0"/>
        <w:adjustRightInd w:val="0"/>
        <w:rPr>
          <w:rFonts w:ascii="Times New Roman" w:hAnsi="Times New Roman" w:cs="Times New Roman"/>
          <w:sz w:val="20"/>
          <w:szCs w:val="20"/>
        </w:rPr>
      </w:pPr>
      <w:r w:rsidRPr="00CF1F2B">
        <w:rPr>
          <w:rFonts w:ascii="Times New Roman" w:hAnsi="Times New Roman" w:cs="Times New Roman"/>
          <w:sz w:val="20"/>
          <w:szCs w:val="20"/>
        </w:rPr>
        <w:t>*</w:t>
      </w:r>
      <w:r w:rsidRPr="00CF1F2B">
        <w:rPr>
          <w:rFonts w:ascii="Times New Roman" w:hAnsi="Times New Roman" w:cs="Times New Roman"/>
          <w:i/>
          <w:sz w:val="20"/>
          <w:szCs w:val="20"/>
        </w:rPr>
        <w:t>P</w:t>
      </w:r>
      <w:r w:rsidRPr="00CF1F2B">
        <w:rPr>
          <w:rFonts w:ascii="Times New Roman" w:hAnsi="Times New Roman" w:cs="Times New Roman"/>
          <w:sz w:val="20"/>
          <w:szCs w:val="20"/>
        </w:rPr>
        <w:t>&lt;0·05; **</w:t>
      </w:r>
      <w:r w:rsidRPr="00CF1F2B">
        <w:rPr>
          <w:rFonts w:ascii="Times New Roman" w:hAnsi="Times New Roman" w:cs="Times New Roman"/>
          <w:i/>
          <w:sz w:val="20"/>
          <w:szCs w:val="20"/>
        </w:rPr>
        <w:t>P</w:t>
      </w:r>
      <w:r w:rsidRPr="00CF1F2B">
        <w:rPr>
          <w:rFonts w:ascii="Times New Roman" w:hAnsi="Times New Roman" w:cs="Times New Roman"/>
          <w:sz w:val="20"/>
          <w:szCs w:val="20"/>
        </w:rPr>
        <w:t>&lt;0·01; ***</w:t>
      </w:r>
      <w:r w:rsidRPr="00CF1F2B">
        <w:rPr>
          <w:rFonts w:ascii="Times New Roman" w:hAnsi="Times New Roman" w:cs="Times New Roman"/>
          <w:i/>
          <w:sz w:val="20"/>
          <w:szCs w:val="20"/>
        </w:rPr>
        <w:t>P</w:t>
      </w:r>
      <w:r w:rsidRPr="00CF1F2B">
        <w:rPr>
          <w:rFonts w:ascii="Times New Roman" w:hAnsi="Times New Roman" w:cs="Times New Roman"/>
          <w:sz w:val="20"/>
          <w:szCs w:val="20"/>
        </w:rPr>
        <w:t>&lt;0·001.</w:t>
      </w:r>
    </w:p>
    <w:p w:rsidR="00C4366D" w:rsidRPr="00CF1F2B" w:rsidRDefault="00C4366D" w:rsidP="00C4366D">
      <w:pPr>
        <w:widowControl w:val="0"/>
        <w:autoSpaceDE w:val="0"/>
        <w:autoSpaceDN w:val="0"/>
        <w:adjustRightInd w:val="0"/>
        <w:rPr>
          <w:rFonts w:ascii="Times New Roman" w:hAnsi="Times New Roman" w:cs="Times New Roman"/>
          <w:sz w:val="20"/>
          <w:szCs w:val="20"/>
        </w:rPr>
      </w:pPr>
      <w:r w:rsidRPr="00CF1F2B">
        <w:rPr>
          <w:rFonts w:ascii="Times New Roman" w:hAnsi="Times New Roman" w:cs="Times New Roman"/>
          <w:sz w:val="20"/>
          <w:szCs w:val="20"/>
        </w:rPr>
        <w:t xml:space="preserve">Adjusted logistic regression analyses of the association between each perceived friends’ support of healthy eating measures and each of the meal skipping outcomes at baseline adjusting for adolescent sex, school year, region of residence, with clustered standard errors to account for clustering within school. </w:t>
      </w:r>
    </w:p>
    <w:p w:rsidR="00C4366D" w:rsidRPr="00CF1F2B" w:rsidRDefault="00C4366D" w:rsidP="00C4366D">
      <w:pPr>
        <w:widowControl w:val="0"/>
        <w:autoSpaceDE w:val="0"/>
        <w:autoSpaceDN w:val="0"/>
        <w:adjustRightInd w:val="0"/>
        <w:rPr>
          <w:rFonts w:ascii="Times New Roman" w:hAnsi="Times New Roman" w:cs="Times New Roman"/>
          <w:sz w:val="20"/>
          <w:szCs w:val="20"/>
        </w:rPr>
      </w:pPr>
      <w:r w:rsidRPr="00CF1F2B">
        <w:rPr>
          <w:rFonts w:ascii="Times New Roman" w:hAnsi="Times New Roman" w:cs="Times New Roman"/>
          <w:sz w:val="20"/>
          <w:szCs w:val="20"/>
        </w:rPr>
        <w:t>§Never/rarely was used as the reference category for perceived friend support predictor variables in all models.</w:t>
      </w:r>
    </w:p>
    <w:p w:rsidR="00C4366D" w:rsidRPr="00CF1F2B" w:rsidRDefault="00C4366D" w:rsidP="00B934DA">
      <w:pPr>
        <w:rPr>
          <w:rFonts w:asciiTheme="majorBidi" w:hAnsiTheme="majorBidi" w:cstheme="majorBidi"/>
          <w:b/>
          <w:bCs/>
        </w:rPr>
      </w:pPr>
    </w:p>
    <w:p w:rsidR="002D0E29" w:rsidRPr="00CF1F2B" w:rsidRDefault="002D0E29" w:rsidP="00B934DA">
      <w:pPr>
        <w:rPr>
          <w:rFonts w:asciiTheme="majorBidi" w:hAnsiTheme="majorBidi" w:cstheme="majorBidi"/>
          <w:b/>
          <w:bCs/>
        </w:rPr>
      </w:pPr>
    </w:p>
    <w:p w:rsidR="002D0E29" w:rsidRPr="00CF1F2B" w:rsidRDefault="002D0E29" w:rsidP="00B934DA">
      <w:pPr>
        <w:rPr>
          <w:rFonts w:asciiTheme="majorBidi" w:hAnsiTheme="majorBidi" w:cstheme="majorBidi"/>
          <w:b/>
          <w:bCs/>
        </w:rPr>
      </w:pPr>
    </w:p>
    <w:p w:rsidR="002D0E29" w:rsidRPr="00CF1F2B" w:rsidRDefault="002D0E29" w:rsidP="00B934DA">
      <w:pPr>
        <w:rPr>
          <w:rFonts w:asciiTheme="majorBidi" w:hAnsiTheme="majorBidi" w:cstheme="majorBidi"/>
          <w:b/>
          <w:bCs/>
        </w:rPr>
      </w:pPr>
    </w:p>
    <w:p w:rsidR="002D0E29" w:rsidRPr="00CF1F2B" w:rsidRDefault="002D0E29" w:rsidP="00B934DA">
      <w:pPr>
        <w:rPr>
          <w:rFonts w:asciiTheme="majorBidi" w:hAnsiTheme="majorBidi" w:cstheme="majorBidi"/>
          <w:b/>
          <w:bCs/>
        </w:rPr>
      </w:pPr>
    </w:p>
    <w:p w:rsidR="002D0E29" w:rsidRPr="00CF1F2B" w:rsidRDefault="002D0E29" w:rsidP="00B934DA">
      <w:pPr>
        <w:rPr>
          <w:rFonts w:asciiTheme="majorBidi" w:hAnsiTheme="majorBidi" w:cstheme="majorBidi"/>
          <w:b/>
          <w:bCs/>
        </w:rPr>
      </w:pPr>
    </w:p>
    <w:p w:rsidR="002D0E29" w:rsidRPr="00CF1F2B" w:rsidRDefault="002D0E29" w:rsidP="00B934DA">
      <w:pPr>
        <w:rPr>
          <w:rFonts w:asciiTheme="majorBidi" w:hAnsiTheme="majorBidi" w:cstheme="majorBidi"/>
          <w:b/>
          <w:bCs/>
        </w:rPr>
      </w:pPr>
    </w:p>
    <w:p w:rsidR="002D0E29" w:rsidRPr="00CF1F2B" w:rsidRDefault="002D0E29" w:rsidP="00B934DA">
      <w:pPr>
        <w:rPr>
          <w:rFonts w:asciiTheme="majorBidi" w:hAnsiTheme="majorBidi" w:cstheme="majorBidi"/>
          <w:b/>
          <w:bCs/>
        </w:rPr>
      </w:pPr>
    </w:p>
    <w:p w:rsidR="00B934DA" w:rsidRPr="00CF1F2B" w:rsidRDefault="00B934DA" w:rsidP="00B934DA">
      <w:pPr>
        <w:rPr>
          <w:rFonts w:asciiTheme="majorBidi" w:hAnsiTheme="majorBidi" w:cstheme="majorBidi"/>
          <w:b/>
          <w:bCs/>
        </w:rPr>
      </w:pPr>
    </w:p>
    <w:p w:rsidR="006C6A04" w:rsidRPr="00CF1F2B" w:rsidRDefault="006C6A04" w:rsidP="006C6A04">
      <w:pPr>
        <w:pStyle w:val="NoSpacing"/>
        <w:ind w:left="1440" w:hanging="1440"/>
        <w:rPr>
          <w:rFonts w:ascii="Times New Roman" w:hAnsi="Times New Roman" w:cs="Times New Roman"/>
          <w:sz w:val="24"/>
          <w:szCs w:val="24"/>
        </w:rPr>
      </w:pPr>
      <w:r w:rsidRPr="00CF1F2B">
        <w:rPr>
          <w:rFonts w:ascii="Times New Roman" w:hAnsi="Times New Roman" w:cs="Times New Roman"/>
          <w:b/>
          <w:sz w:val="24"/>
          <w:szCs w:val="24"/>
        </w:rPr>
        <w:t>Supplementa</w:t>
      </w:r>
      <w:r w:rsidR="00CF1F2B">
        <w:rPr>
          <w:rFonts w:ascii="Times New Roman" w:hAnsi="Times New Roman" w:cs="Times New Roman"/>
          <w:b/>
          <w:sz w:val="24"/>
          <w:szCs w:val="24"/>
        </w:rPr>
        <w:t>l</w:t>
      </w:r>
      <w:r w:rsidRPr="00CF1F2B">
        <w:rPr>
          <w:rFonts w:ascii="Times New Roman" w:hAnsi="Times New Roman" w:cs="Times New Roman"/>
          <w:b/>
          <w:sz w:val="24"/>
          <w:szCs w:val="24"/>
        </w:rPr>
        <w:t xml:space="preserve"> Table 5</w:t>
      </w:r>
      <w:r w:rsidRPr="00CF1F2B">
        <w:rPr>
          <w:rFonts w:ascii="Times New Roman" w:hAnsi="Times New Roman" w:cs="Times New Roman"/>
          <w:sz w:val="24"/>
          <w:szCs w:val="24"/>
        </w:rPr>
        <w:tab/>
        <w:t>Associations between perceived friends’ support of healthy eating and frequency of breakfast and lunch skipping at follow-up (2006/07) among Australian adolescents, adjusting for Pearson variables (</w:t>
      </w:r>
      <w:r w:rsidRPr="00CF1F2B">
        <w:rPr>
          <w:rFonts w:ascii="Times New Roman" w:hAnsi="Times New Roman" w:cs="Times New Roman"/>
          <w:i/>
          <w:sz w:val="24"/>
          <w:szCs w:val="24"/>
        </w:rPr>
        <w:t>N=</w:t>
      </w:r>
      <w:r w:rsidRPr="00CF1F2B">
        <w:rPr>
          <w:rFonts w:ascii="Times New Roman" w:hAnsi="Times New Roman" w:cs="Times New Roman"/>
          <w:sz w:val="24"/>
          <w:szCs w:val="24"/>
        </w:rPr>
        <w:t>1785)</w:t>
      </w:r>
    </w:p>
    <w:p w:rsidR="00326BA7" w:rsidRPr="00CF1F2B" w:rsidRDefault="00326BA7" w:rsidP="006C6A04">
      <w:pPr>
        <w:pStyle w:val="NoSpacing"/>
        <w:ind w:left="1440" w:hanging="1440"/>
        <w:rPr>
          <w:rFonts w:ascii="Times New Roman" w:hAnsi="Times New Roman" w:cs="Times New Roman"/>
          <w:sz w:val="24"/>
          <w:szCs w:val="24"/>
        </w:rPr>
      </w:pPr>
    </w:p>
    <w:tbl>
      <w:tblPr>
        <w:tblpPr w:leftFromText="180" w:rightFromText="180" w:vertAnchor="text" w:horzAnchor="margin" w:tblpXSpec="center" w:tblpY="319"/>
        <w:tblW w:w="16585" w:type="dxa"/>
        <w:tblLayout w:type="fixed"/>
        <w:tblLook w:val="04A0" w:firstRow="1" w:lastRow="0" w:firstColumn="1" w:lastColumn="0" w:noHBand="0" w:noVBand="1"/>
      </w:tblPr>
      <w:tblGrid>
        <w:gridCol w:w="2835"/>
        <w:gridCol w:w="709"/>
        <w:gridCol w:w="156"/>
        <w:gridCol w:w="1262"/>
        <w:gridCol w:w="283"/>
        <w:gridCol w:w="992"/>
        <w:gridCol w:w="1276"/>
        <w:gridCol w:w="284"/>
        <w:gridCol w:w="708"/>
        <w:gridCol w:w="1560"/>
        <w:gridCol w:w="283"/>
        <w:gridCol w:w="851"/>
        <w:gridCol w:w="1134"/>
        <w:gridCol w:w="283"/>
        <w:gridCol w:w="709"/>
        <w:gridCol w:w="1134"/>
        <w:gridCol w:w="283"/>
        <w:gridCol w:w="709"/>
        <w:gridCol w:w="1134"/>
      </w:tblGrid>
      <w:tr w:rsidR="00CF1F2B" w:rsidRPr="00CF1F2B" w:rsidTr="006567A7">
        <w:trPr>
          <w:trHeight w:val="315"/>
        </w:trPr>
        <w:tc>
          <w:tcPr>
            <w:tcW w:w="2835"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865"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262"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83"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268"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Breakfast skipping</w:t>
            </w:r>
          </w:p>
        </w:tc>
        <w:tc>
          <w:tcPr>
            <w:tcW w:w="284"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708"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560"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83"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851"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134"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83"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843"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Lunch skipping</w:t>
            </w:r>
          </w:p>
        </w:tc>
        <w:tc>
          <w:tcPr>
            <w:tcW w:w="283"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134"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r>
      <w:tr w:rsidR="00CF1F2B" w:rsidRPr="00CF1F2B" w:rsidTr="006567A7">
        <w:trPr>
          <w:trHeight w:val="315"/>
        </w:trPr>
        <w:tc>
          <w:tcPr>
            <w:tcW w:w="2835"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127" w:type="dxa"/>
            <w:gridSpan w:val="3"/>
            <w:tcBorders>
              <w:top w:val="nil"/>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best friend</w:t>
            </w:r>
          </w:p>
        </w:tc>
        <w:tc>
          <w:tcPr>
            <w:tcW w:w="283"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268"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mother</w:t>
            </w:r>
          </w:p>
        </w:tc>
        <w:tc>
          <w:tcPr>
            <w:tcW w:w="284"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268"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all</w:t>
            </w:r>
          </w:p>
        </w:tc>
        <w:tc>
          <w:tcPr>
            <w:tcW w:w="283"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985" w:type="dxa"/>
            <w:gridSpan w:val="2"/>
            <w:tcBorders>
              <w:top w:val="single" w:sz="8" w:space="0" w:color="auto"/>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best friend</w:t>
            </w:r>
          </w:p>
        </w:tc>
        <w:tc>
          <w:tcPr>
            <w:tcW w:w="283"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843" w:type="dxa"/>
            <w:gridSpan w:val="2"/>
            <w:tcBorders>
              <w:top w:val="single" w:sz="8" w:space="0" w:color="auto"/>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mother</w:t>
            </w:r>
          </w:p>
        </w:tc>
        <w:tc>
          <w:tcPr>
            <w:tcW w:w="283" w:type="dxa"/>
            <w:tcBorders>
              <w:top w:val="nil"/>
              <w:left w:val="nil"/>
              <w:bottom w:val="nil"/>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843" w:type="dxa"/>
            <w:gridSpan w:val="2"/>
            <w:tcBorders>
              <w:top w:val="single" w:sz="8" w:space="0" w:color="auto"/>
              <w:left w:val="nil"/>
              <w:bottom w:val="single" w:sz="8" w:space="0" w:color="auto"/>
              <w:right w:val="nil"/>
            </w:tcBorders>
            <w:shd w:val="clear" w:color="000000" w:fill="FFFFFF"/>
            <w:noWrap/>
            <w:vAlign w:val="bottom"/>
            <w:hideMark/>
          </w:tcPr>
          <w:p w:rsidR="00326BA7" w:rsidRPr="00CF1F2B" w:rsidRDefault="00326BA7" w:rsidP="006567A7">
            <w:pPr>
              <w:jc w:val="center"/>
              <w:rPr>
                <w:rFonts w:ascii="Times New Roman" w:eastAsia="Times New Roman" w:hAnsi="Times New Roman" w:cs="Times New Roman"/>
                <w:sz w:val="20"/>
                <w:szCs w:val="20"/>
                <w:lang w:eastAsia="en-GB"/>
              </w:rPr>
            </w:pPr>
            <w:r w:rsidRPr="00CF1F2B">
              <w:rPr>
                <w:rFonts w:ascii="Times New Roman" w:eastAsia="Times New Roman" w:hAnsi="Times New Roman" w:cs="Times New Roman"/>
                <w:sz w:val="20"/>
                <w:szCs w:val="20"/>
                <w:lang w:eastAsia="en-GB"/>
              </w:rPr>
              <w:t>Adjusted for</w:t>
            </w:r>
          </w:p>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all</w:t>
            </w:r>
          </w:p>
        </w:tc>
      </w:tr>
      <w:tr w:rsidR="00CF1F2B" w:rsidRPr="00CF1F2B" w:rsidTr="006567A7">
        <w:trPr>
          <w:trHeight w:val="315"/>
        </w:trPr>
        <w:tc>
          <w:tcPr>
            <w:tcW w:w="2835" w:type="dxa"/>
            <w:tcBorders>
              <w:top w:val="nil"/>
              <w:left w:val="nil"/>
              <w:bottom w:val="single" w:sz="8" w:space="0" w:color="auto"/>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Measure</w:t>
            </w:r>
          </w:p>
        </w:tc>
        <w:tc>
          <w:tcPr>
            <w:tcW w:w="709"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418" w:type="dxa"/>
            <w:gridSpan w:val="2"/>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c>
          <w:tcPr>
            <w:tcW w:w="283"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276"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c>
          <w:tcPr>
            <w:tcW w:w="284"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single" w:sz="8" w:space="0" w:color="auto"/>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560"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c>
          <w:tcPr>
            <w:tcW w:w="283"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134"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c>
          <w:tcPr>
            <w:tcW w:w="283"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134"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c>
          <w:tcPr>
            <w:tcW w:w="283"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AOR</w:t>
            </w:r>
          </w:p>
        </w:tc>
        <w:tc>
          <w:tcPr>
            <w:tcW w:w="1134"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95% CI</w:t>
            </w:r>
          </w:p>
        </w:tc>
      </w:tr>
      <w:tr w:rsidR="00CF1F2B" w:rsidRPr="00CF1F2B" w:rsidTr="006567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Friends eat healthy food with you§</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r>
      <w:tr w:rsidR="00CF1F2B" w:rsidRPr="00CF1F2B" w:rsidTr="006567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Sometimes</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0.87</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0.70, 1.08</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0.97</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0.75, 1.26</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0.92</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0.72, 1.18</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0.75</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0.52, 1.07</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0.72</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0.53, 0.99</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0.74</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0.53, 1.05</w:t>
            </w:r>
          </w:p>
        </w:tc>
      </w:tr>
      <w:tr w:rsidR="00CF1F2B" w:rsidRPr="00CF1F2B" w:rsidTr="006567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Often</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0.81</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0.58, 1.13</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0.98</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0.72, 1.33</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0.85</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0.61, 1.20</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0.89</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0.61, 1.30</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0.90</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0.62, 1.31</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0.94</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0.62, 1.43</w:t>
            </w:r>
          </w:p>
        </w:tc>
      </w:tr>
      <w:tr w:rsidR="00CF1F2B" w:rsidRPr="00CF1F2B" w:rsidTr="006567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r>
      <w:tr w:rsidR="00CF1F2B" w:rsidRPr="00CF1F2B" w:rsidTr="006567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Friends discourage ‘junk’ food</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r>
      <w:tr w:rsidR="00CF1F2B" w:rsidRPr="00CF1F2B" w:rsidTr="006567A7">
        <w:trPr>
          <w:trHeight w:val="51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Sometimes</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1.52</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1.17, 1.98**</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1.56</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1.18, 2.05**</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1.50</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1.14, 1.97**</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1.03</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0.63, 1.69</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0.96</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0.59, 1.58</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1.02</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0.62, 1.69</w:t>
            </w:r>
          </w:p>
        </w:tc>
      </w:tr>
      <w:tr w:rsidR="00CF1F2B" w:rsidRPr="00CF1F2B" w:rsidTr="006567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Often</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1.06</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0.70, 1.61</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1.27</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0.82, 1.95</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1.19</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0.77, 1.82</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1.14</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0.64, 2.02</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1.14</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0.61, 2.15</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1.21</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0.67, 2.18</w:t>
            </w:r>
          </w:p>
        </w:tc>
      </w:tr>
      <w:tr w:rsidR="00CF1F2B" w:rsidRPr="00CF1F2B" w:rsidTr="006567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r>
      <w:tr w:rsidR="00CF1F2B" w:rsidRPr="00CF1F2B" w:rsidTr="006567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Friends encourage healthy food</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r>
      <w:tr w:rsidR="00CF1F2B" w:rsidRPr="00CF1F2B" w:rsidTr="006567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Sometimes</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1.15</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0.93, 1.43</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1.19</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0.96, 1.46</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1.14</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0.91, 1.44</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0.85</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0.51, 1.40</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0.78</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0.47, 1.31</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0.81</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0.48, 1.36</w:t>
            </w:r>
          </w:p>
        </w:tc>
      </w:tr>
      <w:tr w:rsidR="00CF1F2B" w:rsidRPr="00CF1F2B" w:rsidTr="006567A7">
        <w:trPr>
          <w:trHeight w:val="300"/>
        </w:trPr>
        <w:tc>
          <w:tcPr>
            <w:tcW w:w="2835" w:type="dxa"/>
            <w:tcBorders>
              <w:top w:val="nil"/>
              <w:left w:val="nil"/>
              <w:bottom w:val="nil"/>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xml:space="preserve">  Often</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1.21</w:t>
            </w:r>
          </w:p>
        </w:tc>
        <w:tc>
          <w:tcPr>
            <w:tcW w:w="1418" w:type="dxa"/>
            <w:gridSpan w:val="2"/>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0.87, 1.68</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992"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1.39</w:t>
            </w:r>
          </w:p>
        </w:tc>
        <w:tc>
          <w:tcPr>
            <w:tcW w:w="1276"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1.03, 1.86*</w:t>
            </w:r>
          </w:p>
        </w:tc>
        <w:tc>
          <w:tcPr>
            <w:tcW w:w="28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8"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1.26</w:t>
            </w:r>
          </w:p>
        </w:tc>
        <w:tc>
          <w:tcPr>
            <w:tcW w:w="1560"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0.92, 1.73</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851"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1.06</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0.68, 1.65</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1.05</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0.65, 1.70</w:t>
            </w:r>
          </w:p>
        </w:tc>
        <w:tc>
          <w:tcPr>
            <w:tcW w:w="283"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1.13</w:t>
            </w:r>
          </w:p>
        </w:tc>
        <w:tc>
          <w:tcPr>
            <w:tcW w:w="1134" w:type="dxa"/>
            <w:tcBorders>
              <w:top w:val="nil"/>
              <w:left w:val="nil"/>
              <w:bottom w:val="nil"/>
              <w:right w:val="nil"/>
            </w:tcBorders>
            <w:shd w:val="clear" w:color="000000" w:fill="FFFFFF"/>
            <w:vAlign w:val="center"/>
            <w:hideMark/>
          </w:tcPr>
          <w:p w:rsidR="00326BA7" w:rsidRPr="00CF1F2B" w:rsidRDefault="00326BA7" w:rsidP="006567A7">
            <w:pPr>
              <w:jc w:val="right"/>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0.72, 1.77</w:t>
            </w:r>
          </w:p>
        </w:tc>
      </w:tr>
      <w:tr w:rsidR="00CF1F2B" w:rsidRPr="00CF1F2B" w:rsidTr="006567A7">
        <w:trPr>
          <w:trHeight w:val="315"/>
        </w:trPr>
        <w:tc>
          <w:tcPr>
            <w:tcW w:w="2835"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709"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418" w:type="dxa"/>
            <w:gridSpan w:val="2"/>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83"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992"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276"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84"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708"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1560"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283" w:type="dxa"/>
            <w:tcBorders>
              <w:top w:val="nil"/>
              <w:left w:val="nil"/>
              <w:bottom w:val="single" w:sz="8" w:space="0" w:color="auto"/>
              <w:right w:val="nil"/>
            </w:tcBorders>
            <w:shd w:val="clear" w:color="000000" w:fill="FFFFFF"/>
            <w:noWrap/>
            <w:vAlign w:val="bottom"/>
            <w:hideMark/>
          </w:tcPr>
          <w:p w:rsidR="00326BA7" w:rsidRPr="00CF1F2B" w:rsidRDefault="00326BA7" w:rsidP="006567A7">
            <w:pPr>
              <w:rPr>
                <w:rFonts w:ascii="Times New Roman" w:eastAsia="Times New Roman" w:hAnsi="Times New Roman" w:cs="Times New Roman"/>
                <w:sz w:val="22"/>
                <w:szCs w:val="22"/>
                <w:lang w:val="en-GB" w:eastAsia="en-GB"/>
              </w:rPr>
            </w:pPr>
            <w:r w:rsidRPr="00CF1F2B">
              <w:rPr>
                <w:rFonts w:ascii="Times New Roman" w:eastAsia="Times New Roman" w:hAnsi="Times New Roman" w:cs="Times New Roman"/>
                <w:sz w:val="22"/>
                <w:szCs w:val="22"/>
                <w:lang w:val="en-GB" w:eastAsia="en-GB"/>
              </w:rPr>
              <w:t> </w:t>
            </w:r>
          </w:p>
        </w:tc>
        <w:tc>
          <w:tcPr>
            <w:tcW w:w="851" w:type="dxa"/>
            <w:tcBorders>
              <w:top w:val="nil"/>
              <w:left w:val="nil"/>
              <w:bottom w:val="single" w:sz="8" w:space="0" w:color="auto"/>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single" w:sz="8" w:space="0" w:color="auto"/>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283"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val="en-GB" w:eastAsia="en-GB"/>
              </w:rPr>
              <w:t> </w:t>
            </w:r>
          </w:p>
        </w:tc>
        <w:tc>
          <w:tcPr>
            <w:tcW w:w="709" w:type="dxa"/>
            <w:tcBorders>
              <w:top w:val="nil"/>
              <w:left w:val="nil"/>
              <w:bottom w:val="single" w:sz="8" w:space="0" w:color="auto"/>
              <w:right w:val="nil"/>
            </w:tcBorders>
            <w:shd w:val="clear" w:color="000000" w:fill="FFFFFF"/>
            <w:vAlign w:val="center"/>
            <w:hideMark/>
          </w:tcPr>
          <w:p w:rsidR="00326BA7" w:rsidRPr="00CF1F2B" w:rsidRDefault="00326BA7" w:rsidP="006567A7">
            <w:pP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c>
          <w:tcPr>
            <w:tcW w:w="1134" w:type="dxa"/>
            <w:tcBorders>
              <w:top w:val="nil"/>
              <w:left w:val="nil"/>
              <w:bottom w:val="single" w:sz="8" w:space="0" w:color="auto"/>
              <w:right w:val="nil"/>
            </w:tcBorders>
            <w:shd w:val="clear" w:color="000000" w:fill="FFFFFF"/>
            <w:vAlign w:val="center"/>
            <w:hideMark/>
          </w:tcPr>
          <w:p w:rsidR="00326BA7" w:rsidRPr="00CF1F2B" w:rsidRDefault="00326BA7" w:rsidP="006567A7">
            <w:pPr>
              <w:jc w:val="center"/>
              <w:rPr>
                <w:rFonts w:ascii="Times New Roman" w:eastAsia="Times New Roman" w:hAnsi="Times New Roman" w:cs="Times New Roman"/>
                <w:sz w:val="20"/>
                <w:szCs w:val="20"/>
                <w:lang w:val="en-GB" w:eastAsia="en-GB"/>
              </w:rPr>
            </w:pPr>
            <w:r w:rsidRPr="00CF1F2B">
              <w:rPr>
                <w:rFonts w:ascii="Times New Roman" w:eastAsia="Times New Roman" w:hAnsi="Times New Roman" w:cs="Times New Roman"/>
                <w:sz w:val="20"/>
                <w:szCs w:val="20"/>
                <w:lang w:eastAsia="en-GB"/>
              </w:rPr>
              <w:t> </w:t>
            </w:r>
          </w:p>
        </w:tc>
      </w:tr>
    </w:tbl>
    <w:p w:rsidR="00326BA7" w:rsidRPr="00CF1F2B" w:rsidRDefault="00326BA7" w:rsidP="006C6A04">
      <w:pPr>
        <w:pStyle w:val="NoSpacing"/>
        <w:ind w:left="1440" w:hanging="1440"/>
        <w:rPr>
          <w:rFonts w:ascii="Times New Roman" w:hAnsi="Times New Roman" w:cs="Times New Roman"/>
          <w:sz w:val="24"/>
          <w:szCs w:val="24"/>
        </w:rPr>
      </w:pPr>
    </w:p>
    <w:p w:rsidR="006C6A04" w:rsidRPr="00CF1F2B" w:rsidRDefault="006C6A04" w:rsidP="006C6A04">
      <w:pPr>
        <w:widowControl w:val="0"/>
        <w:autoSpaceDE w:val="0"/>
        <w:autoSpaceDN w:val="0"/>
        <w:adjustRightInd w:val="0"/>
        <w:rPr>
          <w:rFonts w:ascii="Times New Roman" w:hAnsi="Times New Roman" w:cs="Times New Roman"/>
          <w:sz w:val="20"/>
          <w:szCs w:val="20"/>
        </w:rPr>
      </w:pPr>
      <w:r w:rsidRPr="00CF1F2B">
        <w:rPr>
          <w:rFonts w:ascii="Times New Roman" w:hAnsi="Times New Roman" w:cs="Times New Roman"/>
          <w:sz w:val="20"/>
          <w:szCs w:val="20"/>
        </w:rPr>
        <w:t>OR. Odds ratio. CI. Confidence interval.</w:t>
      </w:r>
    </w:p>
    <w:p w:rsidR="006C6A04" w:rsidRPr="00CF1F2B" w:rsidRDefault="006C6A04" w:rsidP="006C6A04">
      <w:pPr>
        <w:widowControl w:val="0"/>
        <w:autoSpaceDE w:val="0"/>
        <w:autoSpaceDN w:val="0"/>
        <w:adjustRightInd w:val="0"/>
        <w:rPr>
          <w:rFonts w:ascii="Times New Roman" w:hAnsi="Times New Roman" w:cs="Times New Roman"/>
          <w:sz w:val="20"/>
          <w:szCs w:val="20"/>
        </w:rPr>
      </w:pPr>
      <w:r w:rsidRPr="00CF1F2B">
        <w:rPr>
          <w:rFonts w:ascii="Times New Roman" w:hAnsi="Times New Roman" w:cs="Times New Roman"/>
          <w:sz w:val="20"/>
          <w:szCs w:val="20"/>
        </w:rPr>
        <w:t>*</w:t>
      </w:r>
      <w:r w:rsidRPr="00CF1F2B">
        <w:rPr>
          <w:rFonts w:ascii="Times New Roman" w:hAnsi="Times New Roman" w:cs="Times New Roman"/>
          <w:i/>
          <w:sz w:val="20"/>
          <w:szCs w:val="20"/>
        </w:rPr>
        <w:t>P</w:t>
      </w:r>
      <w:r w:rsidRPr="00CF1F2B">
        <w:rPr>
          <w:rFonts w:ascii="Times New Roman" w:hAnsi="Times New Roman" w:cs="Times New Roman"/>
          <w:sz w:val="20"/>
          <w:szCs w:val="20"/>
        </w:rPr>
        <w:t>&lt;0·05; **</w:t>
      </w:r>
      <w:r w:rsidRPr="00CF1F2B">
        <w:rPr>
          <w:rFonts w:ascii="Times New Roman" w:hAnsi="Times New Roman" w:cs="Times New Roman"/>
          <w:i/>
          <w:sz w:val="20"/>
          <w:szCs w:val="20"/>
        </w:rPr>
        <w:t>P</w:t>
      </w:r>
      <w:r w:rsidRPr="00CF1F2B">
        <w:rPr>
          <w:rFonts w:ascii="Times New Roman" w:hAnsi="Times New Roman" w:cs="Times New Roman"/>
          <w:sz w:val="20"/>
          <w:szCs w:val="20"/>
        </w:rPr>
        <w:t>&lt;0·01; ***</w:t>
      </w:r>
      <w:r w:rsidRPr="00CF1F2B">
        <w:rPr>
          <w:rFonts w:ascii="Times New Roman" w:hAnsi="Times New Roman" w:cs="Times New Roman"/>
          <w:i/>
          <w:sz w:val="20"/>
          <w:szCs w:val="20"/>
        </w:rPr>
        <w:t>P</w:t>
      </w:r>
      <w:r w:rsidRPr="00CF1F2B">
        <w:rPr>
          <w:rFonts w:ascii="Times New Roman" w:hAnsi="Times New Roman" w:cs="Times New Roman"/>
          <w:sz w:val="20"/>
          <w:szCs w:val="20"/>
        </w:rPr>
        <w:t>&lt;0·001.</w:t>
      </w:r>
    </w:p>
    <w:p w:rsidR="006C6A04" w:rsidRPr="00CF1F2B" w:rsidRDefault="006C6A04" w:rsidP="006C6A04">
      <w:pPr>
        <w:widowControl w:val="0"/>
        <w:autoSpaceDE w:val="0"/>
        <w:autoSpaceDN w:val="0"/>
        <w:adjustRightInd w:val="0"/>
        <w:rPr>
          <w:rFonts w:ascii="Times New Roman" w:hAnsi="Times New Roman" w:cs="Times New Roman"/>
          <w:sz w:val="20"/>
          <w:szCs w:val="20"/>
        </w:rPr>
      </w:pPr>
      <w:r w:rsidRPr="00CF1F2B">
        <w:rPr>
          <w:rFonts w:ascii="Times New Roman" w:hAnsi="Times New Roman" w:cs="Times New Roman"/>
          <w:sz w:val="20"/>
          <w:szCs w:val="20"/>
        </w:rPr>
        <w:t xml:space="preserve">Adjusted logistic regression analyses of the association between each perceived friends’ support of healthy eating measures and each of the meal skipping outcomes at baseline adjusting for adolescent sex, school year, region of residence, with clustered standard errors to account for clustering within school. </w:t>
      </w:r>
    </w:p>
    <w:p w:rsidR="005777CD" w:rsidRPr="00CF1F2B" w:rsidRDefault="006C6A04" w:rsidP="00BA07EC">
      <w:pPr>
        <w:widowControl w:val="0"/>
        <w:autoSpaceDE w:val="0"/>
        <w:autoSpaceDN w:val="0"/>
        <w:adjustRightInd w:val="0"/>
      </w:pPr>
      <w:r w:rsidRPr="00CF1F2B">
        <w:rPr>
          <w:rFonts w:ascii="Times New Roman" w:hAnsi="Times New Roman" w:cs="Times New Roman"/>
          <w:sz w:val="20"/>
          <w:szCs w:val="20"/>
        </w:rPr>
        <w:t>§Never/rarely was used as the reference category for perceived friend support predictor variables in all models.</w:t>
      </w:r>
    </w:p>
    <w:sectPr w:rsidR="005777CD" w:rsidRPr="00CF1F2B" w:rsidSect="00C4366D">
      <w:pgSz w:w="16838"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046" w:rsidRDefault="00385046">
      <w:r>
        <w:separator/>
      </w:r>
    </w:p>
  </w:endnote>
  <w:endnote w:type="continuationSeparator" w:id="0">
    <w:p w:rsidR="00385046" w:rsidRDefault="0038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7CD" w:rsidRDefault="005777CD" w:rsidP="00577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7CD" w:rsidRDefault="005777CD" w:rsidP="00577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7CD" w:rsidRDefault="005777CD" w:rsidP="005777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046" w:rsidRDefault="00385046">
      <w:r>
        <w:separator/>
      </w:r>
    </w:p>
  </w:footnote>
  <w:footnote w:type="continuationSeparator" w:id="0">
    <w:p w:rsidR="00385046" w:rsidRDefault="0038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7CD" w:rsidRPr="00C3550A" w:rsidRDefault="005777CD" w:rsidP="005777CD">
    <w:pPr>
      <w:pStyle w:val="Header"/>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DA"/>
    <w:rsid w:val="000A764E"/>
    <w:rsid w:val="00155E34"/>
    <w:rsid w:val="00295272"/>
    <w:rsid w:val="002D0E29"/>
    <w:rsid w:val="00326BA7"/>
    <w:rsid w:val="00385046"/>
    <w:rsid w:val="005777CD"/>
    <w:rsid w:val="0066143C"/>
    <w:rsid w:val="006C6A04"/>
    <w:rsid w:val="007C5580"/>
    <w:rsid w:val="00804F96"/>
    <w:rsid w:val="008322F0"/>
    <w:rsid w:val="008C6EA9"/>
    <w:rsid w:val="00B01FEC"/>
    <w:rsid w:val="00B934DA"/>
    <w:rsid w:val="00BA07EC"/>
    <w:rsid w:val="00C4366D"/>
    <w:rsid w:val="00CF1F2B"/>
    <w:rsid w:val="00E42578"/>
    <w:rsid w:val="00EC3516"/>
    <w:rsid w:val="00ED400C"/>
    <w:rsid w:val="00F9088F"/>
    <w:rsid w:val="00FD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3D70"/>
  <w15:chartTrackingRefBased/>
  <w15:docId w15:val="{A9B50BA6-402F-409F-94A3-CD7DB8A1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4DA"/>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4D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erQ"/>
    <w:basedOn w:val="Normal"/>
    <w:link w:val="FooterChar"/>
    <w:unhideWhenUsed/>
    <w:rsid w:val="00B934DA"/>
    <w:pPr>
      <w:tabs>
        <w:tab w:val="center" w:pos="4320"/>
        <w:tab w:val="right" w:pos="8640"/>
      </w:tabs>
    </w:pPr>
  </w:style>
  <w:style w:type="character" w:customStyle="1" w:styleId="FooterChar">
    <w:name w:val="Footer Char"/>
    <w:aliases w:val="FooterQ Char"/>
    <w:basedOn w:val="DefaultParagraphFont"/>
    <w:link w:val="Footer"/>
    <w:rsid w:val="00B934DA"/>
    <w:rPr>
      <w:rFonts w:eastAsiaTheme="minorEastAsia"/>
      <w:sz w:val="24"/>
      <w:szCs w:val="24"/>
      <w:lang w:val="en-AU"/>
    </w:rPr>
  </w:style>
  <w:style w:type="character" w:styleId="PageNumber">
    <w:name w:val="page number"/>
    <w:basedOn w:val="DefaultParagraphFont"/>
    <w:unhideWhenUsed/>
    <w:rsid w:val="00B934DA"/>
  </w:style>
  <w:style w:type="paragraph" w:styleId="Header">
    <w:name w:val="header"/>
    <w:basedOn w:val="Normal"/>
    <w:link w:val="HeaderChar"/>
    <w:unhideWhenUsed/>
    <w:rsid w:val="00B934DA"/>
    <w:pPr>
      <w:tabs>
        <w:tab w:val="center" w:pos="4320"/>
        <w:tab w:val="right" w:pos="8640"/>
      </w:tabs>
    </w:pPr>
  </w:style>
  <w:style w:type="character" w:customStyle="1" w:styleId="HeaderChar">
    <w:name w:val="Header Char"/>
    <w:basedOn w:val="DefaultParagraphFont"/>
    <w:link w:val="Header"/>
    <w:rsid w:val="00B934DA"/>
    <w:rPr>
      <w:rFonts w:eastAsiaTheme="minorEastAsia"/>
      <w:sz w:val="24"/>
      <w:szCs w:val="24"/>
      <w:lang w:val="en-AU"/>
    </w:rPr>
  </w:style>
  <w:style w:type="paragraph" w:styleId="NoSpacing">
    <w:name w:val="No Spacing"/>
    <w:uiPriority w:val="1"/>
    <w:qFormat/>
    <w:rsid w:val="00B934DA"/>
    <w:pPr>
      <w:spacing w:after="0" w:line="240" w:lineRule="auto"/>
    </w:pPr>
    <w:rPr>
      <w:rFonts w:eastAsiaTheme="minorEastAsia"/>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7175">
      <w:bodyDiv w:val="1"/>
      <w:marLeft w:val="0"/>
      <w:marRight w:val="0"/>
      <w:marTop w:val="0"/>
      <w:marBottom w:val="0"/>
      <w:divBdr>
        <w:top w:val="none" w:sz="0" w:space="0" w:color="auto"/>
        <w:left w:val="none" w:sz="0" w:space="0" w:color="auto"/>
        <w:bottom w:val="none" w:sz="0" w:space="0" w:color="auto"/>
        <w:right w:val="none" w:sz="0" w:space="0" w:color="auto"/>
      </w:divBdr>
    </w:div>
    <w:div w:id="17193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Lamb</dc:creator>
  <cp:keywords/>
  <dc:description/>
  <cp:lastModifiedBy>Gillian</cp:lastModifiedBy>
  <cp:revision>2</cp:revision>
  <dcterms:created xsi:type="dcterms:W3CDTF">2017-08-17T09:05:00Z</dcterms:created>
  <dcterms:modified xsi:type="dcterms:W3CDTF">2017-08-17T09:05:00Z</dcterms:modified>
</cp:coreProperties>
</file>