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16" w:rsidRPr="003E026F" w:rsidRDefault="005D5418" w:rsidP="00947816">
      <w:pPr>
        <w:spacing w:line="276" w:lineRule="auto"/>
        <w:rPr>
          <w:sz w:val="22"/>
          <w:szCs w:val="22"/>
          <w:lang w:eastAsia="ko-KR"/>
        </w:rPr>
      </w:pPr>
      <w:r w:rsidRPr="003E026F">
        <w:rPr>
          <w:b/>
          <w:sz w:val="24"/>
          <w:szCs w:val="24"/>
          <w:lang w:eastAsia="ko-KR"/>
        </w:rPr>
        <w:t>SUPPLEMENTAL</w:t>
      </w:r>
      <w:bookmarkStart w:id="0" w:name="_GoBack"/>
      <w:bookmarkEnd w:id="0"/>
      <w:r w:rsidRPr="003E026F">
        <w:rPr>
          <w:b/>
          <w:sz w:val="24"/>
          <w:szCs w:val="24"/>
          <w:lang w:eastAsia="ko-KR"/>
        </w:rPr>
        <w:t xml:space="preserve"> TABLE 1</w:t>
      </w:r>
      <w:r w:rsidRPr="003E026F">
        <w:rPr>
          <w:sz w:val="24"/>
          <w:szCs w:val="24"/>
          <w:lang w:eastAsia="ko-KR"/>
        </w:rPr>
        <w:t xml:space="preserve"> </w:t>
      </w:r>
      <w:r w:rsidR="00947816" w:rsidRPr="003E026F">
        <w:rPr>
          <w:sz w:val="24"/>
          <w:szCs w:val="24"/>
          <w:lang w:eastAsia="ko-KR"/>
        </w:rPr>
        <w:t xml:space="preserve">Scores of current breastfeeding, meal frequency, dietary diversity, composite feeding and hand washing among study mothers in control </w:t>
      </w:r>
      <w:r w:rsidR="00947816">
        <w:rPr>
          <w:sz w:val="24"/>
          <w:szCs w:val="24"/>
          <w:lang w:eastAsia="ko-KR"/>
        </w:rPr>
        <w:t>and</w:t>
      </w:r>
      <w:r w:rsidR="00947816" w:rsidRPr="003E026F">
        <w:rPr>
          <w:sz w:val="24"/>
          <w:szCs w:val="24"/>
          <w:lang w:eastAsia="ko-KR"/>
        </w:rPr>
        <w:t xml:space="preserve"> intervention areas by survey visit, </w:t>
      </w:r>
      <w:proofErr w:type="spellStart"/>
      <w:r w:rsidR="00947816" w:rsidRPr="003E026F">
        <w:rPr>
          <w:sz w:val="24"/>
          <w:szCs w:val="24"/>
          <w:lang w:eastAsia="ko-KR"/>
        </w:rPr>
        <w:t>Habro</w:t>
      </w:r>
      <w:proofErr w:type="spellEnd"/>
      <w:r w:rsidR="00947816" w:rsidRPr="003E026F">
        <w:rPr>
          <w:sz w:val="24"/>
          <w:szCs w:val="24"/>
          <w:lang w:eastAsia="ko-KR"/>
        </w:rPr>
        <w:t xml:space="preserve"> and </w:t>
      </w:r>
      <w:proofErr w:type="spellStart"/>
      <w:r w:rsidR="00947816" w:rsidRPr="003E026F">
        <w:rPr>
          <w:sz w:val="24"/>
          <w:szCs w:val="24"/>
          <w:lang w:eastAsia="ko-KR"/>
        </w:rPr>
        <w:t>Melka</w:t>
      </w:r>
      <w:proofErr w:type="spellEnd"/>
      <w:r w:rsidR="00947816" w:rsidRPr="003E026F">
        <w:rPr>
          <w:sz w:val="24"/>
          <w:szCs w:val="24"/>
          <w:lang w:eastAsia="ko-KR"/>
        </w:rPr>
        <w:t xml:space="preserve"> Bello districts, Ethiopia (2012-2014)*</w:t>
      </w:r>
      <w:r w:rsidR="00947816" w:rsidRPr="003E026F">
        <w:t>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2"/>
        <w:gridCol w:w="972"/>
        <w:gridCol w:w="1211"/>
        <w:gridCol w:w="1016"/>
        <w:gridCol w:w="1167"/>
        <w:gridCol w:w="918"/>
        <w:gridCol w:w="1266"/>
        <w:gridCol w:w="962"/>
        <w:gridCol w:w="1222"/>
        <w:gridCol w:w="1003"/>
        <w:gridCol w:w="1178"/>
      </w:tblGrid>
      <w:tr w:rsidR="00947816" w:rsidRPr="003E026F" w:rsidTr="00CE121F">
        <w:trPr>
          <w:trHeight w:val="330"/>
        </w:trPr>
        <w:tc>
          <w:tcPr>
            <w:tcW w:w="10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 w:hint="eastAsia"/>
                <w:sz w:val="22"/>
                <w:szCs w:val="22"/>
                <w:lang w:eastAsia="ko-KR"/>
              </w:rPr>
              <w:t>Score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Visit1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Visit2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Visit3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Visit4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Visit5</w:t>
            </w:r>
          </w:p>
        </w:tc>
      </w:tr>
      <w:tr w:rsidR="00947816" w:rsidRPr="003E026F" w:rsidTr="00CE121F">
        <w:trPr>
          <w:trHeight w:val="65"/>
        </w:trPr>
        <w:tc>
          <w:tcPr>
            <w:tcW w:w="10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rPr>
                <w:rFonts w:eastAsia="맑은 고딕"/>
                <w:sz w:val="22"/>
                <w:szCs w:val="22"/>
                <w:lang w:eastAsia="ko-KR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lang w:eastAsia="ko-KR"/>
              </w:rPr>
            </w:pPr>
            <w:r w:rsidRPr="003E026F">
              <w:rPr>
                <w:rFonts w:eastAsia="맑은 고딕"/>
                <w:lang w:eastAsia="ko-KR"/>
              </w:rPr>
              <w:t>Control</w:t>
            </w:r>
          </w:p>
          <w:p w:rsidR="00947816" w:rsidRPr="003E026F" w:rsidRDefault="00947816" w:rsidP="00CE121F">
            <w:pPr>
              <w:jc w:val="center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a</w:t>
            </w:r>
            <w:r w:rsidRPr="003E026F">
              <w:rPr>
                <w:rFonts w:eastAsia="맑은 고딕"/>
                <w:lang w:eastAsia="ko-KR"/>
              </w:rPr>
              <w:t>rea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lang w:eastAsia="ko-KR"/>
              </w:rPr>
            </w:pPr>
            <w:r w:rsidRPr="003E026F">
              <w:rPr>
                <w:rFonts w:eastAsia="맑은 고딕"/>
                <w:lang w:eastAsia="ko-KR"/>
              </w:rPr>
              <w:t>Intervention</w:t>
            </w:r>
          </w:p>
          <w:p w:rsidR="00947816" w:rsidRPr="003E026F" w:rsidRDefault="00947816" w:rsidP="00CE121F">
            <w:pPr>
              <w:jc w:val="center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a</w:t>
            </w:r>
            <w:r w:rsidRPr="003E026F">
              <w:rPr>
                <w:rFonts w:eastAsia="맑은 고딕"/>
                <w:lang w:eastAsia="ko-KR"/>
              </w:rPr>
              <w:t>rea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lang w:eastAsia="ko-KR"/>
              </w:rPr>
            </w:pPr>
            <w:r w:rsidRPr="003E026F">
              <w:rPr>
                <w:rFonts w:eastAsia="맑은 고딕"/>
                <w:lang w:eastAsia="ko-KR"/>
              </w:rPr>
              <w:t>Control</w:t>
            </w:r>
          </w:p>
          <w:p w:rsidR="00947816" w:rsidRPr="003E026F" w:rsidRDefault="00947816" w:rsidP="00CE121F">
            <w:pPr>
              <w:jc w:val="center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a</w:t>
            </w:r>
            <w:r w:rsidRPr="003E026F">
              <w:rPr>
                <w:rFonts w:eastAsia="맑은 고딕"/>
                <w:lang w:eastAsia="ko-KR"/>
              </w:rPr>
              <w:t>rea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lang w:eastAsia="ko-KR"/>
              </w:rPr>
            </w:pPr>
            <w:r w:rsidRPr="003E026F">
              <w:rPr>
                <w:rFonts w:eastAsia="맑은 고딕"/>
                <w:lang w:eastAsia="ko-KR"/>
              </w:rPr>
              <w:t>Intervention</w:t>
            </w:r>
          </w:p>
          <w:p w:rsidR="00947816" w:rsidRPr="003E026F" w:rsidRDefault="00947816" w:rsidP="00CE121F">
            <w:pPr>
              <w:jc w:val="center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a</w:t>
            </w:r>
            <w:r w:rsidRPr="003E026F">
              <w:rPr>
                <w:rFonts w:eastAsia="맑은 고딕"/>
                <w:lang w:eastAsia="ko-KR"/>
              </w:rPr>
              <w:t>rea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lang w:eastAsia="ko-KR"/>
              </w:rPr>
            </w:pPr>
            <w:r w:rsidRPr="003E026F">
              <w:rPr>
                <w:rFonts w:eastAsia="맑은 고딕"/>
                <w:lang w:eastAsia="ko-KR"/>
              </w:rPr>
              <w:t>Control</w:t>
            </w:r>
          </w:p>
          <w:p w:rsidR="00947816" w:rsidRPr="003E026F" w:rsidRDefault="00947816" w:rsidP="00CE121F">
            <w:pPr>
              <w:jc w:val="center"/>
              <w:rPr>
                <w:rFonts w:eastAsia="맑은 고딕"/>
                <w:lang w:eastAsia="ko-KR"/>
              </w:rPr>
            </w:pPr>
            <w:r w:rsidRPr="003E026F">
              <w:rPr>
                <w:rFonts w:eastAsia="맑은 고딕"/>
                <w:lang w:eastAsia="ko-KR"/>
              </w:rPr>
              <w:t>area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lang w:eastAsia="ko-KR"/>
              </w:rPr>
            </w:pPr>
            <w:r w:rsidRPr="003E026F">
              <w:rPr>
                <w:rFonts w:eastAsia="맑은 고딕"/>
                <w:lang w:eastAsia="ko-KR"/>
              </w:rPr>
              <w:t>Intervention</w:t>
            </w:r>
          </w:p>
          <w:p w:rsidR="00947816" w:rsidRPr="003E026F" w:rsidRDefault="00947816" w:rsidP="00CE121F">
            <w:pPr>
              <w:jc w:val="center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a</w:t>
            </w:r>
            <w:r w:rsidRPr="003E026F">
              <w:rPr>
                <w:rFonts w:eastAsia="맑은 고딕"/>
                <w:lang w:eastAsia="ko-KR"/>
              </w:rPr>
              <w:t>rea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lang w:eastAsia="ko-KR"/>
              </w:rPr>
            </w:pPr>
            <w:r w:rsidRPr="003E026F">
              <w:rPr>
                <w:rFonts w:eastAsia="맑은 고딕"/>
                <w:lang w:eastAsia="ko-KR"/>
              </w:rPr>
              <w:t>Control</w:t>
            </w:r>
          </w:p>
          <w:p w:rsidR="00947816" w:rsidRPr="003E026F" w:rsidRDefault="00947816" w:rsidP="00CE121F">
            <w:pPr>
              <w:jc w:val="center"/>
              <w:rPr>
                <w:rFonts w:eastAsia="맑은 고딕"/>
                <w:lang w:eastAsia="ko-KR"/>
              </w:rPr>
            </w:pPr>
            <w:r w:rsidRPr="003E026F">
              <w:rPr>
                <w:rFonts w:eastAsia="맑은 고딕"/>
                <w:lang w:eastAsia="ko-KR"/>
              </w:rPr>
              <w:t>area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lang w:eastAsia="ko-KR"/>
              </w:rPr>
            </w:pPr>
            <w:r w:rsidRPr="003E026F">
              <w:rPr>
                <w:rFonts w:eastAsia="맑은 고딕"/>
                <w:lang w:eastAsia="ko-KR"/>
              </w:rPr>
              <w:t>Intervention</w:t>
            </w:r>
          </w:p>
          <w:p w:rsidR="00947816" w:rsidRPr="003E026F" w:rsidRDefault="00947816" w:rsidP="00CE121F">
            <w:pPr>
              <w:jc w:val="center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a</w:t>
            </w:r>
            <w:r w:rsidRPr="003E026F">
              <w:rPr>
                <w:rFonts w:eastAsia="맑은 고딕"/>
                <w:lang w:eastAsia="ko-KR"/>
              </w:rPr>
              <w:t>rea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lang w:eastAsia="ko-KR"/>
              </w:rPr>
            </w:pPr>
            <w:r w:rsidRPr="003E026F">
              <w:rPr>
                <w:rFonts w:eastAsia="맑은 고딕"/>
                <w:lang w:eastAsia="ko-KR"/>
              </w:rPr>
              <w:t>Control</w:t>
            </w:r>
          </w:p>
          <w:p w:rsidR="00947816" w:rsidRPr="003E026F" w:rsidRDefault="00947816" w:rsidP="00CE121F">
            <w:pPr>
              <w:jc w:val="center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a</w:t>
            </w:r>
            <w:r w:rsidRPr="003E026F">
              <w:rPr>
                <w:rFonts w:eastAsia="맑은 고딕"/>
                <w:lang w:eastAsia="ko-KR"/>
              </w:rPr>
              <w:t>rea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lang w:eastAsia="ko-KR"/>
              </w:rPr>
            </w:pPr>
            <w:r w:rsidRPr="003E026F">
              <w:rPr>
                <w:rFonts w:eastAsia="맑은 고딕"/>
                <w:lang w:eastAsia="ko-KR"/>
              </w:rPr>
              <w:t>Intervention</w:t>
            </w:r>
          </w:p>
          <w:p w:rsidR="00947816" w:rsidRPr="003E026F" w:rsidRDefault="00947816" w:rsidP="00CE121F">
            <w:pPr>
              <w:jc w:val="center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a</w:t>
            </w:r>
            <w:r w:rsidRPr="003E026F">
              <w:rPr>
                <w:rFonts w:eastAsia="맑은 고딕"/>
                <w:lang w:eastAsia="ko-KR"/>
              </w:rPr>
              <w:t>rea</w:t>
            </w:r>
          </w:p>
        </w:tc>
      </w:tr>
      <w:tr w:rsidR="00947816" w:rsidRPr="003E026F" w:rsidTr="00CE121F">
        <w:trPr>
          <w:trHeight w:val="155"/>
        </w:trPr>
        <w:tc>
          <w:tcPr>
            <w:tcW w:w="101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Currently</w:t>
            </w:r>
            <w:r w:rsidRPr="003E026F">
              <w:rPr>
                <w:rFonts w:eastAsia="맑은 고딕" w:hint="eastAsia"/>
                <w:sz w:val="22"/>
                <w:szCs w:val="22"/>
                <w:lang w:eastAsia="ko-KR"/>
              </w:rPr>
              <w:t xml:space="preserve"> </w:t>
            </w:r>
            <w:r w:rsidRPr="003E026F">
              <w:rPr>
                <w:rFonts w:eastAsia="맑은 고딕"/>
                <w:sz w:val="22"/>
                <w:szCs w:val="22"/>
                <w:lang w:eastAsia="ko-KR"/>
              </w:rPr>
              <w:t>breastfeeding score</w:t>
            </w:r>
          </w:p>
        </w:tc>
        <w:tc>
          <w:tcPr>
            <w:tcW w:w="35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1.9±0.3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1.9±0.3</w:t>
            </w: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1.5±0.5</w:t>
            </w: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1.5±0.5</w:t>
            </w:r>
          </w:p>
        </w:tc>
        <w:tc>
          <w:tcPr>
            <w:tcW w:w="33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1.0±0.1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1.0±0.2</w:t>
            </w:r>
          </w:p>
        </w:tc>
        <w:tc>
          <w:tcPr>
            <w:tcW w:w="35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1.0±0.2</w:t>
            </w: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1.0±0.2</w:t>
            </w:r>
          </w:p>
        </w:tc>
        <w:tc>
          <w:tcPr>
            <w:tcW w:w="36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1.0±0.2</w:t>
            </w:r>
          </w:p>
        </w:tc>
        <w:tc>
          <w:tcPr>
            <w:tcW w:w="43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0.9±0.3</w:t>
            </w:r>
          </w:p>
        </w:tc>
      </w:tr>
      <w:tr w:rsidR="00947816" w:rsidRPr="003E026F" w:rsidTr="00CE121F">
        <w:trPr>
          <w:trHeight w:val="296"/>
        </w:trPr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Meal frequency score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1.7±0.8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2.0±0.5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1.2±0.8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1.7±0.9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1.3±0.8</w:t>
            </w: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1.5±0.9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1.2±0.7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1.4±0.8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1.4±0.8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1.5±0.9</w:t>
            </w:r>
          </w:p>
        </w:tc>
      </w:tr>
      <w:tr w:rsidR="00947816" w:rsidRPr="003E026F" w:rsidTr="00CE121F">
        <w:trPr>
          <w:trHeight w:val="75"/>
        </w:trPr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Dietary diversity score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0.6±0.8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0.8±0.9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0.7±0.8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0.6±0.8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0.9±0.8</w:t>
            </w: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0.7±0.9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0.8±0.8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1.1±0.8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1.4±0.7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1.5±0.7</w:t>
            </w:r>
          </w:p>
        </w:tc>
      </w:tr>
      <w:tr w:rsidR="00947816" w:rsidRPr="003E026F" w:rsidTr="00CE121F">
        <w:trPr>
          <w:trHeight w:val="75"/>
        </w:trPr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Composite feeding score_1</w:t>
            </w:r>
            <w:r w:rsidRPr="003E026F">
              <w:t>‡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4.2±1.1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4.6±1.0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3.4±1.3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3.7±1.3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3.2±1.1</w:t>
            </w: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3.2±1.2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3.0±1.1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3.5±1.2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3.7±1.2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3.8±1.2</w:t>
            </w:r>
          </w:p>
        </w:tc>
      </w:tr>
      <w:tr w:rsidR="00947816" w:rsidRPr="003E026F" w:rsidTr="00CE121F">
        <w:trPr>
          <w:trHeight w:val="65"/>
        </w:trPr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Composite feeding score_2</w:t>
            </w:r>
            <w:r w:rsidRPr="003E026F">
              <w:t>‡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2.3±1.1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2.8±1.0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1.9±1.2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2.2±1.3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2.2±1.1</w:t>
            </w: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2.2±1.2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2.1±1.1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2.5±1.22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2.7±1.1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3.0±1.1</w:t>
            </w:r>
          </w:p>
        </w:tc>
      </w:tr>
      <w:tr w:rsidR="00947816" w:rsidRPr="003E026F" w:rsidTr="00CE121F">
        <w:trPr>
          <w:trHeight w:val="75"/>
        </w:trPr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Hand washing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0.8±0.9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1.1±0.9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 w:hint="eastAsia"/>
                <w:sz w:val="22"/>
                <w:szCs w:val="22"/>
                <w:lang w:eastAsia="ko-KR"/>
              </w:rPr>
              <w:t>-</w:t>
            </w: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 w:hint="eastAsia"/>
                <w:sz w:val="22"/>
                <w:szCs w:val="22"/>
                <w:lang w:eastAsia="ko-KR"/>
              </w:rPr>
              <w:t>-</w:t>
            </w:r>
          </w:p>
        </w:tc>
        <w:tc>
          <w:tcPr>
            <w:tcW w:w="3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0.9±0.8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1.0±0.8</w:t>
            </w:r>
          </w:p>
        </w:tc>
        <w:tc>
          <w:tcPr>
            <w:tcW w:w="35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 w:hint="eastAsia"/>
                <w:sz w:val="22"/>
                <w:szCs w:val="22"/>
                <w:lang w:eastAsia="ko-KR"/>
              </w:rPr>
              <w:t>-</w:t>
            </w: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 w:hint="eastAsia"/>
                <w:sz w:val="22"/>
                <w:szCs w:val="22"/>
                <w:lang w:eastAsia="ko-KR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/>
                <w:sz w:val="22"/>
                <w:szCs w:val="22"/>
                <w:lang w:eastAsia="ko-KR"/>
              </w:rPr>
              <w:t>0.9±0.8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816" w:rsidRPr="003E026F" w:rsidRDefault="00947816" w:rsidP="00CE121F">
            <w:pPr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3E026F">
              <w:rPr>
                <w:rFonts w:eastAsia="맑은 고딕" w:hint="eastAsia"/>
                <w:sz w:val="22"/>
                <w:szCs w:val="22"/>
                <w:lang w:eastAsia="ko-KR"/>
              </w:rPr>
              <w:t>0.9</w:t>
            </w:r>
            <w:r w:rsidRPr="003E026F">
              <w:rPr>
                <w:rFonts w:eastAsia="맑은 고딕"/>
                <w:sz w:val="22"/>
                <w:szCs w:val="22"/>
                <w:lang w:eastAsia="ko-KR"/>
              </w:rPr>
              <w:t>±</w:t>
            </w:r>
            <w:r w:rsidRPr="003E026F">
              <w:rPr>
                <w:rFonts w:eastAsia="맑은 고딕" w:hint="eastAsia"/>
                <w:sz w:val="22"/>
                <w:szCs w:val="22"/>
                <w:lang w:eastAsia="ko-KR"/>
              </w:rPr>
              <w:t>0.8</w:t>
            </w:r>
          </w:p>
        </w:tc>
      </w:tr>
    </w:tbl>
    <w:p w:rsidR="00947816" w:rsidRPr="003E026F" w:rsidRDefault="00947816" w:rsidP="00947816">
      <w:pPr>
        <w:tabs>
          <w:tab w:val="left" w:pos="8482"/>
        </w:tabs>
        <w:rPr>
          <w:lang w:eastAsia="ko-KR"/>
        </w:rPr>
      </w:pPr>
      <w:r w:rsidRPr="003E026F">
        <w:t>*</w:t>
      </w:r>
      <w:r w:rsidRPr="003E026F">
        <w:rPr>
          <w:lang w:eastAsia="ko-KR"/>
        </w:rPr>
        <w:t>n = 1,199 for currently breastfeeding, meal frequency, dietary diversity, score_1 and score_2; n = 629 in control and n = 570 in intervention area; n = 1,350 for hand washing, n = 674 in control and n = 674 in intervention area; each visit three months apart</w:t>
      </w:r>
      <w:r>
        <w:rPr>
          <w:lang w:eastAsia="ko-KR"/>
        </w:rPr>
        <w:t xml:space="preserve"> for feeding indicators and 6 months apart for hand washing</w:t>
      </w:r>
      <w:r w:rsidRPr="003E026F">
        <w:rPr>
          <w:lang w:eastAsia="ko-KR"/>
        </w:rPr>
        <w:t>.</w:t>
      </w:r>
    </w:p>
    <w:p w:rsidR="00947816" w:rsidRPr="003E026F" w:rsidRDefault="00947816" w:rsidP="00947816">
      <w:pPr>
        <w:tabs>
          <w:tab w:val="left" w:pos="5598"/>
        </w:tabs>
        <w:rPr>
          <w:lang w:eastAsia="ko-KR"/>
        </w:rPr>
      </w:pPr>
      <w:r w:rsidRPr="003E026F">
        <w:t>†</w:t>
      </w:r>
      <w:r w:rsidRPr="003E026F">
        <w:rPr>
          <w:lang w:eastAsia="ko-KR"/>
        </w:rPr>
        <w:t>Control area: mothers/children enrolled from the control area; Intervention area: mothers/children enrolled from the intervention area.</w:t>
      </w:r>
    </w:p>
    <w:p w:rsidR="00947816" w:rsidRPr="003E026F" w:rsidRDefault="00947816" w:rsidP="00947816">
      <w:pPr>
        <w:tabs>
          <w:tab w:val="left" w:pos="5598"/>
        </w:tabs>
        <w:rPr>
          <w:lang w:eastAsia="ko-KR"/>
        </w:rPr>
      </w:pPr>
      <w:r w:rsidRPr="003E026F">
        <w:t>‡</w:t>
      </w:r>
      <w:r w:rsidRPr="003E026F">
        <w:rPr>
          <w:lang w:eastAsia="ko-KR"/>
        </w:rPr>
        <w:t>Composite feeding score_1 was constructed based on scores of breastfeeding, dietary diversity, and feeding frequency; Composite feeding score_2 was constructed based on scores of dietary diversity and feeding frequency.</w:t>
      </w:r>
      <w:r w:rsidRPr="003E026F">
        <w:rPr>
          <w:rFonts w:hint="eastAsia"/>
          <w:lang w:eastAsia="ko-KR"/>
        </w:rPr>
        <w:t xml:space="preserve"> </w:t>
      </w:r>
    </w:p>
    <w:p w:rsidR="007C33A7" w:rsidRDefault="005D5418"/>
    <w:sectPr w:rsidR="007C33A7" w:rsidSect="00947816"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zNDGyNDE2MjM1MzFU0lEKTi0uzszPAykwqgUAMvmYqSwAAAA="/>
  </w:docVars>
  <w:rsids>
    <w:rsidRoot w:val="00947816"/>
    <w:rsid w:val="00225709"/>
    <w:rsid w:val="005D5418"/>
    <w:rsid w:val="00947816"/>
    <w:rsid w:val="00B62B25"/>
    <w:rsid w:val="00DA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7977A-71B2-4EA5-8F1F-BDDFBAA1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816"/>
    <w:pPr>
      <w:spacing w:after="0" w:line="240" w:lineRule="auto"/>
      <w:jc w:val="left"/>
    </w:pPr>
    <w:rPr>
      <w:rFonts w:ascii="Times New Roman" w:hAnsi="Times New Roman" w:cs="Times New Roman"/>
      <w:kern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3</cp:revision>
  <dcterms:created xsi:type="dcterms:W3CDTF">2016-10-11T21:18:00Z</dcterms:created>
  <dcterms:modified xsi:type="dcterms:W3CDTF">2016-10-12T05:11:00Z</dcterms:modified>
</cp:coreProperties>
</file>