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03" w:rsidRPr="004259B2" w:rsidRDefault="00034703" w:rsidP="000628ED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  <w:r w:rsidRPr="004259B2">
        <w:rPr>
          <w:rFonts w:ascii="Times New Roman" w:hAnsi="Times New Roman"/>
          <w:b/>
          <w:sz w:val="24"/>
          <w:szCs w:val="24"/>
          <w:lang w:val="en-GB"/>
        </w:rPr>
        <w:t>Table S1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  <w:r w:rsidRPr="004259B2">
        <w:rPr>
          <w:rFonts w:ascii="Times New Roman" w:hAnsi="Times New Roman"/>
          <w:b/>
          <w:sz w:val="24"/>
          <w:szCs w:val="24"/>
          <w:lang w:val="en-GB"/>
        </w:rPr>
        <w:t xml:space="preserve"> Baseline characteristics by attrition, </w:t>
      </w:r>
      <w:r w:rsidRPr="004259B2">
        <w:rPr>
          <w:rFonts w:ascii="Times New Roman" w:hAnsi="Times New Roman"/>
          <w:b/>
          <w:i/>
          <w:sz w:val="24"/>
          <w:szCs w:val="24"/>
          <w:lang w:val="en-GB"/>
        </w:rPr>
        <w:t>Familias</w:t>
      </w: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4259B2">
        <w:rPr>
          <w:rFonts w:ascii="Times New Roman" w:hAnsi="Times New Roman"/>
          <w:b/>
          <w:i/>
          <w:sz w:val="24"/>
          <w:szCs w:val="24"/>
          <w:lang w:val="en-GB"/>
        </w:rPr>
        <w:t>en</w:t>
      </w: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4259B2">
        <w:rPr>
          <w:rFonts w:ascii="Times New Roman" w:hAnsi="Times New Roman"/>
          <w:b/>
          <w:i/>
          <w:sz w:val="24"/>
          <w:szCs w:val="24"/>
          <w:lang w:val="en-GB"/>
        </w:rPr>
        <w:t>Accion</w:t>
      </w: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4259B2">
        <w:rPr>
          <w:rFonts w:ascii="Times New Roman" w:hAnsi="Times New Roman"/>
          <w:b/>
          <w:sz w:val="24"/>
          <w:szCs w:val="24"/>
          <w:lang w:val="en-GB"/>
        </w:rPr>
        <w:t>conditional cash transfer programme, 2002</w:t>
      </w:r>
    </w:p>
    <w:p w:rsidR="00034703" w:rsidRPr="004259B2" w:rsidRDefault="00034703" w:rsidP="000628ED">
      <w:pPr>
        <w:spacing w:line="276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83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6"/>
        <w:gridCol w:w="2308"/>
        <w:gridCol w:w="1725"/>
        <w:gridCol w:w="919"/>
      </w:tblGrid>
      <w:tr w:rsidR="00034703" w:rsidRPr="004259B2" w:rsidTr="000628ED">
        <w:trPr>
          <w:trHeight w:val="316"/>
          <w:jc w:val="center"/>
        </w:trPr>
        <w:tc>
          <w:tcPr>
            <w:tcW w:w="3406" w:type="dxa"/>
            <w:vMerge w:val="restart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  <w:t>Characteristics</w:t>
            </w:r>
          </w:p>
        </w:tc>
        <w:tc>
          <w:tcPr>
            <w:tcW w:w="2308" w:type="dxa"/>
            <w:vMerge w:val="restart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  <w:t>Remain in the follow-up</w:t>
            </w:r>
          </w:p>
        </w:tc>
        <w:tc>
          <w:tcPr>
            <w:tcW w:w="1725" w:type="dxa"/>
            <w:vMerge w:val="restart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  <w:t>Lost to follow-up</w:t>
            </w:r>
          </w:p>
        </w:tc>
        <w:tc>
          <w:tcPr>
            <w:tcW w:w="919" w:type="dxa"/>
            <w:vMerge w:val="restart"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  <w:t>p- value</w:t>
            </w:r>
          </w:p>
        </w:tc>
      </w:tr>
      <w:tr w:rsidR="00034703" w:rsidRPr="004259B2" w:rsidTr="000628ED">
        <w:trPr>
          <w:trHeight w:val="316"/>
          <w:jc w:val="center"/>
        </w:trPr>
        <w:tc>
          <w:tcPr>
            <w:tcW w:w="3406" w:type="dxa"/>
            <w:vMerge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</w:p>
        </w:tc>
        <w:tc>
          <w:tcPr>
            <w:tcW w:w="2308" w:type="dxa"/>
            <w:vMerge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</w:p>
        </w:tc>
        <w:tc>
          <w:tcPr>
            <w:tcW w:w="1725" w:type="dxa"/>
            <w:vMerge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</w:p>
        </w:tc>
        <w:tc>
          <w:tcPr>
            <w:tcW w:w="919" w:type="dxa"/>
            <w:vMerge/>
            <w:tcBorders>
              <w:top w:val="single" w:sz="12" w:space="0" w:color="00B050"/>
              <w:left w:val="nil"/>
              <w:bottom w:val="single" w:sz="12" w:space="0" w:color="00B050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16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  <w:t>Child characteristics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 xml:space="preserve">Female (%)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49.4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48.6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0.57</w:t>
            </w: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Age, years (mean [SD])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4.4 (1.3)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5.1 (1.5)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  <w:t>&lt;.0001</w:t>
            </w: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Mother</w:t>
            </w:r>
            <w:r>
              <w:rPr>
                <w:rFonts w:ascii="Times New Roman" w:hAnsi="Times New Roman"/>
                <w:sz w:val="20"/>
                <w:lang w:val="en-GB" w:eastAsia="es-CO"/>
              </w:rPr>
              <w:t>’</w:t>
            </w: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s age, years (mean [SD])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31.8 (7.2)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31.9 (7.6)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0.62</w:t>
            </w: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 xml:space="preserve">Mother’s </w:t>
            </w:r>
            <w:r>
              <w:rPr>
                <w:rFonts w:ascii="Times New Roman" w:hAnsi="Times New Roman"/>
                <w:sz w:val="20"/>
                <w:lang w:val="en-GB" w:eastAsia="es-CO"/>
              </w:rPr>
              <w:t>e</w:t>
            </w:r>
            <w:r w:rsidRPr="004259B2">
              <w:rPr>
                <w:rFonts w:ascii="Times New Roman" w:hAnsi="Times New Roman"/>
                <w:sz w:val="20"/>
                <w:lang w:val="en-GB" w:eastAsia="es-CO"/>
              </w:rPr>
              <w:t xml:space="preserve">ducation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16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>Lowest or not education (%)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80.9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81.0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0.97</w:t>
            </w: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  <w:t>Municipality characteristics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Population (&lt; 5,000 (n [%]))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31.8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31.3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0.48</w:t>
            </w: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Population  (5,000</w:t>
            </w:r>
            <w:r>
              <w:rPr>
                <w:rFonts w:ascii="Times New Roman" w:hAnsi="Times New Roman"/>
                <w:sz w:val="20"/>
                <w:lang w:val="en-GB" w:eastAsia="es-CO"/>
              </w:rPr>
              <w:t>–</w:t>
            </w: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14,000 (n [%]))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37.7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35.1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Population ( &gt; 14,000  (n [%]))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30.5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33.6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Atlantic region (n [%])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41.0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36.0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  <w:t>0.02</w:t>
            </w: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Eastern region (n [%])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18.8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24.9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Central region (n [%])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27.2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25.6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Pacific region (n [%])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13.1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13.6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 w:eastAsia="es-C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Healthcare centres by level of care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Outpatient care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34 (94.4)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15 (23.4)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0.83</w:t>
            </w: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Inpatient care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2 (5.6)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49 (76.6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  <w:t>Conditionalities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16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Healthcare services use (%)</w:t>
            </w:r>
            <w:r w:rsidRPr="004259B2">
              <w:rPr>
                <w:rFonts w:ascii="Times New Roman" w:hAnsi="Times New Roman"/>
                <w:sz w:val="20"/>
                <w:vertAlign w:val="superscript"/>
                <w:lang w:val="en-GB" w:eastAsia="es-CO"/>
              </w:rPr>
              <w:t>a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22.6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17.5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  <w:t>0.001</w:t>
            </w:r>
          </w:p>
        </w:tc>
      </w:tr>
      <w:tr w:rsidR="00034703" w:rsidRPr="004259B2" w:rsidTr="000628ED">
        <w:trPr>
          <w:trHeight w:val="573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Registered in growth and development programme (%)</w:t>
            </w:r>
            <w:r w:rsidRPr="004259B2">
              <w:rPr>
                <w:rFonts w:ascii="Times New Roman" w:hAnsi="Times New Roman"/>
                <w:sz w:val="20"/>
                <w:vertAlign w:val="superscript"/>
                <w:lang w:val="en-GB" w:eastAsia="es-CO"/>
              </w:rPr>
              <w:t>b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42.1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32.9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  <w:t>&lt; 0.001</w:t>
            </w:r>
          </w:p>
        </w:tc>
      </w:tr>
      <w:tr w:rsidR="00034703" w:rsidRPr="004259B2" w:rsidTr="000628ED">
        <w:trPr>
          <w:trHeight w:val="316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>
              <w:rPr>
                <w:rFonts w:ascii="Times New Roman" w:hAnsi="Times New Roman"/>
                <w:sz w:val="20"/>
                <w:lang w:val="en-GB" w:eastAsia="es-CO"/>
              </w:rPr>
              <w:t>Mother’</w:t>
            </w:r>
            <w:r w:rsidRPr="004259B2">
              <w:rPr>
                <w:rFonts w:ascii="Times New Roman" w:hAnsi="Times New Roman"/>
                <w:sz w:val="20"/>
                <w:lang w:val="en-GB" w:eastAsia="es-CO"/>
              </w:rPr>
              <w:t xml:space="preserve">s workshop attendance </w:t>
            </w:r>
            <w:r w:rsidRPr="004259B2">
              <w:rPr>
                <w:rFonts w:ascii="Times New Roman" w:hAnsi="Times New Roman"/>
                <w:sz w:val="20"/>
                <w:vertAlign w:val="superscript"/>
                <w:lang w:val="en-GB" w:eastAsia="es-CO"/>
              </w:rPr>
              <w:t>c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>Diarrhoea workshop (%)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23.5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19.2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  <w:t>0.003</w:t>
            </w: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>Prenatal care workshop (%)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16.8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13.3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  <w:t>0.02</w:t>
            </w: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>Acute respiratory infection (%)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18.3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15.6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0.07</w:t>
            </w: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>Nutrition</w:t>
            </w:r>
            <w:r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 xml:space="preserve"> </w:t>
            </w:r>
            <w:r w:rsidRPr="004259B2"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>(%)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23.6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19.8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  <w:t>0.01</w:t>
            </w: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  <w:t>Behaviours not directly related to conditionalities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Diversity score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>Low diversity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32.9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33.9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0.17</w:t>
            </w: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>Average diversity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32.6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34.6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>High diversity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34.5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31.6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0"/>
                <w:lang w:val="en-GB" w:eastAsia="es-C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>
              <w:rPr>
                <w:rFonts w:ascii="Times New Roman" w:hAnsi="Times New Roman"/>
                <w:sz w:val="20"/>
                <w:lang w:val="en-GB" w:eastAsia="es-CO"/>
              </w:rPr>
              <w:t>Mother’</w:t>
            </w: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s empowerment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769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>If a child is getting sick who decide</w:t>
            </w:r>
            <w:r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>s</w:t>
            </w:r>
            <w:r w:rsidRPr="004259B2"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 xml:space="preserve"> to go to the doctor </w:t>
            </w:r>
            <w:r w:rsidRPr="004259B2">
              <w:rPr>
                <w:rFonts w:ascii="Times New Roman" w:hAnsi="Times New Roman"/>
                <w:sz w:val="20"/>
                <w:lang w:val="en-GB" w:eastAsia="es-CO"/>
              </w:rPr>
              <w:t xml:space="preserve">Mother or both decide </w:t>
            </w:r>
            <w:r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>(%)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86.2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83.8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0.05</w:t>
            </w:r>
          </w:p>
        </w:tc>
      </w:tr>
      <w:tr w:rsidR="00034703" w:rsidRPr="004259B2" w:rsidTr="000628ED">
        <w:trPr>
          <w:trHeight w:val="513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 xml:space="preserve">Who decides how much is spent on food </w:t>
            </w:r>
            <w:r w:rsidRPr="004259B2">
              <w:rPr>
                <w:rFonts w:ascii="Times New Roman" w:hAnsi="Times New Roman"/>
                <w:sz w:val="20"/>
                <w:lang w:val="en-GB" w:eastAsia="es-CO"/>
              </w:rPr>
              <w:t xml:space="preserve">Mother or both decide </w:t>
            </w:r>
            <w:r w:rsidRPr="004259B2"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>(%)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58.9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56.5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0.15</w:t>
            </w: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 xml:space="preserve">Maternal employment </w:t>
            </w:r>
            <w:r w:rsidRPr="00727968">
              <w:rPr>
                <w:rFonts w:ascii="Times New Roman" w:hAnsi="Times New Roman"/>
                <w:iCs/>
                <w:sz w:val="20"/>
                <w:lang w:val="en-GB" w:eastAsia="es-CO"/>
              </w:rPr>
              <w:t>(%)</w:t>
            </w:r>
            <w:r w:rsidRPr="004259B2"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 xml:space="preserve"> 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25.9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27.4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0.30</w:t>
            </w: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>
              <w:rPr>
                <w:rFonts w:ascii="Times New Roman" w:hAnsi="Times New Roman"/>
                <w:sz w:val="20"/>
                <w:lang w:val="en-GB" w:eastAsia="es-CO"/>
              </w:rPr>
              <w:t>Mother’</w:t>
            </w: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s working hours (mean [SD])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10.0 (18.4)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10.1 (19.6)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0.14</w:t>
            </w:r>
          </w:p>
        </w:tc>
      </w:tr>
      <w:tr w:rsidR="00034703" w:rsidRPr="004259B2" w:rsidTr="000628ED">
        <w:trPr>
          <w:trHeight w:val="301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513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sz w:val="20"/>
                <w:lang w:val="en-GB" w:eastAsia="es-CO"/>
              </w:rPr>
            </w:pPr>
            <w:r>
              <w:rPr>
                <w:rFonts w:ascii="Times New Roman" w:hAnsi="Times New Roman"/>
                <w:sz w:val="20"/>
                <w:lang w:val="en-GB" w:eastAsia="es-CO"/>
              </w:rPr>
              <w:t>Mother’</w:t>
            </w: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s knowledge, attitudes and practices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</w:p>
        </w:tc>
      </w:tr>
      <w:tr w:rsidR="00034703" w:rsidRPr="004259B2" w:rsidTr="000628ED">
        <w:trPr>
          <w:trHeight w:val="513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>Increase fluids replacement during diarrhoea episode (%)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72.6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66.3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b/>
                <w:bCs/>
                <w:sz w:val="20"/>
                <w:lang w:val="en-GB" w:eastAsia="es-CO"/>
              </w:rPr>
              <w:t>&lt; 0.001</w:t>
            </w:r>
          </w:p>
        </w:tc>
      </w:tr>
      <w:tr w:rsidR="00034703" w:rsidRPr="004259B2" w:rsidTr="000628ED">
        <w:trPr>
          <w:trHeight w:val="528"/>
          <w:jc w:val="center"/>
        </w:trPr>
        <w:tc>
          <w:tcPr>
            <w:tcW w:w="3406" w:type="dxa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i/>
                <w:iCs/>
                <w:sz w:val="20"/>
                <w:lang w:val="en-GB" w:eastAsia="es-CO"/>
              </w:rPr>
              <w:t>Received same quantity of food during diarrhoea episode (%)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12" w:space="0" w:color="00B050"/>
              <w:right w:val="nil"/>
            </w:tcBorders>
            <w:noWrap/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34.2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35.8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00B050"/>
              <w:right w:val="nil"/>
            </w:tcBorders>
            <w:vAlign w:val="center"/>
          </w:tcPr>
          <w:p w:rsidR="00034703" w:rsidRPr="004259B2" w:rsidRDefault="00034703" w:rsidP="00550A40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val="en-GB" w:eastAsia="es-CO"/>
              </w:rPr>
            </w:pPr>
            <w:r w:rsidRPr="004259B2">
              <w:rPr>
                <w:rFonts w:ascii="Times New Roman" w:hAnsi="Times New Roman"/>
                <w:sz w:val="20"/>
                <w:lang w:val="en-GB" w:eastAsia="es-CO"/>
              </w:rPr>
              <w:t>0.36</w:t>
            </w:r>
          </w:p>
        </w:tc>
      </w:tr>
    </w:tbl>
    <w:p w:rsidR="00034703" w:rsidRDefault="00034703" w:rsidP="000628ED"/>
    <w:sectPr w:rsidR="00034703" w:rsidSect="00CF42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8ED"/>
    <w:rsid w:val="00034703"/>
    <w:rsid w:val="000628ED"/>
    <w:rsid w:val="004259B2"/>
    <w:rsid w:val="00550A40"/>
    <w:rsid w:val="00656BD7"/>
    <w:rsid w:val="00727968"/>
    <w:rsid w:val="0083046B"/>
    <w:rsid w:val="00C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FD5B00F-7732-40BF-B99E-8381305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ED"/>
    <w:pPr>
      <w:spacing w:after="0" w:line="284" w:lineRule="atLeast"/>
    </w:pPr>
    <w:rPr>
      <w:rFonts w:ascii="Arial" w:eastAsia="SimSun" w:hAnsi="Arial"/>
      <w:sz w:val="19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1618</Characters>
  <Application>Microsoft Office Word</Application>
  <DocSecurity>0</DocSecurity>
  <Lines>13</Lines>
  <Paragraphs>3</Paragraphs>
  <ScaleCrop>false</ScaleCrop>
  <Company>Hewlett-Packard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Gillian Watling</cp:lastModifiedBy>
  <cp:revision>2</cp:revision>
  <dcterms:created xsi:type="dcterms:W3CDTF">2016-02-02T16:02:00Z</dcterms:created>
  <dcterms:modified xsi:type="dcterms:W3CDTF">2016-02-02T16:02:00Z</dcterms:modified>
</cp:coreProperties>
</file>