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60" w:rsidRPr="007D1D44" w:rsidRDefault="007B6760" w:rsidP="007B6760">
      <w:pPr>
        <w:pStyle w:val="Caption"/>
        <w:keepNext/>
        <w:spacing w:line="360" w:lineRule="auto"/>
        <w:rPr>
          <w:rFonts w:ascii="Times New Roman" w:hAnsi="Times New Roman"/>
          <w:sz w:val="24"/>
        </w:rPr>
      </w:pPr>
      <w:bookmarkStart w:id="0" w:name="_Toc277245984"/>
      <w:r w:rsidRPr="007D1D44">
        <w:rPr>
          <w:rFonts w:ascii="Times New Roman" w:hAnsi="Times New Roman"/>
          <w:sz w:val="24"/>
        </w:rPr>
        <w:t xml:space="preserve">Supplemental </w:t>
      </w:r>
      <w:r>
        <w:rPr>
          <w:rFonts w:ascii="Times New Roman" w:hAnsi="Times New Roman"/>
          <w:sz w:val="24"/>
        </w:rPr>
        <w:t>table 2</w:t>
      </w:r>
      <w:r w:rsidRPr="007D1D44">
        <w:rPr>
          <w:rFonts w:ascii="Times New Roman" w:hAnsi="Times New Roman"/>
          <w:sz w:val="24"/>
        </w:rPr>
        <w:t>: Import shares of US food consumption (by volume)*</w:t>
      </w:r>
      <w:bookmarkEnd w:id="0"/>
    </w:p>
    <w:tbl>
      <w:tblPr>
        <w:tblStyle w:val="TableGrid"/>
        <w:tblW w:w="5000" w:type="pc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0A0"/>
      </w:tblPr>
      <w:tblGrid>
        <w:gridCol w:w="3447"/>
        <w:gridCol w:w="1107"/>
        <w:gridCol w:w="1107"/>
        <w:gridCol w:w="1107"/>
        <w:gridCol w:w="2088"/>
      </w:tblGrid>
      <w:tr w:rsidR="007B6760" w:rsidRPr="006C58AC">
        <w:tc>
          <w:tcPr>
            <w:tcW w:w="1946" w:type="pct"/>
            <w:vMerge w:val="restart"/>
          </w:tcPr>
          <w:p w:rsidR="007B6760" w:rsidRPr="006C58AC" w:rsidRDefault="007B6760" w:rsidP="00A179C1">
            <w:pPr>
              <w:spacing w:line="360" w:lineRule="auto"/>
              <w:rPr>
                <w:rFonts w:ascii="Times New Roman" w:hAnsi="Times New Roman" w:cs="Times New Roman"/>
                <w:sz w:val="22"/>
                <w:szCs w:val="22"/>
              </w:rPr>
            </w:pPr>
          </w:p>
        </w:tc>
        <w:tc>
          <w:tcPr>
            <w:tcW w:w="625" w:type="pct"/>
            <w:tcBorders>
              <w:top w:val="single" w:sz="4" w:space="0" w:color="000000"/>
              <w:bottom w:val="single" w:sz="4" w:space="0" w:color="auto"/>
            </w:tcBorders>
          </w:tcPr>
          <w:p w:rsidR="007B6760" w:rsidRPr="006C58AC" w:rsidRDefault="007B6760" w:rsidP="00A179C1">
            <w:pPr>
              <w:spacing w:line="360" w:lineRule="auto"/>
              <w:rPr>
                <w:rFonts w:ascii="Times New Roman" w:hAnsi="Times New Roman"/>
                <w:bCs/>
                <w:sz w:val="22"/>
                <w:szCs w:val="22"/>
              </w:rPr>
            </w:pPr>
            <w:r w:rsidRPr="006C58AC">
              <w:rPr>
                <w:rFonts w:ascii="Times New Roman" w:hAnsi="Times New Roman"/>
                <w:bCs/>
                <w:sz w:val="22"/>
                <w:szCs w:val="22"/>
              </w:rPr>
              <w:t>2002</w:t>
            </w:r>
          </w:p>
        </w:tc>
        <w:tc>
          <w:tcPr>
            <w:tcW w:w="625" w:type="pct"/>
            <w:tcBorders>
              <w:top w:val="single" w:sz="4" w:space="0" w:color="000000"/>
              <w:bottom w:val="single" w:sz="4" w:space="0" w:color="auto"/>
            </w:tcBorders>
          </w:tcPr>
          <w:p w:rsidR="007B6760" w:rsidRPr="006C58AC" w:rsidRDefault="007B6760" w:rsidP="00A179C1">
            <w:pPr>
              <w:spacing w:line="360" w:lineRule="auto"/>
              <w:rPr>
                <w:rFonts w:ascii="Times New Roman" w:hAnsi="Times New Roman"/>
                <w:bCs/>
                <w:sz w:val="22"/>
                <w:szCs w:val="22"/>
              </w:rPr>
            </w:pPr>
            <w:r w:rsidRPr="006C58AC">
              <w:rPr>
                <w:rFonts w:ascii="Times New Roman" w:hAnsi="Times New Roman"/>
                <w:bCs/>
                <w:sz w:val="22"/>
                <w:szCs w:val="22"/>
              </w:rPr>
              <w:t>2004</w:t>
            </w:r>
          </w:p>
        </w:tc>
        <w:tc>
          <w:tcPr>
            <w:tcW w:w="625" w:type="pct"/>
            <w:tcBorders>
              <w:top w:val="single" w:sz="4" w:space="0" w:color="000000"/>
              <w:bottom w:val="single" w:sz="4" w:space="0" w:color="auto"/>
            </w:tcBorders>
          </w:tcPr>
          <w:p w:rsidR="007B6760" w:rsidRPr="006C58AC" w:rsidRDefault="007B6760" w:rsidP="00A179C1">
            <w:pPr>
              <w:spacing w:line="360" w:lineRule="auto"/>
              <w:rPr>
                <w:rFonts w:ascii="Times New Roman" w:hAnsi="Times New Roman"/>
                <w:bCs/>
                <w:sz w:val="22"/>
                <w:szCs w:val="22"/>
              </w:rPr>
            </w:pPr>
            <w:r w:rsidRPr="006C58AC">
              <w:rPr>
                <w:rFonts w:ascii="Times New Roman" w:hAnsi="Times New Roman"/>
                <w:bCs/>
                <w:sz w:val="22"/>
                <w:szCs w:val="22"/>
              </w:rPr>
              <w:t>2006</w:t>
            </w:r>
          </w:p>
        </w:tc>
        <w:tc>
          <w:tcPr>
            <w:tcW w:w="1179" w:type="pct"/>
            <w:tcBorders>
              <w:top w:val="single" w:sz="4" w:space="0" w:color="000000"/>
              <w:bottom w:val="single" w:sz="4" w:space="0" w:color="auto"/>
            </w:tcBorders>
          </w:tcPr>
          <w:p w:rsidR="007B6760" w:rsidRPr="006C58AC" w:rsidRDefault="007B6760" w:rsidP="00A179C1">
            <w:pPr>
              <w:spacing w:line="360" w:lineRule="auto"/>
              <w:rPr>
                <w:rFonts w:ascii="Times New Roman" w:hAnsi="Times New Roman"/>
                <w:bCs/>
                <w:sz w:val="22"/>
                <w:szCs w:val="22"/>
              </w:rPr>
            </w:pPr>
            <w:r w:rsidRPr="006C58AC">
              <w:rPr>
                <w:rFonts w:ascii="Times New Roman" w:hAnsi="Times New Roman"/>
                <w:bCs/>
                <w:sz w:val="22"/>
                <w:szCs w:val="22"/>
              </w:rPr>
              <w:t>Average</w:t>
            </w:r>
          </w:p>
          <w:p w:rsidR="007B6760" w:rsidRPr="008D09A2" w:rsidRDefault="007B6760" w:rsidP="00A179C1">
            <w:pPr>
              <w:spacing w:line="360" w:lineRule="auto"/>
              <w:rPr>
                <w:rFonts w:ascii="Times New Roman" w:hAnsi="Times New Roman"/>
                <w:bCs/>
                <w:sz w:val="22"/>
                <w:szCs w:val="22"/>
                <w:vertAlign w:val="superscript"/>
              </w:rPr>
            </w:pPr>
            <w:r>
              <w:rPr>
                <w:rFonts w:ascii="Times New Roman" w:hAnsi="Times New Roman"/>
                <w:bCs/>
                <w:sz w:val="22"/>
                <w:szCs w:val="22"/>
              </w:rPr>
              <w:t xml:space="preserve">2002 – </w:t>
            </w:r>
            <w:r w:rsidRPr="006C58AC">
              <w:rPr>
                <w:rFonts w:ascii="Times New Roman" w:hAnsi="Times New Roman"/>
                <w:bCs/>
                <w:sz w:val="22"/>
                <w:szCs w:val="22"/>
              </w:rPr>
              <w:t>2006</w:t>
            </w:r>
            <w:r>
              <w:rPr>
                <w:rFonts w:ascii="Times New Roman" w:hAnsi="Times New Roman"/>
                <w:bCs/>
                <w:sz w:val="22"/>
                <w:szCs w:val="22"/>
                <w:vertAlign w:val="superscript"/>
              </w:rPr>
              <w:t>4</w:t>
            </w:r>
          </w:p>
        </w:tc>
      </w:tr>
      <w:tr w:rsidR="007B6760" w:rsidRPr="006C58AC">
        <w:tc>
          <w:tcPr>
            <w:tcW w:w="1946" w:type="pct"/>
            <w:vMerge/>
          </w:tcPr>
          <w:p w:rsidR="007B6760" w:rsidRPr="006C58AC" w:rsidRDefault="007B6760" w:rsidP="00A179C1">
            <w:pPr>
              <w:spacing w:line="360" w:lineRule="auto"/>
              <w:rPr>
                <w:rFonts w:ascii="Times New Roman" w:hAnsi="Times New Roman" w:cs="Times New Roman"/>
                <w:sz w:val="22"/>
                <w:szCs w:val="22"/>
              </w:rPr>
            </w:pPr>
          </w:p>
        </w:tc>
        <w:tc>
          <w:tcPr>
            <w:tcW w:w="3054" w:type="pct"/>
            <w:gridSpan w:val="4"/>
            <w:tcBorders>
              <w:top w:val="single" w:sz="4" w:space="0" w:color="auto"/>
            </w:tcBorders>
          </w:tcPr>
          <w:p w:rsidR="007B6760" w:rsidRPr="006C58AC" w:rsidRDefault="007B6760" w:rsidP="00A179C1">
            <w:pPr>
              <w:spacing w:line="360" w:lineRule="auto"/>
              <w:rPr>
                <w:rFonts w:ascii="Times New Roman" w:hAnsi="Times New Roman" w:cs="Times New Roman"/>
                <w:sz w:val="22"/>
                <w:szCs w:val="22"/>
              </w:rPr>
            </w:pPr>
            <w:r w:rsidRPr="006C58AC">
              <w:rPr>
                <w:rFonts w:ascii="Times New Roman" w:hAnsi="Times New Roman"/>
                <w:i/>
                <w:iCs/>
                <w:sz w:val="22"/>
                <w:szCs w:val="22"/>
              </w:rPr>
              <w:t>Percent</w:t>
            </w:r>
          </w:p>
        </w:tc>
      </w:tr>
      <w:tr w:rsidR="007B6760" w:rsidRPr="006C58AC">
        <w:tc>
          <w:tcPr>
            <w:tcW w:w="1946" w:type="pct"/>
            <w:tcBorders>
              <w:bottom w:val="single" w:sz="4" w:space="0" w:color="auto"/>
            </w:tcBorders>
          </w:tcPr>
          <w:p w:rsidR="007B6760" w:rsidRPr="006C58AC" w:rsidRDefault="007B6760" w:rsidP="00A179C1">
            <w:pPr>
              <w:spacing w:line="360" w:lineRule="auto"/>
              <w:rPr>
                <w:rFonts w:ascii="Times New Roman" w:hAnsi="Times New Roman" w:cs="Times New Roman"/>
                <w:sz w:val="22"/>
                <w:szCs w:val="22"/>
                <w:vertAlign w:val="superscript"/>
              </w:rPr>
            </w:pPr>
            <w:r w:rsidRPr="006C58AC">
              <w:rPr>
                <w:rFonts w:ascii="Times New Roman" w:hAnsi="Times New Roman"/>
                <w:sz w:val="22"/>
                <w:szCs w:val="22"/>
              </w:rPr>
              <w:t>Total agriculture</w:t>
            </w:r>
            <w:r w:rsidRPr="006C58AC">
              <w:rPr>
                <w:rFonts w:ascii="Times New Roman" w:hAnsi="Times New Roman"/>
                <w:sz w:val="22"/>
                <w:szCs w:val="22"/>
                <w:vertAlign w:val="superscript"/>
              </w:rPr>
              <w:t>1</w:t>
            </w:r>
          </w:p>
        </w:tc>
        <w:tc>
          <w:tcPr>
            <w:tcW w:w="625" w:type="pct"/>
            <w:tcBorders>
              <w:bottom w:val="single" w:sz="4" w:space="0" w:color="auto"/>
            </w:tcBorders>
            <w:vAlign w:val="bottom"/>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14.3</w:t>
            </w:r>
          </w:p>
        </w:tc>
        <w:tc>
          <w:tcPr>
            <w:tcW w:w="625" w:type="pct"/>
            <w:tcBorders>
              <w:bottom w:val="single" w:sz="4" w:space="0" w:color="auto"/>
            </w:tcBorders>
            <w:vAlign w:val="bottom"/>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15.2</w:t>
            </w:r>
          </w:p>
        </w:tc>
        <w:tc>
          <w:tcPr>
            <w:tcW w:w="625" w:type="pct"/>
            <w:tcBorders>
              <w:bottom w:val="single" w:sz="4" w:space="0" w:color="auto"/>
            </w:tcBorders>
            <w:vAlign w:val="bottom"/>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17.0</w:t>
            </w:r>
          </w:p>
        </w:tc>
        <w:tc>
          <w:tcPr>
            <w:tcW w:w="1179" w:type="pct"/>
            <w:tcBorders>
              <w:bottom w:val="single" w:sz="4" w:space="0" w:color="auto"/>
            </w:tcBorders>
            <w:vAlign w:val="bottom"/>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15.5</w:t>
            </w:r>
          </w:p>
        </w:tc>
      </w:tr>
      <w:tr w:rsidR="007B6760" w:rsidRPr="006C58AC">
        <w:tc>
          <w:tcPr>
            <w:tcW w:w="1946" w:type="pct"/>
            <w:tcBorders>
              <w:top w:val="single" w:sz="4" w:space="0" w:color="auto"/>
              <w:bottom w:val="nil"/>
            </w:tcBorders>
          </w:tcPr>
          <w:p w:rsidR="007B6760" w:rsidRPr="006C58AC" w:rsidRDefault="007B6760" w:rsidP="00A179C1">
            <w:pPr>
              <w:spacing w:line="360" w:lineRule="auto"/>
              <w:rPr>
                <w:rFonts w:ascii="Times New Roman" w:hAnsi="Times New Roman"/>
                <w:sz w:val="22"/>
                <w:szCs w:val="22"/>
                <w:vertAlign w:val="superscript"/>
              </w:rPr>
            </w:pPr>
            <w:r w:rsidRPr="006C58AC">
              <w:rPr>
                <w:rFonts w:ascii="Times New Roman" w:hAnsi="Times New Roman"/>
                <w:sz w:val="22"/>
                <w:szCs w:val="22"/>
              </w:rPr>
              <w:t>Animal products</w:t>
            </w:r>
            <w:r w:rsidRPr="006C58AC">
              <w:rPr>
                <w:rFonts w:ascii="Times New Roman" w:hAnsi="Times New Roman"/>
                <w:sz w:val="22"/>
                <w:szCs w:val="22"/>
                <w:vertAlign w:val="superscript"/>
              </w:rPr>
              <w:t>2</w:t>
            </w:r>
          </w:p>
        </w:tc>
        <w:tc>
          <w:tcPr>
            <w:tcW w:w="625" w:type="pct"/>
            <w:tcBorders>
              <w:top w:val="single" w:sz="4" w:space="0" w:color="auto"/>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6.4</w:t>
            </w:r>
          </w:p>
        </w:tc>
        <w:tc>
          <w:tcPr>
            <w:tcW w:w="625" w:type="pct"/>
            <w:tcBorders>
              <w:top w:val="single" w:sz="4" w:space="0" w:color="auto"/>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6.6</w:t>
            </w:r>
          </w:p>
        </w:tc>
        <w:tc>
          <w:tcPr>
            <w:tcW w:w="625" w:type="pct"/>
            <w:tcBorders>
              <w:top w:val="single" w:sz="4" w:space="0" w:color="auto"/>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6.4</w:t>
            </w:r>
          </w:p>
        </w:tc>
        <w:tc>
          <w:tcPr>
            <w:tcW w:w="1179" w:type="pct"/>
            <w:tcBorders>
              <w:top w:val="single" w:sz="4" w:space="0" w:color="auto"/>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6.47</w:t>
            </w:r>
          </w:p>
        </w:tc>
      </w:tr>
      <w:tr w:rsidR="007B6760" w:rsidRPr="006C58AC">
        <w:tc>
          <w:tcPr>
            <w:tcW w:w="1946"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 xml:space="preserve">     Red meat</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9.4</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10.4</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9.0</w:t>
            </w:r>
          </w:p>
        </w:tc>
        <w:tc>
          <w:tcPr>
            <w:tcW w:w="1179"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9.6</w:t>
            </w:r>
          </w:p>
        </w:tc>
      </w:tr>
      <w:tr w:rsidR="007B6760" w:rsidRPr="006C58AC">
        <w:tc>
          <w:tcPr>
            <w:tcW w:w="1946"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 xml:space="preserve">     Poultry and eggs</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0.1</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0.1</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0.2</w:t>
            </w:r>
          </w:p>
        </w:tc>
        <w:tc>
          <w:tcPr>
            <w:tcW w:w="1179"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0.13</w:t>
            </w:r>
          </w:p>
        </w:tc>
      </w:tr>
      <w:tr w:rsidR="007B6760" w:rsidRPr="006C58AC">
        <w:tc>
          <w:tcPr>
            <w:tcW w:w="1946"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 xml:space="preserve">     Dairy products</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3.0</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3.0</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2.7</w:t>
            </w:r>
          </w:p>
        </w:tc>
        <w:tc>
          <w:tcPr>
            <w:tcW w:w="1179"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2.9</w:t>
            </w:r>
          </w:p>
        </w:tc>
      </w:tr>
      <w:tr w:rsidR="007B6760" w:rsidRPr="006C58AC">
        <w:tc>
          <w:tcPr>
            <w:tcW w:w="1946" w:type="pct"/>
            <w:tcBorders>
              <w:top w:val="nil"/>
              <w:bottom w:val="single" w:sz="4" w:space="0" w:color="auto"/>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 xml:space="preserve">     Fish and shellfish</w:t>
            </w:r>
          </w:p>
        </w:tc>
        <w:tc>
          <w:tcPr>
            <w:tcW w:w="625" w:type="pct"/>
            <w:tcBorders>
              <w:top w:val="nil"/>
              <w:bottom w:val="single" w:sz="4" w:space="0" w:color="auto"/>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77.5</w:t>
            </w:r>
          </w:p>
        </w:tc>
        <w:tc>
          <w:tcPr>
            <w:tcW w:w="625" w:type="pct"/>
            <w:tcBorders>
              <w:top w:val="nil"/>
              <w:bottom w:val="single" w:sz="4" w:space="0" w:color="auto"/>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84.3</w:t>
            </w:r>
          </w:p>
        </w:tc>
        <w:tc>
          <w:tcPr>
            <w:tcW w:w="625" w:type="pct"/>
            <w:tcBorders>
              <w:top w:val="nil"/>
              <w:bottom w:val="single" w:sz="4" w:space="0" w:color="auto"/>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86.0</w:t>
            </w:r>
          </w:p>
        </w:tc>
        <w:tc>
          <w:tcPr>
            <w:tcW w:w="1179" w:type="pct"/>
            <w:tcBorders>
              <w:top w:val="nil"/>
              <w:bottom w:val="single" w:sz="4" w:space="0" w:color="auto"/>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82.6</w:t>
            </w:r>
          </w:p>
        </w:tc>
      </w:tr>
      <w:tr w:rsidR="007B6760" w:rsidRPr="006C58AC">
        <w:tc>
          <w:tcPr>
            <w:tcW w:w="1946" w:type="pct"/>
            <w:tcBorders>
              <w:top w:val="single" w:sz="4" w:space="0" w:color="auto"/>
              <w:bottom w:val="nil"/>
            </w:tcBorders>
          </w:tcPr>
          <w:p w:rsidR="007B6760" w:rsidRPr="006C58AC" w:rsidRDefault="007B6760" w:rsidP="00A179C1">
            <w:pPr>
              <w:spacing w:line="360" w:lineRule="auto"/>
              <w:rPr>
                <w:rFonts w:ascii="Times New Roman" w:hAnsi="Times New Roman"/>
                <w:sz w:val="22"/>
                <w:szCs w:val="22"/>
                <w:vertAlign w:val="superscript"/>
              </w:rPr>
            </w:pPr>
            <w:r w:rsidRPr="006C58AC">
              <w:rPr>
                <w:rFonts w:ascii="Times New Roman" w:hAnsi="Times New Roman"/>
                <w:sz w:val="22"/>
                <w:szCs w:val="22"/>
              </w:rPr>
              <w:t>Plant products</w:t>
            </w:r>
            <w:r w:rsidRPr="006C58AC">
              <w:rPr>
                <w:rFonts w:ascii="Times New Roman" w:hAnsi="Times New Roman"/>
                <w:sz w:val="22"/>
                <w:szCs w:val="22"/>
                <w:vertAlign w:val="superscript"/>
              </w:rPr>
              <w:t>3</w:t>
            </w:r>
          </w:p>
        </w:tc>
        <w:tc>
          <w:tcPr>
            <w:tcW w:w="625" w:type="pct"/>
            <w:tcBorders>
              <w:top w:val="single" w:sz="4" w:space="0" w:color="auto"/>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20.1</w:t>
            </w:r>
          </w:p>
        </w:tc>
        <w:tc>
          <w:tcPr>
            <w:tcW w:w="625" w:type="pct"/>
            <w:tcBorders>
              <w:top w:val="single" w:sz="4" w:space="0" w:color="auto"/>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21.5</w:t>
            </w:r>
          </w:p>
        </w:tc>
        <w:tc>
          <w:tcPr>
            <w:tcW w:w="625" w:type="pct"/>
            <w:tcBorders>
              <w:top w:val="single" w:sz="4" w:space="0" w:color="auto"/>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25.1</w:t>
            </w:r>
          </w:p>
        </w:tc>
        <w:tc>
          <w:tcPr>
            <w:tcW w:w="1179" w:type="pct"/>
            <w:tcBorders>
              <w:top w:val="single" w:sz="4" w:space="0" w:color="auto"/>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22.2</w:t>
            </w:r>
          </w:p>
        </w:tc>
      </w:tr>
      <w:tr w:rsidR="007B6760" w:rsidRPr="006C58AC">
        <w:tc>
          <w:tcPr>
            <w:tcW w:w="1946" w:type="pct"/>
            <w:tcBorders>
              <w:top w:val="nil"/>
              <w:bottom w:val="nil"/>
            </w:tcBorders>
          </w:tcPr>
          <w:p w:rsidR="007B6760" w:rsidRPr="006C58AC" w:rsidRDefault="007B6760" w:rsidP="00A179C1">
            <w:pPr>
              <w:spacing w:line="360" w:lineRule="auto"/>
              <w:ind w:left="270"/>
              <w:rPr>
                <w:rFonts w:ascii="Times New Roman" w:hAnsi="Times New Roman"/>
                <w:sz w:val="22"/>
                <w:szCs w:val="22"/>
              </w:rPr>
            </w:pPr>
            <w:r w:rsidRPr="006C58AC">
              <w:rPr>
                <w:rFonts w:ascii="Times New Roman" w:hAnsi="Times New Roman"/>
                <w:sz w:val="22"/>
                <w:szCs w:val="22"/>
              </w:rPr>
              <w:t>Grains</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14.2</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12.6</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14.8</w:t>
            </w:r>
          </w:p>
        </w:tc>
        <w:tc>
          <w:tcPr>
            <w:tcW w:w="1179"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13.9</w:t>
            </w:r>
          </w:p>
        </w:tc>
      </w:tr>
      <w:tr w:rsidR="007B6760" w:rsidRPr="006C58AC">
        <w:tc>
          <w:tcPr>
            <w:tcW w:w="1946" w:type="pct"/>
            <w:tcBorders>
              <w:top w:val="nil"/>
              <w:bottom w:val="nil"/>
            </w:tcBorders>
          </w:tcPr>
          <w:p w:rsidR="007B6760" w:rsidRPr="006C58AC" w:rsidRDefault="007B6760" w:rsidP="00A179C1">
            <w:pPr>
              <w:spacing w:line="360" w:lineRule="auto"/>
              <w:ind w:left="270"/>
              <w:rPr>
                <w:rFonts w:ascii="Times New Roman" w:hAnsi="Times New Roman"/>
                <w:sz w:val="22"/>
                <w:szCs w:val="22"/>
              </w:rPr>
            </w:pPr>
            <w:r w:rsidRPr="006C58AC">
              <w:rPr>
                <w:rFonts w:ascii="Times New Roman" w:hAnsi="Times New Roman"/>
                <w:sz w:val="22"/>
                <w:szCs w:val="22"/>
              </w:rPr>
              <w:t>Fruits and nuts</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29.7</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32.3</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36.9</w:t>
            </w:r>
          </w:p>
        </w:tc>
        <w:tc>
          <w:tcPr>
            <w:tcW w:w="1179"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33.0</w:t>
            </w:r>
          </w:p>
        </w:tc>
      </w:tr>
      <w:tr w:rsidR="007B6760" w:rsidRPr="006C58AC">
        <w:tc>
          <w:tcPr>
            <w:tcW w:w="1946" w:type="pct"/>
            <w:tcBorders>
              <w:top w:val="nil"/>
              <w:bottom w:val="nil"/>
            </w:tcBorders>
          </w:tcPr>
          <w:p w:rsidR="007B6760" w:rsidRPr="006C58AC" w:rsidRDefault="007B6760" w:rsidP="00A179C1">
            <w:pPr>
              <w:spacing w:line="360" w:lineRule="auto"/>
              <w:ind w:left="270"/>
              <w:rPr>
                <w:rFonts w:ascii="Times New Roman" w:hAnsi="Times New Roman"/>
                <w:sz w:val="22"/>
                <w:szCs w:val="22"/>
              </w:rPr>
            </w:pPr>
            <w:r w:rsidRPr="006C58AC">
              <w:rPr>
                <w:rFonts w:ascii="Times New Roman" w:hAnsi="Times New Roman"/>
                <w:sz w:val="22"/>
                <w:szCs w:val="22"/>
              </w:rPr>
              <w:t>Vegetables</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13.8</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14.8</w:t>
            </w:r>
          </w:p>
        </w:tc>
        <w:tc>
          <w:tcPr>
            <w:tcW w:w="625"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16.4</w:t>
            </w:r>
          </w:p>
        </w:tc>
        <w:tc>
          <w:tcPr>
            <w:tcW w:w="1179" w:type="pct"/>
            <w:tcBorders>
              <w:top w:val="nil"/>
              <w:bottom w:val="nil"/>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15.0</w:t>
            </w:r>
          </w:p>
        </w:tc>
      </w:tr>
      <w:tr w:rsidR="007B6760" w:rsidRPr="006C58AC">
        <w:tc>
          <w:tcPr>
            <w:tcW w:w="1946" w:type="pct"/>
            <w:tcBorders>
              <w:top w:val="nil"/>
              <w:bottom w:val="single" w:sz="4" w:space="0" w:color="auto"/>
            </w:tcBorders>
          </w:tcPr>
          <w:p w:rsidR="007B6760" w:rsidRPr="006C58AC" w:rsidRDefault="007B6760" w:rsidP="00A179C1">
            <w:pPr>
              <w:spacing w:line="360" w:lineRule="auto"/>
              <w:ind w:left="270"/>
              <w:rPr>
                <w:rFonts w:ascii="Times New Roman" w:hAnsi="Times New Roman"/>
                <w:sz w:val="22"/>
                <w:szCs w:val="22"/>
              </w:rPr>
            </w:pPr>
            <w:r w:rsidRPr="006C58AC">
              <w:rPr>
                <w:rFonts w:ascii="Times New Roman" w:hAnsi="Times New Roman"/>
                <w:sz w:val="22"/>
                <w:szCs w:val="22"/>
              </w:rPr>
              <w:t>Sweeteners</w:t>
            </w:r>
          </w:p>
        </w:tc>
        <w:tc>
          <w:tcPr>
            <w:tcW w:w="625" w:type="pct"/>
            <w:tcBorders>
              <w:top w:val="nil"/>
              <w:bottom w:val="single" w:sz="4" w:space="0" w:color="auto"/>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15.0</w:t>
            </w:r>
          </w:p>
        </w:tc>
        <w:tc>
          <w:tcPr>
            <w:tcW w:w="625" w:type="pct"/>
            <w:tcBorders>
              <w:top w:val="nil"/>
              <w:bottom w:val="single" w:sz="4" w:space="0" w:color="auto"/>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17.0</w:t>
            </w:r>
          </w:p>
        </w:tc>
        <w:tc>
          <w:tcPr>
            <w:tcW w:w="625" w:type="pct"/>
            <w:tcBorders>
              <w:top w:val="nil"/>
              <w:bottom w:val="single" w:sz="4" w:space="0" w:color="auto"/>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25.0</w:t>
            </w:r>
          </w:p>
        </w:tc>
        <w:tc>
          <w:tcPr>
            <w:tcW w:w="1179" w:type="pct"/>
            <w:tcBorders>
              <w:top w:val="nil"/>
              <w:bottom w:val="single" w:sz="4" w:space="0" w:color="auto"/>
            </w:tcBorders>
          </w:tcPr>
          <w:p w:rsidR="007B6760" w:rsidRPr="006C58AC" w:rsidRDefault="007B6760" w:rsidP="00A179C1">
            <w:pPr>
              <w:spacing w:line="360" w:lineRule="auto"/>
              <w:rPr>
                <w:rFonts w:ascii="Times New Roman" w:hAnsi="Times New Roman"/>
                <w:sz w:val="22"/>
                <w:szCs w:val="22"/>
              </w:rPr>
            </w:pPr>
            <w:r w:rsidRPr="006C58AC">
              <w:rPr>
                <w:rFonts w:ascii="Times New Roman" w:hAnsi="Times New Roman"/>
                <w:sz w:val="22"/>
                <w:szCs w:val="22"/>
              </w:rPr>
              <w:t>19.0</w:t>
            </w:r>
          </w:p>
        </w:tc>
      </w:tr>
    </w:tbl>
    <w:p w:rsidR="007B6760" w:rsidRPr="007D1D44" w:rsidRDefault="007B6760" w:rsidP="007B6760">
      <w:pPr>
        <w:pStyle w:val="NormalWeb"/>
        <w:rPr>
          <w:rFonts w:ascii="Times New Roman" w:hAnsi="Times New Roman"/>
          <w:sz w:val="20"/>
        </w:rPr>
      </w:pPr>
      <w:r>
        <w:rPr>
          <w:rFonts w:ascii="Times New Roman" w:hAnsi="Times New Roman"/>
          <w:sz w:val="20"/>
        </w:rPr>
        <w:t>*T</w:t>
      </w:r>
      <w:r w:rsidRPr="007D1D44">
        <w:rPr>
          <w:rFonts w:ascii="Times New Roman" w:hAnsi="Times New Roman"/>
          <w:sz w:val="20"/>
        </w:rPr>
        <w:t xml:space="preserve">o estimate the import share of US food consumption based on volume, analysts divide the physical weight of imports for each food group or their aggregate by the physical weight of the corresponding food group or aggregate consumed in the United States. </w:t>
      </w:r>
      <w:proofErr w:type="gramStart"/>
      <w:r w:rsidRPr="007D1D44">
        <w:rPr>
          <w:rFonts w:ascii="Times New Roman" w:hAnsi="Times New Roman"/>
          <w:sz w:val="20"/>
          <w:vertAlign w:val="superscript"/>
        </w:rPr>
        <w:t>1</w:t>
      </w:r>
      <w:r w:rsidRPr="007D1D44">
        <w:rPr>
          <w:rFonts w:ascii="Times New Roman" w:hAnsi="Times New Roman"/>
          <w:sz w:val="20"/>
        </w:rPr>
        <w:t>All other foods except eggs, tree nuts, fresh fruits and vegetables.</w:t>
      </w:r>
      <w:proofErr w:type="gramEnd"/>
      <w:r w:rsidRPr="007D1D44">
        <w:rPr>
          <w:rFonts w:ascii="Times New Roman" w:hAnsi="Times New Roman"/>
          <w:sz w:val="20"/>
        </w:rPr>
        <w:t xml:space="preserve"> </w:t>
      </w:r>
      <w:r w:rsidRPr="007D1D44">
        <w:rPr>
          <w:rFonts w:ascii="Times New Roman" w:hAnsi="Times New Roman"/>
          <w:sz w:val="20"/>
          <w:vertAlign w:val="superscript"/>
        </w:rPr>
        <w:t>2</w:t>
      </w:r>
      <w:r w:rsidRPr="007D1D44">
        <w:rPr>
          <w:rFonts w:ascii="Times New Roman" w:hAnsi="Times New Roman"/>
          <w:sz w:val="20"/>
        </w:rPr>
        <w:t xml:space="preserve">Includes added animal fats (butter, lard, and edible tallow). </w:t>
      </w:r>
      <w:r w:rsidRPr="007D1D44">
        <w:rPr>
          <w:rFonts w:ascii="Times New Roman" w:hAnsi="Times New Roman"/>
          <w:sz w:val="20"/>
          <w:vertAlign w:val="superscript"/>
        </w:rPr>
        <w:t>3</w:t>
      </w:r>
      <w:r w:rsidRPr="007D1D44">
        <w:rPr>
          <w:rFonts w:ascii="Times New Roman" w:hAnsi="Times New Roman"/>
          <w:sz w:val="20"/>
        </w:rPr>
        <w:t xml:space="preserve">Includes added vegetable oils and fats. </w:t>
      </w:r>
      <w:r w:rsidRPr="007D1D44">
        <w:rPr>
          <w:rFonts w:ascii="Times New Roman" w:hAnsi="Times New Roman"/>
          <w:sz w:val="20"/>
          <w:vertAlign w:val="superscript"/>
        </w:rPr>
        <w:t>4</w:t>
      </w:r>
      <w:r w:rsidRPr="007D1D44">
        <w:rPr>
          <w:rFonts w:ascii="Times New Roman" w:hAnsi="Times New Roman"/>
          <w:sz w:val="20"/>
        </w:rPr>
        <w:t xml:space="preserve"> 2003 and 2005 are assumed to be linearly interpolated.</w:t>
      </w:r>
    </w:p>
    <w:p w:rsidR="00755FF8" w:rsidRDefault="007B6760" w:rsidP="007B6760">
      <w:pPr>
        <w:spacing w:line="360" w:lineRule="auto"/>
      </w:pPr>
      <w:r>
        <w:rPr>
          <w:rFonts w:ascii="Times New Roman" w:hAnsi="Times New Roman" w:cs="Times New Roman"/>
          <w:sz w:val="20"/>
        </w:rPr>
        <w:t>Source:  USDA</w:t>
      </w:r>
    </w:p>
    <w:sectPr w:rsidR="00755FF8" w:rsidSect="00755FF8">
      <w:headerReference w:type="default" r:id="rId4"/>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7B6760" w:rsidP="00A179C1">
    <w:pPr>
      <w:pStyle w:val="Footer"/>
      <w:framePr w:wrap="around" w:vAnchor="text" w:hAnchor="margin" w:xAlign="right" w:y="1"/>
      <w:rPr>
        <w:rStyle w:val="PageNumber"/>
        <w:rFonts w:asciiTheme="minorHAnsi" w:eastAsiaTheme="minorHAnsi" w:hAnsiTheme="minorHAnsi" w:cstheme="minorBidi"/>
        <w:sz w:val="24"/>
        <w:szCs w:val="24"/>
      </w:rPr>
    </w:pPr>
    <w:r>
      <w:rPr>
        <w:rStyle w:val="PageNumber"/>
      </w:rPr>
      <w:fldChar w:fldCharType="begin"/>
    </w:r>
    <w:r>
      <w:rPr>
        <w:rStyle w:val="PageNumber"/>
      </w:rPr>
      <w:instrText xml:space="preserve">PAGE  </w:instrText>
    </w:r>
    <w:r>
      <w:rPr>
        <w:rStyle w:val="PageNumber"/>
      </w:rPr>
      <w:fldChar w:fldCharType="end"/>
    </w:r>
  </w:p>
  <w:p w:rsidR="0000763E" w:rsidRDefault="007B6760" w:rsidP="00A179C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7B6760" w:rsidP="00A179C1">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Pr="00186909" w:rsidRDefault="007B6760" w:rsidP="00A179C1">
    <w:pPr>
      <w:pStyle w:val="Header"/>
      <w:framePr w:wrap="around" w:vAnchor="text" w:hAnchor="margin" w:xAlign="right" w:y="1"/>
      <w:rPr>
        <w:rStyle w:val="PageNumber"/>
        <w:rFonts w:asciiTheme="minorHAnsi" w:eastAsiaTheme="minorHAnsi" w:hAnsiTheme="minorHAnsi" w:cstheme="minorBidi"/>
        <w:sz w:val="24"/>
        <w:szCs w:val="24"/>
      </w:rPr>
    </w:pPr>
    <w:r w:rsidRPr="00186909">
      <w:rPr>
        <w:rStyle w:val="PageNumber"/>
        <w:rFonts w:ascii="Times New Roman" w:hAnsi="Times New Roman"/>
      </w:rPr>
      <w:fldChar w:fldCharType="begin"/>
    </w:r>
    <w:r w:rsidRPr="00186909">
      <w:rPr>
        <w:rStyle w:val="PageNumber"/>
        <w:rFonts w:ascii="Times New Roman" w:hAnsi="Times New Roman"/>
      </w:rPr>
      <w:instrText xml:space="preserve">PAGE  </w:instrText>
    </w:r>
    <w:r w:rsidRPr="00186909">
      <w:rPr>
        <w:rStyle w:val="PageNumber"/>
        <w:rFonts w:ascii="Times New Roman" w:hAnsi="Times New Roman"/>
      </w:rPr>
      <w:fldChar w:fldCharType="separate"/>
    </w:r>
    <w:r>
      <w:rPr>
        <w:rStyle w:val="PageNumber"/>
        <w:rFonts w:ascii="Times New Roman" w:hAnsi="Times New Roman"/>
        <w:noProof/>
      </w:rPr>
      <w:t>1</w:t>
    </w:r>
    <w:r w:rsidRPr="00186909">
      <w:rPr>
        <w:rStyle w:val="PageNumber"/>
        <w:rFonts w:ascii="Times New Roman" w:hAnsi="Times New Roman"/>
      </w:rPr>
      <w:fldChar w:fldCharType="end"/>
    </w:r>
  </w:p>
  <w:p w:rsidR="0000763E" w:rsidRPr="00C17887" w:rsidRDefault="007B6760" w:rsidP="00A179C1">
    <w:pPr>
      <w:pStyle w:val="Header"/>
      <w:ind w:right="360"/>
      <w:jc w:val="right"/>
      <w:rPr>
        <w:rFonts w:asciiTheme="majorHAnsi" w:hAnsiTheme="maj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6760"/>
    <w:rsid w:val="007B67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B6760"/>
    <w:pPr>
      <w:spacing w:before="100" w:beforeAutospacing="1" w:after="100" w:afterAutospacing="1"/>
    </w:pPr>
    <w:rPr>
      <w:rFonts w:ascii="Arial Unicode MS" w:eastAsia="Calibri" w:hAnsi="Arial Unicode MS" w:cs="Arial Unicode MS"/>
    </w:rPr>
  </w:style>
  <w:style w:type="table" w:styleId="TableGrid">
    <w:name w:val="Table Grid"/>
    <w:basedOn w:val="TableNormal"/>
    <w:uiPriority w:val="59"/>
    <w:rsid w:val="007B6760"/>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7B6760"/>
    <w:rPr>
      <w:rFonts w:ascii="Cambria" w:eastAsia="Calibri" w:hAnsi="Cambria" w:cs="Cambria"/>
      <w:b/>
      <w:bCs/>
      <w:sz w:val="20"/>
      <w:szCs w:val="20"/>
    </w:rPr>
  </w:style>
  <w:style w:type="paragraph" w:styleId="Header">
    <w:name w:val="header"/>
    <w:basedOn w:val="Normal"/>
    <w:link w:val="HeaderChar"/>
    <w:uiPriority w:val="99"/>
    <w:rsid w:val="007B6760"/>
    <w:pPr>
      <w:tabs>
        <w:tab w:val="center" w:pos="4320"/>
        <w:tab w:val="right" w:pos="8640"/>
      </w:tabs>
      <w:spacing w:after="200" w:line="276"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7B6760"/>
    <w:rPr>
      <w:rFonts w:ascii="Calibri" w:eastAsia="Calibri" w:hAnsi="Calibri" w:cs="Times New Roman"/>
      <w:sz w:val="22"/>
      <w:szCs w:val="22"/>
    </w:rPr>
  </w:style>
  <w:style w:type="paragraph" w:styleId="Footer">
    <w:name w:val="footer"/>
    <w:basedOn w:val="Normal"/>
    <w:link w:val="FooterChar"/>
    <w:rsid w:val="007B6760"/>
    <w:pPr>
      <w:tabs>
        <w:tab w:val="center" w:pos="4320"/>
        <w:tab w:val="right" w:pos="8640"/>
      </w:tabs>
      <w:spacing w:after="200" w:line="276" w:lineRule="auto"/>
    </w:pPr>
    <w:rPr>
      <w:rFonts w:ascii="Calibri" w:eastAsia="Calibri" w:hAnsi="Calibri" w:cs="Times New Roman"/>
      <w:sz w:val="22"/>
      <w:szCs w:val="22"/>
    </w:rPr>
  </w:style>
  <w:style w:type="character" w:customStyle="1" w:styleId="FooterChar">
    <w:name w:val="Footer Char"/>
    <w:basedOn w:val="DefaultParagraphFont"/>
    <w:link w:val="Footer"/>
    <w:rsid w:val="007B6760"/>
    <w:rPr>
      <w:rFonts w:ascii="Calibri" w:eastAsia="Calibri" w:hAnsi="Calibri" w:cs="Times New Roman"/>
      <w:sz w:val="22"/>
      <w:szCs w:val="22"/>
    </w:rPr>
  </w:style>
  <w:style w:type="character" w:styleId="PageNumber">
    <w:name w:val="page number"/>
    <w:basedOn w:val="DefaultParagraphFont"/>
    <w:rsid w:val="007B676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Siegel</dc:creator>
  <cp:keywords/>
  <cp:lastModifiedBy>Karen Siegel</cp:lastModifiedBy>
  <cp:revision>1</cp:revision>
  <dcterms:created xsi:type="dcterms:W3CDTF">2014-11-24T22:27:00Z</dcterms:created>
  <dcterms:modified xsi:type="dcterms:W3CDTF">2014-11-24T22:27:00Z</dcterms:modified>
</cp:coreProperties>
</file>