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725" w:rsidRPr="00603701" w:rsidRDefault="00035725" w:rsidP="00142542">
      <w:pPr>
        <w:spacing w:after="200" w:line="276" w:lineRule="auto"/>
        <w:contextualSpacing/>
        <w:rPr>
          <w:rFonts w:eastAsia="Calibri" w:cs="Times New Roman"/>
          <w:sz w:val="24"/>
          <w:szCs w:val="24"/>
          <w:lang w:val="en-GB"/>
        </w:rPr>
      </w:pPr>
      <w:r>
        <w:rPr>
          <w:rFonts w:eastAsia="Calibri" w:cs="Times New Roman"/>
          <w:b/>
          <w:sz w:val="24"/>
          <w:szCs w:val="24"/>
          <w:lang w:val="en-GB"/>
        </w:rPr>
        <w:t>Supplementary Materials</w:t>
      </w:r>
      <w:r w:rsidRPr="00603701">
        <w:rPr>
          <w:rFonts w:eastAsia="Calibri" w:cs="Times New Roman"/>
          <w:b/>
          <w:sz w:val="24"/>
          <w:szCs w:val="24"/>
          <w:lang w:val="en-GB"/>
        </w:rPr>
        <w:t xml:space="preserve"> 3: Scoring details</w:t>
      </w:r>
    </w:p>
    <w:p w:rsidR="00035725" w:rsidRPr="00603701" w:rsidRDefault="00035725" w:rsidP="00142542">
      <w:pPr>
        <w:spacing w:after="200" w:line="276" w:lineRule="auto"/>
        <w:contextualSpacing/>
        <w:rPr>
          <w:rFonts w:eastAsia="Calibri" w:cs="Times New Roman"/>
          <w:sz w:val="24"/>
          <w:szCs w:val="24"/>
          <w:lang w:val="en-GB"/>
        </w:rPr>
      </w:pPr>
    </w:p>
    <w:p w:rsidR="00035725" w:rsidRPr="00603701" w:rsidRDefault="00035725" w:rsidP="00142542">
      <w:pPr>
        <w:spacing w:after="200" w:line="276" w:lineRule="auto"/>
        <w:contextualSpacing/>
        <w:rPr>
          <w:rFonts w:eastAsia="Calibri" w:cs="Times New Roman"/>
          <w:sz w:val="24"/>
          <w:szCs w:val="24"/>
          <w:lang w:val="en-GB"/>
        </w:rPr>
      </w:pPr>
      <w:r w:rsidRPr="00603701">
        <w:rPr>
          <w:rFonts w:eastAsia="Calibri" w:cs="Times New Roman"/>
          <w:sz w:val="24"/>
          <w:szCs w:val="24"/>
          <w:lang w:val="en-GB"/>
        </w:rPr>
        <w:t>The following exceptions were made in the literal transcription of participants’ word productions:</w:t>
      </w:r>
    </w:p>
    <w:p w:rsidR="00035725" w:rsidRPr="00603701" w:rsidRDefault="00035725" w:rsidP="00142542">
      <w:pPr>
        <w:spacing w:after="200" w:line="276" w:lineRule="auto"/>
        <w:contextualSpacing/>
        <w:rPr>
          <w:rFonts w:eastAsia="Calibri" w:cs="Times New Roman"/>
          <w:sz w:val="24"/>
          <w:szCs w:val="24"/>
          <w:lang w:val="en-GB"/>
        </w:rPr>
      </w:pPr>
    </w:p>
    <w:p w:rsidR="00035725" w:rsidRPr="00603701" w:rsidRDefault="00035725" w:rsidP="00142542">
      <w:pPr>
        <w:numPr>
          <w:ilvl w:val="0"/>
          <w:numId w:val="2"/>
        </w:numPr>
        <w:spacing w:after="200" w:line="276" w:lineRule="auto"/>
        <w:contextualSpacing/>
        <w:rPr>
          <w:rFonts w:eastAsia="Calibri" w:cs="Times New Roman"/>
          <w:sz w:val="24"/>
          <w:szCs w:val="24"/>
          <w:lang w:val="en-GB"/>
        </w:rPr>
      </w:pPr>
      <w:r w:rsidRPr="00603701">
        <w:rPr>
          <w:rFonts w:eastAsia="Calibri" w:cs="Times New Roman"/>
          <w:sz w:val="24"/>
          <w:szCs w:val="24"/>
          <w:lang w:val="en-GB"/>
        </w:rPr>
        <w:t>Because of their omnipresence and productivity in Dutch (</w:t>
      </w:r>
      <w:proofErr w:type="spellStart"/>
      <w:r w:rsidRPr="00603701">
        <w:rPr>
          <w:rFonts w:eastAsia="Calibri" w:cs="Times New Roman"/>
          <w:sz w:val="24"/>
          <w:szCs w:val="24"/>
          <w:lang w:val="en-GB"/>
        </w:rPr>
        <w:t>Shetter</w:t>
      </w:r>
      <w:proofErr w:type="spellEnd"/>
      <w:r w:rsidRPr="00603701">
        <w:rPr>
          <w:rFonts w:eastAsia="Calibri" w:cs="Times New Roman"/>
          <w:sz w:val="24"/>
          <w:szCs w:val="24"/>
          <w:lang w:val="en-GB"/>
        </w:rPr>
        <w:t xml:space="preserve">, 1959), adding a diminutive suffix to a noun was not regarded as insertion (e.g. </w:t>
      </w:r>
      <w:proofErr w:type="spellStart"/>
      <w:r w:rsidRPr="00603701">
        <w:rPr>
          <w:rFonts w:eastAsia="Calibri" w:cs="Times New Roman"/>
          <w:i/>
          <w:sz w:val="24"/>
          <w:szCs w:val="24"/>
          <w:lang w:val="en-GB"/>
        </w:rPr>
        <w:t>slabje</w:t>
      </w:r>
      <w:proofErr w:type="spellEnd"/>
      <w:r w:rsidRPr="00603701">
        <w:rPr>
          <w:rFonts w:eastAsia="Calibri" w:cs="Times New Roman"/>
          <w:sz w:val="24"/>
          <w:szCs w:val="24"/>
          <w:lang w:val="en-GB"/>
        </w:rPr>
        <w:t xml:space="preserve"> for </w:t>
      </w:r>
      <w:r w:rsidRPr="00603701">
        <w:rPr>
          <w:rFonts w:eastAsia="Calibri" w:cs="Times New Roman"/>
          <w:i/>
          <w:sz w:val="24"/>
          <w:szCs w:val="24"/>
          <w:lang w:val="en-GB"/>
        </w:rPr>
        <w:t>slab</w:t>
      </w:r>
      <w:r w:rsidRPr="00603701">
        <w:rPr>
          <w:rFonts w:eastAsia="Calibri" w:cs="Times New Roman"/>
          <w:sz w:val="24"/>
          <w:szCs w:val="24"/>
          <w:lang w:val="en-GB"/>
        </w:rPr>
        <w:t>, bib).</w:t>
      </w:r>
    </w:p>
    <w:p w:rsidR="00035725" w:rsidRPr="00603701" w:rsidRDefault="00035725" w:rsidP="00142542">
      <w:pPr>
        <w:numPr>
          <w:ilvl w:val="0"/>
          <w:numId w:val="2"/>
        </w:numPr>
        <w:spacing w:after="200" w:line="276" w:lineRule="auto"/>
        <w:contextualSpacing/>
        <w:rPr>
          <w:rFonts w:eastAsia="Calibri" w:cs="Times New Roman"/>
          <w:sz w:val="24"/>
          <w:szCs w:val="24"/>
          <w:lang w:val="en-GB"/>
        </w:rPr>
      </w:pPr>
      <w:r w:rsidRPr="00603701">
        <w:rPr>
          <w:rFonts w:eastAsia="Calibri" w:cs="Times New Roman"/>
          <w:sz w:val="24"/>
          <w:szCs w:val="24"/>
          <w:lang w:val="en-GB"/>
        </w:rPr>
        <w:t xml:space="preserve">If a participant modified their production in such a way that it was clear that they were only expressing insecurity with regard to their utterance (example: </w:t>
      </w:r>
      <w:r w:rsidRPr="00603701">
        <w:rPr>
          <w:rFonts w:eastAsia="Calibri" w:cs="Times New Roman"/>
          <w:i/>
          <w:sz w:val="24"/>
          <w:szCs w:val="24"/>
          <w:lang w:val="en-GB"/>
        </w:rPr>
        <w:t>samba-</w:t>
      </w:r>
      <w:proofErr w:type="spellStart"/>
      <w:r w:rsidRPr="00603701">
        <w:rPr>
          <w:rFonts w:eastAsia="Calibri" w:cs="Times New Roman"/>
          <w:i/>
          <w:sz w:val="24"/>
          <w:szCs w:val="24"/>
          <w:lang w:val="en-GB"/>
        </w:rPr>
        <w:t>iets</w:t>
      </w:r>
      <w:proofErr w:type="spellEnd"/>
      <w:r>
        <w:rPr>
          <w:rFonts w:eastAsia="Calibri" w:cs="Times New Roman"/>
          <w:sz w:val="24"/>
          <w:szCs w:val="24"/>
          <w:lang w:val="en-GB"/>
        </w:rPr>
        <w:t>, “maraca-something”</w:t>
      </w:r>
      <w:r w:rsidRPr="00603701">
        <w:rPr>
          <w:rFonts w:eastAsia="Calibri" w:cs="Times New Roman"/>
          <w:sz w:val="24"/>
          <w:szCs w:val="24"/>
          <w:lang w:val="en-GB"/>
        </w:rPr>
        <w:t>) and not an actual memory representation, this modification (</w:t>
      </w:r>
      <w:proofErr w:type="spellStart"/>
      <w:r w:rsidRPr="00603701">
        <w:rPr>
          <w:rFonts w:eastAsia="Calibri" w:cs="Times New Roman"/>
          <w:i/>
          <w:sz w:val="24"/>
          <w:szCs w:val="24"/>
          <w:lang w:val="en-GB"/>
        </w:rPr>
        <w:t>iets</w:t>
      </w:r>
      <w:proofErr w:type="spellEnd"/>
      <w:r w:rsidRPr="00603701">
        <w:rPr>
          <w:rFonts w:eastAsia="Calibri" w:cs="Times New Roman"/>
          <w:sz w:val="24"/>
          <w:szCs w:val="24"/>
          <w:lang w:val="en-GB"/>
        </w:rPr>
        <w:t xml:space="preserve">, </w:t>
      </w:r>
      <w:r>
        <w:rPr>
          <w:rFonts w:eastAsia="Calibri" w:cs="Times New Roman"/>
          <w:sz w:val="24"/>
          <w:szCs w:val="24"/>
          <w:lang w:val="en-GB"/>
        </w:rPr>
        <w:t>“</w:t>
      </w:r>
      <w:r w:rsidRPr="00603701">
        <w:rPr>
          <w:rFonts w:eastAsia="Calibri" w:cs="Times New Roman"/>
          <w:sz w:val="24"/>
          <w:szCs w:val="24"/>
          <w:lang w:val="en-GB"/>
        </w:rPr>
        <w:t>something</w:t>
      </w:r>
      <w:r>
        <w:rPr>
          <w:rFonts w:eastAsia="Calibri" w:cs="Times New Roman"/>
          <w:sz w:val="24"/>
          <w:szCs w:val="24"/>
          <w:lang w:val="en-GB"/>
        </w:rPr>
        <w:t>”</w:t>
      </w:r>
      <w:r w:rsidRPr="00603701">
        <w:rPr>
          <w:rFonts w:eastAsia="Calibri" w:cs="Times New Roman"/>
          <w:sz w:val="24"/>
          <w:szCs w:val="24"/>
          <w:lang w:val="en-GB"/>
        </w:rPr>
        <w:t>) was not regarded as insertion.</w:t>
      </w:r>
    </w:p>
    <w:p w:rsidR="00035725" w:rsidRPr="00603701" w:rsidRDefault="00035725" w:rsidP="00142542">
      <w:pPr>
        <w:numPr>
          <w:ilvl w:val="0"/>
          <w:numId w:val="2"/>
        </w:numPr>
        <w:spacing w:after="200" w:line="276" w:lineRule="auto"/>
        <w:contextualSpacing/>
        <w:rPr>
          <w:rFonts w:eastAsia="Calibri" w:cs="Times New Roman"/>
          <w:sz w:val="24"/>
          <w:szCs w:val="24"/>
          <w:lang w:val="en-GB"/>
        </w:rPr>
      </w:pPr>
      <w:r w:rsidRPr="00603701">
        <w:rPr>
          <w:rFonts w:eastAsia="Calibri" w:cs="Times New Roman"/>
          <w:sz w:val="24"/>
          <w:szCs w:val="24"/>
          <w:lang w:val="en-GB"/>
        </w:rPr>
        <w:t xml:space="preserve">Sometimes participants gave multiple productions for one word (e.g. “Is it a </w:t>
      </w:r>
      <w:r w:rsidRPr="00603701">
        <w:rPr>
          <w:rFonts w:eastAsia="Calibri" w:cs="Times New Roman"/>
          <w:i/>
          <w:sz w:val="24"/>
          <w:szCs w:val="24"/>
          <w:lang w:val="en-GB"/>
        </w:rPr>
        <w:t>stomp</w:t>
      </w:r>
      <w:r w:rsidRPr="00603701">
        <w:rPr>
          <w:rFonts w:eastAsia="Calibri" w:cs="Times New Roman"/>
          <w:sz w:val="24"/>
          <w:szCs w:val="24"/>
          <w:lang w:val="en-GB"/>
        </w:rPr>
        <w:t xml:space="preserve">? Or a </w:t>
      </w:r>
      <w:proofErr w:type="spellStart"/>
      <w:r w:rsidRPr="00603701">
        <w:rPr>
          <w:rFonts w:eastAsia="Calibri" w:cs="Times New Roman"/>
          <w:i/>
          <w:sz w:val="24"/>
          <w:szCs w:val="24"/>
          <w:lang w:val="en-GB"/>
        </w:rPr>
        <w:t>stolp</w:t>
      </w:r>
      <w:proofErr w:type="spellEnd"/>
      <w:r w:rsidRPr="00603701">
        <w:rPr>
          <w:rFonts w:eastAsia="Calibri" w:cs="Times New Roman"/>
          <w:sz w:val="24"/>
          <w:szCs w:val="24"/>
          <w:lang w:val="en-GB"/>
        </w:rPr>
        <w:t xml:space="preserve">?” for </w:t>
      </w:r>
      <w:proofErr w:type="spellStart"/>
      <w:r w:rsidRPr="00603701">
        <w:rPr>
          <w:rFonts w:eastAsia="Calibri" w:cs="Times New Roman"/>
          <w:i/>
          <w:sz w:val="24"/>
          <w:szCs w:val="24"/>
          <w:lang w:val="en-GB"/>
        </w:rPr>
        <w:t>stolp</w:t>
      </w:r>
      <w:proofErr w:type="spellEnd"/>
      <w:r w:rsidRPr="00603701">
        <w:rPr>
          <w:rFonts w:eastAsia="Calibri" w:cs="Times New Roman"/>
          <w:sz w:val="24"/>
          <w:szCs w:val="24"/>
          <w:lang w:val="en-GB"/>
        </w:rPr>
        <w:t xml:space="preserve">, </w:t>
      </w:r>
      <w:r>
        <w:rPr>
          <w:rFonts w:eastAsia="Calibri" w:cs="Times New Roman"/>
          <w:sz w:val="24"/>
          <w:szCs w:val="24"/>
          <w:lang w:val="en-GB"/>
        </w:rPr>
        <w:t>“</w:t>
      </w:r>
      <w:r w:rsidRPr="00603701">
        <w:rPr>
          <w:rFonts w:eastAsia="Calibri" w:cs="Times New Roman"/>
          <w:sz w:val="24"/>
          <w:szCs w:val="24"/>
          <w:lang w:val="en-GB"/>
        </w:rPr>
        <w:t>bell jar</w:t>
      </w:r>
      <w:r>
        <w:rPr>
          <w:rFonts w:eastAsia="Calibri" w:cs="Times New Roman"/>
          <w:sz w:val="24"/>
          <w:szCs w:val="24"/>
          <w:lang w:val="en-GB"/>
        </w:rPr>
        <w:t>”</w:t>
      </w:r>
      <w:r w:rsidRPr="00603701">
        <w:rPr>
          <w:rFonts w:eastAsia="Calibri" w:cs="Times New Roman"/>
          <w:sz w:val="24"/>
          <w:szCs w:val="24"/>
          <w:lang w:val="en-GB"/>
        </w:rPr>
        <w:t>). In these cases, the last production was transcribed.</w:t>
      </w:r>
    </w:p>
    <w:p w:rsidR="00035725" w:rsidRPr="00603701" w:rsidRDefault="00035725" w:rsidP="00142542">
      <w:pPr>
        <w:numPr>
          <w:ilvl w:val="0"/>
          <w:numId w:val="2"/>
        </w:numPr>
        <w:spacing w:after="200" w:line="276" w:lineRule="auto"/>
        <w:contextualSpacing/>
        <w:rPr>
          <w:rFonts w:eastAsia="Calibri" w:cs="Times New Roman"/>
          <w:sz w:val="24"/>
          <w:szCs w:val="24"/>
          <w:lang w:val="en-GB"/>
        </w:rPr>
      </w:pPr>
      <w:r w:rsidRPr="00603701">
        <w:rPr>
          <w:rFonts w:eastAsia="Calibri" w:cs="Times New Roman"/>
          <w:sz w:val="24"/>
          <w:szCs w:val="24"/>
          <w:lang w:val="en-GB"/>
        </w:rPr>
        <w:t>If a participant mispronounced a phoneme just because of their German-accented Dutch, it was not marked incorrect (an accent does not reflect a false memory representation).</w:t>
      </w:r>
    </w:p>
    <w:p w:rsidR="00035725" w:rsidRPr="00603701" w:rsidRDefault="00035725" w:rsidP="00142542">
      <w:pPr>
        <w:numPr>
          <w:ilvl w:val="0"/>
          <w:numId w:val="2"/>
        </w:numPr>
        <w:spacing w:after="200" w:line="276" w:lineRule="auto"/>
        <w:contextualSpacing/>
        <w:rPr>
          <w:rFonts w:eastAsia="Calibri" w:cs="Times New Roman"/>
          <w:sz w:val="24"/>
          <w:szCs w:val="24"/>
          <w:lang w:val="en-GB"/>
        </w:rPr>
      </w:pPr>
      <w:r w:rsidRPr="00603701">
        <w:rPr>
          <w:rFonts w:eastAsia="Calibri" w:cs="Times New Roman"/>
          <w:sz w:val="24"/>
          <w:szCs w:val="24"/>
          <w:lang w:val="en-GB"/>
        </w:rPr>
        <w:t xml:space="preserve">In Dutch, syllable-final </w:t>
      </w:r>
      <w:proofErr w:type="spellStart"/>
      <w:r w:rsidRPr="00603701">
        <w:rPr>
          <w:rFonts w:eastAsia="Calibri" w:cs="Times New Roman"/>
          <w:sz w:val="24"/>
          <w:szCs w:val="24"/>
          <w:lang w:val="en-GB"/>
        </w:rPr>
        <w:t>obstruents</w:t>
      </w:r>
      <w:proofErr w:type="spellEnd"/>
      <w:r w:rsidRPr="00603701">
        <w:rPr>
          <w:rFonts w:eastAsia="Calibri" w:cs="Times New Roman"/>
          <w:sz w:val="24"/>
          <w:szCs w:val="24"/>
          <w:lang w:val="en-GB"/>
        </w:rPr>
        <w:t xml:space="preserve"> get devoiced. Therefore, upon hearing the word /</w:t>
      </w:r>
      <w:proofErr w:type="spellStart"/>
      <w:r w:rsidRPr="00603701">
        <w:rPr>
          <w:rFonts w:eastAsia="Calibri" w:cs="Times New Roman"/>
          <w:sz w:val="24"/>
          <w:szCs w:val="24"/>
          <w:lang w:val="en-GB"/>
        </w:rPr>
        <w:t>slɑp</w:t>
      </w:r>
      <w:proofErr w:type="spellEnd"/>
      <w:r w:rsidRPr="00603701">
        <w:rPr>
          <w:rFonts w:eastAsia="Calibri" w:cs="Times New Roman"/>
          <w:sz w:val="24"/>
          <w:szCs w:val="24"/>
          <w:lang w:val="en-GB"/>
        </w:rPr>
        <w:t>/ (</w:t>
      </w:r>
      <w:r w:rsidRPr="00603701">
        <w:rPr>
          <w:rFonts w:eastAsia="Calibri" w:cs="Times New Roman"/>
          <w:i/>
          <w:sz w:val="24"/>
          <w:szCs w:val="24"/>
          <w:lang w:val="en-GB"/>
        </w:rPr>
        <w:t>slab</w:t>
      </w:r>
      <w:r w:rsidRPr="00603701">
        <w:rPr>
          <w:rFonts w:eastAsia="Calibri" w:cs="Times New Roman"/>
          <w:sz w:val="24"/>
          <w:szCs w:val="24"/>
          <w:lang w:val="en-GB"/>
        </w:rPr>
        <w:t>, bib), one cannot know whether the true underlying form of the final consonant is /p/ or /b/. Therefore, productions such as /</w:t>
      </w:r>
      <w:proofErr w:type="spellStart"/>
      <w:r w:rsidRPr="00603701">
        <w:rPr>
          <w:rFonts w:eastAsia="Calibri" w:cs="Times New Roman"/>
          <w:sz w:val="24"/>
          <w:szCs w:val="24"/>
          <w:lang w:val="en-GB"/>
        </w:rPr>
        <w:t>slɑpər</w:t>
      </w:r>
      <w:proofErr w:type="spellEnd"/>
      <w:r w:rsidRPr="00603701">
        <w:rPr>
          <w:rFonts w:eastAsia="Calibri" w:cs="Times New Roman"/>
          <w:sz w:val="24"/>
          <w:szCs w:val="24"/>
          <w:lang w:val="en-GB"/>
        </w:rPr>
        <w:t>/ or /</w:t>
      </w:r>
      <w:proofErr w:type="spellStart"/>
      <w:r w:rsidRPr="00603701">
        <w:rPr>
          <w:rFonts w:eastAsia="Calibri" w:cs="Times New Roman"/>
          <w:sz w:val="24"/>
          <w:szCs w:val="24"/>
          <w:lang w:val="en-GB"/>
        </w:rPr>
        <w:t>slɑbər</w:t>
      </w:r>
      <w:proofErr w:type="spellEnd"/>
      <w:r w:rsidRPr="00603701">
        <w:rPr>
          <w:rFonts w:eastAsia="Calibri" w:cs="Times New Roman"/>
          <w:sz w:val="24"/>
          <w:szCs w:val="24"/>
          <w:lang w:val="en-GB"/>
        </w:rPr>
        <w:t>/ would receive the same score.</w:t>
      </w:r>
    </w:p>
    <w:p w:rsidR="00035725" w:rsidRPr="00603701" w:rsidRDefault="00035725" w:rsidP="00142542">
      <w:pPr>
        <w:spacing w:after="200" w:line="276" w:lineRule="auto"/>
        <w:contextualSpacing/>
        <w:rPr>
          <w:rFonts w:eastAsia="Calibri" w:cs="Times New Roman"/>
          <w:sz w:val="24"/>
          <w:szCs w:val="24"/>
          <w:lang w:val="en-GB"/>
        </w:rPr>
      </w:pPr>
    </w:p>
    <w:p w:rsidR="00315134" w:rsidRDefault="00035725" w:rsidP="006A2954">
      <w:pPr>
        <w:spacing w:after="200" w:line="276" w:lineRule="auto"/>
        <w:contextualSpacing/>
        <w:rPr>
          <w:rFonts w:cs="Times New Roman"/>
          <w:sz w:val="24"/>
          <w:szCs w:val="24"/>
          <w:lang w:val="en-GB"/>
        </w:rPr>
      </w:pPr>
      <w:r w:rsidRPr="00603701">
        <w:rPr>
          <w:rFonts w:eastAsia="Calibri" w:cs="Times New Roman"/>
          <w:sz w:val="24"/>
          <w:szCs w:val="24"/>
          <w:lang w:val="en-GB"/>
        </w:rPr>
        <w:t xml:space="preserve">Now, we will further discuss the word length issue mentioned under </w:t>
      </w:r>
      <w:r w:rsidRPr="00603701">
        <w:rPr>
          <w:rFonts w:eastAsia="Calibri" w:cs="Times New Roman"/>
          <w:i/>
          <w:sz w:val="24"/>
          <w:szCs w:val="24"/>
          <w:lang w:val="en-GB"/>
        </w:rPr>
        <w:t>Scoring</w:t>
      </w:r>
      <w:r w:rsidRPr="00603701">
        <w:rPr>
          <w:rFonts w:eastAsia="Calibri" w:cs="Times New Roman"/>
          <w:sz w:val="24"/>
          <w:szCs w:val="24"/>
          <w:lang w:val="en-GB"/>
        </w:rPr>
        <w:t xml:space="preserve">. </w:t>
      </w:r>
      <w:r w:rsidRPr="00603701">
        <w:rPr>
          <w:rFonts w:cs="Times New Roman"/>
          <w:sz w:val="24"/>
          <w:szCs w:val="24"/>
          <w:lang w:val="en-GB"/>
        </w:rPr>
        <w:t xml:space="preserve">In the </w:t>
      </w:r>
      <w:proofErr w:type="spellStart"/>
      <w:r w:rsidRPr="00603701">
        <w:rPr>
          <w:rFonts w:cs="Times New Roman"/>
          <w:i/>
          <w:sz w:val="24"/>
          <w:szCs w:val="24"/>
          <w:lang w:val="en-GB"/>
        </w:rPr>
        <w:t>ramlert</w:t>
      </w:r>
      <w:proofErr w:type="spellEnd"/>
      <w:r w:rsidRPr="00603701">
        <w:rPr>
          <w:rFonts w:cs="Times New Roman"/>
          <w:i/>
          <w:sz w:val="24"/>
          <w:szCs w:val="24"/>
          <w:lang w:val="en-GB"/>
        </w:rPr>
        <w:t xml:space="preserve"> </w:t>
      </w:r>
      <w:r w:rsidRPr="00603701">
        <w:rPr>
          <w:rFonts w:cs="Times New Roman"/>
          <w:sz w:val="24"/>
          <w:szCs w:val="24"/>
          <w:lang w:val="en-GB"/>
        </w:rPr>
        <w:t xml:space="preserve">example, a consequence of using the long alignment is that the sum of correct and incorrect phonemes amounts to 8. However, for participants who did not produce any insertions, the total number of phonemes would be 7 (i.e., equal to the word length). In 3.6% of data points, the sum of the number of scored phonemes was larger than the total word length. This is problematic, as the binomial probability distribution for a particular word is characterised by a fixed parameter </w:t>
      </w:r>
      <w:r w:rsidRPr="00603701">
        <w:rPr>
          <w:rFonts w:cs="Times New Roman"/>
          <w:i/>
          <w:sz w:val="24"/>
          <w:szCs w:val="24"/>
          <w:lang w:val="en-GB"/>
        </w:rPr>
        <w:t xml:space="preserve">N </w:t>
      </w:r>
      <w:r w:rsidRPr="00603701">
        <w:rPr>
          <w:rFonts w:cs="Times New Roman"/>
          <w:sz w:val="24"/>
          <w:szCs w:val="24"/>
          <w:lang w:val="en-GB"/>
        </w:rPr>
        <w:t xml:space="preserve">for the number of trials (i.e., the number of phonemes), which should not vary over participants. We resolved this issue by rescaling the number of correct and incorrect phonemes, so that they would always add up to the (fixed) word length of the target word, in this case 7. </w:t>
      </w:r>
      <w:bookmarkStart w:id="0" w:name="_GoBack"/>
      <w:r w:rsidRPr="00603701">
        <w:rPr>
          <w:rFonts w:cs="Times New Roman"/>
          <w:sz w:val="24"/>
          <w:szCs w:val="24"/>
          <w:lang w:val="en-GB"/>
        </w:rPr>
        <w:t xml:space="preserve">Rescaling was done by multiplying the </w:t>
      </w:r>
      <w:r w:rsidR="00642966">
        <w:rPr>
          <w:rFonts w:cs="Times New Roman"/>
          <w:sz w:val="24"/>
          <w:szCs w:val="24"/>
          <w:lang w:val="en-GB"/>
        </w:rPr>
        <w:t>word length of the target word</w:t>
      </w:r>
      <w:r w:rsidRPr="00603701">
        <w:rPr>
          <w:rFonts w:cs="Times New Roman"/>
          <w:sz w:val="24"/>
          <w:szCs w:val="24"/>
          <w:lang w:val="en-GB"/>
        </w:rPr>
        <w:t xml:space="preserve"> by the percentage correct (e.g. </w:t>
      </w:r>
      <w:r w:rsidR="00642966">
        <w:rPr>
          <w:rFonts w:cs="Times New Roman"/>
          <w:sz w:val="24"/>
          <w:szCs w:val="24"/>
          <w:lang w:val="en-GB"/>
        </w:rPr>
        <w:t>7</w:t>
      </w:r>
      <w:r w:rsidRPr="00603701">
        <w:rPr>
          <w:rFonts w:cs="Times New Roman"/>
          <w:sz w:val="24"/>
          <w:szCs w:val="24"/>
          <w:lang w:val="en-GB"/>
        </w:rPr>
        <w:t xml:space="preserve"> * 0.63 = 4.38, rounded off as 4)</w:t>
      </w:r>
      <w:bookmarkEnd w:id="0"/>
      <w:r w:rsidRPr="00603701">
        <w:rPr>
          <w:rFonts w:cs="Times New Roman"/>
          <w:sz w:val="24"/>
          <w:szCs w:val="24"/>
          <w:lang w:val="en-GB"/>
        </w:rPr>
        <w:t xml:space="preserve">, and subtracting this number from the total number of phonemes to arrive at the rescaled number of incorrect phonemes (7 – 4 = 3). Thus, the final vector for </w:t>
      </w:r>
      <w:proofErr w:type="spellStart"/>
      <w:r w:rsidRPr="00603701">
        <w:rPr>
          <w:rFonts w:cs="Times New Roman"/>
          <w:i/>
          <w:sz w:val="24"/>
          <w:szCs w:val="24"/>
          <w:lang w:val="en-GB"/>
        </w:rPr>
        <w:t>ramlert</w:t>
      </w:r>
      <w:proofErr w:type="spellEnd"/>
      <w:r w:rsidRPr="00603701">
        <w:rPr>
          <w:rFonts w:cs="Times New Roman"/>
          <w:sz w:val="24"/>
          <w:szCs w:val="24"/>
          <w:lang w:val="en-GB"/>
        </w:rPr>
        <w:t xml:space="preserve"> would be (4,3).</w:t>
      </w:r>
    </w:p>
    <w:p w:rsidR="006A2954" w:rsidRDefault="006A2954" w:rsidP="006A2954">
      <w:pPr>
        <w:spacing w:after="200" w:line="276" w:lineRule="auto"/>
        <w:contextualSpacing/>
        <w:rPr>
          <w:rFonts w:cs="Times New Roman"/>
          <w:sz w:val="24"/>
          <w:szCs w:val="24"/>
          <w:lang w:val="en-GB"/>
        </w:rPr>
      </w:pPr>
    </w:p>
    <w:p w:rsidR="006A2954" w:rsidRDefault="006A2954" w:rsidP="006A2954">
      <w:pPr>
        <w:spacing w:after="200" w:line="276" w:lineRule="auto"/>
        <w:contextualSpacing/>
        <w:rPr>
          <w:rFonts w:eastAsia="Calibri" w:cs="Times New Roman"/>
          <w:sz w:val="24"/>
          <w:szCs w:val="24"/>
          <w:lang w:val="en-GB"/>
        </w:rPr>
      </w:pPr>
    </w:p>
    <w:p w:rsidR="006A2954" w:rsidRPr="006A2954" w:rsidRDefault="006A2954" w:rsidP="006A2954">
      <w:pPr>
        <w:spacing w:after="200" w:line="276" w:lineRule="auto"/>
        <w:contextualSpacing/>
        <w:rPr>
          <w:rFonts w:eastAsia="Calibri" w:cs="Times New Roman"/>
          <w:b/>
          <w:sz w:val="24"/>
          <w:szCs w:val="24"/>
          <w:lang w:val="en-GB"/>
        </w:rPr>
      </w:pPr>
      <w:r>
        <w:rPr>
          <w:rFonts w:eastAsia="Calibri" w:cs="Times New Roman"/>
          <w:b/>
          <w:sz w:val="24"/>
          <w:szCs w:val="24"/>
          <w:lang w:val="en-GB"/>
        </w:rPr>
        <w:t>Reference</w:t>
      </w:r>
    </w:p>
    <w:p w:rsidR="006A2954" w:rsidRPr="00035725" w:rsidRDefault="006A2954" w:rsidP="006A2954">
      <w:pPr>
        <w:spacing w:after="200" w:line="276" w:lineRule="auto"/>
        <w:contextualSpacing/>
        <w:rPr>
          <w:rFonts w:eastAsia="Calibri" w:cs="Times New Roman"/>
          <w:sz w:val="24"/>
          <w:szCs w:val="24"/>
          <w:lang w:val="en-GB"/>
        </w:rPr>
      </w:pPr>
      <w:proofErr w:type="spellStart"/>
      <w:r w:rsidRPr="00603701">
        <w:rPr>
          <w:rFonts w:eastAsia="Calibri" w:cs="Times New Roman"/>
          <w:sz w:val="24"/>
          <w:szCs w:val="24"/>
          <w:lang w:val="en-GB"/>
        </w:rPr>
        <w:t>Shetter</w:t>
      </w:r>
      <w:proofErr w:type="spellEnd"/>
      <w:r w:rsidRPr="00603701">
        <w:rPr>
          <w:rFonts w:eastAsia="Calibri" w:cs="Times New Roman"/>
          <w:sz w:val="24"/>
          <w:szCs w:val="24"/>
          <w:lang w:val="en-GB"/>
        </w:rPr>
        <w:t>, W.</w:t>
      </w:r>
      <w:r>
        <w:rPr>
          <w:rFonts w:eastAsia="Calibri" w:cs="Times New Roman"/>
          <w:sz w:val="24"/>
          <w:szCs w:val="24"/>
          <w:lang w:val="en-GB"/>
        </w:rPr>
        <w:t xml:space="preserve"> </w:t>
      </w:r>
      <w:r w:rsidRPr="00603701">
        <w:rPr>
          <w:rFonts w:eastAsia="Calibri" w:cs="Times New Roman"/>
          <w:sz w:val="24"/>
          <w:szCs w:val="24"/>
          <w:lang w:val="en-GB"/>
        </w:rPr>
        <w:t xml:space="preserve">Z. (1959). The Dutch diminutive. </w:t>
      </w:r>
      <w:r w:rsidRPr="00603701">
        <w:rPr>
          <w:rFonts w:eastAsia="Calibri" w:cs="Times New Roman"/>
          <w:i/>
          <w:sz w:val="24"/>
          <w:szCs w:val="24"/>
          <w:lang w:val="en-GB"/>
        </w:rPr>
        <w:t>The Journal of English and Germanic Philology, 58</w:t>
      </w:r>
      <w:r w:rsidRPr="00603701">
        <w:rPr>
          <w:rFonts w:eastAsia="Calibri" w:cs="Times New Roman"/>
          <w:sz w:val="24"/>
          <w:szCs w:val="24"/>
          <w:lang w:val="en-GB"/>
        </w:rPr>
        <w:t>, pp. 75–90.</w:t>
      </w:r>
    </w:p>
    <w:sectPr w:rsidR="006A2954" w:rsidRPr="00035725" w:rsidSect="00315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E5119"/>
    <w:multiLevelType w:val="hybridMultilevel"/>
    <w:tmpl w:val="FCEEEB68"/>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 w15:restartNumberingAfterBreak="0">
    <w:nsid w:val="6EFF7213"/>
    <w:multiLevelType w:val="hybridMultilevel"/>
    <w:tmpl w:val="4104A9C6"/>
    <w:lvl w:ilvl="0" w:tplc="CFFC8174">
      <w:start w:val="1"/>
      <w:numFmt w:val="bullet"/>
      <w:pStyle w:val="NoSpac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2"/>
  </w:compat>
  <w:rsids>
    <w:rsidRoot w:val="006212CA"/>
    <w:rsid w:val="00035725"/>
    <w:rsid w:val="00142542"/>
    <w:rsid w:val="00315134"/>
    <w:rsid w:val="006212CA"/>
    <w:rsid w:val="00642966"/>
    <w:rsid w:val="006A2954"/>
    <w:rsid w:val="006F3359"/>
    <w:rsid w:val="00B7267D"/>
    <w:rsid w:val="00CB3ACA"/>
    <w:rsid w:val="00DC29D6"/>
    <w:rsid w:val="00E217FF"/>
    <w:rsid w:val="00F321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917E"/>
  <w15:chartTrackingRefBased/>
  <w15:docId w15:val="{37F60998-ADCB-4254-A037-EB62EE47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sis text"/>
    <w:qFormat/>
    <w:rsid w:val="00035725"/>
    <w:pPr>
      <w:spacing w:after="0" w:line="280" w:lineRule="exact"/>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18E"/>
    <w:pPr>
      <w:numPr>
        <w:numId w:val="1"/>
      </w:num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387</Words>
  <Characters>2130</Characters>
  <Application>Microsoft Office Word</Application>
  <DocSecurity>0</DocSecurity>
  <Lines>17</Lines>
  <Paragraphs>5</Paragraphs>
  <ScaleCrop>false</ScaleCrop>
  <Company>Radboud Universiteit Nijmegen</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 J.F. de (Johanna)</dc:creator>
  <cp:keywords/>
  <dc:description/>
  <cp:lastModifiedBy>Vos, J.F. de (Johanna)</cp:lastModifiedBy>
  <cp:revision>5</cp:revision>
  <dcterms:created xsi:type="dcterms:W3CDTF">2017-02-03T15:08:00Z</dcterms:created>
  <dcterms:modified xsi:type="dcterms:W3CDTF">2018-03-02T08:45:00Z</dcterms:modified>
</cp:coreProperties>
</file>