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D1ACD" w14:textId="77777777" w:rsidR="00A91C0C" w:rsidRPr="00492A85" w:rsidRDefault="00A91C0C" w:rsidP="00A91C0C">
      <w:pPr>
        <w:autoSpaceDE w:val="0"/>
        <w:autoSpaceDN w:val="0"/>
        <w:adjustRightInd w:val="0"/>
        <w:spacing w:after="0" w:line="240" w:lineRule="auto"/>
        <w:jc w:val="center"/>
        <w:rPr>
          <w:rFonts w:ascii="Times New Roman" w:hAnsi="Times New Roman" w:cs="Times New Roman"/>
          <w:b/>
          <w:sz w:val="24"/>
          <w:szCs w:val="24"/>
          <w:lang w:val="en-GB"/>
        </w:rPr>
      </w:pPr>
      <w:r w:rsidRPr="00492A85">
        <w:rPr>
          <w:rFonts w:ascii="Times New Roman" w:hAnsi="Times New Roman" w:cs="Times New Roman"/>
          <w:b/>
          <w:sz w:val="24"/>
          <w:szCs w:val="24"/>
          <w:lang w:val="en-GB"/>
        </w:rPr>
        <w:t>Examining the impact of conservation agriculture on environmental efficiency among maize farmers in Zambia</w:t>
      </w:r>
    </w:p>
    <w:p w14:paraId="37A9E7FD" w14:textId="77777777" w:rsidR="00A91C0C" w:rsidRPr="00492A85" w:rsidRDefault="00A91C0C" w:rsidP="00A91C0C">
      <w:pPr>
        <w:autoSpaceDE w:val="0"/>
        <w:autoSpaceDN w:val="0"/>
        <w:adjustRightInd w:val="0"/>
        <w:spacing w:after="0" w:line="240" w:lineRule="auto"/>
        <w:jc w:val="center"/>
        <w:rPr>
          <w:rFonts w:ascii="Times New Roman" w:hAnsi="Times New Roman" w:cs="Times New Roman"/>
          <w:b/>
          <w:sz w:val="24"/>
          <w:szCs w:val="24"/>
          <w:lang w:val="en-GB"/>
        </w:rPr>
      </w:pPr>
    </w:p>
    <w:p w14:paraId="0C35B39F" w14:textId="77777777" w:rsidR="00A91C0C" w:rsidRPr="00492A85" w:rsidRDefault="00A91C0C" w:rsidP="00A91C0C">
      <w:pPr>
        <w:autoSpaceDE w:val="0"/>
        <w:autoSpaceDN w:val="0"/>
        <w:adjustRightInd w:val="0"/>
        <w:spacing w:after="0" w:line="240" w:lineRule="auto"/>
        <w:jc w:val="center"/>
        <w:rPr>
          <w:rFonts w:ascii="Times New Roman" w:hAnsi="Times New Roman" w:cs="Times New Roman"/>
          <w:b/>
          <w:bCs/>
          <w:sz w:val="24"/>
          <w:szCs w:val="24"/>
          <w:lang w:val="en-GB"/>
        </w:rPr>
      </w:pPr>
    </w:p>
    <w:p w14:paraId="0338A505" w14:textId="77777777" w:rsidR="00A91C0C" w:rsidRPr="00492A85" w:rsidRDefault="00A91C0C" w:rsidP="00A91C0C">
      <w:pPr>
        <w:pStyle w:val="Default"/>
        <w:rPr>
          <w:color w:val="auto"/>
          <w:lang w:val="en-GB"/>
        </w:rPr>
      </w:pPr>
      <w:r w:rsidRPr="00492A85">
        <w:rPr>
          <w:color w:val="auto"/>
          <w:lang w:val="en-GB"/>
        </w:rPr>
        <w:t xml:space="preserve">ABDUL-NAFEO ABDULAI </w:t>
      </w:r>
    </w:p>
    <w:p w14:paraId="2F1F6485" w14:textId="77777777" w:rsidR="00A91C0C" w:rsidRPr="00492A85" w:rsidRDefault="00A91C0C" w:rsidP="00A91C0C">
      <w:pPr>
        <w:pStyle w:val="Default"/>
        <w:rPr>
          <w:bCs/>
          <w:i/>
          <w:color w:val="auto"/>
          <w:lang w:val="en-GB"/>
        </w:rPr>
      </w:pPr>
      <w:r w:rsidRPr="00492A85">
        <w:rPr>
          <w:bCs/>
          <w:i/>
          <w:color w:val="auto"/>
          <w:lang w:val="en-GB"/>
        </w:rPr>
        <w:t>Department of Food Economics and Consumption Studies, University of Kiel, Germany. Email: anabdul@food-econ.uni-kiel.de</w:t>
      </w:r>
    </w:p>
    <w:p w14:paraId="62600288" w14:textId="77777777" w:rsidR="00A91C0C" w:rsidRPr="00492A85" w:rsidRDefault="00A91C0C" w:rsidP="00A91C0C">
      <w:pPr>
        <w:pStyle w:val="Default"/>
        <w:rPr>
          <w:bCs/>
          <w:color w:val="auto"/>
          <w:lang w:val="en-GB"/>
        </w:rPr>
      </w:pPr>
    </w:p>
    <w:p w14:paraId="184DFF70" w14:textId="77777777" w:rsidR="00A91C0C" w:rsidRPr="00492A85" w:rsidRDefault="00A91C0C" w:rsidP="00A91C0C">
      <w:pPr>
        <w:pStyle w:val="Default"/>
        <w:rPr>
          <w:color w:val="auto"/>
          <w:lang w:val="en-GB"/>
        </w:rPr>
      </w:pPr>
      <w:r w:rsidRPr="00492A85">
        <w:rPr>
          <w:bCs/>
          <w:color w:val="auto"/>
          <w:lang w:val="en-GB"/>
        </w:rPr>
        <w:t>AWUDU ABDULAI, Corresponding Author</w:t>
      </w:r>
    </w:p>
    <w:p w14:paraId="034D31F9" w14:textId="77777777" w:rsidR="00A91C0C" w:rsidRPr="00492A85" w:rsidRDefault="00A91C0C" w:rsidP="00A91C0C">
      <w:pPr>
        <w:pStyle w:val="Default"/>
        <w:rPr>
          <w:bCs/>
          <w:i/>
          <w:color w:val="auto"/>
          <w:lang w:val="en-GB"/>
        </w:rPr>
      </w:pPr>
      <w:r w:rsidRPr="00492A85">
        <w:rPr>
          <w:bCs/>
          <w:i/>
          <w:color w:val="auto"/>
          <w:lang w:val="en-GB"/>
        </w:rPr>
        <w:t xml:space="preserve">Department of Food Economics and Consumption Studies, University of Kiel, </w:t>
      </w:r>
      <w:r w:rsidRPr="00492A85">
        <w:rPr>
          <w:i/>
          <w:iCs/>
          <w:color w:val="auto"/>
          <w:lang w:val="en-GB" w:eastAsia="zh-CN"/>
        </w:rPr>
        <w:t xml:space="preserve">Johanna-Mestorf-Str. 5, </w:t>
      </w:r>
      <w:r w:rsidRPr="00492A85">
        <w:rPr>
          <w:bCs/>
          <w:i/>
          <w:color w:val="auto"/>
          <w:lang w:val="en-GB"/>
        </w:rPr>
        <w:t xml:space="preserve">24118 Kiel, Germany. </w:t>
      </w:r>
      <w:r w:rsidRPr="00492A85">
        <w:rPr>
          <w:i/>
          <w:color w:val="auto"/>
          <w:lang w:val="en-GB"/>
        </w:rPr>
        <w:t xml:space="preserve">Tel: +49 431 880 4426. </w:t>
      </w:r>
      <w:r w:rsidRPr="00492A85">
        <w:rPr>
          <w:bCs/>
          <w:i/>
          <w:color w:val="auto"/>
          <w:lang w:val="en-GB"/>
        </w:rPr>
        <w:t xml:space="preserve">Email: </w:t>
      </w:r>
      <w:hyperlink r:id="rId8" w:history="1">
        <w:r w:rsidRPr="00492A85">
          <w:rPr>
            <w:rStyle w:val="Hyperlink"/>
            <w:bCs/>
            <w:i/>
            <w:color w:val="auto"/>
            <w:lang w:val="en-GB"/>
          </w:rPr>
          <w:t>aabdula@food-econ.uni-kiel.de</w:t>
        </w:r>
      </w:hyperlink>
    </w:p>
    <w:p w14:paraId="4382DF78" w14:textId="77777777" w:rsidR="00A91C0C" w:rsidRPr="00492A85" w:rsidRDefault="00A91C0C" w:rsidP="00A91C0C">
      <w:pPr>
        <w:pStyle w:val="Default"/>
        <w:rPr>
          <w:bCs/>
          <w:i/>
          <w:color w:val="auto"/>
          <w:lang w:val="en-GB"/>
        </w:rPr>
      </w:pPr>
    </w:p>
    <w:p w14:paraId="0EC3D96A" w14:textId="77777777" w:rsidR="00A91C0C" w:rsidRPr="00492A85" w:rsidRDefault="00A91C0C" w:rsidP="00A91C0C">
      <w:pPr>
        <w:pStyle w:val="Default"/>
        <w:rPr>
          <w:bCs/>
          <w:i/>
          <w:color w:val="auto"/>
          <w:lang w:val="en-GB"/>
        </w:rPr>
      </w:pPr>
    </w:p>
    <w:p w14:paraId="0A786152" w14:textId="77777777" w:rsidR="00A91C0C" w:rsidRPr="00492A85" w:rsidRDefault="00A91C0C">
      <w:pPr>
        <w:rPr>
          <w:rFonts w:ascii="Times New Roman" w:eastAsia="TimesNewRoman" w:hAnsi="Times New Roman" w:cs="Times New Roman"/>
          <w:b/>
          <w:sz w:val="24"/>
          <w:szCs w:val="24"/>
          <w:lang w:val="en-GB" w:eastAsia="de-DE"/>
        </w:rPr>
      </w:pPr>
    </w:p>
    <w:p w14:paraId="473A47E7" w14:textId="77777777" w:rsidR="00A91C0C" w:rsidRPr="00492A85" w:rsidRDefault="00A91C0C">
      <w:pPr>
        <w:rPr>
          <w:rFonts w:ascii="Times New Roman" w:eastAsia="TimesNewRoman" w:hAnsi="Times New Roman" w:cs="Times New Roman"/>
          <w:b/>
          <w:sz w:val="24"/>
          <w:szCs w:val="24"/>
          <w:lang w:val="en-GB" w:eastAsia="de-DE"/>
        </w:rPr>
      </w:pPr>
    </w:p>
    <w:p w14:paraId="21E53CD7" w14:textId="77777777" w:rsidR="00AA521B" w:rsidRPr="00492A85" w:rsidRDefault="00A91C0C" w:rsidP="00A91C0C">
      <w:pPr>
        <w:jc w:val="center"/>
        <w:rPr>
          <w:rFonts w:ascii="Times New Roman" w:eastAsia="TimesNewRoman" w:hAnsi="Times New Roman" w:cs="Times New Roman"/>
          <w:b/>
          <w:sz w:val="24"/>
          <w:szCs w:val="24"/>
          <w:lang w:val="en-GB" w:eastAsia="de-DE"/>
        </w:rPr>
      </w:pPr>
      <w:r w:rsidRPr="00492A85">
        <w:rPr>
          <w:rFonts w:ascii="Times New Roman" w:eastAsia="TimesNewRoman" w:hAnsi="Times New Roman" w:cs="Times New Roman"/>
          <w:b/>
          <w:sz w:val="24"/>
          <w:szCs w:val="24"/>
          <w:lang w:val="en-GB" w:eastAsia="de-DE"/>
        </w:rPr>
        <w:t>ONLINE APPENDIX</w:t>
      </w:r>
    </w:p>
    <w:p w14:paraId="725BC85D" w14:textId="77777777" w:rsidR="00AA521B" w:rsidRPr="00492A85" w:rsidRDefault="00AA521B">
      <w:pPr>
        <w:rPr>
          <w:rFonts w:ascii="Times New Roman" w:eastAsia="TimesNewRoman" w:hAnsi="Times New Roman" w:cs="Times New Roman"/>
          <w:b/>
          <w:sz w:val="24"/>
          <w:szCs w:val="24"/>
          <w:lang w:val="en-GB" w:eastAsia="de-DE"/>
        </w:rPr>
      </w:pPr>
    </w:p>
    <w:p w14:paraId="462283D5" w14:textId="77777777" w:rsidR="00A91C0C" w:rsidRPr="00492A85" w:rsidRDefault="00A91C0C">
      <w:pPr>
        <w:rPr>
          <w:rFonts w:ascii="Times New Roman" w:eastAsia="TimesNewRoman" w:hAnsi="Times New Roman" w:cs="Times New Roman"/>
          <w:b/>
          <w:sz w:val="24"/>
          <w:szCs w:val="24"/>
          <w:lang w:val="en-GB" w:eastAsia="de-DE"/>
        </w:rPr>
      </w:pPr>
      <w:r w:rsidRPr="00492A85">
        <w:rPr>
          <w:rFonts w:ascii="Times New Roman" w:eastAsia="TimesNewRoman" w:hAnsi="Times New Roman" w:cs="Times New Roman"/>
          <w:b/>
          <w:sz w:val="24"/>
          <w:szCs w:val="24"/>
          <w:lang w:val="en-GB" w:eastAsia="de-DE"/>
        </w:rPr>
        <w:br w:type="page"/>
      </w:r>
    </w:p>
    <w:p w14:paraId="35285986" w14:textId="77777777" w:rsidR="00796A72" w:rsidRPr="00492A85" w:rsidRDefault="00AA521B" w:rsidP="00A91C0C">
      <w:pPr>
        <w:spacing w:after="0" w:line="480" w:lineRule="auto"/>
        <w:rPr>
          <w:rFonts w:ascii="Times New Roman" w:eastAsia="TimesNewRoman" w:hAnsi="Times New Roman" w:cs="Times New Roman"/>
          <w:b/>
          <w:sz w:val="24"/>
          <w:szCs w:val="24"/>
          <w:lang w:val="en-GB" w:eastAsia="de-DE"/>
        </w:rPr>
      </w:pPr>
      <w:r w:rsidRPr="00492A85">
        <w:rPr>
          <w:rFonts w:ascii="Times New Roman" w:eastAsia="TimesNewRoman" w:hAnsi="Times New Roman" w:cs="Times New Roman"/>
          <w:b/>
          <w:sz w:val="24"/>
          <w:szCs w:val="24"/>
          <w:lang w:val="en-GB" w:eastAsia="de-DE"/>
        </w:rPr>
        <w:lastRenderedPageBreak/>
        <w:t>Nitrogen Index Tier Zero (NITZ)</w:t>
      </w:r>
      <w:r w:rsidR="00A91C0C" w:rsidRPr="00492A85">
        <w:rPr>
          <w:rFonts w:ascii="Times New Roman" w:eastAsia="TimesNewRoman" w:hAnsi="Times New Roman" w:cs="Times New Roman"/>
          <w:b/>
          <w:sz w:val="24"/>
          <w:szCs w:val="24"/>
          <w:lang w:val="en-GB" w:eastAsia="de-DE"/>
        </w:rPr>
        <w:t xml:space="preserve"> tool</w:t>
      </w:r>
    </w:p>
    <w:p w14:paraId="67FF26AB" w14:textId="2991A722" w:rsidR="00C860AE" w:rsidRPr="00492A85" w:rsidRDefault="00C860AE" w:rsidP="00A91C0C">
      <w:pPr>
        <w:spacing w:after="0" w:line="480" w:lineRule="auto"/>
        <w:jc w:val="both"/>
        <w:outlineLvl w:val="0"/>
        <w:rPr>
          <w:rFonts w:ascii="Times New Roman" w:hAnsi="Times New Roman" w:cs="Times New Roman"/>
          <w:sz w:val="24"/>
          <w:szCs w:val="24"/>
          <w:lang w:val="en-GB"/>
        </w:rPr>
      </w:pPr>
      <w:r w:rsidRPr="00492A85">
        <w:rPr>
          <w:rFonts w:ascii="Times New Roman" w:hAnsi="Times New Roman" w:cs="Times New Roman"/>
          <w:sz w:val="24"/>
          <w:szCs w:val="24"/>
          <w:lang w:val="en-GB"/>
        </w:rPr>
        <w:t>The NITZ is a simple user-friendly tool that conducts a quick assessment of the effects of nitrogen fertil</w:t>
      </w:r>
      <w:r w:rsidR="00492A85">
        <w:rPr>
          <w:rFonts w:ascii="Times New Roman" w:hAnsi="Times New Roman" w:cs="Times New Roman"/>
          <w:sz w:val="24"/>
          <w:szCs w:val="24"/>
          <w:lang w:val="en-GB"/>
        </w:rPr>
        <w:t>ize</w:t>
      </w:r>
      <w:r w:rsidRPr="00492A85">
        <w:rPr>
          <w:rFonts w:ascii="Times New Roman" w:hAnsi="Times New Roman" w:cs="Times New Roman"/>
          <w:sz w:val="24"/>
          <w:szCs w:val="24"/>
          <w:lang w:val="en-GB"/>
        </w:rPr>
        <w:t xml:space="preserve">r or manure management practices without using any laboratory data inputs. Depending on project needs and level of complexity, a tier classification system has been developed within the NITZ (Delgado </w:t>
      </w:r>
      <w:r w:rsidRPr="00492A85">
        <w:rPr>
          <w:rFonts w:ascii="Times New Roman" w:hAnsi="Times New Roman" w:cs="Times New Roman"/>
          <w:i/>
          <w:sz w:val="24"/>
          <w:szCs w:val="24"/>
          <w:lang w:val="en-GB"/>
        </w:rPr>
        <w:t>et al</w:t>
      </w:r>
      <w:r w:rsidRPr="00492A85">
        <w:rPr>
          <w:rFonts w:ascii="Times New Roman" w:hAnsi="Times New Roman" w:cs="Times New Roman"/>
          <w:sz w:val="24"/>
          <w:szCs w:val="24"/>
          <w:lang w:val="en-GB"/>
        </w:rPr>
        <w:t>., 2008</w:t>
      </w:r>
      <w:r w:rsidR="00492A85" w:rsidRPr="00492A85">
        <w:rPr>
          <w:rFonts w:ascii="Times New Roman" w:hAnsi="Times New Roman" w:cs="Times New Roman"/>
          <w:sz w:val="24"/>
          <w:szCs w:val="24"/>
          <w:lang w:val="en-GB"/>
        </w:rPr>
        <w:t>,</w:t>
      </w:r>
      <w:r w:rsidRPr="00492A85">
        <w:rPr>
          <w:rFonts w:ascii="Times New Roman" w:hAnsi="Times New Roman" w:cs="Times New Roman"/>
          <w:sz w:val="24"/>
          <w:szCs w:val="24"/>
          <w:lang w:val="en-GB"/>
        </w:rPr>
        <w:t xml:space="preserve"> 2011; Saynes </w:t>
      </w:r>
      <w:r w:rsidRPr="00492A85">
        <w:rPr>
          <w:rFonts w:ascii="Times New Roman" w:hAnsi="Times New Roman" w:cs="Times New Roman"/>
          <w:i/>
          <w:sz w:val="24"/>
          <w:szCs w:val="24"/>
          <w:lang w:val="en-GB"/>
        </w:rPr>
        <w:t>et al</w:t>
      </w:r>
      <w:r w:rsidRPr="00492A85">
        <w:rPr>
          <w:rFonts w:ascii="Times New Roman" w:hAnsi="Times New Roman" w:cs="Times New Roman"/>
          <w:sz w:val="24"/>
          <w:szCs w:val="24"/>
          <w:lang w:val="en-GB"/>
        </w:rPr>
        <w:t>., 2014)</w:t>
      </w:r>
      <w:r w:rsidR="00A91C0C" w:rsidRPr="00492A85">
        <w:rPr>
          <w:rFonts w:ascii="Times New Roman" w:hAnsi="Times New Roman" w:cs="Times New Roman"/>
          <w:sz w:val="24"/>
          <w:szCs w:val="24"/>
          <w:lang w:val="en-GB"/>
        </w:rPr>
        <w:t>.</w:t>
      </w:r>
      <w:r w:rsidRPr="00492A85">
        <w:rPr>
          <w:rStyle w:val="FootnoteReference"/>
          <w:rFonts w:ascii="Times New Roman" w:hAnsi="Times New Roman" w:cs="Times New Roman"/>
          <w:sz w:val="24"/>
          <w:szCs w:val="24"/>
          <w:lang w:val="en-GB"/>
        </w:rPr>
        <w:footnoteReference w:id="1"/>
      </w:r>
      <w:r w:rsidRPr="00492A85">
        <w:rPr>
          <w:rFonts w:ascii="Times New Roman" w:hAnsi="Times New Roman" w:cs="Times New Roman"/>
          <w:sz w:val="24"/>
          <w:szCs w:val="24"/>
          <w:lang w:val="en-GB"/>
        </w:rPr>
        <w:t xml:space="preserve"> Figure </w:t>
      </w:r>
      <w:r w:rsidR="00A91C0C" w:rsidRPr="00492A85">
        <w:rPr>
          <w:rFonts w:ascii="Times New Roman" w:hAnsi="Times New Roman" w:cs="Times New Roman"/>
          <w:sz w:val="24"/>
          <w:szCs w:val="24"/>
          <w:lang w:val="en-GB"/>
        </w:rPr>
        <w:t>A</w:t>
      </w:r>
      <w:r w:rsidRPr="00492A85">
        <w:rPr>
          <w:rFonts w:ascii="Times New Roman" w:hAnsi="Times New Roman" w:cs="Times New Roman"/>
          <w:sz w:val="24"/>
          <w:szCs w:val="24"/>
          <w:lang w:val="en-GB"/>
        </w:rPr>
        <w:t xml:space="preserve">1 displays quantitative and qualitative results of the NITZ (see Saynes </w:t>
      </w:r>
      <w:r w:rsidRPr="00492A85">
        <w:rPr>
          <w:rFonts w:ascii="Times New Roman" w:hAnsi="Times New Roman" w:cs="Times New Roman"/>
          <w:i/>
          <w:sz w:val="24"/>
          <w:szCs w:val="24"/>
          <w:lang w:val="en-GB"/>
        </w:rPr>
        <w:t>et al</w:t>
      </w:r>
      <w:r w:rsidRPr="00492A85">
        <w:rPr>
          <w:rFonts w:ascii="Times New Roman" w:hAnsi="Times New Roman" w:cs="Times New Roman"/>
          <w:sz w:val="24"/>
          <w:szCs w:val="24"/>
          <w:lang w:val="en-GB"/>
        </w:rPr>
        <w:t>., 2014 for details on the implementation of the NITZ)</w:t>
      </w:r>
      <w:r w:rsidR="00A91C0C" w:rsidRPr="00492A85">
        <w:rPr>
          <w:rFonts w:ascii="Times New Roman" w:hAnsi="Times New Roman" w:cs="Times New Roman"/>
          <w:sz w:val="24"/>
          <w:szCs w:val="24"/>
          <w:lang w:val="en-GB"/>
        </w:rPr>
        <w:t>.</w:t>
      </w:r>
      <w:r w:rsidRPr="00492A85">
        <w:rPr>
          <w:rStyle w:val="FootnoteReference"/>
          <w:rFonts w:ascii="Times New Roman" w:hAnsi="Times New Roman" w:cs="Times New Roman"/>
          <w:sz w:val="24"/>
          <w:szCs w:val="24"/>
          <w:lang w:val="en-GB"/>
        </w:rPr>
        <w:footnoteReference w:id="2"/>
      </w:r>
      <w:r w:rsidRPr="00492A85">
        <w:rPr>
          <w:rFonts w:ascii="Times New Roman" w:hAnsi="Times New Roman" w:cs="Times New Roman"/>
          <w:sz w:val="24"/>
          <w:szCs w:val="24"/>
          <w:lang w:val="en-GB"/>
        </w:rPr>
        <w:t xml:space="preserve"> Total nitrogen in the system is calculated as </w:t>
      </w:r>
      <w:r w:rsidR="00A91C0C" w:rsidRPr="00492A85">
        <w:rPr>
          <w:rFonts w:ascii="Times New Roman" w:hAnsi="Times New Roman" w:cs="Times New Roman"/>
          <w:sz w:val="24"/>
          <w:szCs w:val="24"/>
          <w:lang w:val="en-GB"/>
        </w:rPr>
        <w:t xml:space="preserve">the </w:t>
      </w:r>
      <w:r w:rsidRPr="00492A85">
        <w:rPr>
          <w:rFonts w:ascii="Times New Roman" w:hAnsi="Times New Roman" w:cs="Times New Roman"/>
          <w:sz w:val="24"/>
          <w:szCs w:val="24"/>
          <w:lang w:val="en-GB"/>
        </w:rPr>
        <w:t>sum of both inorganic and organic nitrogen from all sources in the system. These include initial soil nitrogen, atmospheric added nitrogen and liquid nitrogen added through irrigation and dry matter nitrogen from organic and inorganic sources</w:t>
      </w:r>
      <w:r w:rsidR="00A91C0C" w:rsidRPr="00492A85">
        <w:rPr>
          <w:rFonts w:ascii="Times New Roman" w:hAnsi="Times New Roman" w:cs="Times New Roman"/>
          <w:sz w:val="24"/>
          <w:szCs w:val="24"/>
          <w:lang w:val="en-GB"/>
        </w:rPr>
        <w:t>.</w:t>
      </w:r>
      <w:r w:rsidRPr="00492A85">
        <w:rPr>
          <w:rStyle w:val="FootnoteReference"/>
          <w:rFonts w:ascii="Times New Roman" w:hAnsi="Times New Roman" w:cs="Times New Roman"/>
          <w:sz w:val="24"/>
          <w:szCs w:val="24"/>
          <w:lang w:val="en-GB"/>
        </w:rPr>
        <w:footnoteReference w:id="3"/>
      </w:r>
      <w:r w:rsidRPr="00492A85">
        <w:rPr>
          <w:rFonts w:ascii="Times New Roman" w:hAnsi="Times New Roman" w:cs="Times New Roman"/>
          <w:sz w:val="24"/>
          <w:szCs w:val="24"/>
          <w:lang w:val="en-GB"/>
        </w:rPr>
        <w:t xml:space="preserve"> </w:t>
      </w:r>
    </w:p>
    <w:p w14:paraId="427B68C7" w14:textId="56C8DDDA" w:rsidR="00C860AE" w:rsidRPr="00492A85" w:rsidRDefault="00C860AE" w:rsidP="00A91C0C">
      <w:pPr>
        <w:spacing w:after="0" w:line="480" w:lineRule="auto"/>
        <w:ind w:firstLine="720"/>
        <w:jc w:val="both"/>
        <w:rPr>
          <w:rFonts w:ascii="Times New Roman" w:hAnsi="Times New Roman" w:cs="Times New Roman"/>
          <w:sz w:val="24"/>
          <w:szCs w:val="24"/>
          <w:lang w:val="en-GB"/>
        </w:rPr>
      </w:pPr>
      <w:r w:rsidRPr="00492A85">
        <w:rPr>
          <w:rFonts w:ascii="Times New Roman" w:hAnsi="Times New Roman" w:cs="Times New Roman"/>
          <w:sz w:val="24"/>
          <w:szCs w:val="24"/>
          <w:lang w:val="en-GB"/>
        </w:rPr>
        <w:t xml:space="preserve">Above ground uptake indicated in figure </w:t>
      </w:r>
      <w:r w:rsidR="00A91C0C" w:rsidRPr="00492A85">
        <w:rPr>
          <w:rFonts w:ascii="Times New Roman" w:hAnsi="Times New Roman" w:cs="Times New Roman"/>
          <w:sz w:val="24"/>
          <w:szCs w:val="24"/>
          <w:lang w:val="en-GB"/>
        </w:rPr>
        <w:t>A</w:t>
      </w:r>
      <w:r w:rsidRPr="00492A85">
        <w:rPr>
          <w:rFonts w:ascii="Times New Roman" w:hAnsi="Times New Roman" w:cs="Times New Roman"/>
          <w:sz w:val="24"/>
          <w:szCs w:val="24"/>
          <w:lang w:val="en-GB"/>
        </w:rPr>
        <w:t>1 is estimated from the NITZ as the product of crop yield and the quantity of nitrogen used per unit of output. Farm level quantities of nitrogen fertil</w:t>
      </w:r>
      <w:r w:rsidR="00492A85">
        <w:rPr>
          <w:rFonts w:ascii="Times New Roman" w:hAnsi="Times New Roman" w:cs="Times New Roman"/>
          <w:sz w:val="24"/>
          <w:szCs w:val="24"/>
          <w:lang w:val="en-GB"/>
        </w:rPr>
        <w:t>ize</w:t>
      </w:r>
      <w:r w:rsidRPr="00492A85">
        <w:rPr>
          <w:rFonts w:ascii="Times New Roman" w:hAnsi="Times New Roman" w:cs="Times New Roman"/>
          <w:sz w:val="24"/>
          <w:szCs w:val="24"/>
          <w:lang w:val="en-GB"/>
        </w:rPr>
        <w:t>rs were readily available to implement the NITZ</w:t>
      </w:r>
      <w:r w:rsidR="00A91C0C" w:rsidRPr="00492A85">
        <w:rPr>
          <w:rFonts w:ascii="Times New Roman" w:hAnsi="Times New Roman" w:cs="Times New Roman"/>
          <w:sz w:val="24"/>
          <w:szCs w:val="24"/>
          <w:lang w:val="en-GB"/>
        </w:rPr>
        <w:t xml:space="preserve"> tool</w:t>
      </w:r>
      <w:r w:rsidRPr="00492A85">
        <w:rPr>
          <w:rFonts w:ascii="Times New Roman" w:hAnsi="Times New Roman" w:cs="Times New Roman"/>
          <w:sz w:val="24"/>
          <w:szCs w:val="24"/>
          <w:lang w:val="en-GB"/>
        </w:rPr>
        <w:t>. The NITZ explicitly splits the quantity of nitrogen applied into nitrogen in the output and nitrogen surplus, hence complying with the material balance principle. Generally, Zambian maize farmers, and the farmers in the sample in particular</w:t>
      </w:r>
      <w:r w:rsidR="00A91C0C" w:rsidRPr="00492A85">
        <w:rPr>
          <w:rFonts w:ascii="Times New Roman" w:hAnsi="Times New Roman" w:cs="Times New Roman"/>
          <w:sz w:val="24"/>
          <w:szCs w:val="24"/>
          <w:lang w:val="en-GB"/>
        </w:rPr>
        <w:t>,</w:t>
      </w:r>
      <w:r w:rsidRPr="00492A85">
        <w:rPr>
          <w:rFonts w:ascii="Times New Roman" w:hAnsi="Times New Roman" w:cs="Times New Roman"/>
          <w:sz w:val="24"/>
          <w:szCs w:val="24"/>
          <w:lang w:val="en-GB"/>
        </w:rPr>
        <w:t xml:space="preserve"> apply D-Compound (10-20-10) as basal and urea as top dress (IFDC, 2013). The D-compound and urea fertil</w:t>
      </w:r>
      <w:r w:rsidR="00492A85">
        <w:rPr>
          <w:rFonts w:ascii="Times New Roman" w:hAnsi="Times New Roman" w:cs="Times New Roman"/>
          <w:sz w:val="24"/>
          <w:szCs w:val="24"/>
          <w:lang w:val="en-GB"/>
        </w:rPr>
        <w:t>ize</w:t>
      </w:r>
      <w:r w:rsidRPr="00492A85">
        <w:rPr>
          <w:rFonts w:ascii="Times New Roman" w:hAnsi="Times New Roman" w:cs="Times New Roman"/>
          <w:sz w:val="24"/>
          <w:szCs w:val="24"/>
          <w:lang w:val="en-GB"/>
        </w:rPr>
        <w:t xml:space="preserve">rs contain 10 </w:t>
      </w:r>
      <w:r w:rsidR="00A91C0C" w:rsidRPr="00492A85">
        <w:rPr>
          <w:rFonts w:ascii="Times New Roman" w:hAnsi="Times New Roman" w:cs="Times New Roman"/>
          <w:sz w:val="24"/>
          <w:szCs w:val="24"/>
          <w:lang w:val="en-GB"/>
        </w:rPr>
        <w:t>per cent</w:t>
      </w:r>
      <w:r w:rsidRPr="00492A85">
        <w:rPr>
          <w:rFonts w:ascii="Times New Roman" w:hAnsi="Times New Roman" w:cs="Times New Roman"/>
          <w:sz w:val="24"/>
          <w:szCs w:val="24"/>
          <w:lang w:val="en-GB"/>
        </w:rPr>
        <w:t xml:space="preserve"> and 46 </w:t>
      </w:r>
      <w:r w:rsidR="00A91C0C" w:rsidRPr="00492A85">
        <w:rPr>
          <w:rFonts w:ascii="Times New Roman" w:hAnsi="Times New Roman" w:cs="Times New Roman"/>
          <w:sz w:val="24"/>
          <w:szCs w:val="24"/>
          <w:lang w:val="en-GB"/>
        </w:rPr>
        <w:t>per cent</w:t>
      </w:r>
      <w:r w:rsidRPr="00492A85">
        <w:rPr>
          <w:rFonts w:ascii="Times New Roman" w:hAnsi="Times New Roman" w:cs="Times New Roman"/>
          <w:sz w:val="24"/>
          <w:szCs w:val="24"/>
          <w:lang w:val="en-GB"/>
        </w:rPr>
        <w:t xml:space="preserve"> nitrogen, respectively. Given that there are no differences in atmospheric and other nitrogen deposition sources between adopters and non-adopters, we limit the nitrogen quantities to only quantities applied in the 2012 production season. We use rainfall data from the Climate Change Knowledge Portal of the World Bank Group in the NITZ. We also adopt soil type bulk density in the estimation process </w:t>
      </w:r>
      <w:r w:rsidRPr="00492A85">
        <w:rPr>
          <w:rFonts w:ascii="Times New Roman" w:hAnsi="Times New Roman" w:cs="Times New Roman"/>
          <w:sz w:val="24"/>
          <w:szCs w:val="24"/>
          <w:lang w:val="en-GB"/>
        </w:rPr>
        <w:lastRenderedPageBreak/>
        <w:t>(e.g.</w:t>
      </w:r>
      <w:r w:rsidR="00492A85" w:rsidRPr="00492A85">
        <w:rPr>
          <w:rFonts w:ascii="Times New Roman" w:hAnsi="Times New Roman" w:cs="Times New Roman"/>
          <w:sz w:val="24"/>
          <w:szCs w:val="24"/>
          <w:lang w:val="en-GB"/>
        </w:rPr>
        <w:t>,</w:t>
      </w:r>
      <w:r w:rsidRPr="00492A85">
        <w:rPr>
          <w:rFonts w:ascii="Times New Roman" w:hAnsi="Times New Roman" w:cs="Times New Roman"/>
          <w:sz w:val="24"/>
          <w:szCs w:val="24"/>
          <w:lang w:val="en-GB"/>
        </w:rPr>
        <w:t xml:space="preserve"> 1.4 for loam soils). In line with the farming practices in Zambia, while non-CA farmers adopt surface placement, CA farmers incorporate fertil</w:t>
      </w:r>
      <w:r w:rsidR="00492A85">
        <w:rPr>
          <w:rFonts w:ascii="Times New Roman" w:hAnsi="Times New Roman" w:cs="Times New Roman"/>
          <w:sz w:val="24"/>
          <w:szCs w:val="24"/>
          <w:lang w:val="en-GB"/>
        </w:rPr>
        <w:t>ize</w:t>
      </w:r>
      <w:r w:rsidRPr="00492A85">
        <w:rPr>
          <w:rFonts w:ascii="Times New Roman" w:hAnsi="Times New Roman" w:cs="Times New Roman"/>
          <w:sz w:val="24"/>
          <w:szCs w:val="24"/>
          <w:lang w:val="en-GB"/>
        </w:rPr>
        <w:t>rs in the soil.</w:t>
      </w:r>
    </w:p>
    <w:p w14:paraId="136F8166" w14:textId="77777777" w:rsidR="00A91C0C" w:rsidRPr="00492A85" w:rsidRDefault="00A91C0C" w:rsidP="00A91C0C">
      <w:pPr>
        <w:spacing w:after="0" w:line="480" w:lineRule="auto"/>
        <w:jc w:val="both"/>
        <w:rPr>
          <w:rFonts w:ascii="Times New Roman" w:hAnsi="Times New Roman" w:cs="Times New Roman"/>
          <w:sz w:val="24"/>
          <w:szCs w:val="24"/>
          <w:lang w:val="en-GB"/>
        </w:rPr>
      </w:pPr>
    </w:p>
    <w:p w14:paraId="37C3D722" w14:textId="77777777" w:rsidR="004C616D" w:rsidRPr="00492A85" w:rsidRDefault="004C616D" w:rsidP="00A91C0C">
      <w:pPr>
        <w:spacing w:line="480" w:lineRule="auto"/>
        <w:jc w:val="center"/>
        <w:rPr>
          <w:rFonts w:ascii="Times New Roman" w:hAnsi="Times New Roman" w:cs="Times New Roman"/>
          <w:sz w:val="24"/>
          <w:szCs w:val="24"/>
          <w:lang w:val="en-GB"/>
        </w:rPr>
      </w:pPr>
      <w:r w:rsidRPr="00492A85">
        <w:rPr>
          <w:rFonts w:ascii="Times New Roman" w:hAnsi="Times New Roman" w:cs="Times New Roman"/>
          <w:b/>
          <w:sz w:val="24"/>
          <w:szCs w:val="24"/>
          <w:lang w:val="en-GB" w:eastAsia="en-GB"/>
        </w:rPr>
        <w:drawing>
          <wp:inline distT="0" distB="0" distL="0" distR="0" wp14:anchorId="3EE6895C" wp14:editId="2D305947">
            <wp:extent cx="5882489" cy="3960000"/>
            <wp:effectExtent l="0" t="0" r="4445" b="2540"/>
            <wp:docPr id="5" name="Picture 5" descr="E:\ABDUL\E.efficiency\envt eff\N2O z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BDUL\E.efficiency\envt eff\N2O ze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2489" cy="3960000"/>
                    </a:xfrm>
                    <a:prstGeom prst="rect">
                      <a:avLst/>
                    </a:prstGeom>
                    <a:noFill/>
                    <a:ln>
                      <a:noFill/>
                    </a:ln>
                  </pic:spPr>
                </pic:pic>
              </a:graphicData>
            </a:graphic>
          </wp:inline>
        </w:drawing>
      </w:r>
    </w:p>
    <w:p w14:paraId="6F210C37" w14:textId="77777777" w:rsidR="00BA2A68" w:rsidRPr="00492A85" w:rsidRDefault="00BA2A68" w:rsidP="00A91C0C">
      <w:pPr>
        <w:autoSpaceDE w:val="0"/>
        <w:autoSpaceDN w:val="0"/>
        <w:adjustRightInd w:val="0"/>
        <w:spacing w:after="0" w:line="240" w:lineRule="auto"/>
        <w:ind w:left="113"/>
        <w:rPr>
          <w:rFonts w:ascii="Times New Roman" w:hAnsi="Times New Roman" w:cs="Times New Roman"/>
          <w:sz w:val="24"/>
          <w:szCs w:val="24"/>
          <w:lang w:val="en-GB"/>
        </w:rPr>
      </w:pPr>
      <w:r w:rsidRPr="00492A85">
        <w:rPr>
          <w:rFonts w:ascii="Times New Roman" w:hAnsi="Times New Roman" w:cs="Times New Roman"/>
          <w:sz w:val="24"/>
          <w:szCs w:val="24"/>
          <w:lang w:val="en-GB"/>
        </w:rPr>
        <w:t xml:space="preserve">Figure A1. </w:t>
      </w:r>
      <w:r w:rsidRPr="00492A85">
        <w:rPr>
          <w:rFonts w:ascii="Times New Roman" w:hAnsi="Times New Roman" w:cs="Times New Roman"/>
          <w:i/>
          <w:sz w:val="24"/>
          <w:szCs w:val="24"/>
          <w:lang w:val="en-GB"/>
        </w:rPr>
        <w:t xml:space="preserve">Assessment screen of the Nitrogen Index </w:t>
      </w:r>
      <w:r w:rsidR="00A91C0C" w:rsidRPr="00492A85">
        <w:rPr>
          <w:rFonts w:ascii="Times New Roman" w:hAnsi="Times New Roman" w:cs="Times New Roman"/>
          <w:i/>
          <w:sz w:val="24"/>
          <w:szCs w:val="24"/>
          <w:lang w:val="en-GB"/>
        </w:rPr>
        <w:t xml:space="preserve">Tier Zero </w:t>
      </w:r>
      <w:r w:rsidRPr="00492A85">
        <w:rPr>
          <w:rFonts w:ascii="Times New Roman" w:hAnsi="Times New Roman" w:cs="Times New Roman"/>
          <w:i/>
          <w:sz w:val="24"/>
          <w:szCs w:val="24"/>
          <w:lang w:val="en-GB"/>
        </w:rPr>
        <w:t>tool with both qualitative and quantitative results</w:t>
      </w:r>
    </w:p>
    <w:p w14:paraId="61DE8427" w14:textId="77777777" w:rsidR="00BA2A68" w:rsidRPr="00492A85" w:rsidRDefault="00BA2A68" w:rsidP="00A91C0C">
      <w:pPr>
        <w:autoSpaceDE w:val="0"/>
        <w:autoSpaceDN w:val="0"/>
        <w:adjustRightInd w:val="0"/>
        <w:spacing w:before="120" w:after="0" w:line="240" w:lineRule="auto"/>
        <w:ind w:left="113"/>
        <w:rPr>
          <w:rFonts w:ascii="Times New Roman" w:hAnsi="Times New Roman" w:cs="Times New Roman"/>
          <w:sz w:val="24"/>
          <w:szCs w:val="24"/>
          <w:lang w:val="en-GB"/>
        </w:rPr>
      </w:pPr>
      <w:r w:rsidRPr="00492A85">
        <w:rPr>
          <w:rFonts w:ascii="Times New Roman" w:hAnsi="Times New Roman" w:cs="Times New Roman"/>
          <w:i/>
          <w:sz w:val="24"/>
          <w:szCs w:val="24"/>
          <w:lang w:val="en-GB"/>
        </w:rPr>
        <w:t>Source</w:t>
      </w:r>
      <w:r w:rsidRPr="00492A85">
        <w:rPr>
          <w:rFonts w:ascii="Times New Roman" w:hAnsi="Times New Roman" w:cs="Times New Roman"/>
          <w:sz w:val="24"/>
          <w:szCs w:val="24"/>
          <w:lang w:val="en-GB"/>
        </w:rPr>
        <w:t>:</w:t>
      </w:r>
      <w:r w:rsidRPr="00492A85">
        <w:rPr>
          <w:rFonts w:ascii="Times New Roman" w:hAnsi="Times New Roman" w:cs="Times New Roman"/>
          <w:b/>
          <w:sz w:val="24"/>
          <w:szCs w:val="24"/>
          <w:lang w:val="en-GB"/>
        </w:rPr>
        <w:t xml:space="preserve"> </w:t>
      </w:r>
      <w:r w:rsidRPr="00492A85">
        <w:rPr>
          <w:rFonts w:ascii="Times New Roman" w:hAnsi="Times New Roman" w:cs="Times New Roman"/>
          <w:sz w:val="24"/>
          <w:szCs w:val="24"/>
          <w:lang w:val="en-GB"/>
        </w:rPr>
        <w:t>Authors’ estimates</w:t>
      </w:r>
    </w:p>
    <w:p w14:paraId="3080B4D8" w14:textId="77777777" w:rsidR="00A91C0C" w:rsidRPr="00492A85" w:rsidRDefault="00A91C0C">
      <w:pPr>
        <w:rPr>
          <w:lang w:val="en-GB"/>
        </w:rPr>
      </w:pPr>
      <w:r w:rsidRPr="00492A85">
        <w:rPr>
          <w:lang w:val="en-GB"/>
        </w:rPr>
        <w:br w:type="page"/>
      </w:r>
    </w:p>
    <w:tbl>
      <w:tblPr>
        <w:tblW w:w="7763" w:type="dxa"/>
        <w:tblLayout w:type="fixed"/>
        <w:tblLook w:val="04A0" w:firstRow="1" w:lastRow="0" w:firstColumn="1" w:lastColumn="0" w:noHBand="0" w:noVBand="1"/>
      </w:tblPr>
      <w:tblGrid>
        <w:gridCol w:w="3828"/>
        <w:gridCol w:w="1667"/>
        <w:gridCol w:w="2268"/>
      </w:tblGrid>
      <w:tr w:rsidR="00492A85" w:rsidRPr="00492A85" w14:paraId="430E11C9" w14:textId="77777777" w:rsidTr="00492A85">
        <w:tc>
          <w:tcPr>
            <w:tcW w:w="7763" w:type="dxa"/>
            <w:gridSpan w:val="3"/>
            <w:tcBorders>
              <w:bottom w:val="single" w:sz="4" w:space="0" w:color="auto"/>
            </w:tcBorders>
            <w:shd w:val="clear" w:color="auto" w:fill="auto"/>
            <w:hideMark/>
          </w:tcPr>
          <w:p w14:paraId="54A692CA" w14:textId="77777777" w:rsidR="00AA521B" w:rsidRPr="00492A85" w:rsidRDefault="00A91C0C" w:rsidP="004E19F4">
            <w:pPr>
              <w:spacing w:after="0" w:line="240" w:lineRule="auto"/>
              <w:jc w:val="center"/>
              <w:rPr>
                <w:rFonts w:ascii="Times New Roman" w:eastAsia="Times New Roman" w:hAnsi="Times New Roman" w:cs="Times New Roman"/>
                <w:sz w:val="24"/>
                <w:szCs w:val="24"/>
                <w:lang w:val="en-GB"/>
              </w:rPr>
            </w:pPr>
            <w:r w:rsidRPr="00492A85">
              <w:rPr>
                <w:rFonts w:ascii="Times New Roman" w:hAnsi="Times New Roman" w:cs="Times New Roman"/>
                <w:sz w:val="24"/>
                <w:szCs w:val="24"/>
                <w:lang w:val="en-GB"/>
              </w:rPr>
              <w:lastRenderedPageBreak/>
              <w:t xml:space="preserve">Table </w:t>
            </w:r>
            <w:r w:rsidR="00AA521B" w:rsidRPr="00492A85">
              <w:rPr>
                <w:rFonts w:ascii="Times New Roman" w:hAnsi="Times New Roman" w:cs="Times New Roman"/>
                <w:sz w:val="24"/>
                <w:szCs w:val="24"/>
                <w:lang w:val="en-GB"/>
              </w:rPr>
              <w:br w:type="column"/>
            </w:r>
            <w:r w:rsidR="00AA521B" w:rsidRPr="00492A85">
              <w:rPr>
                <w:rFonts w:ascii="Times New Roman" w:eastAsia="Times New Roman" w:hAnsi="Times New Roman" w:cs="Times New Roman"/>
                <w:sz w:val="24"/>
                <w:szCs w:val="24"/>
                <w:lang w:val="en-GB"/>
              </w:rPr>
              <w:t>A1.  </w:t>
            </w:r>
            <w:r w:rsidR="00AA521B" w:rsidRPr="00492A85">
              <w:rPr>
                <w:rFonts w:ascii="Times New Roman" w:eastAsia="Times New Roman" w:hAnsi="Times New Roman" w:cs="Times New Roman"/>
                <w:i/>
                <w:sz w:val="24"/>
                <w:szCs w:val="24"/>
                <w:lang w:val="en-GB"/>
              </w:rPr>
              <w:t>Propensity score for CA technology adoption</w:t>
            </w:r>
          </w:p>
          <w:p w14:paraId="155A44CC" w14:textId="77777777" w:rsidR="00A91C0C" w:rsidRPr="00492A85" w:rsidRDefault="00A91C0C" w:rsidP="004E19F4">
            <w:pPr>
              <w:spacing w:after="0" w:line="240" w:lineRule="auto"/>
              <w:rPr>
                <w:rFonts w:ascii="Times New Roman" w:eastAsia="Times New Roman" w:hAnsi="Times New Roman" w:cs="Times New Roman"/>
                <w:sz w:val="24"/>
                <w:szCs w:val="24"/>
                <w:lang w:val="en-GB"/>
              </w:rPr>
            </w:pPr>
          </w:p>
        </w:tc>
      </w:tr>
      <w:tr w:rsidR="00492A85" w:rsidRPr="00492A85" w14:paraId="68D82858" w14:textId="77777777" w:rsidTr="00492A85">
        <w:tc>
          <w:tcPr>
            <w:tcW w:w="3828" w:type="dxa"/>
            <w:tcBorders>
              <w:top w:val="single" w:sz="4" w:space="0" w:color="auto"/>
              <w:bottom w:val="single" w:sz="4" w:space="0" w:color="auto"/>
            </w:tcBorders>
            <w:shd w:val="clear" w:color="auto" w:fill="auto"/>
            <w:hideMark/>
          </w:tcPr>
          <w:p w14:paraId="0DCD3765" w14:textId="77777777" w:rsidR="00AA521B" w:rsidRPr="00492A85" w:rsidRDefault="00AA521B" w:rsidP="00492A85">
            <w:pPr>
              <w:spacing w:after="80" w:line="240" w:lineRule="auto"/>
              <w:rPr>
                <w:rFonts w:ascii="Times New Roman" w:eastAsia="Times New Roman" w:hAnsi="Times New Roman" w:cs="Times New Roman"/>
                <w:i/>
                <w:lang w:val="en-GB"/>
              </w:rPr>
            </w:pPr>
            <w:r w:rsidRPr="00492A85">
              <w:rPr>
                <w:rFonts w:ascii="Times New Roman" w:eastAsia="Times New Roman" w:hAnsi="Times New Roman" w:cs="Times New Roman"/>
                <w:i/>
                <w:lang w:val="en-GB"/>
              </w:rPr>
              <w:t>Variable</w:t>
            </w:r>
          </w:p>
        </w:tc>
        <w:tc>
          <w:tcPr>
            <w:tcW w:w="1667" w:type="dxa"/>
            <w:tcBorders>
              <w:top w:val="single" w:sz="4" w:space="0" w:color="auto"/>
              <w:bottom w:val="single" w:sz="4" w:space="0" w:color="auto"/>
            </w:tcBorders>
            <w:shd w:val="clear" w:color="auto" w:fill="auto"/>
            <w:hideMark/>
          </w:tcPr>
          <w:p w14:paraId="14D2DC56" w14:textId="27EC6C49" w:rsidR="00AA521B" w:rsidRPr="00492A85" w:rsidRDefault="00AA521B" w:rsidP="00492A85">
            <w:pPr>
              <w:spacing w:after="80" w:line="240" w:lineRule="auto"/>
              <w:rPr>
                <w:rFonts w:ascii="Times New Roman" w:eastAsia="Times New Roman" w:hAnsi="Times New Roman" w:cs="Times New Roman"/>
                <w:i/>
                <w:lang w:val="en-GB"/>
              </w:rPr>
            </w:pPr>
            <w:r w:rsidRPr="00492A85">
              <w:rPr>
                <w:rFonts w:ascii="Times New Roman" w:eastAsia="Times New Roman" w:hAnsi="Times New Roman" w:cs="Times New Roman"/>
                <w:i/>
                <w:lang w:val="en-GB"/>
              </w:rPr>
              <w:t>Coe</w:t>
            </w:r>
            <w:r w:rsidR="00492A85">
              <w:rPr>
                <w:rFonts w:ascii="Times New Roman" w:eastAsia="Times New Roman" w:hAnsi="Times New Roman" w:cs="Times New Roman"/>
                <w:i/>
                <w:lang w:val="en-GB"/>
              </w:rPr>
              <w:t>f</w:t>
            </w:r>
            <w:bookmarkStart w:id="0" w:name="_GoBack"/>
            <w:bookmarkEnd w:id="0"/>
            <w:r w:rsidRPr="00492A85">
              <w:rPr>
                <w:rFonts w:ascii="Times New Roman" w:eastAsia="Times New Roman" w:hAnsi="Times New Roman" w:cs="Times New Roman"/>
                <w:i/>
                <w:lang w:val="en-GB"/>
              </w:rPr>
              <w:t>f.</w:t>
            </w:r>
          </w:p>
        </w:tc>
        <w:tc>
          <w:tcPr>
            <w:tcW w:w="2268" w:type="dxa"/>
            <w:tcBorders>
              <w:top w:val="single" w:sz="4" w:space="0" w:color="auto"/>
              <w:bottom w:val="single" w:sz="4" w:space="0" w:color="auto"/>
            </w:tcBorders>
            <w:shd w:val="clear" w:color="auto" w:fill="auto"/>
            <w:hideMark/>
          </w:tcPr>
          <w:p w14:paraId="785B7D05" w14:textId="43D02D82" w:rsidR="00AA521B" w:rsidRPr="00492A85" w:rsidRDefault="00AA521B" w:rsidP="00492A85">
            <w:pPr>
              <w:spacing w:after="80" w:line="240" w:lineRule="auto"/>
              <w:rPr>
                <w:rFonts w:ascii="Times New Roman" w:eastAsia="Times New Roman" w:hAnsi="Times New Roman" w:cs="Times New Roman"/>
                <w:i/>
                <w:lang w:val="en-GB"/>
              </w:rPr>
            </w:pPr>
            <w:r w:rsidRPr="00492A85">
              <w:rPr>
                <w:rFonts w:ascii="Times New Roman" w:eastAsia="Times New Roman" w:hAnsi="Times New Roman" w:cs="Times New Roman"/>
                <w:i/>
                <w:lang w:val="en-GB"/>
              </w:rPr>
              <w:t>S.E.</w:t>
            </w:r>
          </w:p>
        </w:tc>
      </w:tr>
      <w:tr w:rsidR="00492A85" w:rsidRPr="00492A85" w14:paraId="175FDCDE" w14:textId="77777777" w:rsidTr="00492A85">
        <w:tc>
          <w:tcPr>
            <w:tcW w:w="3828" w:type="dxa"/>
            <w:tcBorders>
              <w:top w:val="single" w:sz="4" w:space="0" w:color="auto"/>
            </w:tcBorders>
            <w:shd w:val="clear" w:color="auto" w:fill="auto"/>
            <w:hideMark/>
          </w:tcPr>
          <w:p w14:paraId="479097CD"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Constant</w:t>
            </w:r>
          </w:p>
        </w:tc>
        <w:tc>
          <w:tcPr>
            <w:tcW w:w="1667" w:type="dxa"/>
            <w:tcBorders>
              <w:top w:val="single" w:sz="4" w:space="0" w:color="auto"/>
            </w:tcBorders>
            <w:shd w:val="clear" w:color="auto" w:fill="auto"/>
            <w:hideMark/>
          </w:tcPr>
          <w:p w14:paraId="111C7987" w14:textId="7542DCF4" w:rsidR="00AA521B" w:rsidRPr="00492A85" w:rsidRDefault="004E19F4"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w:t>
            </w:r>
            <w:r w:rsidR="00AA521B" w:rsidRPr="00492A85">
              <w:rPr>
                <w:rFonts w:ascii="Times New Roman" w:eastAsia="Times New Roman" w:hAnsi="Times New Roman" w:cs="Times New Roman"/>
                <w:lang w:val="en-GB"/>
              </w:rPr>
              <w:t>3.855***</w:t>
            </w:r>
          </w:p>
        </w:tc>
        <w:tc>
          <w:tcPr>
            <w:tcW w:w="2268" w:type="dxa"/>
            <w:tcBorders>
              <w:top w:val="single" w:sz="4" w:space="0" w:color="auto"/>
            </w:tcBorders>
            <w:shd w:val="clear" w:color="auto" w:fill="auto"/>
            <w:hideMark/>
          </w:tcPr>
          <w:p w14:paraId="0C6EF2A8"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1.150</w:t>
            </w:r>
          </w:p>
        </w:tc>
      </w:tr>
      <w:tr w:rsidR="00492A85" w:rsidRPr="00492A85" w14:paraId="59310E3C" w14:textId="77777777" w:rsidTr="00492A85">
        <w:tc>
          <w:tcPr>
            <w:tcW w:w="3828" w:type="dxa"/>
            <w:shd w:val="clear" w:color="auto" w:fill="auto"/>
            <w:hideMark/>
          </w:tcPr>
          <w:p w14:paraId="53A8EF36"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Age</w:t>
            </w:r>
          </w:p>
        </w:tc>
        <w:tc>
          <w:tcPr>
            <w:tcW w:w="1667" w:type="dxa"/>
            <w:shd w:val="clear" w:color="auto" w:fill="auto"/>
            <w:hideMark/>
          </w:tcPr>
          <w:p w14:paraId="12EDDE29" w14:textId="321029E4" w:rsidR="00AA521B" w:rsidRPr="00492A85" w:rsidRDefault="004E19F4"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w:t>
            </w:r>
            <w:r w:rsidR="00AA521B" w:rsidRPr="00492A85">
              <w:rPr>
                <w:rFonts w:ascii="Times New Roman" w:eastAsia="Times New Roman" w:hAnsi="Times New Roman" w:cs="Times New Roman"/>
                <w:lang w:val="en-GB"/>
              </w:rPr>
              <w:t>0.009</w:t>
            </w:r>
          </w:p>
        </w:tc>
        <w:tc>
          <w:tcPr>
            <w:tcW w:w="2268" w:type="dxa"/>
            <w:shd w:val="clear" w:color="auto" w:fill="auto"/>
            <w:hideMark/>
          </w:tcPr>
          <w:p w14:paraId="4A7081D1"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0.014</w:t>
            </w:r>
          </w:p>
        </w:tc>
      </w:tr>
      <w:tr w:rsidR="00492A85" w:rsidRPr="00492A85" w14:paraId="6A40BCA6" w14:textId="77777777" w:rsidTr="00492A85">
        <w:tc>
          <w:tcPr>
            <w:tcW w:w="3828" w:type="dxa"/>
            <w:shd w:val="clear" w:color="auto" w:fill="auto"/>
            <w:hideMark/>
          </w:tcPr>
          <w:p w14:paraId="49FBEF6F"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Education</w:t>
            </w:r>
          </w:p>
        </w:tc>
        <w:tc>
          <w:tcPr>
            <w:tcW w:w="1667" w:type="dxa"/>
            <w:shd w:val="clear" w:color="auto" w:fill="auto"/>
            <w:hideMark/>
          </w:tcPr>
          <w:p w14:paraId="611D54C8" w14:textId="180C7C7B" w:rsidR="00AA521B" w:rsidRPr="00492A85" w:rsidRDefault="00A91C0C"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w:t>
            </w:r>
            <w:r w:rsidR="004E19F4" w:rsidRPr="00492A85">
              <w:rPr>
                <w:rFonts w:ascii="Times New Roman" w:eastAsia="Times New Roman" w:hAnsi="Times New Roman" w:cs="Times New Roman"/>
                <w:lang w:val="en-GB"/>
              </w:rPr>
              <w:t xml:space="preserve"> </w:t>
            </w:r>
            <w:r w:rsidRPr="00492A85">
              <w:rPr>
                <w:rFonts w:ascii="Times New Roman" w:eastAsia="Times New Roman" w:hAnsi="Times New Roman" w:cs="Times New Roman"/>
                <w:lang w:val="en-GB"/>
              </w:rPr>
              <w:t xml:space="preserve"> </w:t>
            </w:r>
            <w:r w:rsidR="00AA521B" w:rsidRPr="00492A85">
              <w:rPr>
                <w:rFonts w:ascii="Times New Roman" w:eastAsia="Times New Roman" w:hAnsi="Times New Roman" w:cs="Times New Roman"/>
                <w:lang w:val="en-GB"/>
              </w:rPr>
              <w:t>0.112*</w:t>
            </w:r>
          </w:p>
        </w:tc>
        <w:tc>
          <w:tcPr>
            <w:tcW w:w="2268" w:type="dxa"/>
            <w:shd w:val="clear" w:color="auto" w:fill="auto"/>
            <w:hideMark/>
          </w:tcPr>
          <w:p w14:paraId="3D4A663B"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0.066</w:t>
            </w:r>
          </w:p>
        </w:tc>
      </w:tr>
      <w:tr w:rsidR="00492A85" w:rsidRPr="00492A85" w14:paraId="1FE82EEF" w14:textId="77777777" w:rsidTr="00492A85">
        <w:tc>
          <w:tcPr>
            <w:tcW w:w="3828" w:type="dxa"/>
            <w:shd w:val="clear" w:color="auto" w:fill="auto"/>
            <w:hideMark/>
          </w:tcPr>
          <w:p w14:paraId="509216A1"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Household size</w:t>
            </w:r>
          </w:p>
        </w:tc>
        <w:tc>
          <w:tcPr>
            <w:tcW w:w="1667" w:type="dxa"/>
            <w:shd w:val="clear" w:color="auto" w:fill="auto"/>
            <w:hideMark/>
          </w:tcPr>
          <w:p w14:paraId="0F7AEEAA" w14:textId="66A4DCCE"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w:t>
            </w:r>
            <w:r w:rsidR="004E19F4" w:rsidRPr="00492A85">
              <w:rPr>
                <w:rFonts w:ascii="Times New Roman" w:eastAsia="Times New Roman" w:hAnsi="Times New Roman" w:cs="Times New Roman"/>
                <w:lang w:val="en-GB"/>
              </w:rPr>
              <w:t>−</w:t>
            </w:r>
            <w:r w:rsidRPr="00492A85">
              <w:rPr>
                <w:rFonts w:ascii="Times New Roman" w:eastAsia="Times New Roman" w:hAnsi="Times New Roman" w:cs="Times New Roman"/>
                <w:lang w:val="en-GB"/>
              </w:rPr>
              <w:t>0.051</w:t>
            </w:r>
          </w:p>
        </w:tc>
        <w:tc>
          <w:tcPr>
            <w:tcW w:w="2268" w:type="dxa"/>
            <w:shd w:val="clear" w:color="auto" w:fill="auto"/>
            <w:hideMark/>
          </w:tcPr>
          <w:p w14:paraId="7A22B0DE"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0.093</w:t>
            </w:r>
          </w:p>
        </w:tc>
      </w:tr>
      <w:tr w:rsidR="00492A85" w:rsidRPr="00492A85" w14:paraId="06C8B49A" w14:textId="77777777" w:rsidTr="00492A85">
        <w:tc>
          <w:tcPr>
            <w:tcW w:w="3828" w:type="dxa"/>
            <w:shd w:val="clear" w:color="auto" w:fill="auto"/>
            <w:hideMark/>
          </w:tcPr>
          <w:p w14:paraId="295D4B16"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Credit</w:t>
            </w:r>
          </w:p>
        </w:tc>
        <w:tc>
          <w:tcPr>
            <w:tcW w:w="1667" w:type="dxa"/>
            <w:shd w:val="clear" w:color="auto" w:fill="auto"/>
            <w:hideMark/>
          </w:tcPr>
          <w:p w14:paraId="7B1650AC" w14:textId="50626C13"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w:t>
            </w:r>
            <w:r w:rsidR="004E19F4" w:rsidRPr="00492A85">
              <w:rPr>
                <w:rFonts w:ascii="Times New Roman" w:eastAsia="Times New Roman" w:hAnsi="Times New Roman" w:cs="Times New Roman"/>
                <w:lang w:val="en-GB"/>
              </w:rPr>
              <w:t xml:space="preserve"> </w:t>
            </w:r>
            <w:r w:rsidRPr="00492A85">
              <w:rPr>
                <w:rFonts w:ascii="Times New Roman" w:eastAsia="Times New Roman" w:hAnsi="Times New Roman" w:cs="Times New Roman"/>
                <w:lang w:val="en-GB"/>
              </w:rPr>
              <w:t>3.126***</w:t>
            </w:r>
          </w:p>
        </w:tc>
        <w:tc>
          <w:tcPr>
            <w:tcW w:w="2268" w:type="dxa"/>
            <w:shd w:val="clear" w:color="auto" w:fill="auto"/>
            <w:hideMark/>
          </w:tcPr>
          <w:p w14:paraId="2221D3D7"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0.396</w:t>
            </w:r>
          </w:p>
        </w:tc>
      </w:tr>
      <w:tr w:rsidR="00492A85" w:rsidRPr="00492A85" w14:paraId="336BDEDE" w14:textId="77777777" w:rsidTr="00492A85">
        <w:tc>
          <w:tcPr>
            <w:tcW w:w="3828" w:type="dxa"/>
            <w:shd w:val="clear" w:color="auto" w:fill="auto"/>
            <w:hideMark/>
          </w:tcPr>
          <w:p w14:paraId="5CC53516"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extension</w:t>
            </w:r>
          </w:p>
        </w:tc>
        <w:tc>
          <w:tcPr>
            <w:tcW w:w="1667" w:type="dxa"/>
            <w:shd w:val="clear" w:color="auto" w:fill="auto"/>
            <w:hideMark/>
          </w:tcPr>
          <w:p w14:paraId="14926F3A" w14:textId="6AD8ED04"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w:t>
            </w:r>
            <w:r w:rsidR="004E19F4" w:rsidRPr="00492A85">
              <w:rPr>
                <w:rFonts w:ascii="Times New Roman" w:eastAsia="Times New Roman" w:hAnsi="Times New Roman" w:cs="Times New Roman"/>
                <w:lang w:val="en-GB"/>
              </w:rPr>
              <w:t xml:space="preserve"> </w:t>
            </w:r>
            <w:r w:rsidRPr="00492A85">
              <w:rPr>
                <w:rFonts w:ascii="Times New Roman" w:eastAsia="Times New Roman" w:hAnsi="Times New Roman" w:cs="Times New Roman"/>
                <w:lang w:val="en-GB"/>
              </w:rPr>
              <w:t>2.895***</w:t>
            </w:r>
          </w:p>
        </w:tc>
        <w:tc>
          <w:tcPr>
            <w:tcW w:w="2268" w:type="dxa"/>
            <w:shd w:val="clear" w:color="auto" w:fill="auto"/>
            <w:hideMark/>
          </w:tcPr>
          <w:p w14:paraId="50C1BC91"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0.425</w:t>
            </w:r>
          </w:p>
        </w:tc>
      </w:tr>
      <w:tr w:rsidR="00492A85" w:rsidRPr="00492A85" w14:paraId="2369347F" w14:textId="77777777" w:rsidTr="00492A85">
        <w:tc>
          <w:tcPr>
            <w:tcW w:w="3828" w:type="dxa"/>
            <w:shd w:val="clear" w:color="auto" w:fill="auto"/>
            <w:hideMark/>
          </w:tcPr>
          <w:p w14:paraId="4C51BC78"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loam</w:t>
            </w:r>
          </w:p>
        </w:tc>
        <w:tc>
          <w:tcPr>
            <w:tcW w:w="1667" w:type="dxa"/>
            <w:shd w:val="clear" w:color="auto" w:fill="auto"/>
            <w:hideMark/>
          </w:tcPr>
          <w:p w14:paraId="76B82EEB" w14:textId="6A96E29C"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w:t>
            </w:r>
            <w:r w:rsidR="004E19F4" w:rsidRPr="00492A85">
              <w:rPr>
                <w:rFonts w:ascii="Times New Roman" w:eastAsia="Times New Roman" w:hAnsi="Times New Roman" w:cs="Times New Roman"/>
                <w:lang w:val="en-GB"/>
              </w:rPr>
              <w:t>−</w:t>
            </w:r>
            <w:r w:rsidRPr="00492A85">
              <w:rPr>
                <w:rFonts w:ascii="Times New Roman" w:eastAsia="Times New Roman" w:hAnsi="Times New Roman" w:cs="Times New Roman"/>
                <w:lang w:val="en-GB"/>
              </w:rPr>
              <w:t>0.130</w:t>
            </w:r>
          </w:p>
        </w:tc>
        <w:tc>
          <w:tcPr>
            <w:tcW w:w="2268" w:type="dxa"/>
            <w:shd w:val="clear" w:color="auto" w:fill="auto"/>
            <w:hideMark/>
          </w:tcPr>
          <w:p w14:paraId="12ECD9B8"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0.341</w:t>
            </w:r>
          </w:p>
        </w:tc>
      </w:tr>
      <w:tr w:rsidR="00492A85" w:rsidRPr="00492A85" w14:paraId="497C46A0" w14:textId="77777777" w:rsidTr="00492A85">
        <w:tc>
          <w:tcPr>
            <w:tcW w:w="3828" w:type="dxa"/>
            <w:shd w:val="clear" w:color="auto" w:fill="auto"/>
            <w:hideMark/>
          </w:tcPr>
          <w:p w14:paraId="160FBF03"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Season </w:t>
            </w:r>
          </w:p>
        </w:tc>
        <w:tc>
          <w:tcPr>
            <w:tcW w:w="1667" w:type="dxa"/>
            <w:shd w:val="clear" w:color="auto" w:fill="auto"/>
            <w:hideMark/>
          </w:tcPr>
          <w:p w14:paraId="751F8584" w14:textId="1F09A3AC"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w:t>
            </w:r>
            <w:r w:rsidR="004E19F4" w:rsidRPr="00492A85">
              <w:rPr>
                <w:rFonts w:ascii="Times New Roman" w:eastAsia="Times New Roman" w:hAnsi="Times New Roman" w:cs="Times New Roman"/>
                <w:lang w:val="en-GB"/>
              </w:rPr>
              <w:t xml:space="preserve"> </w:t>
            </w:r>
            <w:r w:rsidRPr="00492A85">
              <w:rPr>
                <w:rFonts w:ascii="Times New Roman" w:eastAsia="Times New Roman" w:hAnsi="Times New Roman" w:cs="Times New Roman"/>
                <w:lang w:val="en-GB"/>
              </w:rPr>
              <w:t>0.326</w:t>
            </w:r>
          </w:p>
        </w:tc>
        <w:tc>
          <w:tcPr>
            <w:tcW w:w="2268" w:type="dxa"/>
            <w:shd w:val="clear" w:color="auto" w:fill="auto"/>
            <w:hideMark/>
          </w:tcPr>
          <w:p w14:paraId="55521855"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0.338</w:t>
            </w:r>
          </w:p>
        </w:tc>
      </w:tr>
      <w:tr w:rsidR="00492A85" w:rsidRPr="00492A85" w14:paraId="49A1BF11" w14:textId="77777777" w:rsidTr="00492A85">
        <w:tc>
          <w:tcPr>
            <w:tcW w:w="3828" w:type="dxa"/>
            <w:shd w:val="clear" w:color="auto" w:fill="auto"/>
            <w:hideMark/>
          </w:tcPr>
          <w:p w14:paraId="3FAE487C"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Market distance</w:t>
            </w:r>
          </w:p>
        </w:tc>
        <w:tc>
          <w:tcPr>
            <w:tcW w:w="1667" w:type="dxa"/>
            <w:shd w:val="clear" w:color="auto" w:fill="auto"/>
            <w:hideMark/>
          </w:tcPr>
          <w:p w14:paraId="1C1F8727" w14:textId="3ED54D8A" w:rsidR="00AA521B" w:rsidRPr="00492A85" w:rsidRDefault="004E19F4"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w:t>
            </w:r>
            <w:r w:rsidR="00AA521B" w:rsidRPr="00492A85">
              <w:rPr>
                <w:rFonts w:ascii="Times New Roman" w:eastAsia="Times New Roman" w:hAnsi="Times New Roman" w:cs="Times New Roman"/>
                <w:lang w:val="en-GB"/>
              </w:rPr>
              <w:t>0.055</w:t>
            </w:r>
          </w:p>
        </w:tc>
        <w:tc>
          <w:tcPr>
            <w:tcW w:w="2268" w:type="dxa"/>
            <w:shd w:val="clear" w:color="auto" w:fill="auto"/>
            <w:hideMark/>
          </w:tcPr>
          <w:p w14:paraId="0090AF4D"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0.054</w:t>
            </w:r>
          </w:p>
        </w:tc>
      </w:tr>
      <w:tr w:rsidR="00492A85" w:rsidRPr="00492A85" w14:paraId="4E7FDD53" w14:textId="77777777" w:rsidTr="00492A85">
        <w:tc>
          <w:tcPr>
            <w:tcW w:w="3828" w:type="dxa"/>
            <w:shd w:val="clear" w:color="auto" w:fill="auto"/>
            <w:hideMark/>
          </w:tcPr>
          <w:p w14:paraId="5D2BBB74"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Farm size</w:t>
            </w:r>
          </w:p>
        </w:tc>
        <w:tc>
          <w:tcPr>
            <w:tcW w:w="1667" w:type="dxa"/>
            <w:shd w:val="clear" w:color="auto" w:fill="auto"/>
            <w:hideMark/>
          </w:tcPr>
          <w:p w14:paraId="71C332FF" w14:textId="78BE7D2E" w:rsidR="00AA521B" w:rsidRPr="00492A85" w:rsidRDefault="004E19F4"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w:t>
            </w:r>
            <w:r w:rsidR="00AA521B" w:rsidRPr="00492A85">
              <w:rPr>
                <w:rFonts w:ascii="Times New Roman" w:eastAsia="Times New Roman" w:hAnsi="Times New Roman" w:cs="Times New Roman"/>
                <w:lang w:val="en-GB"/>
              </w:rPr>
              <w:t>0.123</w:t>
            </w:r>
          </w:p>
        </w:tc>
        <w:tc>
          <w:tcPr>
            <w:tcW w:w="2268" w:type="dxa"/>
            <w:shd w:val="clear" w:color="auto" w:fill="auto"/>
            <w:hideMark/>
          </w:tcPr>
          <w:p w14:paraId="68884304"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0.095</w:t>
            </w:r>
          </w:p>
        </w:tc>
      </w:tr>
      <w:tr w:rsidR="00492A85" w:rsidRPr="00492A85" w14:paraId="2B8252A8" w14:textId="77777777" w:rsidTr="00492A85">
        <w:tc>
          <w:tcPr>
            <w:tcW w:w="3828" w:type="dxa"/>
            <w:shd w:val="clear" w:color="auto" w:fill="auto"/>
            <w:hideMark/>
          </w:tcPr>
          <w:p w14:paraId="1A5A9012"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seed</w:t>
            </w:r>
          </w:p>
        </w:tc>
        <w:tc>
          <w:tcPr>
            <w:tcW w:w="1667" w:type="dxa"/>
            <w:shd w:val="clear" w:color="auto" w:fill="auto"/>
            <w:hideMark/>
          </w:tcPr>
          <w:p w14:paraId="1F55D0FE" w14:textId="66662C4D"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w:t>
            </w:r>
            <w:r w:rsidR="004E19F4" w:rsidRPr="00492A85">
              <w:rPr>
                <w:rFonts w:ascii="Times New Roman" w:eastAsia="Times New Roman" w:hAnsi="Times New Roman" w:cs="Times New Roman"/>
                <w:lang w:val="en-GB"/>
              </w:rPr>
              <w:t xml:space="preserve">  </w:t>
            </w:r>
            <w:r w:rsidRPr="00492A85">
              <w:rPr>
                <w:rFonts w:ascii="Times New Roman" w:eastAsia="Times New Roman" w:hAnsi="Times New Roman" w:cs="Times New Roman"/>
                <w:lang w:val="en-GB"/>
              </w:rPr>
              <w:t>0.012**</w:t>
            </w:r>
          </w:p>
        </w:tc>
        <w:tc>
          <w:tcPr>
            <w:tcW w:w="2268" w:type="dxa"/>
            <w:shd w:val="clear" w:color="auto" w:fill="auto"/>
            <w:hideMark/>
          </w:tcPr>
          <w:p w14:paraId="3A3F5A91"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0.006</w:t>
            </w:r>
          </w:p>
        </w:tc>
      </w:tr>
      <w:tr w:rsidR="00492A85" w:rsidRPr="00492A85" w14:paraId="3457463E" w14:textId="77777777" w:rsidTr="00492A85">
        <w:tc>
          <w:tcPr>
            <w:tcW w:w="3828" w:type="dxa"/>
            <w:shd w:val="clear" w:color="auto" w:fill="auto"/>
            <w:hideMark/>
          </w:tcPr>
          <w:p w14:paraId="41A9B2AD"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Machinery</w:t>
            </w:r>
          </w:p>
        </w:tc>
        <w:tc>
          <w:tcPr>
            <w:tcW w:w="1667" w:type="dxa"/>
            <w:shd w:val="clear" w:color="auto" w:fill="auto"/>
            <w:hideMark/>
          </w:tcPr>
          <w:p w14:paraId="263860CE" w14:textId="45764C9E" w:rsidR="00AA521B" w:rsidRPr="00492A85" w:rsidRDefault="004E19F4"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w:t>
            </w:r>
            <w:r w:rsidR="00AA521B" w:rsidRPr="00492A85">
              <w:rPr>
                <w:rFonts w:ascii="Times New Roman" w:eastAsia="Times New Roman" w:hAnsi="Times New Roman" w:cs="Times New Roman"/>
                <w:lang w:val="en-GB"/>
              </w:rPr>
              <w:t>0.802</w:t>
            </w:r>
          </w:p>
        </w:tc>
        <w:tc>
          <w:tcPr>
            <w:tcW w:w="2268" w:type="dxa"/>
            <w:shd w:val="clear" w:color="auto" w:fill="auto"/>
            <w:hideMark/>
          </w:tcPr>
          <w:p w14:paraId="5BE67D06"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0.803</w:t>
            </w:r>
          </w:p>
        </w:tc>
      </w:tr>
      <w:tr w:rsidR="00492A85" w:rsidRPr="00492A85" w14:paraId="2125E8D7" w14:textId="77777777" w:rsidTr="00492A85">
        <w:tc>
          <w:tcPr>
            <w:tcW w:w="3828" w:type="dxa"/>
            <w:shd w:val="clear" w:color="auto" w:fill="auto"/>
            <w:hideMark/>
          </w:tcPr>
          <w:p w14:paraId="132E840E"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East</w:t>
            </w:r>
          </w:p>
        </w:tc>
        <w:tc>
          <w:tcPr>
            <w:tcW w:w="1667" w:type="dxa"/>
            <w:shd w:val="clear" w:color="auto" w:fill="auto"/>
            <w:hideMark/>
          </w:tcPr>
          <w:p w14:paraId="7A8CC428" w14:textId="1CC4D043" w:rsidR="00AA521B" w:rsidRPr="00492A85" w:rsidRDefault="004E19F4"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w:t>
            </w:r>
            <w:r w:rsidR="00AA521B" w:rsidRPr="00492A85">
              <w:rPr>
                <w:rFonts w:ascii="Times New Roman" w:eastAsia="Times New Roman" w:hAnsi="Times New Roman" w:cs="Times New Roman"/>
                <w:lang w:val="en-GB"/>
              </w:rPr>
              <w:t>0.518</w:t>
            </w:r>
          </w:p>
        </w:tc>
        <w:tc>
          <w:tcPr>
            <w:tcW w:w="2268" w:type="dxa"/>
            <w:shd w:val="clear" w:color="auto" w:fill="auto"/>
            <w:hideMark/>
          </w:tcPr>
          <w:p w14:paraId="054E1FC8"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0.584</w:t>
            </w:r>
          </w:p>
        </w:tc>
      </w:tr>
      <w:tr w:rsidR="00492A85" w:rsidRPr="00492A85" w14:paraId="6BFC8C75" w14:textId="77777777" w:rsidTr="00492A85">
        <w:tc>
          <w:tcPr>
            <w:tcW w:w="3828" w:type="dxa"/>
            <w:shd w:val="clear" w:color="auto" w:fill="auto"/>
            <w:hideMark/>
          </w:tcPr>
          <w:p w14:paraId="466247E3"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West</w:t>
            </w:r>
          </w:p>
        </w:tc>
        <w:tc>
          <w:tcPr>
            <w:tcW w:w="1667" w:type="dxa"/>
            <w:shd w:val="clear" w:color="auto" w:fill="auto"/>
            <w:hideMark/>
          </w:tcPr>
          <w:p w14:paraId="436CA9C1" w14:textId="0010BA39" w:rsidR="00AA521B" w:rsidRPr="00492A85" w:rsidRDefault="004E19F4"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w:t>
            </w:r>
            <w:r w:rsidR="00AA521B" w:rsidRPr="00492A85">
              <w:rPr>
                <w:rFonts w:ascii="Times New Roman" w:eastAsia="Times New Roman" w:hAnsi="Times New Roman" w:cs="Times New Roman"/>
                <w:lang w:val="en-GB"/>
              </w:rPr>
              <w:t>0.567</w:t>
            </w:r>
          </w:p>
        </w:tc>
        <w:tc>
          <w:tcPr>
            <w:tcW w:w="2268" w:type="dxa"/>
            <w:shd w:val="clear" w:color="auto" w:fill="auto"/>
            <w:hideMark/>
          </w:tcPr>
          <w:p w14:paraId="3AB9263C"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0.492</w:t>
            </w:r>
          </w:p>
        </w:tc>
      </w:tr>
      <w:tr w:rsidR="00492A85" w:rsidRPr="00492A85" w14:paraId="678E4592" w14:textId="77777777" w:rsidTr="00492A85">
        <w:tc>
          <w:tcPr>
            <w:tcW w:w="3828" w:type="dxa"/>
            <w:shd w:val="clear" w:color="auto" w:fill="auto"/>
          </w:tcPr>
          <w:p w14:paraId="52A55B57"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South</w:t>
            </w:r>
          </w:p>
        </w:tc>
        <w:tc>
          <w:tcPr>
            <w:tcW w:w="1667" w:type="dxa"/>
            <w:shd w:val="clear" w:color="auto" w:fill="auto"/>
          </w:tcPr>
          <w:p w14:paraId="2CADF5BE" w14:textId="49B00085" w:rsidR="00AA521B" w:rsidRPr="00492A85" w:rsidRDefault="004E19F4"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w:t>
            </w:r>
            <w:r w:rsidR="00AA521B" w:rsidRPr="00492A85">
              <w:rPr>
                <w:rFonts w:ascii="Times New Roman" w:eastAsia="Times New Roman" w:hAnsi="Times New Roman" w:cs="Times New Roman"/>
                <w:lang w:val="en-GB"/>
              </w:rPr>
              <w:t>0.248</w:t>
            </w:r>
          </w:p>
        </w:tc>
        <w:tc>
          <w:tcPr>
            <w:tcW w:w="2268" w:type="dxa"/>
            <w:shd w:val="clear" w:color="auto" w:fill="auto"/>
          </w:tcPr>
          <w:p w14:paraId="28B94B66"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0.505</w:t>
            </w:r>
          </w:p>
        </w:tc>
      </w:tr>
      <w:tr w:rsidR="00492A85" w:rsidRPr="00492A85" w14:paraId="52975C53" w14:textId="77777777" w:rsidTr="00492A85">
        <w:tc>
          <w:tcPr>
            <w:tcW w:w="3828" w:type="dxa"/>
            <w:shd w:val="clear" w:color="auto" w:fill="auto"/>
          </w:tcPr>
          <w:p w14:paraId="580FD0BF"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Log likelihood </w:t>
            </w:r>
          </w:p>
        </w:tc>
        <w:tc>
          <w:tcPr>
            <w:tcW w:w="1667" w:type="dxa"/>
            <w:shd w:val="clear" w:color="auto" w:fill="auto"/>
          </w:tcPr>
          <w:p w14:paraId="71C82000" w14:textId="73C4BBAD" w:rsidR="00AA521B" w:rsidRPr="00492A85" w:rsidRDefault="004E19F4"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w:t>
            </w:r>
            <w:r w:rsidR="00AA521B" w:rsidRPr="00492A85">
              <w:rPr>
                <w:rFonts w:ascii="Times New Roman" w:eastAsia="Times New Roman" w:hAnsi="Times New Roman" w:cs="Times New Roman"/>
                <w:lang w:val="en-GB"/>
              </w:rPr>
              <w:t>37.281***</w:t>
            </w:r>
          </w:p>
        </w:tc>
        <w:tc>
          <w:tcPr>
            <w:tcW w:w="2268" w:type="dxa"/>
            <w:shd w:val="clear" w:color="auto" w:fill="auto"/>
          </w:tcPr>
          <w:p w14:paraId="2580A06E" w14:textId="77777777" w:rsidR="00AA521B" w:rsidRPr="00492A85" w:rsidRDefault="00AA521B" w:rsidP="00492A85">
            <w:pPr>
              <w:spacing w:after="80" w:line="240" w:lineRule="auto"/>
              <w:rPr>
                <w:rFonts w:ascii="Times New Roman" w:eastAsia="Times New Roman" w:hAnsi="Times New Roman" w:cs="Times New Roman"/>
                <w:lang w:val="en-GB"/>
              </w:rPr>
            </w:pPr>
          </w:p>
        </w:tc>
      </w:tr>
      <w:tr w:rsidR="00492A85" w:rsidRPr="00492A85" w14:paraId="08E2EC9B" w14:textId="77777777" w:rsidTr="00492A85">
        <w:tc>
          <w:tcPr>
            <w:tcW w:w="3828" w:type="dxa"/>
            <w:shd w:val="clear" w:color="auto" w:fill="auto"/>
          </w:tcPr>
          <w:p w14:paraId="13BDB71E"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Pseudo </w:t>
            </w:r>
            <w:r w:rsidRPr="00492A85">
              <w:rPr>
                <w:rFonts w:ascii="Times New Roman" w:eastAsia="Times New Roman" w:hAnsi="Times New Roman" w:cs="Times New Roman"/>
                <w:i/>
                <w:lang w:val="en-GB"/>
              </w:rPr>
              <w:t>R</w:t>
            </w:r>
            <w:r w:rsidRPr="00492A85">
              <w:rPr>
                <w:rFonts w:ascii="Times New Roman" w:eastAsia="Times New Roman" w:hAnsi="Times New Roman" w:cs="Times New Roman"/>
                <w:lang w:val="en-GB"/>
              </w:rPr>
              <w:t>²</w:t>
            </w:r>
          </w:p>
        </w:tc>
        <w:tc>
          <w:tcPr>
            <w:tcW w:w="1667" w:type="dxa"/>
            <w:shd w:val="clear" w:color="auto" w:fill="auto"/>
          </w:tcPr>
          <w:p w14:paraId="7026C101"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0.867</w:t>
            </w:r>
          </w:p>
        </w:tc>
        <w:tc>
          <w:tcPr>
            <w:tcW w:w="2268" w:type="dxa"/>
            <w:shd w:val="clear" w:color="auto" w:fill="auto"/>
          </w:tcPr>
          <w:p w14:paraId="19C72BAB" w14:textId="77777777" w:rsidR="00AA521B" w:rsidRPr="00492A85" w:rsidRDefault="00AA521B" w:rsidP="00492A85">
            <w:pPr>
              <w:spacing w:after="80" w:line="240" w:lineRule="auto"/>
              <w:rPr>
                <w:rFonts w:ascii="Times New Roman" w:eastAsia="Times New Roman" w:hAnsi="Times New Roman" w:cs="Times New Roman"/>
                <w:lang w:val="en-GB"/>
              </w:rPr>
            </w:pPr>
          </w:p>
        </w:tc>
      </w:tr>
      <w:tr w:rsidR="00492A85" w:rsidRPr="00492A85" w14:paraId="16949F17" w14:textId="77777777" w:rsidTr="00492A85">
        <w:tc>
          <w:tcPr>
            <w:tcW w:w="3828" w:type="dxa"/>
            <w:tcBorders>
              <w:bottom w:val="single" w:sz="4" w:space="0" w:color="auto"/>
            </w:tcBorders>
            <w:shd w:val="clear" w:color="auto" w:fill="auto"/>
            <w:hideMark/>
          </w:tcPr>
          <w:p w14:paraId="049BB39B" w14:textId="794D058E"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N</w:t>
            </w:r>
            <w:r w:rsidR="004E19F4" w:rsidRPr="00492A85">
              <w:rPr>
                <w:rFonts w:ascii="Times New Roman" w:eastAsia="Times New Roman" w:hAnsi="Times New Roman" w:cs="Times New Roman"/>
                <w:lang w:val="en-GB"/>
              </w:rPr>
              <w:t>o.</w:t>
            </w:r>
            <w:r w:rsidRPr="00492A85">
              <w:rPr>
                <w:rFonts w:ascii="Times New Roman" w:eastAsia="Times New Roman" w:hAnsi="Times New Roman" w:cs="Times New Roman"/>
                <w:lang w:val="en-GB"/>
              </w:rPr>
              <w:t xml:space="preserve"> of observations</w:t>
            </w:r>
          </w:p>
        </w:tc>
        <w:tc>
          <w:tcPr>
            <w:tcW w:w="1667" w:type="dxa"/>
            <w:tcBorders>
              <w:bottom w:val="single" w:sz="4" w:space="0" w:color="auto"/>
            </w:tcBorders>
            <w:shd w:val="clear" w:color="auto" w:fill="auto"/>
            <w:hideMark/>
          </w:tcPr>
          <w:p w14:paraId="6445E4BF" w14:textId="77777777" w:rsidR="00AA521B" w:rsidRPr="00492A85" w:rsidRDefault="00AA521B" w:rsidP="00492A85">
            <w:pPr>
              <w:spacing w:after="80" w:line="240" w:lineRule="auto"/>
              <w:rPr>
                <w:rFonts w:ascii="Times New Roman" w:eastAsia="Times New Roman" w:hAnsi="Times New Roman" w:cs="Times New Roman"/>
                <w:lang w:val="en-GB"/>
              </w:rPr>
            </w:pPr>
            <w:r w:rsidRPr="00492A85">
              <w:rPr>
                <w:rFonts w:ascii="Times New Roman" w:eastAsia="Times New Roman" w:hAnsi="Times New Roman" w:cs="Times New Roman"/>
                <w:lang w:val="en-GB"/>
              </w:rPr>
              <w:t xml:space="preserve">  407</w:t>
            </w:r>
          </w:p>
        </w:tc>
        <w:tc>
          <w:tcPr>
            <w:tcW w:w="2268" w:type="dxa"/>
            <w:tcBorders>
              <w:bottom w:val="single" w:sz="4" w:space="0" w:color="auto"/>
            </w:tcBorders>
            <w:shd w:val="clear" w:color="auto" w:fill="auto"/>
            <w:hideMark/>
          </w:tcPr>
          <w:p w14:paraId="6865705D" w14:textId="77777777" w:rsidR="00AA521B" w:rsidRPr="00492A85" w:rsidRDefault="00AA521B" w:rsidP="00492A85">
            <w:pPr>
              <w:spacing w:after="80" w:line="240" w:lineRule="auto"/>
              <w:rPr>
                <w:rFonts w:ascii="Times New Roman" w:eastAsia="Times New Roman" w:hAnsi="Times New Roman" w:cs="Times New Roman"/>
                <w:lang w:val="en-GB"/>
              </w:rPr>
            </w:pPr>
          </w:p>
        </w:tc>
      </w:tr>
    </w:tbl>
    <w:p w14:paraId="5EA80022" w14:textId="43C48EBE" w:rsidR="00AA521B" w:rsidRPr="00492A85" w:rsidRDefault="00A91C0C" w:rsidP="00492A85">
      <w:pPr>
        <w:spacing w:before="120" w:line="360" w:lineRule="auto"/>
        <w:rPr>
          <w:rFonts w:ascii="Times New Roman" w:hAnsi="Times New Roman" w:cs="Times New Roman"/>
          <w:sz w:val="20"/>
          <w:szCs w:val="24"/>
          <w:lang w:val="en-GB"/>
        </w:rPr>
      </w:pPr>
      <w:r w:rsidRPr="00492A85">
        <w:rPr>
          <w:rFonts w:ascii="Times New Roman" w:hAnsi="Times New Roman" w:cs="Times New Roman"/>
          <w:sz w:val="20"/>
          <w:szCs w:val="24"/>
          <w:lang w:val="en-GB"/>
        </w:rPr>
        <w:t xml:space="preserve"> </w:t>
      </w:r>
      <w:r w:rsidR="00492A85" w:rsidRPr="00492A85">
        <w:rPr>
          <w:rFonts w:ascii="Times New Roman" w:hAnsi="Times New Roman" w:cs="Times New Roman"/>
          <w:i/>
          <w:sz w:val="20"/>
          <w:szCs w:val="24"/>
          <w:lang w:val="en-GB"/>
        </w:rPr>
        <w:t>Notes</w:t>
      </w:r>
      <w:r w:rsidR="00492A85" w:rsidRPr="00492A85">
        <w:rPr>
          <w:rFonts w:ascii="Times New Roman" w:hAnsi="Times New Roman" w:cs="Times New Roman"/>
          <w:sz w:val="20"/>
          <w:szCs w:val="24"/>
          <w:lang w:val="en-GB"/>
        </w:rPr>
        <w:t>:</w:t>
      </w:r>
      <w:r w:rsidRPr="00492A85">
        <w:rPr>
          <w:rFonts w:ascii="Times New Roman" w:hAnsi="Times New Roman" w:cs="Times New Roman"/>
          <w:sz w:val="20"/>
          <w:szCs w:val="24"/>
          <w:lang w:val="en-GB"/>
        </w:rPr>
        <w:t xml:space="preserve"> </w:t>
      </w:r>
      <w:r w:rsidR="00AA521B" w:rsidRPr="00492A85">
        <w:rPr>
          <w:rFonts w:ascii="Times New Roman" w:hAnsi="Times New Roman" w:cs="Times New Roman"/>
          <w:sz w:val="20"/>
          <w:szCs w:val="24"/>
          <w:lang w:val="en-GB"/>
        </w:rPr>
        <w:t xml:space="preserve">Coefficients followed by *, ** and *** indicate significance at the 10%, 5% and 1% </w:t>
      </w:r>
      <w:r w:rsidR="00492A85" w:rsidRPr="00492A85">
        <w:rPr>
          <w:rFonts w:ascii="Times New Roman" w:hAnsi="Times New Roman" w:cs="Times New Roman"/>
          <w:sz w:val="20"/>
          <w:szCs w:val="24"/>
          <w:lang w:val="en-GB"/>
        </w:rPr>
        <w:t xml:space="preserve">levels, </w:t>
      </w:r>
      <w:r w:rsidR="00AA521B" w:rsidRPr="00492A85">
        <w:rPr>
          <w:rFonts w:ascii="Times New Roman" w:hAnsi="Times New Roman" w:cs="Times New Roman"/>
          <w:sz w:val="20"/>
          <w:szCs w:val="24"/>
          <w:lang w:val="en-GB"/>
        </w:rPr>
        <w:t xml:space="preserve">respectively. </w:t>
      </w:r>
    </w:p>
    <w:p w14:paraId="6E19FCD4" w14:textId="77777777" w:rsidR="00AA521B" w:rsidRPr="00492A85" w:rsidRDefault="00AA521B" w:rsidP="00A91C0C">
      <w:pPr>
        <w:spacing w:line="360" w:lineRule="auto"/>
        <w:jc w:val="center"/>
        <w:rPr>
          <w:rFonts w:ascii="Times New Roman" w:hAnsi="Times New Roman" w:cs="Times New Roman"/>
          <w:sz w:val="20"/>
          <w:szCs w:val="20"/>
          <w:lang w:val="en-GB"/>
        </w:rPr>
      </w:pPr>
      <w:r w:rsidRPr="00492A85">
        <w:rPr>
          <w:rFonts w:ascii="Times New Roman" w:hAnsi="Times New Roman" w:cs="Times New Roman"/>
          <w:sz w:val="20"/>
          <w:szCs w:val="20"/>
          <w:lang w:val="en-GB"/>
        </w:rPr>
        <w:br w:type="column"/>
      </w:r>
      <w:r w:rsidRPr="00492A85">
        <w:rPr>
          <w:rFonts w:ascii="Times New Roman" w:hAnsi="Times New Roman" w:cs="Times New Roman"/>
          <w:sz w:val="20"/>
          <w:szCs w:val="20"/>
          <w:lang w:val="en-GB" w:eastAsia="en-GB"/>
        </w:rPr>
        <w:lastRenderedPageBreak/>
        <w:drawing>
          <wp:inline distT="0" distB="0" distL="0" distR="0" wp14:anchorId="32DDBDE1" wp14:editId="7FCA2658">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605411B" w14:textId="77777777" w:rsidR="00A91C0C" w:rsidRPr="00492A85" w:rsidRDefault="00AA521B" w:rsidP="00A91C0C">
      <w:pPr>
        <w:autoSpaceDE w:val="0"/>
        <w:autoSpaceDN w:val="0"/>
        <w:adjustRightInd w:val="0"/>
        <w:spacing w:after="0" w:line="240" w:lineRule="auto"/>
        <w:jc w:val="center"/>
        <w:rPr>
          <w:rFonts w:ascii="Times New Roman" w:eastAsia="AdvTimes" w:hAnsi="Times New Roman" w:cs="Times New Roman"/>
          <w:i/>
          <w:sz w:val="24"/>
          <w:szCs w:val="24"/>
          <w:lang w:val="en-GB"/>
        </w:rPr>
      </w:pPr>
      <w:r w:rsidRPr="00492A85">
        <w:rPr>
          <w:rFonts w:ascii="Times New Roman" w:hAnsi="Times New Roman" w:cs="Times New Roman"/>
          <w:sz w:val="24"/>
          <w:szCs w:val="24"/>
          <w:lang w:val="en-GB"/>
        </w:rPr>
        <w:t xml:space="preserve">Figure </w:t>
      </w:r>
      <w:r w:rsidR="00BA2A68" w:rsidRPr="00492A85">
        <w:rPr>
          <w:rFonts w:ascii="Times New Roman" w:hAnsi="Times New Roman" w:cs="Times New Roman"/>
          <w:sz w:val="24"/>
          <w:szCs w:val="24"/>
          <w:lang w:val="en-GB"/>
        </w:rPr>
        <w:t>A</w:t>
      </w:r>
      <w:r w:rsidRPr="00492A85">
        <w:rPr>
          <w:rFonts w:ascii="Times New Roman" w:hAnsi="Times New Roman" w:cs="Times New Roman"/>
          <w:sz w:val="24"/>
          <w:szCs w:val="24"/>
          <w:lang w:val="en-GB"/>
        </w:rPr>
        <w:t>2</w:t>
      </w:r>
      <w:r w:rsidR="00A91C0C" w:rsidRPr="00492A85">
        <w:rPr>
          <w:rFonts w:ascii="Times New Roman" w:hAnsi="Times New Roman" w:cs="Times New Roman"/>
          <w:sz w:val="24"/>
          <w:szCs w:val="24"/>
          <w:lang w:val="en-GB"/>
        </w:rPr>
        <w:t>.</w:t>
      </w:r>
      <w:r w:rsidRPr="00492A85">
        <w:rPr>
          <w:rFonts w:ascii="Times New Roman" w:hAnsi="Times New Roman" w:cs="Times New Roman"/>
          <w:i/>
          <w:sz w:val="24"/>
          <w:szCs w:val="24"/>
          <w:lang w:val="en-GB"/>
        </w:rPr>
        <w:t xml:space="preserve"> </w:t>
      </w:r>
      <w:r w:rsidRPr="00492A85">
        <w:rPr>
          <w:rFonts w:ascii="Times New Roman" w:eastAsia="AdvTimes" w:hAnsi="Times New Roman" w:cs="Times New Roman"/>
          <w:i/>
          <w:sz w:val="24"/>
          <w:szCs w:val="24"/>
          <w:lang w:val="en-GB"/>
        </w:rPr>
        <w:t xml:space="preserve">Density plot of the </w:t>
      </w:r>
      <w:r w:rsidRPr="00492A85">
        <w:rPr>
          <w:rFonts w:ascii="Times New Roman" w:hAnsi="Times New Roman" w:cs="Times New Roman"/>
          <w:i/>
          <w:sz w:val="24"/>
          <w:szCs w:val="24"/>
          <w:lang w:val="en-GB"/>
        </w:rPr>
        <w:t>propensity score</w:t>
      </w:r>
      <w:r w:rsidRPr="00492A85">
        <w:rPr>
          <w:rFonts w:ascii="Times New Roman" w:eastAsia="AdvTimes" w:hAnsi="Times New Roman" w:cs="Times New Roman"/>
          <w:i/>
          <w:sz w:val="24"/>
          <w:szCs w:val="24"/>
          <w:lang w:val="en-GB"/>
        </w:rPr>
        <w:t>s for adopters and non-adopters</w:t>
      </w:r>
    </w:p>
    <w:p w14:paraId="429F9ED2" w14:textId="77777777" w:rsidR="00A91C0C" w:rsidRPr="00492A85" w:rsidRDefault="00A91C0C" w:rsidP="00A91C0C">
      <w:pPr>
        <w:autoSpaceDE w:val="0"/>
        <w:autoSpaceDN w:val="0"/>
        <w:adjustRightInd w:val="0"/>
        <w:spacing w:after="0" w:line="240" w:lineRule="auto"/>
        <w:jc w:val="center"/>
        <w:rPr>
          <w:rFonts w:ascii="Times New Roman" w:eastAsia="AdvTimes" w:hAnsi="Times New Roman" w:cs="Times New Roman"/>
          <w:i/>
          <w:sz w:val="24"/>
          <w:szCs w:val="24"/>
          <w:lang w:val="en-GB"/>
        </w:rPr>
      </w:pPr>
    </w:p>
    <w:p w14:paraId="009CBB6E" w14:textId="77777777" w:rsidR="00A91C0C" w:rsidRPr="00492A85" w:rsidRDefault="00A91C0C" w:rsidP="00A91C0C">
      <w:pPr>
        <w:autoSpaceDE w:val="0"/>
        <w:autoSpaceDN w:val="0"/>
        <w:adjustRightInd w:val="0"/>
        <w:spacing w:after="0" w:line="240" w:lineRule="auto"/>
        <w:rPr>
          <w:rFonts w:ascii="Times New Roman" w:eastAsia="AdvTimes" w:hAnsi="Times New Roman" w:cs="Times New Roman"/>
          <w:i/>
          <w:sz w:val="24"/>
          <w:szCs w:val="24"/>
          <w:lang w:val="en-GB"/>
        </w:rPr>
      </w:pPr>
    </w:p>
    <w:p w14:paraId="17CF15F9" w14:textId="77777777" w:rsidR="00A91C0C" w:rsidRPr="00492A85" w:rsidRDefault="00A91C0C" w:rsidP="00A262C9">
      <w:pPr>
        <w:autoSpaceDE w:val="0"/>
        <w:autoSpaceDN w:val="0"/>
        <w:adjustRightInd w:val="0"/>
        <w:spacing w:after="0" w:line="480" w:lineRule="auto"/>
        <w:rPr>
          <w:rFonts w:ascii="Times New Roman" w:eastAsia="AdvTimes" w:hAnsi="Times New Roman" w:cs="Times New Roman"/>
          <w:b/>
          <w:sz w:val="24"/>
          <w:szCs w:val="24"/>
          <w:lang w:val="en-GB"/>
        </w:rPr>
      </w:pPr>
      <w:r w:rsidRPr="00492A85">
        <w:rPr>
          <w:rFonts w:ascii="Times New Roman" w:eastAsia="AdvTimes" w:hAnsi="Times New Roman" w:cs="Times New Roman"/>
          <w:b/>
          <w:sz w:val="24"/>
          <w:szCs w:val="24"/>
          <w:lang w:val="en-GB"/>
        </w:rPr>
        <w:t>References</w:t>
      </w:r>
    </w:p>
    <w:p w14:paraId="7E8AAEF9" w14:textId="76F5A08F" w:rsidR="00A4396A" w:rsidRPr="00492A85" w:rsidRDefault="00A4396A" w:rsidP="00A4396A">
      <w:pPr>
        <w:autoSpaceDE w:val="0"/>
        <w:autoSpaceDN w:val="0"/>
        <w:adjustRightInd w:val="0"/>
        <w:spacing w:after="0" w:line="480" w:lineRule="auto"/>
        <w:ind w:left="720" w:hanging="720"/>
        <w:rPr>
          <w:rFonts w:ascii="Times New Roman" w:hAnsi="Times New Roman" w:cs="Times New Roman"/>
          <w:lang w:val="en-GB"/>
        </w:rPr>
      </w:pPr>
      <w:r w:rsidRPr="00492A85">
        <w:rPr>
          <w:rFonts w:ascii="Times New Roman" w:hAnsi="Times New Roman" w:cs="Times New Roman"/>
          <w:lang w:val="en-GB"/>
        </w:rPr>
        <w:t xml:space="preserve">Delgado, J.A., M. Shaffer, C. Hu, </w:t>
      </w:r>
      <w:r w:rsidR="004E19F4" w:rsidRPr="00492A85">
        <w:rPr>
          <w:rFonts w:ascii="Times New Roman" w:hAnsi="Times New Roman" w:cs="Times New Roman"/>
          <w:i/>
          <w:lang w:val="en-GB"/>
        </w:rPr>
        <w:t>et al</w:t>
      </w:r>
      <w:r w:rsidR="004E19F4" w:rsidRPr="00492A85">
        <w:rPr>
          <w:rFonts w:ascii="Times New Roman" w:hAnsi="Times New Roman" w:cs="Times New Roman"/>
          <w:lang w:val="en-GB"/>
        </w:rPr>
        <w:t>.</w:t>
      </w:r>
      <w:r w:rsidRPr="00492A85">
        <w:rPr>
          <w:rFonts w:ascii="Times New Roman" w:hAnsi="Times New Roman" w:cs="Times New Roman"/>
          <w:lang w:val="en-GB"/>
        </w:rPr>
        <w:t xml:space="preserve"> (2008</w:t>
      </w:r>
      <w:r w:rsidRPr="00492A85">
        <w:rPr>
          <w:rFonts w:ascii="Times New Roman" w:eastAsia="TimesNewRomanPSMT" w:hAnsi="Times New Roman" w:cs="Times New Roman"/>
          <w:lang w:val="en-GB"/>
        </w:rPr>
        <w:t>), ‘</w:t>
      </w:r>
      <w:r w:rsidRPr="00492A85">
        <w:rPr>
          <w:rFonts w:ascii="Times New Roman" w:hAnsi="Times New Roman" w:cs="Times New Roman"/>
          <w:lang w:val="en-GB"/>
        </w:rPr>
        <w:t>An index approach to assess nit</w:t>
      </w:r>
      <w:r w:rsidRPr="00492A85">
        <w:rPr>
          <w:rFonts w:ascii="Times New Roman" w:eastAsia="TimesNewRomanPSMT" w:hAnsi="Times New Roman" w:cs="Times New Roman"/>
          <w:lang w:val="en-GB"/>
        </w:rPr>
        <w:t xml:space="preserve">rogen losses to the environment’, </w:t>
      </w:r>
      <w:r w:rsidRPr="00492A85">
        <w:rPr>
          <w:rFonts w:ascii="Times New Roman" w:hAnsi="Times New Roman" w:cs="Times New Roman"/>
          <w:i/>
          <w:iCs/>
          <w:lang w:val="en-GB"/>
        </w:rPr>
        <w:t xml:space="preserve">Ecological Engineering </w:t>
      </w:r>
      <w:r w:rsidRPr="00492A85">
        <w:rPr>
          <w:rFonts w:ascii="Times New Roman" w:hAnsi="Times New Roman" w:cs="Times New Roman"/>
          <w:b/>
          <w:bCs/>
          <w:lang w:val="en-GB"/>
        </w:rPr>
        <w:t>32</w:t>
      </w:r>
      <w:r w:rsidRPr="00492A85">
        <w:rPr>
          <w:rFonts w:ascii="Times New Roman" w:hAnsi="Times New Roman" w:cs="Times New Roman"/>
          <w:bCs/>
          <w:lang w:val="en-GB"/>
        </w:rPr>
        <w:t>:</w:t>
      </w:r>
      <w:r w:rsidRPr="00492A85">
        <w:rPr>
          <w:rFonts w:ascii="Times New Roman" w:hAnsi="Times New Roman" w:cs="Times New Roman"/>
          <w:b/>
          <w:bCs/>
          <w:lang w:val="en-GB"/>
        </w:rPr>
        <w:t xml:space="preserve"> </w:t>
      </w:r>
      <w:r w:rsidRPr="00492A85">
        <w:rPr>
          <w:rFonts w:ascii="Times New Roman" w:hAnsi="Times New Roman" w:cs="Times New Roman"/>
          <w:lang w:val="en-GB"/>
        </w:rPr>
        <w:t>108</w:t>
      </w:r>
      <w:r w:rsidRPr="00492A85">
        <w:rPr>
          <w:rFonts w:ascii="Times New Roman" w:eastAsia="TimesNewRomanPSMT" w:hAnsi="Times New Roman" w:cs="Times New Roman"/>
          <w:lang w:val="en-GB"/>
        </w:rPr>
        <w:t>–</w:t>
      </w:r>
      <w:r w:rsidRPr="00492A85">
        <w:rPr>
          <w:rFonts w:ascii="Times New Roman" w:hAnsi="Times New Roman" w:cs="Times New Roman"/>
          <w:lang w:val="en-GB"/>
        </w:rPr>
        <w:t>120.</w:t>
      </w:r>
    </w:p>
    <w:p w14:paraId="296770AB" w14:textId="040E6EA7" w:rsidR="00A4396A" w:rsidRPr="00492A85" w:rsidRDefault="00A4396A" w:rsidP="00A4396A">
      <w:pPr>
        <w:autoSpaceDE w:val="0"/>
        <w:autoSpaceDN w:val="0"/>
        <w:adjustRightInd w:val="0"/>
        <w:spacing w:after="0" w:line="480" w:lineRule="auto"/>
        <w:ind w:left="720" w:hanging="720"/>
        <w:rPr>
          <w:rFonts w:ascii="Times New Roman" w:hAnsi="Times New Roman" w:cs="Times New Roman"/>
          <w:lang w:val="en-GB"/>
        </w:rPr>
      </w:pPr>
      <w:r w:rsidRPr="00492A85">
        <w:rPr>
          <w:rFonts w:ascii="Times New Roman" w:hAnsi="Times New Roman" w:cs="Times New Roman"/>
          <w:lang w:val="en-GB"/>
        </w:rPr>
        <w:t xml:space="preserve">Delgado, J.A., P.M. Groffman, M.A. Nearing, </w:t>
      </w:r>
      <w:r w:rsidR="004E19F4" w:rsidRPr="00492A85">
        <w:rPr>
          <w:rFonts w:ascii="Times New Roman" w:hAnsi="Times New Roman" w:cs="Times New Roman"/>
          <w:i/>
          <w:lang w:val="en-GB"/>
        </w:rPr>
        <w:t>et al</w:t>
      </w:r>
      <w:r w:rsidR="004E19F4" w:rsidRPr="00492A85">
        <w:rPr>
          <w:rFonts w:ascii="Times New Roman" w:hAnsi="Times New Roman" w:cs="Times New Roman"/>
          <w:lang w:val="en-GB"/>
        </w:rPr>
        <w:t>.</w:t>
      </w:r>
      <w:r w:rsidRPr="00492A85">
        <w:rPr>
          <w:rFonts w:ascii="Times New Roman" w:hAnsi="Times New Roman" w:cs="Times New Roman"/>
          <w:lang w:val="en-GB"/>
        </w:rPr>
        <w:t xml:space="preserve"> (2011</w:t>
      </w:r>
      <w:r w:rsidRPr="00492A85">
        <w:rPr>
          <w:rFonts w:ascii="Times New Roman" w:eastAsia="TimesNewRomanPSMT" w:hAnsi="Times New Roman" w:cs="Times New Roman"/>
          <w:lang w:val="en-GB"/>
        </w:rPr>
        <w:t>), ‘</w:t>
      </w:r>
      <w:r w:rsidRPr="00492A85">
        <w:rPr>
          <w:rFonts w:ascii="Times New Roman" w:hAnsi="Times New Roman" w:cs="Times New Roman"/>
          <w:lang w:val="en-GB"/>
        </w:rPr>
        <w:t>Conservation practices to mitigate and adapt to climate change</w:t>
      </w:r>
      <w:r w:rsidRPr="00492A85">
        <w:rPr>
          <w:rFonts w:ascii="Times New Roman" w:eastAsia="TimesNewRomanPSMT" w:hAnsi="Times New Roman" w:cs="Times New Roman"/>
          <w:lang w:val="en-GB"/>
        </w:rPr>
        <w:t xml:space="preserve">’, </w:t>
      </w:r>
      <w:r w:rsidRPr="00492A85">
        <w:rPr>
          <w:rFonts w:ascii="Times New Roman" w:hAnsi="Times New Roman" w:cs="Times New Roman"/>
          <w:i/>
          <w:iCs/>
          <w:lang w:val="en-GB"/>
        </w:rPr>
        <w:t xml:space="preserve">Journal of Soil and Water Conservation </w:t>
      </w:r>
      <w:r w:rsidRPr="00492A85">
        <w:rPr>
          <w:rFonts w:ascii="Times New Roman" w:hAnsi="Times New Roman" w:cs="Times New Roman"/>
          <w:b/>
          <w:bCs/>
          <w:lang w:val="en-GB"/>
        </w:rPr>
        <w:t>66</w:t>
      </w:r>
      <w:r w:rsidRPr="00492A85">
        <w:rPr>
          <w:rFonts w:ascii="Times New Roman" w:hAnsi="Times New Roman" w:cs="Times New Roman"/>
          <w:lang w:val="en-GB"/>
        </w:rPr>
        <w:t>: 118A</w:t>
      </w:r>
      <w:r w:rsidRPr="00492A85">
        <w:rPr>
          <w:rFonts w:ascii="Times New Roman" w:eastAsia="TimesNewRomanPSMT" w:hAnsi="Times New Roman" w:cs="Times New Roman"/>
          <w:lang w:val="en-GB"/>
        </w:rPr>
        <w:t>–</w:t>
      </w:r>
      <w:r w:rsidRPr="00492A85">
        <w:rPr>
          <w:rFonts w:ascii="Times New Roman" w:hAnsi="Times New Roman" w:cs="Times New Roman"/>
          <w:lang w:val="en-GB"/>
        </w:rPr>
        <w:t>129A.</w:t>
      </w:r>
    </w:p>
    <w:p w14:paraId="005A2911" w14:textId="780782F7" w:rsidR="00A4396A" w:rsidRPr="00492A85" w:rsidRDefault="00A4396A" w:rsidP="00A4396A">
      <w:pPr>
        <w:autoSpaceDE w:val="0"/>
        <w:autoSpaceDN w:val="0"/>
        <w:adjustRightInd w:val="0"/>
        <w:spacing w:after="0" w:line="480" w:lineRule="auto"/>
        <w:ind w:left="720" w:hanging="720"/>
        <w:rPr>
          <w:rFonts w:ascii="Times New Roman" w:hAnsi="Times New Roman" w:cs="Times New Roman"/>
          <w:lang w:val="en-GB"/>
        </w:rPr>
      </w:pPr>
      <w:r w:rsidRPr="00492A85">
        <w:rPr>
          <w:rFonts w:ascii="Times New Roman" w:hAnsi="Times New Roman" w:cs="Times New Roman"/>
          <w:lang w:val="en-GB"/>
        </w:rPr>
        <w:t xml:space="preserve">IFDC (International Fertiliser Development Centre) (2013), </w:t>
      </w:r>
      <w:r w:rsidRPr="00492A85">
        <w:rPr>
          <w:rFonts w:ascii="Times New Roman" w:hAnsi="Times New Roman" w:cs="Times New Roman"/>
          <w:i/>
          <w:lang w:val="en-GB"/>
        </w:rPr>
        <w:t>Zambia Fertiliser Assessment</w:t>
      </w:r>
      <w:r w:rsidR="004E19F4" w:rsidRPr="00492A85">
        <w:rPr>
          <w:rFonts w:ascii="Times New Roman" w:hAnsi="Times New Roman" w:cs="Times New Roman"/>
          <w:lang w:val="en-GB"/>
        </w:rPr>
        <w:t>.</w:t>
      </w:r>
      <w:r w:rsidRPr="00492A85">
        <w:rPr>
          <w:rFonts w:ascii="Times New Roman" w:hAnsi="Times New Roman" w:cs="Times New Roman"/>
          <w:lang w:val="en-GB"/>
        </w:rPr>
        <w:t xml:space="preserve"> In support of the African Fertiliser and Agribusiness Partnership, USA.</w:t>
      </w:r>
    </w:p>
    <w:p w14:paraId="281B838E" w14:textId="77777777" w:rsidR="002B04E3" w:rsidRPr="00492A85" w:rsidRDefault="00A262C9" w:rsidP="002B04E3">
      <w:pPr>
        <w:autoSpaceDE w:val="0"/>
        <w:autoSpaceDN w:val="0"/>
        <w:adjustRightInd w:val="0"/>
        <w:spacing w:after="0" w:line="480" w:lineRule="auto"/>
        <w:ind w:left="720" w:hanging="720"/>
        <w:jc w:val="both"/>
        <w:rPr>
          <w:rFonts w:ascii="Times New Roman" w:hAnsi="Times New Roman" w:cs="Times New Roman"/>
          <w:lang w:val="en-GB"/>
        </w:rPr>
      </w:pPr>
      <w:r w:rsidRPr="00492A85">
        <w:rPr>
          <w:rFonts w:ascii="Times New Roman" w:hAnsi="Times New Roman" w:cs="Times New Roman"/>
          <w:lang w:val="en-GB"/>
        </w:rPr>
        <w:t>Saynes, V., J.A. Delgado, C. Tebbe, J.D. Etchevers, D. Lapidus, and A. Otero-Arnaiz (2014), ‘Use of the new Nitrogen Index Tier Zero to assess the effects of nitrogen fertiliser on N</w:t>
      </w:r>
      <w:r w:rsidRPr="00492A85">
        <w:rPr>
          <w:rFonts w:ascii="Times New Roman" w:hAnsi="Times New Roman" w:cs="Times New Roman"/>
          <w:vertAlign w:val="subscript"/>
          <w:lang w:val="en-GB"/>
        </w:rPr>
        <w:t>2</w:t>
      </w:r>
      <w:r w:rsidRPr="00492A85">
        <w:rPr>
          <w:rFonts w:ascii="Times New Roman" w:hAnsi="Times New Roman" w:cs="Times New Roman"/>
          <w:lang w:val="en-GB"/>
        </w:rPr>
        <w:t xml:space="preserve">O emissions from cropping systems in Mexico’, </w:t>
      </w:r>
      <w:r w:rsidRPr="00492A85">
        <w:rPr>
          <w:rFonts w:ascii="Times New Roman" w:hAnsi="Times New Roman" w:cs="Times New Roman"/>
          <w:i/>
          <w:lang w:val="en-GB"/>
        </w:rPr>
        <w:t>Ecological Engineering</w:t>
      </w:r>
      <w:r w:rsidRPr="00492A85">
        <w:rPr>
          <w:rFonts w:ascii="Times New Roman" w:hAnsi="Times New Roman" w:cs="Times New Roman"/>
          <w:lang w:val="en-GB"/>
        </w:rPr>
        <w:t xml:space="preserve"> </w:t>
      </w:r>
      <w:r w:rsidRPr="00492A85">
        <w:rPr>
          <w:rFonts w:ascii="Times New Roman" w:hAnsi="Times New Roman" w:cs="Times New Roman"/>
          <w:b/>
          <w:lang w:val="en-GB"/>
        </w:rPr>
        <w:t>73</w:t>
      </w:r>
      <w:r w:rsidRPr="00492A85">
        <w:rPr>
          <w:rFonts w:ascii="Times New Roman" w:hAnsi="Times New Roman" w:cs="Times New Roman"/>
          <w:lang w:val="en-GB"/>
        </w:rPr>
        <w:t>: 778–785.</w:t>
      </w:r>
    </w:p>
    <w:p w14:paraId="1ED72657" w14:textId="0193BCE6" w:rsidR="00A262C9" w:rsidRPr="00492A85" w:rsidRDefault="00A262C9" w:rsidP="002B04E3">
      <w:pPr>
        <w:autoSpaceDE w:val="0"/>
        <w:autoSpaceDN w:val="0"/>
        <w:adjustRightInd w:val="0"/>
        <w:spacing w:after="0" w:line="480" w:lineRule="auto"/>
        <w:ind w:left="720" w:hanging="720"/>
        <w:jc w:val="both"/>
        <w:rPr>
          <w:rFonts w:ascii="Times New Roman" w:hAnsi="Times New Roman" w:cs="Times New Roman"/>
          <w:lang w:val="en-GB"/>
        </w:rPr>
      </w:pPr>
      <w:r w:rsidRPr="00492A85">
        <w:rPr>
          <w:rFonts w:ascii="Times New Roman" w:hAnsi="Times New Roman" w:cs="Times New Roman"/>
          <w:lang w:val="en-GB"/>
        </w:rPr>
        <w:t>Shaffer</w:t>
      </w:r>
      <w:r w:rsidR="004E19F4" w:rsidRPr="00492A85">
        <w:rPr>
          <w:rFonts w:ascii="Times New Roman" w:hAnsi="Times New Roman" w:cs="Times New Roman"/>
          <w:lang w:val="en-GB"/>
        </w:rPr>
        <w:t>,</w:t>
      </w:r>
      <w:r w:rsidRPr="00492A85">
        <w:rPr>
          <w:rFonts w:ascii="Times New Roman" w:hAnsi="Times New Roman" w:cs="Times New Roman"/>
          <w:lang w:val="en-GB"/>
        </w:rPr>
        <w:t xml:space="preserve"> </w:t>
      </w:r>
      <w:r w:rsidR="004E19F4" w:rsidRPr="00492A85">
        <w:rPr>
          <w:rFonts w:ascii="Times New Roman" w:hAnsi="Times New Roman" w:cs="Times New Roman"/>
          <w:lang w:val="en-GB"/>
        </w:rPr>
        <w:t xml:space="preserve">M.J. </w:t>
      </w:r>
      <w:r w:rsidRPr="00492A85">
        <w:rPr>
          <w:rFonts w:ascii="Times New Roman" w:hAnsi="Times New Roman" w:cs="Times New Roman"/>
          <w:lang w:val="en-GB"/>
        </w:rPr>
        <w:t xml:space="preserve">and </w:t>
      </w:r>
      <w:r w:rsidR="004E19F4" w:rsidRPr="00492A85">
        <w:rPr>
          <w:rFonts w:ascii="Times New Roman" w:hAnsi="Times New Roman" w:cs="Times New Roman"/>
          <w:lang w:val="en-GB"/>
        </w:rPr>
        <w:t xml:space="preserve">J.A. </w:t>
      </w:r>
      <w:r w:rsidRPr="00492A85">
        <w:rPr>
          <w:rFonts w:ascii="Times New Roman" w:hAnsi="Times New Roman" w:cs="Times New Roman"/>
          <w:lang w:val="en-GB"/>
        </w:rPr>
        <w:t xml:space="preserve">Delgado </w:t>
      </w:r>
      <w:r w:rsidR="004E19F4" w:rsidRPr="00492A85">
        <w:rPr>
          <w:rFonts w:ascii="Times New Roman" w:hAnsi="Times New Roman" w:cs="Times New Roman"/>
          <w:lang w:val="en-GB"/>
        </w:rPr>
        <w:t>(</w:t>
      </w:r>
      <w:r w:rsidRPr="00492A85">
        <w:rPr>
          <w:rFonts w:ascii="Times New Roman" w:hAnsi="Times New Roman" w:cs="Times New Roman"/>
          <w:lang w:val="en-GB"/>
        </w:rPr>
        <w:t>2002</w:t>
      </w:r>
      <w:r w:rsidR="004E19F4" w:rsidRPr="00492A85">
        <w:rPr>
          <w:rFonts w:ascii="Times New Roman" w:hAnsi="Times New Roman" w:cs="Times New Roman"/>
          <w:lang w:val="en-GB"/>
        </w:rPr>
        <w:t>),</w:t>
      </w:r>
      <w:r w:rsidR="00027AAB" w:rsidRPr="00492A85">
        <w:rPr>
          <w:rFonts w:ascii="Times New Roman" w:hAnsi="Times New Roman" w:cs="Times New Roman"/>
          <w:lang w:val="en-GB"/>
        </w:rPr>
        <w:t xml:space="preserve"> </w:t>
      </w:r>
      <w:r w:rsidR="004E19F4" w:rsidRPr="00492A85">
        <w:rPr>
          <w:rFonts w:ascii="Times New Roman" w:hAnsi="Times New Roman" w:cs="Times New Roman"/>
          <w:lang w:val="en-GB"/>
        </w:rPr>
        <w:t>‘</w:t>
      </w:r>
      <w:r w:rsidR="00027AAB" w:rsidRPr="00492A85">
        <w:rPr>
          <w:rFonts w:ascii="Times New Roman" w:hAnsi="Times New Roman" w:cs="Times New Roman"/>
          <w:lang w:val="en-GB"/>
        </w:rPr>
        <w:t>Essentials of a national nitrate leaching index assessment tool</w:t>
      </w:r>
      <w:r w:rsidR="004E19F4" w:rsidRPr="00492A85">
        <w:rPr>
          <w:rFonts w:ascii="Times New Roman" w:hAnsi="Times New Roman" w:cs="Times New Roman"/>
          <w:lang w:val="en-GB"/>
        </w:rPr>
        <w:t>’,</w:t>
      </w:r>
      <w:r w:rsidR="00027AAB" w:rsidRPr="00492A85">
        <w:rPr>
          <w:rFonts w:ascii="Times New Roman" w:hAnsi="Times New Roman" w:cs="Times New Roman"/>
          <w:lang w:val="en-GB"/>
        </w:rPr>
        <w:t xml:space="preserve"> </w:t>
      </w:r>
      <w:r w:rsidR="00027AAB" w:rsidRPr="00492A85">
        <w:rPr>
          <w:rFonts w:ascii="Times New Roman" w:hAnsi="Times New Roman" w:cs="Times New Roman"/>
          <w:i/>
          <w:lang w:val="en-GB"/>
        </w:rPr>
        <w:t>J</w:t>
      </w:r>
      <w:r w:rsidR="004E19F4" w:rsidRPr="00492A85">
        <w:rPr>
          <w:rFonts w:ascii="Times New Roman" w:hAnsi="Times New Roman" w:cs="Times New Roman"/>
          <w:i/>
          <w:lang w:val="en-GB"/>
        </w:rPr>
        <w:t>ournal of</w:t>
      </w:r>
      <w:r w:rsidR="00027AAB" w:rsidRPr="00492A85">
        <w:rPr>
          <w:rFonts w:ascii="Times New Roman" w:hAnsi="Times New Roman" w:cs="Times New Roman"/>
          <w:i/>
          <w:lang w:val="en-GB"/>
        </w:rPr>
        <w:t xml:space="preserve"> Soil </w:t>
      </w:r>
      <w:r w:rsidR="004E19F4" w:rsidRPr="00492A85">
        <w:rPr>
          <w:rFonts w:ascii="Times New Roman" w:hAnsi="Times New Roman" w:cs="Times New Roman"/>
          <w:i/>
          <w:lang w:val="en-GB"/>
        </w:rPr>
        <w:t xml:space="preserve">and </w:t>
      </w:r>
      <w:r w:rsidR="00027AAB" w:rsidRPr="00492A85">
        <w:rPr>
          <w:rFonts w:ascii="Times New Roman" w:hAnsi="Times New Roman" w:cs="Times New Roman"/>
          <w:i/>
          <w:lang w:val="en-GB"/>
        </w:rPr>
        <w:t>Water Conserv</w:t>
      </w:r>
      <w:r w:rsidR="004E19F4" w:rsidRPr="00492A85">
        <w:rPr>
          <w:rFonts w:ascii="Times New Roman" w:hAnsi="Times New Roman" w:cs="Times New Roman"/>
          <w:i/>
          <w:lang w:val="en-GB"/>
        </w:rPr>
        <w:t>ation</w:t>
      </w:r>
      <w:r w:rsidR="00027AAB" w:rsidRPr="00492A85">
        <w:rPr>
          <w:rFonts w:ascii="Times New Roman" w:hAnsi="Times New Roman" w:cs="Times New Roman"/>
          <w:lang w:val="en-GB"/>
        </w:rPr>
        <w:t xml:space="preserve"> </w:t>
      </w:r>
      <w:r w:rsidR="00027AAB" w:rsidRPr="00492A85">
        <w:rPr>
          <w:rFonts w:ascii="Times New Roman" w:hAnsi="Times New Roman" w:cs="Times New Roman"/>
          <w:b/>
          <w:lang w:val="en-GB"/>
        </w:rPr>
        <w:t>57</w:t>
      </w:r>
      <w:r w:rsidR="004E19F4" w:rsidRPr="00492A85">
        <w:rPr>
          <w:rFonts w:ascii="Times New Roman" w:hAnsi="Times New Roman" w:cs="Times New Roman"/>
          <w:lang w:val="en-GB"/>
        </w:rPr>
        <w:t>:</w:t>
      </w:r>
      <w:r w:rsidR="00027AAB" w:rsidRPr="00492A85">
        <w:rPr>
          <w:rFonts w:ascii="Times New Roman" w:hAnsi="Times New Roman" w:cs="Times New Roman"/>
          <w:lang w:val="en-GB"/>
        </w:rPr>
        <w:t xml:space="preserve"> 327–335.</w:t>
      </w:r>
    </w:p>
    <w:sectPr w:rsidR="00A262C9" w:rsidRPr="00492A8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60C12" w14:textId="77777777" w:rsidR="00ED217E" w:rsidRDefault="00ED217E" w:rsidP="00C860AE">
      <w:pPr>
        <w:spacing w:after="0" w:line="240" w:lineRule="auto"/>
      </w:pPr>
      <w:r>
        <w:separator/>
      </w:r>
    </w:p>
  </w:endnote>
  <w:endnote w:type="continuationSeparator" w:id="0">
    <w:p w14:paraId="627468BF" w14:textId="77777777" w:rsidR="00ED217E" w:rsidRDefault="00ED217E" w:rsidP="00C8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dvTimes">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421652"/>
      <w:docPartObj>
        <w:docPartGallery w:val="Page Numbers (Bottom of Page)"/>
        <w:docPartUnique/>
      </w:docPartObj>
    </w:sdtPr>
    <w:sdtEndPr>
      <w:rPr>
        <w:noProof/>
      </w:rPr>
    </w:sdtEndPr>
    <w:sdtContent>
      <w:p w14:paraId="1A51B74D" w14:textId="663F7B08" w:rsidR="004C616D" w:rsidRDefault="004C616D">
        <w:pPr>
          <w:pStyle w:val="Footer"/>
          <w:jc w:val="center"/>
        </w:pPr>
        <w:r>
          <w:fldChar w:fldCharType="begin"/>
        </w:r>
        <w:r>
          <w:instrText xml:space="preserve"> PAGE   \* MERGEFORMAT </w:instrText>
        </w:r>
        <w:r>
          <w:fldChar w:fldCharType="separate"/>
        </w:r>
        <w:r w:rsidR="00492A85">
          <w:rPr>
            <w:noProof/>
          </w:rPr>
          <w:t>4</w:t>
        </w:r>
        <w:r>
          <w:rPr>
            <w:noProof/>
          </w:rPr>
          <w:fldChar w:fldCharType="end"/>
        </w:r>
      </w:p>
    </w:sdtContent>
  </w:sdt>
  <w:p w14:paraId="4BF1C111" w14:textId="77777777" w:rsidR="004C616D" w:rsidRDefault="004C6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98164" w14:textId="77777777" w:rsidR="00ED217E" w:rsidRDefault="00ED217E" w:rsidP="00C860AE">
      <w:pPr>
        <w:spacing w:after="0" w:line="240" w:lineRule="auto"/>
      </w:pPr>
      <w:r>
        <w:separator/>
      </w:r>
    </w:p>
  </w:footnote>
  <w:footnote w:type="continuationSeparator" w:id="0">
    <w:p w14:paraId="3A6377D1" w14:textId="77777777" w:rsidR="00ED217E" w:rsidRDefault="00ED217E" w:rsidP="00C860AE">
      <w:pPr>
        <w:spacing w:after="0" w:line="240" w:lineRule="auto"/>
      </w:pPr>
      <w:r>
        <w:continuationSeparator/>
      </w:r>
    </w:p>
  </w:footnote>
  <w:footnote w:id="1">
    <w:p w14:paraId="1010B52B" w14:textId="63E4F75A" w:rsidR="00C860AE" w:rsidRPr="00EB4C5A" w:rsidRDefault="00C860AE" w:rsidP="00492A85">
      <w:pPr>
        <w:pStyle w:val="FootnoteText"/>
        <w:ind w:left="284" w:hanging="284"/>
        <w:rPr>
          <w:rFonts w:ascii="Times New Roman" w:hAnsi="Times New Roman" w:cs="Times New Roman"/>
          <w:lang w:val="en-US"/>
        </w:rPr>
      </w:pPr>
      <w:r w:rsidRPr="00226162">
        <w:rPr>
          <w:rStyle w:val="FootnoteReference"/>
          <w:rFonts w:ascii="Times New Roman" w:hAnsi="Times New Roman" w:cs="Times New Roman"/>
        </w:rPr>
        <w:footnoteRef/>
      </w:r>
      <w:r w:rsidRPr="00226162">
        <w:rPr>
          <w:rFonts w:ascii="Times New Roman" w:hAnsi="Times New Roman" w:cs="Times New Roman"/>
          <w:lang w:val="en-US"/>
        </w:rPr>
        <w:t xml:space="preserve"> </w:t>
      </w:r>
      <w:r w:rsidR="00492A85">
        <w:rPr>
          <w:rFonts w:ascii="Times New Roman" w:hAnsi="Times New Roman" w:cs="Times New Roman"/>
          <w:lang w:val="en-US"/>
        </w:rPr>
        <w:tab/>
      </w:r>
      <w:r w:rsidRPr="00EB4C5A">
        <w:rPr>
          <w:rFonts w:ascii="Times New Roman" w:hAnsi="Times New Roman" w:cs="Times New Roman"/>
          <w:lang w:val="en-US"/>
        </w:rPr>
        <w:t>Complex models are tier three tools, while simpler models are tier two and one tools (Shaffer and Delg</w:t>
      </w:r>
      <w:r>
        <w:rPr>
          <w:rFonts w:ascii="Times New Roman" w:hAnsi="Times New Roman" w:cs="Times New Roman"/>
          <w:lang w:val="en-US"/>
        </w:rPr>
        <w:t>ado, 2002</w:t>
      </w:r>
      <w:r w:rsidR="00A91C0C">
        <w:rPr>
          <w:rFonts w:ascii="Times New Roman" w:hAnsi="Times New Roman" w:cs="Times New Roman"/>
          <w:lang w:val="en-US"/>
        </w:rPr>
        <w:t>;</w:t>
      </w:r>
      <w:r>
        <w:rPr>
          <w:rFonts w:ascii="Times New Roman" w:hAnsi="Times New Roman" w:cs="Times New Roman"/>
          <w:lang w:val="en-US"/>
        </w:rPr>
        <w:t xml:space="preserve"> Delgado </w:t>
      </w:r>
      <w:r w:rsidRPr="00A91C0C">
        <w:rPr>
          <w:rFonts w:ascii="Times New Roman" w:hAnsi="Times New Roman" w:cs="Times New Roman"/>
          <w:i/>
          <w:lang w:val="en-US"/>
        </w:rPr>
        <w:t>et al</w:t>
      </w:r>
      <w:r>
        <w:rPr>
          <w:rFonts w:ascii="Times New Roman" w:hAnsi="Times New Roman" w:cs="Times New Roman"/>
          <w:lang w:val="en-US"/>
        </w:rPr>
        <w:t>.,</w:t>
      </w:r>
      <w:r w:rsidRPr="00EB4C5A">
        <w:rPr>
          <w:rFonts w:ascii="Times New Roman" w:hAnsi="Times New Roman" w:cs="Times New Roman"/>
          <w:lang w:val="en-US"/>
        </w:rPr>
        <w:t xml:space="preserve"> 2008).</w:t>
      </w:r>
    </w:p>
  </w:footnote>
  <w:footnote w:id="2">
    <w:p w14:paraId="6C02E904" w14:textId="61F22790" w:rsidR="00C860AE" w:rsidRPr="00430FD7" w:rsidRDefault="00C860AE" w:rsidP="00492A85">
      <w:pPr>
        <w:pStyle w:val="FootnoteText"/>
        <w:ind w:left="284" w:hanging="284"/>
        <w:jc w:val="both"/>
        <w:rPr>
          <w:lang w:val="en-US"/>
        </w:rPr>
      </w:pPr>
      <w:r>
        <w:rPr>
          <w:rStyle w:val="FootnoteReference"/>
        </w:rPr>
        <w:footnoteRef/>
      </w:r>
      <w:r w:rsidRPr="00430FD7">
        <w:rPr>
          <w:lang w:val="en-US"/>
        </w:rPr>
        <w:t xml:space="preserve"> </w:t>
      </w:r>
      <w:r w:rsidR="00492A85">
        <w:rPr>
          <w:lang w:val="en-US"/>
        </w:rPr>
        <w:tab/>
      </w:r>
      <w:r w:rsidRPr="00EB4C5A">
        <w:rPr>
          <w:rFonts w:ascii="Times New Roman" w:hAnsi="Times New Roman" w:cs="Times New Roman"/>
          <w:lang w:val="en-US"/>
        </w:rPr>
        <w:t xml:space="preserve">In consultation with the developers of the </w:t>
      </w:r>
      <w:r w:rsidRPr="00EB4C5A">
        <w:rPr>
          <w:rFonts w:ascii="Times New Roman" w:eastAsia="Calibri" w:hAnsi="Times New Roman" w:cs="Times New Roman"/>
          <w:lang w:val="en-US" w:eastAsia="de-DE"/>
        </w:rPr>
        <w:t xml:space="preserve">Nitrogen Index Tier Zero </w:t>
      </w:r>
      <w:r w:rsidR="00A91C0C">
        <w:rPr>
          <w:rFonts w:ascii="Times New Roman" w:eastAsia="Calibri" w:hAnsi="Times New Roman" w:cs="Times New Roman"/>
          <w:lang w:val="en-US" w:eastAsia="de-DE"/>
        </w:rPr>
        <w:t>t</w:t>
      </w:r>
      <w:r w:rsidRPr="00EB4C5A">
        <w:rPr>
          <w:rFonts w:ascii="Times New Roman" w:eastAsia="Calibri" w:hAnsi="Times New Roman" w:cs="Times New Roman"/>
          <w:lang w:val="en-US" w:eastAsia="de-DE"/>
        </w:rPr>
        <w:t>ool</w:t>
      </w:r>
      <w:r w:rsidRPr="00EB4C5A">
        <w:rPr>
          <w:rFonts w:ascii="Times New Roman" w:hAnsi="Times New Roman" w:cs="Times New Roman"/>
          <w:lang w:val="en-US"/>
        </w:rPr>
        <w:t>, we use the regional N-Index Malawi</w:t>
      </w:r>
      <w:r w:rsidR="00A91C0C">
        <w:rPr>
          <w:rFonts w:ascii="Times New Roman" w:hAnsi="Times New Roman" w:cs="Times New Roman"/>
          <w:lang w:val="en-US"/>
        </w:rPr>
        <w:t>.</w:t>
      </w:r>
    </w:p>
  </w:footnote>
  <w:footnote w:id="3">
    <w:p w14:paraId="46B239B6" w14:textId="0DC9A5BB" w:rsidR="00C860AE" w:rsidRPr="00EB4C5A" w:rsidRDefault="00C860AE" w:rsidP="00492A85">
      <w:pPr>
        <w:pStyle w:val="FootnoteText"/>
        <w:ind w:left="284" w:hanging="284"/>
        <w:jc w:val="both"/>
        <w:rPr>
          <w:lang w:val="en-US"/>
        </w:rPr>
      </w:pPr>
      <w:r w:rsidRPr="00EB4C5A">
        <w:rPr>
          <w:rStyle w:val="FootnoteReference"/>
        </w:rPr>
        <w:footnoteRef/>
      </w:r>
      <w:r w:rsidRPr="00EB4C5A">
        <w:rPr>
          <w:lang w:val="en-US"/>
        </w:rPr>
        <w:t xml:space="preserve"> </w:t>
      </w:r>
      <w:r w:rsidR="00492A85">
        <w:rPr>
          <w:lang w:val="en-US"/>
        </w:rPr>
        <w:tab/>
      </w:r>
      <w:r w:rsidRPr="00EB4C5A">
        <w:rPr>
          <w:rFonts w:ascii="Times New Roman" w:hAnsi="Times New Roman" w:cs="Times New Roman"/>
          <w:lang w:val="en-US"/>
        </w:rPr>
        <w:t xml:space="preserve">For the purpose of this study, we consider only nitrogen </w:t>
      </w:r>
      <w:r>
        <w:rPr>
          <w:rFonts w:ascii="Times New Roman" w:hAnsi="Times New Roman" w:cs="Times New Roman"/>
          <w:lang w:val="en-US"/>
        </w:rPr>
        <w:t>fertil</w:t>
      </w:r>
      <w:r w:rsidR="00492A85">
        <w:rPr>
          <w:rFonts w:ascii="Times New Roman" w:hAnsi="Times New Roman" w:cs="Times New Roman"/>
          <w:lang w:val="en-US"/>
        </w:rPr>
        <w:t>ize</w:t>
      </w:r>
      <w:r>
        <w:rPr>
          <w:rFonts w:ascii="Times New Roman" w:hAnsi="Times New Roman" w:cs="Times New Roman"/>
          <w:lang w:val="en-US"/>
        </w:rPr>
        <w:t>r</w:t>
      </w:r>
      <w:r w:rsidRPr="00EB4C5A">
        <w:rPr>
          <w:rFonts w:ascii="Times New Roman" w:hAnsi="Times New Roman" w:cs="Times New Roman"/>
          <w:lang w:val="en-US"/>
        </w:rPr>
        <w:t xml:space="preserve"> applications in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62"/>
    <w:rsid w:val="00027AAB"/>
    <w:rsid w:val="000A15A7"/>
    <w:rsid w:val="000A4267"/>
    <w:rsid w:val="0014524A"/>
    <w:rsid w:val="001A139D"/>
    <w:rsid w:val="001D220D"/>
    <w:rsid w:val="002B04E3"/>
    <w:rsid w:val="003F7456"/>
    <w:rsid w:val="00492A85"/>
    <w:rsid w:val="004C616D"/>
    <w:rsid w:val="004E19F4"/>
    <w:rsid w:val="0060442A"/>
    <w:rsid w:val="00796A72"/>
    <w:rsid w:val="008D143E"/>
    <w:rsid w:val="00A262C9"/>
    <w:rsid w:val="00A4396A"/>
    <w:rsid w:val="00A91C0C"/>
    <w:rsid w:val="00AA521B"/>
    <w:rsid w:val="00BA2A68"/>
    <w:rsid w:val="00C860AE"/>
    <w:rsid w:val="00E2535E"/>
    <w:rsid w:val="00E83268"/>
    <w:rsid w:val="00E95F6C"/>
    <w:rsid w:val="00ED217E"/>
    <w:rsid w:val="00F6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60AE"/>
    <w:pPr>
      <w:spacing w:after="0" w:line="240" w:lineRule="auto"/>
    </w:pPr>
    <w:rPr>
      <w:sz w:val="20"/>
      <w:szCs w:val="20"/>
      <w:lang w:val="de-DE"/>
    </w:rPr>
  </w:style>
  <w:style w:type="character" w:customStyle="1" w:styleId="FootnoteTextChar">
    <w:name w:val="Footnote Text Char"/>
    <w:basedOn w:val="DefaultParagraphFont"/>
    <w:link w:val="FootnoteText"/>
    <w:uiPriority w:val="99"/>
    <w:rsid w:val="00C860AE"/>
    <w:rPr>
      <w:sz w:val="20"/>
      <w:szCs w:val="20"/>
      <w:lang w:val="de-DE"/>
    </w:rPr>
  </w:style>
  <w:style w:type="character" w:styleId="FootnoteReference">
    <w:name w:val="footnote reference"/>
    <w:basedOn w:val="DefaultParagraphFont"/>
    <w:semiHidden/>
    <w:unhideWhenUsed/>
    <w:rsid w:val="00C860AE"/>
    <w:rPr>
      <w:vertAlign w:val="superscript"/>
    </w:rPr>
  </w:style>
  <w:style w:type="paragraph" w:styleId="Header">
    <w:name w:val="header"/>
    <w:basedOn w:val="Normal"/>
    <w:link w:val="HeaderChar"/>
    <w:uiPriority w:val="99"/>
    <w:unhideWhenUsed/>
    <w:rsid w:val="004C6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16D"/>
  </w:style>
  <w:style w:type="paragraph" w:styleId="Footer">
    <w:name w:val="footer"/>
    <w:basedOn w:val="Normal"/>
    <w:link w:val="FooterChar"/>
    <w:uiPriority w:val="99"/>
    <w:unhideWhenUsed/>
    <w:rsid w:val="004C6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16D"/>
  </w:style>
  <w:style w:type="paragraph" w:styleId="BalloonText">
    <w:name w:val="Balloon Text"/>
    <w:basedOn w:val="Normal"/>
    <w:link w:val="BalloonTextChar"/>
    <w:uiPriority w:val="99"/>
    <w:semiHidden/>
    <w:unhideWhenUsed/>
    <w:rsid w:val="00BA2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A68"/>
    <w:rPr>
      <w:rFonts w:ascii="Tahoma" w:hAnsi="Tahoma" w:cs="Tahoma"/>
      <w:sz w:val="16"/>
      <w:szCs w:val="16"/>
    </w:rPr>
  </w:style>
  <w:style w:type="character" w:styleId="Hyperlink">
    <w:name w:val="Hyperlink"/>
    <w:basedOn w:val="DefaultParagraphFont"/>
    <w:uiPriority w:val="99"/>
    <w:unhideWhenUsed/>
    <w:rsid w:val="00A91C0C"/>
    <w:rPr>
      <w:color w:val="0000FF"/>
      <w:u w:val="single"/>
    </w:rPr>
  </w:style>
  <w:style w:type="paragraph" w:customStyle="1" w:styleId="Default">
    <w:name w:val="Default"/>
    <w:rsid w:val="00A91C0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62C9"/>
    <w:rPr>
      <w:sz w:val="16"/>
      <w:szCs w:val="16"/>
    </w:rPr>
  </w:style>
  <w:style w:type="paragraph" w:styleId="CommentText">
    <w:name w:val="annotation text"/>
    <w:basedOn w:val="Normal"/>
    <w:link w:val="CommentTextChar"/>
    <w:uiPriority w:val="99"/>
    <w:semiHidden/>
    <w:unhideWhenUsed/>
    <w:rsid w:val="00A262C9"/>
    <w:pPr>
      <w:spacing w:line="240" w:lineRule="auto"/>
    </w:pPr>
    <w:rPr>
      <w:sz w:val="20"/>
      <w:szCs w:val="20"/>
    </w:rPr>
  </w:style>
  <w:style w:type="character" w:customStyle="1" w:styleId="CommentTextChar">
    <w:name w:val="Comment Text Char"/>
    <w:basedOn w:val="DefaultParagraphFont"/>
    <w:link w:val="CommentText"/>
    <w:uiPriority w:val="99"/>
    <w:semiHidden/>
    <w:rsid w:val="00A262C9"/>
    <w:rPr>
      <w:sz w:val="20"/>
      <w:szCs w:val="20"/>
    </w:rPr>
  </w:style>
  <w:style w:type="paragraph" w:styleId="CommentSubject">
    <w:name w:val="annotation subject"/>
    <w:basedOn w:val="CommentText"/>
    <w:next w:val="CommentText"/>
    <w:link w:val="CommentSubjectChar"/>
    <w:uiPriority w:val="99"/>
    <w:semiHidden/>
    <w:unhideWhenUsed/>
    <w:rsid w:val="00A262C9"/>
    <w:rPr>
      <w:b/>
      <w:bCs/>
    </w:rPr>
  </w:style>
  <w:style w:type="character" w:customStyle="1" w:styleId="CommentSubjectChar">
    <w:name w:val="Comment Subject Char"/>
    <w:basedOn w:val="CommentTextChar"/>
    <w:link w:val="CommentSubject"/>
    <w:uiPriority w:val="99"/>
    <w:semiHidden/>
    <w:rsid w:val="00A262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60AE"/>
    <w:pPr>
      <w:spacing w:after="0" w:line="240" w:lineRule="auto"/>
    </w:pPr>
    <w:rPr>
      <w:sz w:val="20"/>
      <w:szCs w:val="20"/>
      <w:lang w:val="de-DE"/>
    </w:rPr>
  </w:style>
  <w:style w:type="character" w:customStyle="1" w:styleId="FootnoteTextChar">
    <w:name w:val="Footnote Text Char"/>
    <w:basedOn w:val="DefaultParagraphFont"/>
    <w:link w:val="FootnoteText"/>
    <w:uiPriority w:val="99"/>
    <w:rsid w:val="00C860AE"/>
    <w:rPr>
      <w:sz w:val="20"/>
      <w:szCs w:val="20"/>
      <w:lang w:val="de-DE"/>
    </w:rPr>
  </w:style>
  <w:style w:type="character" w:styleId="FootnoteReference">
    <w:name w:val="footnote reference"/>
    <w:basedOn w:val="DefaultParagraphFont"/>
    <w:semiHidden/>
    <w:unhideWhenUsed/>
    <w:rsid w:val="00C860AE"/>
    <w:rPr>
      <w:vertAlign w:val="superscript"/>
    </w:rPr>
  </w:style>
  <w:style w:type="paragraph" w:styleId="Header">
    <w:name w:val="header"/>
    <w:basedOn w:val="Normal"/>
    <w:link w:val="HeaderChar"/>
    <w:uiPriority w:val="99"/>
    <w:unhideWhenUsed/>
    <w:rsid w:val="004C6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16D"/>
  </w:style>
  <w:style w:type="paragraph" w:styleId="Footer">
    <w:name w:val="footer"/>
    <w:basedOn w:val="Normal"/>
    <w:link w:val="FooterChar"/>
    <w:uiPriority w:val="99"/>
    <w:unhideWhenUsed/>
    <w:rsid w:val="004C6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16D"/>
  </w:style>
  <w:style w:type="paragraph" w:styleId="BalloonText">
    <w:name w:val="Balloon Text"/>
    <w:basedOn w:val="Normal"/>
    <w:link w:val="BalloonTextChar"/>
    <w:uiPriority w:val="99"/>
    <w:semiHidden/>
    <w:unhideWhenUsed/>
    <w:rsid w:val="00BA2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A68"/>
    <w:rPr>
      <w:rFonts w:ascii="Tahoma" w:hAnsi="Tahoma" w:cs="Tahoma"/>
      <w:sz w:val="16"/>
      <w:szCs w:val="16"/>
    </w:rPr>
  </w:style>
  <w:style w:type="character" w:styleId="Hyperlink">
    <w:name w:val="Hyperlink"/>
    <w:basedOn w:val="DefaultParagraphFont"/>
    <w:uiPriority w:val="99"/>
    <w:unhideWhenUsed/>
    <w:rsid w:val="00A91C0C"/>
    <w:rPr>
      <w:color w:val="0000FF"/>
      <w:u w:val="single"/>
    </w:rPr>
  </w:style>
  <w:style w:type="paragraph" w:customStyle="1" w:styleId="Default">
    <w:name w:val="Default"/>
    <w:rsid w:val="00A91C0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62C9"/>
    <w:rPr>
      <w:sz w:val="16"/>
      <w:szCs w:val="16"/>
    </w:rPr>
  </w:style>
  <w:style w:type="paragraph" w:styleId="CommentText">
    <w:name w:val="annotation text"/>
    <w:basedOn w:val="Normal"/>
    <w:link w:val="CommentTextChar"/>
    <w:uiPriority w:val="99"/>
    <w:semiHidden/>
    <w:unhideWhenUsed/>
    <w:rsid w:val="00A262C9"/>
    <w:pPr>
      <w:spacing w:line="240" w:lineRule="auto"/>
    </w:pPr>
    <w:rPr>
      <w:sz w:val="20"/>
      <w:szCs w:val="20"/>
    </w:rPr>
  </w:style>
  <w:style w:type="character" w:customStyle="1" w:styleId="CommentTextChar">
    <w:name w:val="Comment Text Char"/>
    <w:basedOn w:val="DefaultParagraphFont"/>
    <w:link w:val="CommentText"/>
    <w:uiPriority w:val="99"/>
    <w:semiHidden/>
    <w:rsid w:val="00A262C9"/>
    <w:rPr>
      <w:sz w:val="20"/>
      <w:szCs w:val="20"/>
    </w:rPr>
  </w:style>
  <w:style w:type="paragraph" w:styleId="CommentSubject">
    <w:name w:val="annotation subject"/>
    <w:basedOn w:val="CommentText"/>
    <w:next w:val="CommentText"/>
    <w:link w:val="CommentSubjectChar"/>
    <w:uiPriority w:val="99"/>
    <w:semiHidden/>
    <w:unhideWhenUsed/>
    <w:rsid w:val="00A262C9"/>
    <w:rPr>
      <w:b/>
      <w:bCs/>
    </w:rPr>
  </w:style>
  <w:style w:type="character" w:customStyle="1" w:styleId="CommentSubjectChar">
    <w:name w:val="Comment Subject Char"/>
    <w:basedOn w:val="CommentTextChar"/>
    <w:link w:val="CommentSubject"/>
    <w:uiPriority w:val="99"/>
    <w:semiHidden/>
    <w:rsid w:val="00A262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ula@food-econ.uni-kiel.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48FC-BEDB-4DD8-A8C9-D4A70B6B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Nafeo Abdulai</dc:creator>
  <cp:lastModifiedBy>Barbara</cp:lastModifiedBy>
  <cp:revision>2</cp:revision>
  <dcterms:created xsi:type="dcterms:W3CDTF">2016-10-20T16:19:00Z</dcterms:created>
  <dcterms:modified xsi:type="dcterms:W3CDTF">2016-10-20T16:19:00Z</dcterms:modified>
</cp:coreProperties>
</file>