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DF84" w14:textId="77777777" w:rsidR="00B245DC" w:rsidRDefault="00B245DC" w:rsidP="00624470">
      <w:r>
        <w:t>Supplementary Material</w:t>
      </w:r>
    </w:p>
    <w:p w14:paraId="4AC8BCC0" w14:textId="77777777" w:rsidR="00B245DC" w:rsidRDefault="00B245DC" w:rsidP="00B245DC">
      <w:pPr>
        <w:jc w:val="center"/>
        <w:rPr>
          <w:b/>
          <w:bCs/>
        </w:rPr>
      </w:pPr>
    </w:p>
    <w:p w14:paraId="00000002" w14:textId="6F487BF8" w:rsidR="00EC6AA1" w:rsidRPr="00B245DC" w:rsidRDefault="002C68D0" w:rsidP="00B245DC">
      <w:pPr>
        <w:jc w:val="center"/>
        <w:rPr>
          <w:b/>
          <w:bCs/>
        </w:rPr>
      </w:pPr>
      <w:r w:rsidRPr="00EF6C90">
        <w:rPr>
          <w:b/>
          <w:bCs/>
        </w:rPr>
        <w:t>Factor structure of the Harmonized Cognitive Assessment Protocol</w:t>
      </w:r>
      <w:r w:rsidR="00B245DC">
        <w:rPr>
          <w:b/>
          <w:bCs/>
        </w:rPr>
        <w:t xml:space="preserve"> </w:t>
      </w:r>
      <w:r>
        <w:rPr>
          <w:b/>
        </w:rPr>
        <w:t>neuropsychological battery in the Health and Retirement Study</w:t>
      </w:r>
    </w:p>
    <w:p w14:paraId="52E26CF2" w14:textId="77777777" w:rsidR="00B245DC" w:rsidRDefault="00B245DC" w:rsidP="0016137F">
      <w:pPr>
        <w:spacing w:before="240" w:after="240" w:line="360" w:lineRule="auto"/>
      </w:pPr>
    </w:p>
    <w:p w14:paraId="141FBE59" w14:textId="18CA8154" w:rsidR="004C239D" w:rsidRDefault="002C68D0" w:rsidP="0016137F">
      <w:pPr>
        <w:spacing w:before="240" w:after="240" w:line="360" w:lineRule="auto"/>
      </w:pPr>
      <w:r>
        <w:t xml:space="preserve">Richard N. Jones, </w:t>
      </w:r>
      <w:proofErr w:type="spellStart"/>
      <w:r>
        <w:t>ScD</w:t>
      </w:r>
      <w:r>
        <w:rPr>
          <w:vertAlign w:val="superscript"/>
        </w:rPr>
        <w:t>a</w:t>
      </w:r>
      <w:proofErr w:type="spellEnd"/>
      <w:r>
        <w:rPr>
          <w:vertAlign w:val="superscript"/>
        </w:rPr>
        <w:t>, b</w:t>
      </w:r>
      <w:r>
        <w:t xml:space="preserve">; Jennifer J. Manly, </w:t>
      </w:r>
      <w:proofErr w:type="spellStart"/>
      <w:r>
        <w:t>PhD</w:t>
      </w:r>
      <w:r>
        <w:rPr>
          <w:vertAlign w:val="superscript"/>
        </w:rPr>
        <w:t>c</w:t>
      </w:r>
      <w:proofErr w:type="spellEnd"/>
      <w:r>
        <w:t xml:space="preserve">; </w:t>
      </w:r>
      <w:r w:rsidR="00BF1286">
        <w:t xml:space="preserve">Kenneth M. Langa, MD </w:t>
      </w:r>
      <w:proofErr w:type="spellStart"/>
      <w:r w:rsidR="00BF1286">
        <w:t>PhD</w:t>
      </w:r>
      <w:r w:rsidR="00BF1286">
        <w:rPr>
          <w:vertAlign w:val="superscript"/>
        </w:rPr>
        <w:t>d</w:t>
      </w:r>
      <w:proofErr w:type="spellEnd"/>
      <w:r w:rsidR="00BF1286">
        <w:rPr>
          <w:vertAlign w:val="superscript"/>
        </w:rPr>
        <w:t>, e, f</w:t>
      </w:r>
      <w:r w:rsidR="00C00EC9">
        <w:rPr>
          <w:vertAlign w:val="superscript"/>
        </w:rPr>
        <w:t>, h</w:t>
      </w:r>
      <w:r w:rsidR="00BF1286">
        <w:t xml:space="preserve">; </w:t>
      </w:r>
    </w:p>
    <w:p w14:paraId="4E4BF3D4" w14:textId="256441A4" w:rsidR="004C239D" w:rsidRDefault="002C68D0" w:rsidP="0016137F">
      <w:pPr>
        <w:spacing w:before="240" w:after="240" w:line="360" w:lineRule="auto"/>
      </w:pPr>
      <w:r>
        <w:t xml:space="preserve">Lindsay </w:t>
      </w:r>
      <w:r w:rsidR="00A0676F" w:rsidRPr="00726E8D">
        <w:t xml:space="preserve">H. </w:t>
      </w:r>
      <w:r>
        <w:t xml:space="preserve">Ryan, </w:t>
      </w:r>
      <w:proofErr w:type="spellStart"/>
      <w:r>
        <w:t>PhD</w:t>
      </w:r>
      <w:r>
        <w:rPr>
          <w:vertAlign w:val="superscript"/>
        </w:rPr>
        <w:t>d</w:t>
      </w:r>
      <w:proofErr w:type="spellEnd"/>
      <w:r>
        <w:t xml:space="preserve">; Deborah </w:t>
      </w:r>
      <w:r w:rsidR="00077B8E">
        <w:t xml:space="preserve">A. </w:t>
      </w:r>
      <w:r>
        <w:t xml:space="preserve">Levine, MD </w:t>
      </w:r>
      <w:proofErr w:type="spellStart"/>
      <w:r>
        <w:t>MPH</w:t>
      </w:r>
      <w:r>
        <w:rPr>
          <w:vertAlign w:val="superscript"/>
        </w:rPr>
        <w:t>e</w:t>
      </w:r>
      <w:proofErr w:type="spellEnd"/>
      <w:r>
        <w:rPr>
          <w:vertAlign w:val="superscript"/>
        </w:rPr>
        <w:t>, f, g</w:t>
      </w:r>
      <w:r>
        <w:t xml:space="preserve">; Ryan McCammon, </w:t>
      </w:r>
      <w:proofErr w:type="spellStart"/>
      <w:r w:rsidR="0002508A">
        <w:t>MS</w:t>
      </w:r>
      <w:r>
        <w:rPr>
          <w:vertAlign w:val="superscript"/>
        </w:rPr>
        <w:t>d</w:t>
      </w:r>
      <w:proofErr w:type="spellEnd"/>
      <w:r>
        <w:t xml:space="preserve">; </w:t>
      </w:r>
    </w:p>
    <w:p w14:paraId="5449C228" w14:textId="20D60A0A" w:rsidR="00BF1286" w:rsidRDefault="00BF1286" w:rsidP="0016137F">
      <w:pPr>
        <w:spacing w:before="240" w:after="240" w:line="360" w:lineRule="auto"/>
      </w:pPr>
      <w:r>
        <w:t xml:space="preserve">David Weir, </w:t>
      </w:r>
      <w:proofErr w:type="spellStart"/>
      <w:r>
        <w:t>PhD</w:t>
      </w:r>
      <w:r>
        <w:rPr>
          <w:vertAlign w:val="superscript"/>
        </w:rPr>
        <w:t>d</w:t>
      </w:r>
      <w:proofErr w:type="spellEnd"/>
      <w:r>
        <w:t xml:space="preserve"> </w:t>
      </w:r>
    </w:p>
    <w:p w14:paraId="4536E232" w14:textId="65907A3E" w:rsidR="00115B1F" w:rsidRDefault="00115B1F">
      <w:pPr>
        <w:spacing w:line="240" w:lineRule="auto"/>
      </w:pPr>
    </w:p>
    <w:p w14:paraId="72AE93CE" w14:textId="24752ECE" w:rsidR="00115B1F" w:rsidRPr="00726E8D" w:rsidRDefault="00C96685">
      <w:pPr>
        <w:spacing w:line="240" w:lineRule="auto"/>
      </w:pPr>
      <w:r w:rsidRPr="00726E8D">
        <w:t xml:space="preserve">February </w:t>
      </w:r>
      <w:r w:rsidR="00726E8D" w:rsidRPr="00726E8D">
        <w:t>16</w:t>
      </w:r>
      <w:r w:rsidRPr="00726E8D">
        <w:t>, 202</w:t>
      </w:r>
      <w:r w:rsidR="00726E8D" w:rsidRPr="00726E8D">
        <w:t>2</w:t>
      </w:r>
    </w:p>
    <w:p w14:paraId="5C3D30FA" w14:textId="588C6679" w:rsidR="00B24BFC" w:rsidRDefault="00B24BFC">
      <w:pPr>
        <w:rPr>
          <w:b/>
          <w:bCs/>
        </w:rPr>
      </w:pPr>
      <w:bookmarkStart w:id="0" w:name="_qwygv7iinf87" w:colFirst="0" w:colLast="0"/>
      <w:bookmarkEnd w:id="0"/>
    </w:p>
    <w:p w14:paraId="1D44109E" w14:textId="0DD97CD3" w:rsidR="00624470" w:rsidRPr="00624470" w:rsidRDefault="00624470">
      <w:pPr>
        <w:rPr>
          <w:b/>
          <w:bCs/>
          <w:szCs w:val="24"/>
        </w:rPr>
      </w:pPr>
      <w:r>
        <w:rPr>
          <w:b/>
          <w:bCs/>
        </w:rPr>
        <w:t>Contents</w:t>
      </w:r>
    </w:p>
    <w:p w14:paraId="1F0E2373" w14:textId="4F7F4FC8" w:rsidR="0027737D" w:rsidRPr="0027737D" w:rsidRDefault="00624470">
      <w:pPr>
        <w:pStyle w:val="TOC1"/>
        <w:tabs>
          <w:tab w:val="right" w:pos="9350"/>
        </w:tabs>
        <w:rPr>
          <w:rFonts w:ascii="Times New Roman" w:eastAsiaTheme="minorEastAsia" w:hAnsi="Times New Roman" w:cs="Times New Roman"/>
          <w:b w:val="0"/>
          <w:bCs w:val="0"/>
          <w:noProof/>
          <w:color w:val="auto"/>
          <w:sz w:val="24"/>
          <w:szCs w:val="24"/>
          <w:lang w:val="en-US"/>
        </w:rPr>
      </w:pPr>
      <w:r w:rsidRPr="0027737D">
        <w:rPr>
          <w:rFonts w:ascii="Times New Roman" w:hAnsi="Times New Roman" w:cs="Times New Roman"/>
          <w:b w:val="0"/>
          <w:bCs w:val="0"/>
          <w:sz w:val="24"/>
          <w:szCs w:val="24"/>
        </w:rPr>
        <w:fldChar w:fldCharType="begin"/>
      </w:r>
      <w:r w:rsidRPr="0027737D">
        <w:rPr>
          <w:rFonts w:ascii="Times New Roman" w:hAnsi="Times New Roman" w:cs="Times New Roman"/>
          <w:b w:val="0"/>
          <w:bCs w:val="0"/>
          <w:sz w:val="24"/>
          <w:szCs w:val="24"/>
        </w:rPr>
        <w:instrText xml:space="preserve"> TOC \o "1-3" \h \z \u </w:instrText>
      </w:r>
      <w:r w:rsidRPr="0027737D">
        <w:rPr>
          <w:rFonts w:ascii="Times New Roman" w:hAnsi="Times New Roman" w:cs="Times New Roman"/>
          <w:b w:val="0"/>
          <w:bCs w:val="0"/>
          <w:sz w:val="24"/>
          <w:szCs w:val="24"/>
        </w:rPr>
        <w:fldChar w:fldCharType="separate"/>
      </w:r>
      <w:hyperlink w:anchor="_Toc64889685" w:history="1">
        <w:r w:rsidR="0027737D" w:rsidRPr="0027737D">
          <w:rPr>
            <w:rStyle w:val="Hyperlink"/>
            <w:rFonts w:ascii="Times New Roman" w:hAnsi="Times New Roman" w:cs="Times New Roman"/>
            <w:b w:val="0"/>
            <w:bCs w:val="0"/>
            <w:noProof/>
            <w:sz w:val="24"/>
            <w:szCs w:val="24"/>
          </w:rPr>
          <w:t>Table S1. Factor correlations from Model VIII: correlated factors model with methods effects</w:t>
        </w:r>
        <w:r w:rsidR="0027737D" w:rsidRPr="0027737D">
          <w:rPr>
            <w:rFonts w:ascii="Times New Roman" w:hAnsi="Times New Roman" w:cs="Times New Roman"/>
            <w:b w:val="0"/>
            <w:bCs w:val="0"/>
            <w:noProof/>
            <w:webHidden/>
            <w:sz w:val="24"/>
            <w:szCs w:val="24"/>
          </w:rPr>
          <w:tab/>
        </w:r>
        <w:r w:rsidR="0027737D" w:rsidRPr="0027737D">
          <w:rPr>
            <w:rFonts w:ascii="Times New Roman" w:hAnsi="Times New Roman" w:cs="Times New Roman"/>
            <w:b w:val="0"/>
            <w:bCs w:val="0"/>
            <w:noProof/>
            <w:webHidden/>
            <w:sz w:val="24"/>
            <w:szCs w:val="24"/>
          </w:rPr>
          <w:fldChar w:fldCharType="begin"/>
        </w:r>
        <w:r w:rsidR="0027737D" w:rsidRPr="0027737D">
          <w:rPr>
            <w:rFonts w:ascii="Times New Roman" w:hAnsi="Times New Roman" w:cs="Times New Roman"/>
            <w:b w:val="0"/>
            <w:bCs w:val="0"/>
            <w:noProof/>
            <w:webHidden/>
            <w:sz w:val="24"/>
            <w:szCs w:val="24"/>
          </w:rPr>
          <w:instrText xml:space="preserve"> PAGEREF _Toc64889685 \h </w:instrText>
        </w:r>
        <w:r w:rsidR="0027737D" w:rsidRPr="0027737D">
          <w:rPr>
            <w:rFonts w:ascii="Times New Roman" w:hAnsi="Times New Roman" w:cs="Times New Roman"/>
            <w:b w:val="0"/>
            <w:bCs w:val="0"/>
            <w:noProof/>
            <w:webHidden/>
            <w:sz w:val="24"/>
            <w:szCs w:val="24"/>
          </w:rPr>
        </w:r>
        <w:r w:rsidR="0027737D" w:rsidRPr="0027737D">
          <w:rPr>
            <w:rFonts w:ascii="Times New Roman" w:hAnsi="Times New Roman" w:cs="Times New Roman"/>
            <w:b w:val="0"/>
            <w:bCs w:val="0"/>
            <w:noProof/>
            <w:webHidden/>
            <w:sz w:val="24"/>
            <w:szCs w:val="24"/>
          </w:rPr>
          <w:fldChar w:fldCharType="separate"/>
        </w:r>
        <w:r w:rsidR="0027737D" w:rsidRPr="0027737D">
          <w:rPr>
            <w:rFonts w:ascii="Times New Roman" w:hAnsi="Times New Roman" w:cs="Times New Roman"/>
            <w:b w:val="0"/>
            <w:bCs w:val="0"/>
            <w:noProof/>
            <w:webHidden/>
            <w:sz w:val="24"/>
            <w:szCs w:val="24"/>
          </w:rPr>
          <w:t>2</w:t>
        </w:r>
        <w:r w:rsidR="0027737D" w:rsidRPr="0027737D">
          <w:rPr>
            <w:rFonts w:ascii="Times New Roman" w:hAnsi="Times New Roman" w:cs="Times New Roman"/>
            <w:b w:val="0"/>
            <w:bCs w:val="0"/>
            <w:noProof/>
            <w:webHidden/>
            <w:sz w:val="24"/>
            <w:szCs w:val="24"/>
          </w:rPr>
          <w:fldChar w:fldCharType="end"/>
        </w:r>
      </w:hyperlink>
    </w:p>
    <w:p w14:paraId="7C72C0D9" w14:textId="64ED2F0B" w:rsidR="0027737D" w:rsidRPr="0027737D" w:rsidRDefault="00000000">
      <w:pPr>
        <w:pStyle w:val="TOC1"/>
        <w:tabs>
          <w:tab w:val="right" w:pos="9350"/>
        </w:tabs>
        <w:rPr>
          <w:rFonts w:ascii="Times New Roman" w:eastAsiaTheme="minorEastAsia" w:hAnsi="Times New Roman" w:cs="Times New Roman"/>
          <w:b w:val="0"/>
          <w:bCs w:val="0"/>
          <w:noProof/>
          <w:color w:val="auto"/>
          <w:sz w:val="24"/>
          <w:szCs w:val="24"/>
          <w:lang w:val="en-US"/>
        </w:rPr>
      </w:pPr>
      <w:hyperlink w:anchor="_Toc64889686" w:history="1">
        <w:r w:rsidR="0027737D" w:rsidRPr="0027737D">
          <w:rPr>
            <w:rStyle w:val="Hyperlink"/>
            <w:rFonts w:ascii="Times New Roman" w:hAnsi="Times New Roman" w:cs="Times New Roman"/>
            <w:b w:val="0"/>
            <w:bCs w:val="0"/>
            <w:noProof/>
            <w:sz w:val="24"/>
            <w:szCs w:val="24"/>
          </w:rPr>
          <w:t>Figure S1: General approach to factor models</w:t>
        </w:r>
        <w:r w:rsidR="0027737D" w:rsidRPr="0027737D">
          <w:rPr>
            <w:rFonts w:ascii="Times New Roman" w:hAnsi="Times New Roman" w:cs="Times New Roman"/>
            <w:b w:val="0"/>
            <w:bCs w:val="0"/>
            <w:noProof/>
            <w:webHidden/>
            <w:sz w:val="24"/>
            <w:szCs w:val="24"/>
          </w:rPr>
          <w:tab/>
        </w:r>
        <w:r w:rsidR="0027737D" w:rsidRPr="0027737D">
          <w:rPr>
            <w:rFonts w:ascii="Times New Roman" w:hAnsi="Times New Roman" w:cs="Times New Roman"/>
            <w:b w:val="0"/>
            <w:bCs w:val="0"/>
            <w:noProof/>
            <w:webHidden/>
            <w:sz w:val="24"/>
            <w:szCs w:val="24"/>
          </w:rPr>
          <w:fldChar w:fldCharType="begin"/>
        </w:r>
        <w:r w:rsidR="0027737D" w:rsidRPr="0027737D">
          <w:rPr>
            <w:rFonts w:ascii="Times New Roman" w:hAnsi="Times New Roman" w:cs="Times New Roman"/>
            <w:b w:val="0"/>
            <w:bCs w:val="0"/>
            <w:noProof/>
            <w:webHidden/>
            <w:sz w:val="24"/>
            <w:szCs w:val="24"/>
          </w:rPr>
          <w:instrText xml:space="preserve"> PAGEREF _Toc64889686 \h </w:instrText>
        </w:r>
        <w:r w:rsidR="0027737D" w:rsidRPr="0027737D">
          <w:rPr>
            <w:rFonts w:ascii="Times New Roman" w:hAnsi="Times New Roman" w:cs="Times New Roman"/>
            <w:b w:val="0"/>
            <w:bCs w:val="0"/>
            <w:noProof/>
            <w:webHidden/>
            <w:sz w:val="24"/>
            <w:szCs w:val="24"/>
          </w:rPr>
        </w:r>
        <w:r w:rsidR="0027737D" w:rsidRPr="0027737D">
          <w:rPr>
            <w:rFonts w:ascii="Times New Roman" w:hAnsi="Times New Roman" w:cs="Times New Roman"/>
            <w:b w:val="0"/>
            <w:bCs w:val="0"/>
            <w:noProof/>
            <w:webHidden/>
            <w:sz w:val="24"/>
            <w:szCs w:val="24"/>
          </w:rPr>
          <w:fldChar w:fldCharType="separate"/>
        </w:r>
        <w:r w:rsidR="0027737D" w:rsidRPr="0027737D">
          <w:rPr>
            <w:rFonts w:ascii="Times New Roman" w:hAnsi="Times New Roman" w:cs="Times New Roman"/>
            <w:b w:val="0"/>
            <w:bCs w:val="0"/>
            <w:noProof/>
            <w:webHidden/>
            <w:sz w:val="24"/>
            <w:szCs w:val="24"/>
          </w:rPr>
          <w:t>3</w:t>
        </w:r>
        <w:r w:rsidR="0027737D" w:rsidRPr="0027737D">
          <w:rPr>
            <w:rFonts w:ascii="Times New Roman" w:hAnsi="Times New Roman" w:cs="Times New Roman"/>
            <w:b w:val="0"/>
            <w:bCs w:val="0"/>
            <w:noProof/>
            <w:webHidden/>
            <w:sz w:val="24"/>
            <w:szCs w:val="24"/>
          </w:rPr>
          <w:fldChar w:fldCharType="end"/>
        </w:r>
      </w:hyperlink>
    </w:p>
    <w:p w14:paraId="595D4F60" w14:textId="739AF994" w:rsidR="0027737D" w:rsidRPr="0027737D" w:rsidRDefault="00000000">
      <w:pPr>
        <w:pStyle w:val="TOC1"/>
        <w:tabs>
          <w:tab w:val="right" w:pos="9350"/>
        </w:tabs>
        <w:rPr>
          <w:rFonts w:ascii="Times New Roman" w:eastAsiaTheme="minorEastAsia" w:hAnsi="Times New Roman" w:cs="Times New Roman"/>
          <w:b w:val="0"/>
          <w:bCs w:val="0"/>
          <w:noProof/>
          <w:color w:val="auto"/>
          <w:sz w:val="24"/>
          <w:szCs w:val="24"/>
          <w:lang w:val="en-US"/>
        </w:rPr>
      </w:pPr>
      <w:hyperlink w:anchor="_Toc64889687" w:history="1">
        <w:r w:rsidR="0027737D" w:rsidRPr="0027737D">
          <w:rPr>
            <w:rStyle w:val="Hyperlink"/>
            <w:rFonts w:ascii="Times New Roman" w:hAnsi="Times New Roman" w:cs="Times New Roman"/>
            <w:b w:val="0"/>
            <w:bCs w:val="0"/>
            <w:noProof/>
            <w:sz w:val="24"/>
            <w:szCs w:val="24"/>
          </w:rPr>
          <w:t>Figure S2 Density plot of factor score estimates obtained as expected a priori (EAP) estimates and Bayesian plausible values.</w:t>
        </w:r>
        <w:r w:rsidR="0027737D" w:rsidRPr="0027737D">
          <w:rPr>
            <w:rFonts w:ascii="Times New Roman" w:hAnsi="Times New Roman" w:cs="Times New Roman"/>
            <w:b w:val="0"/>
            <w:bCs w:val="0"/>
            <w:noProof/>
            <w:webHidden/>
            <w:sz w:val="24"/>
            <w:szCs w:val="24"/>
          </w:rPr>
          <w:tab/>
        </w:r>
        <w:r w:rsidR="0027737D" w:rsidRPr="0027737D">
          <w:rPr>
            <w:rFonts w:ascii="Times New Roman" w:hAnsi="Times New Roman" w:cs="Times New Roman"/>
            <w:b w:val="0"/>
            <w:bCs w:val="0"/>
            <w:noProof/>
            <w:webHidden/>
            <w:sz w:val="24"/>
            <w:szCs w:val="24"/>
          </w:rPr>
          <w:fldChar w:fldCharType="begin"/>
        </w:r>
        <w:r w:rsidR="0027737D" w:rsidRPr="0027737D">
          <w:rPr>
            <w:rFonts w:ascii="Times New Roman" w:hAnsi="Times New Roman" w:cs="Times New Roman"/>
            <w:b w:val="0"/>
            <w:bCs w:val="0"/>
            <w:noProof/>
            <w:webHidden/>
            <w:sz w:val="24"/>
            <w:szCs w:val="24"/>
          </w:rPr>
          <w:instrText xml:space="preserve"> PAGEREF _Toc64889687 \h </w:instrText>
        </w:r>
        <w:r w:rsidR="0027737D" w:rsidRPr="0027737D">
          <w:rPr>
            <w:rFonts w:ascii="Times New Roman" w:hAnsi="Times New Roman" w:cs="Times New Roman"/>
            <w:b w:val="0"/>
            <w:bCs w:val="0"/>
            <w:noProof/>
            <w:webHidden/>
            <w:sz w:val="24"/>
            <w:szCs w:val="24"/>
          </w:rPr>
        </w:r>
        <w:r w:rsidR="0027737D" w:rsidRPr="0027737D">
          <w:rPr>
            <w:rFonts w:ascii="Times New Roman" w:hAnsi="Times New Roman" w:cs="Times New Roman"/>
            <w:b w:val="0"/>
            <w:bCs w:val="0"/>
            <w:noProof/>
            <w:webHidden/>
            <w:sz w:val="24"/>
            <w:szCs w:val="24"/>
          </w:rPr>
          <w:fldChar w:fldCharType="separate"/>
        </w:r>
        <w:r w:rsidR="0027737D" w:rsidRPr="0027737D">
          <w:rPr>
            <w:rFonts w:ascii="Times New Roman" w:hAnsi="Times New Roman" w:cs="Times New Roman"/>
            <w:b w:val="0"/>
            <w:bCs w:val="0"/>
            <w:noProof/>
            <w:webHidden/>
            <w:sz w:val="24"/>
            <w:szCs w:val="24"/>
          </w:rPr>
          <w:t>4</w:t>
        </w:r>
        <w:r w:rsidR="0027737D" w:rsidRPr="0027737D">
          <w:rPr>
            <w:rFonts w:ascii="Times New Roman" w:hAnsi="Times New Roman" w:cs="Times New Roman"/>
            <w:b w:val="0"/>
            <w:bCs w:val="0"/>
            <w:noProof/>
            <w:webHidden/>
            <w:sz w:val="24"/>
            <w:szCs w:val="24"/>
          </w:rPr>
          <w:fldChar w:fldCharType="end"/>
        </w:r>
      </w:hyperlink>
    </w:p>
    <w:bookmarkStart w:id="1" w:name="OLE_LINK3"/>
    <w:bookmarkStart w:id="2" w:name="OLE_LINK4"/>
    <w:p w14:paraId="6BBAEA2B" w14:textId="47EF9A86" w:rsidR="0027737D" w:rsidRPr="0027737D" w:rsidRDefault="00000000">
      <w:pPr>
        <w:pStyle w:val="TOC1"/>
        <w:tabs>
          <w:tab w:val="right" w:pos="9350"/>
        </w:tabs>
        <w:rPr>
          <w:rFonts w:ascii="Times New Roman" w:eastAsiaTheme="minorEastAsia" w:hAnsi="Times New Roman" w:cs="Times New Roman"/>
          <w:b w:val="0"/>
          <w:bCs w:val="0"/>
          <w:noProof/>
          <w:color w:val="auto"/>
          <w:sz w:val="24"/>
          <w:szCs w:val="24"/>
          <w:lang w:val="en-US"/>
        </w:rPr>
      </w:pPr>
      <w:r>
        <w:fldChar w:fldCharType="begin"/>
      </w:r>
      <w:r>
        <w:instrText>HYPERLINK \l "_Toc64889688"</w:instrText>
      </w:r>
      <w:r>
        <w:fldChar w:fldCharType="separate"/>
      </w:r>
      <w:r w:rsidR="0027737D" w:rsidRPr="0027737D">
        <w:rPr>
          <w:rStyle w:val="Hyperlink"/>
          <w:rFonts w:ascii="Times New Roman" w:hAnsi="Times New Roman" w:cs="Times New Roman"/>
          <w:b w:val="0"/>
          <w:bCs w:val="0"/>
          <w:noProof/>
          <w:sz w:val="24"/>
          <w:szCs w:val="24"/>
        </w:rPr>
        <w:t>Figure S3. Participant flow in HRS/HCAP and in deriving analytic sample for this study</w:t>
      </w:r>
      <w:r w:rsidR="0027737D" w:rsidRPr="0027737D">
        <w:rPr>
          <w:rFonts w:ascii="Times New Roman" w:hAnsi="Times New Roman" w:cs="Times New Roman"/>
          <w:b w:val="0"/>
          <w:bCs w:val="0"/>
          <w:noProof/>
          <w:webHidden/>
          <w:sz w:val="24"/>
          <w:szCs w:val="24"/>
        </w:rPr>
        <w:tab/>
      </w:r>
      <w:r w:rsidR="0027737D" w:rsidRPr="0027737D">
        <w:rPr>
          <w:rFonts w:ascii="Times New Roman" w:hAnsi="Times New Roman" w:cs="Times New Roman"/>
          <w:b w:val="0"/>
          <w:bCs w:val="0"/>
          <w:noProof/>
          <w:webHidden/>
          <w:sz w:val="24"/>
          <w:szCs w:val="24"/>
        </w:rPr>
        <w:fldChar w:fldCharType="begin"/>
      </w:r>
      <w:r w:rsidR="0027737D" w:rsidRPr="0027737D">
        <w:rPr>
          <w:rFonts w:ascii="Times New Roman" w:hAnsi="Times New Roman" w:cs="Times New Roman"/>
          <w:b w:val="0"/>
          <w:bCs w:val="0"/>
          <w:noProof/>
          <w:webHidden/>
          <w:sz w:val="24"/>
          <w:szCs w:val="24"/>
        </w:rPr>
        <w:instrText xml:space="preserve"> PAGEREF _Toc64889688 \h </w:instrText>
      </w:r>
      <w:r w:rsidR="0027737D" w:rsidRPr="0027737D">
        <w:rPr>
          <w:rFonts w:ascii="Times New Roman" w:hAnsi="Times New Roman" w:cs="Times New Roman"/>
          <w:b w:val="0"/>
          <w:bCs w:val="0"/>
          <w:noProof/>
          <w:webHidden/>
          <w:sz w:val="24"/>
          <w:szCs w:val="24"/>
        </w:rPr>
      </w:r>
      <w:r w:rsidR="0027737D" w:rsidRPr="0027737D">
        <w:rPr>
          <w:rFonts w:ascii="Times New Roman" w:hAnsi="Times New Roman" w:cs="Times New Roman"/>
          <w:b w:val="0"/>
          <w:bCs w:val="0"/>
          <w:noProof/>
          <w:webHidden/>
          <w:sz w:val="24"/>
          <w:szCs w:val="24"/>
        </w:rPr>
        <w:fldChar w:fldCharType="separate"/>
      </w:r>
      <w:r w:rsidR="0027737D" w:rsidRPr="0027737D">
        <w:rPr>
          <w:rFonts w:ascii="Times New Roman" w:hAnsi="Times New Roman" w:cs="Times New Roman"/>
          <w:b w:val="0"/>
          <w:bCs w:val="0"/>
          <w:noProof/>
          <w:webHidden/>
          <w:sz w:val="24"/>
          <w:szCs w:val="24"/>
        </w:rPr>
        <w:t>5</w:t>
      </w:r>
      <w:r w:rsidR="0027737D" w:rsidRPr="0027737D">
        <w:rPr>
          <w:rFonts w:ascii="Times New Roman" w:hAnsi="Times New Roman" w:cs="Times New Roman"/>
          <w:b w:val="0"/>
          <w:bCs w:val="0"/>
          <w:noProof/>
          <w:webHidden/>
          <w:sz w:val="24"/>
          <w:szCs w:val="24"/>
        </w:rPr>
        <w:fldChar w:fldCharType="end"/>
      </w:r>
      <w:r>
        <w:rPr>
          <w:rFonts w:ascii="Times New Roman" w:hAnsi="Times New Roman" w:cs="Times New Roman"/>
          <w:b w:val="0"/>
          <w:bCs w:val="0"/>
          <w:noProof/>
          <w:sz w:val="24"/>
          <w:szCs w:val="24"/>
        </w:rPr>
        <w:fldChar w:fldCharType="end"/>
      </w:r>
    </w:p>
    <w:bookmarkEnd w:id="1"/>
    <w:bookmarkEnd w:id="2"/>
    <w:p w14:paraId="54A8809B" w14:textId="7CB65AB8" w:rsidR="00624470" w:rsidRPr="00624470" w:rsidRDefault="00624470">
      <w:pPr>
        <w:rPr>
          <w:b/>
          <w:bCs/>
          <w:szCs w:val="24"/>
        </w:rPr>
      </w:pPr>
      <w:r w:rsidRPr="0027737D">
        <w:rPr>
          <w:rFonts w:cs="Times New Roman"/>
          <w:szCs w:val="24"/>
        </w:rPr>
        <w:fldChar w:fldCharType="end"/>
      </w:r>
    </w:p>
    <w:p w14:paraId="16736291" w14:textId="77777777" w:rsidR="00B245DC" w:rsidRDefault="00B245DC">
      <w:pPr>
        <w:rPr>
          <w:b/>
          <w:bCs/>
        </w:rPr>
      </w:pPr>
      <w:r>
        <w:rPr>
          <w:b/>
          <w:bCs/>
        </w:rPr>
        <w:br w:type="page"/>
      </w:r>
    </w:p>
    <w:p w14:paraId="52A3CE66" w14:textId="7CBF3677" w:rsidR="0016137F" w:rsidRPr="004F7C81" w:rsidRDefault="0064226E" w:rsidP="004F7C81">
      <w:pPr>
        <w:pStyle w:val="Heading1"/>
      </w:pPr>
      <w:bookmarkStart w:id="3" w:name="_Toc63504154"/>
      <w:bookmarkStart w:id="4" w:name="_Toc64889685"/>
      <w:r w:rsidRPr="004F7C81">
        <w:lastRenderedPageBreak/>
        <w:t xml:space="preserve">Table S1. Factor correlations from </w:t>
      </w:r>
      <w:r w:rsidR="0098060A">
        <w:t>m</w:t>
      </w:r>
      <w:r w:rsidRPr="004F7C81">
        <w:t>odel VIII: correlated factors model with methods effects</w:t>
      </w:r>
      <w:bookmarkEnd w:id="3"/>
      <w:bookmarkEnd w:id="4"/>
      <w:r w:rsidR="0098060A" w:rsidRPr="00C00EC9">
        <w:rPr>
          <w:b w:val="0"/>
          <w:bCs/>
        </w:rPr>
        <w:t xml:space="preserve">.  This table presents the correlations among all pairs of latent variables (and the single indicator domains: orientation, visuospatial) </w:t>
      </w:r>
      <w:r w:rsidR="0098060A">
        <w:rPr>
          <w:b w:val="0"/>
          <w:bCs/>
        </w:rPr>
        <w:t>deriving from model VIII. Factor 1 and Factor 2 are arbitrary designations. For example, the correlation of delayed episodic memory and immediate episodic memory is 0.95. The entries in the table are sorted in descending order based on the magnitude of the correlation.</w:t>
      </w:r>
    </w:p>
    <w:tbl>
      <w:tblPr>
        <w:tblW w:w="0" w:type="auto"/>
        <w:tblInd w:w="1147" w:type="dxa"/>
        <w:tblLayout w:type="fixed"/>
        <w:tblCellMar>
          <w:left w:w="0" w:type="dxa"/>
          <w:right w:w="0" w:type="dxa"/>
        </w:tblCellMar>
        <w:tblLook w:val="01E0" w:firstRow="1" w:lastRow="1" w:firstColumn="1" w:lastColumn="1" w:noHBand="0" w:noVBand="0"/>
      </w:tblPr>
      <w:tblGrid>
        <w:gridCol w:w="2471"/>
        <w:gridCol w:w="2732"/>
        <w:gridCol w:w="1382"/>
      </w:tblGrid>
      <w:tr w:rsidR="0016137F" w:rsidRPr="0016137F" w14:paraId="2971EB06" w14:textId="77777777" w:rsidTr="0047038B">
        <w:trPr>
          <w:trHeight w:val="220"/>
        </w:trPr>
        <w:tc>
          <w:tcPr>
            <w:tcW w:w="2471" w:type="dxa"/>
            <w:tcBorders>
              <w:bottom w:val="single" w:sz="4" w:space="0" w:color="000000"/>
            </w:tcBorders>
          </w:tcPr>
          <w:p w14:paraId="7131FCF0" w14:textId="77777777" w:rsidR="0016137F" w:rsidRPr="0016137F" w:rsidRDefault="0016137F" w:rsidP="0016137F">
            <w:pPr>
              <w:pStyle w:val="TableParagraph"/>
              <w:spacing w:line="360" w:lineRule="auto"/>
              <w:rPr>
                <w:b/>
                <w:sz w:val="20"/>
              </w:rPr>
            </w:pPr>
            <w:r w:rsidRPr="0016137F">
              <w:rPr>
                <w:b/>
                <w:w w:val="115"/>
                <w:sz w:val="20"/>
              </w:rPr>
              <w:t>Factor 1</w:t>
            </w:r>
          </w:p>
        </w:tc>
        <w:tc>
          <w:tcPr>
            <w:tcW w:w="2732" w:type="dxa"/>
            <w:tcBorders>
              <w:bottom w:val="single" w:sz="4" w:space="0" w:color="000000"/>
            </w:tcBorders>
          </w:tcPr>
          <w:p w14:paraId="25C173E2" w14:textId="77777777" w:rsidR="0016137F" w:rsidRPr="0016137F" w:rsidRDefault="0016137F" w:rsidP="0016137F">
            <w:pPr>
              <w:pStyle w:val="TableParagraph"/>
              <w:spacing w:line="360" w:lineRule="auto"/>
              <w:rPr>
                <w:b/>
                <w:sz w:val="20"/>
              </w:rPr>
            </w:pPr>
            <w:r w:rsidRPr="0016137F">
              <w:rPr>
                <w:b/>
                <w:w w:val="115"/>
                <w:sz w:val="20"/>
              </w:rPr>
              <w:t>Factor 2</w:t>
            </w:r>
          </w:p>
        </w:tc>
        <w:tc>
          <w:tcPr>
            <w:tcW w:w="1382" w:type="dxa"/>
            <w:tcBorders>
              <w:bottom w:val="single" w:sz="4" w:space="0" w:color="000000"/>
            </w:tcBorders>
          </w:tcPr>
          <w:p w14:paraId="09875FC6" w14:textId="77777777" w:rsidR="0016137F" w:rsidRPr="0016137F" w:rsidRDefault="0016137F" w:rsidP="0016137F">
            <w:pPr>
              <w:pStyle w:val="TableParagraph"/>
              <w:spacing w:line="360" w:lineRule="auto"/>
              <w:ind w:left="0" w:right="117"/>
              <w:jc w:val="right"/>
              <w:rPr>
                <w:b/>
                <w:sz w:val="20"/>
              </w:rPr>
            </w:pPr>
            <w:r w:rsidRPr="0016137F">
              <w:rPr>
                <w:b/>
                <w:w w:val="110"/>
                <w:sz w:val="20"/>
              </w:rPr>
              <w:t>Correlation</w:t>
            </w:r>
          </w:p>
        </w:tc>
      </w:tr>
      <w:tr w:rsidR="0016137F" w:rsidRPr="0016137F" w14:paraId="03A6BD1E" w14:textId="77777777" w:rsidTr="0047038B">
        <w:trPr>
          <w:trHeight w:val="236"/>
        </w:trPr>
        <w:tc>
          <w:tcPr>
            <w:tcW w:w="2471" w:type="dxa"/>
            <w:tcBorders>
              <w:top w:val="single" w:sz="4" w:space="0" w:color="000000"/>
            </w:tcBorders>
          </w:tcPr>
          <w:p w14:paraId="12521295" w14:textId="77777777" w:rsidR="0016137F" w:rsidRPr="0016137F" w:rsidRDefault="0016137F" w:rsidP="0016137F">
            <w:pPr>
              <w:pStyle w:val="TableParagraph"/>
              <w:spacing w:line="360" w:lineRule="auto"/>
              <w:rPr>
                <w:sz w:val="20"/>
              </w:rPr>
            </w:pPr>
            <w:r w:rsidRPr="0016137F">
              <w:rPr>
                <w:w w:val="105"/>
                <w:sz w:val="20"/>
              </w:rPr>
              <w:t>Memory, delayed episodic</w:t>
            </w:r>
          </w:p>
        </w:tc>
        <w:tc>
          <w:tcPr>
            <w:tcW w:w="2732" w:type="dxa"/>
            <w:tcBorders>
              <w:top w:val="single" w:sz="4" w:space="0" w:color="000000"/>
            </w:tcBorders>
          </w:tcPr>
          <w:p w14:paraId="719FA9F4" w14:textId="77777777" w:rsidR="0016137F" w:rsidRPr="0016137F" w:rsidRDefault="0016137F" w:rsidP="0016137F">
            <w:pPr>
              <w:pStyle w:val="TableParagraph"/>
              <w:spacing w:line="360" w:lineRule="auto"/>
              <w:ind w:left="120"/>
              <w:rPr>
                <w:sz w:val="20"/>
              </w:rPr>
            </w:pPr>
            <w:r w:rsidRPr="0016137F">
              <w:rPr>
                <w:w w:val="105"/>
                <w:sz w:val="20"/>
              </w:rPr>
              <w:t>Memory, immediate episodic</w:t>
            </w:r>
          </w:p>
        </w:tc>
        <w:tc>
          <w:tcPr>
            <w:tcW w:w="1382" w:type="dxa"/>
            <w:tcBorders>
              <w:top w:val="single" w:sz="4" w:space="0" w:color="000000"/>
            </w:tcBorders>
          </w:tcPr>
          <w:p w14:paraId="1547EEF4" w14:textId="77777777" w:rsidR="0016137F" w:rsidRPr="0016137F" w:rsidRDefault="0016137F" w:rsidP="0016137F">
            <w:pPr>
              <w:pStyle w:val="TableParagraph"/>
              <w:spacing w:line="360" w:lineRule="auto"/>
              <w:ind w:left="0" w:right="117"/>
              <w:jc w:val="right"/>
              <w:rPr>
                <w:sz w:val="20"/>
              </w:rPr>
            </w:pPr>
            <w:r w:rsidRPr="0016137F">
              <w:rPr>
                <w:sz w:val="20"/>
              </w:rPr>
              <w:t>0.95</w:t>
            </w:r>
          </w:p>
        </w:tc>
      </w:tr>
      <w:tr w:rsidR="0016137F" w:rsidRPr="0016137F" w14:paraId="5C35F9F3" w14:textId="77777777" w:rsidTr="0047038B">
        <w:trPr>
          <w:trHeight w:val="239"/>
        </w:trPr>
        <w:tc>
          <w:tcPr>
            <w:tcW w:w="2471" w:type="dxa"/>
          </w:tcPr>
          <w:p w14:paraId="2EB1DD66" w14:textId="77777777" w:rsidR="0016137F" w:rsidRPr="0016137F" w:rsidRDefault="0016137F" w:rsidP="0016137F">
            <w:pPr>
              <w:pStyle w:val="TableParagraph"/>
              <w:spacing w:line="360" w:lineRule="auto"/>
              <w:rPr>
                <w:sz w:val="20"/>
              </w:rPr>
            </w:pPr>
            <w:r w:rsidRPr="0016137F">
              <w:rPr>
                <w:w w:val="110"/>
                <w:sz w:val="20"/>
              </w:rPr>
              <w:t>Attention, speed</w:t>
            </w:r>
          </w:p>
        </w:tc>
        <w:tc>
          <w:tcPr>
            <w:tcW w:w="2732" w:type="dxa"/>
          </w:tcPr>
          <w:p w14:paraId="7887600D" w14:textId="77777777" w:rsidR="0016137F" w:rsidRPr="0016137F" w:rsidRDefault="0016137F" w:rsidP="0016137F">
            <w:pPr>
              <w:pStyle w:val="TableParagraph"/>
              <w:spacing w:line="360" w:lineRule="auto"/>
              <w:ind w:left="120"/>
              <w:rPr>
                <w:sz w:val="20"/>
              </w:rPr>
            </w:pPr>
            <w:r w:rsidRPr="0016137F">
              <w:rPr>
                <w:w w:val="110"/>
                <w:sz w:val="20"/>
              </w:rPr>
              <w:t>Set shifting</w:t>
            </w:r>
          </w:p>
        </w:tc>
        <w:tc>
          <w:tcPr>
            <w:tcW w:w="1382" w:type="dxa"/>
          </w:tcPr>
          <w:p w14:paraId="7C7CD64B" w14:textId="77777777" w:rsidR="0016137F" w:rsidRPr="0016137F" w:rsidRDefault="0016137F" w:rsidP="0016137F">
            <w:pPr>
              <w:pStyle w:val="TableParagraph"/>
              <w:spacing w:line="360" w:lineRule="auto"/>
              <w:ind w:left="0" w:right="117"/>
              <w:jc w:val="right"/>
              <w:rPr>
                <w:sz w:val="20"/>
              </w:rPr>
            </w:pPr>
            <w:r w:rsidRPr="0016137F">
              <w:rPr>
                <w:sz w:val="20"/>
              </w:rPr>
              <w:t>0.94</w:t>
            </w:r>
          </w:p>
        </w:tc>
      </w:tr>
      <w:tr w:rsidR="0016137F" w:rsidRPr="0016137F" w14:paraId="0F2D5969" w14:textId="77777777" w:rsidTr="0047038B">
        <w:trPr>
          <w:trHeight w:val="239"/>
        </w:trPr>
        <w:tc>
          <w:tcPr>
            <w:tcW w:w="2471" w:type="dxa"/>
          </w:tcPr>
          <w:p w14:paraId="1DC2BF1D" w14:textId="77777777" w:rsidR="0016137F" w:rsidRPr="0016137F" w:rsidRDefault="0016137F" w:rsidP="0016137F">
            <w:pPr>
              <w:pStyle w:val="TableParagraph"/>
              <w:spacing w:line="360" w:lineRule="auto"/>
              <w:rPr>
                <w:sz w:val="20"/>
              </w:rPr>
            </w:pPr>
            <w:r w:rsidRPr="0016137F">
              <w:rPr>
                <w:w w:val="105"/>
                <w:sz w:val="20"/>
              </w:rPr>
              <w:t>Language, fluency</w:t>
            </w:r>
          </w:p>
        </w:tc>
        <w:tc>
          <w:tcPr>
            <w:tcW w:w="2732" w:type="dxa"/>
          </w:tcPr>
          <w:p w14:paraId="532A7B39" w14:textId="77777777" w:rsidR="0016137F" w:rsidRPr="0016137F" w:rsidRDefault="0016137F" w:rsidP="0016137F">
            <w:pPr>
              <w:pStyle w:val="TableParagraph"/>
              <w:spacing w:line="360" w:lineRule="auto"/>
              <w:rPr>
                <w:sz w:val="20"/>
              </w:rPr>
            </w:pPr>
            <w:r w:rsidRPr="0016137F">
              <w:rPr>
                <w:w w:val="105"/>
                <w:sz w:val="20"/>
              </w:rPr>
              <w:t>Memory, immediate episodic</w:t>
            </w:r>
          </w:p>
        </w:tc>
        <w:tc>
          <w:tcPr>
            <w:tcW w:w="1382" w:type="dxa"/>
          </w:tcPr>
          <w:p w14:paraId="1FC622AF" w14:textId="77777777" w:rsidR="0016137F" w:rsidRPr="0016137F" w:rsidRDefault="0016137F" w:rsidP="0016137F">
            <w:pPr>
              <w:pStyle w:val="TableParagraph"/>
              <w:spacing w:line="360" w:lineRule="auto"/>
              <w:ind w:left="0" w:right="117"/>
              <w:jc w:val="right"/>
              <w:rPr>
                <w:sz w:val="20"/>
              </w:rPr>
            </w:pPr>
            <w:r w:rsidRPr="0016137F">
              <w:rPr>
                <w:sz w:val="20"/>
              </w:rPr>
              <w:t>0.94</w:t>
            </w:r>
          </w:p>
        </w:tc>
      </w:tr>
      <w:tr w:rsidR="0016137F" w:rsidRPr="0016137F" w14:paraId="33EFA8CB" w14:textId="77777777" w:rsidTr="0047038B">
        <w:trPr>
          <w:trHeight w:val="239"/>
        </w:trPr>
        <w:tc>
          <w:tcPr>
            <w:tcW w:w="2471" w:type="dxa"/>
          </w:tcPr>
          <w:p w14:paraId="59CBCFB5" w14:textId="77777777" w:rsidR="0016137F" w:rsidRPr="0016137F" w:rsidRDefault="0016137F" w:rsidP="0016137F">
            <w:pPr>
              <w:pStyle w:val="TableParagraph"/>
              <w:spacing w:line="360" w:lineRule="auto"/>
              <w:rPr>
                <w:sz w:val="20"/>
              </w:rPr>
            </w:pPr>
            <w:r w:rsidRPr="0016137F">
              <w:rPr>
                <w:w w:val="105"/>
                <w:sz w:val="20"/>
              </w:rPr>
              <w:t>Language, fluency</w:t>
            </w:r>
          </w:p>
        </w:tc>
        <w:tc>
          <w:tcPr>
            <w:tcW w:w="2732" w:type="dxa"/>
          </w:tcPr>
          <w:p w14:paraId="7AEC464A" w14:textId="77777777" w:rsidR="0016137F" w:rsidRPr="0016137F" w:rsidRDefault="0016137F" w:rsidP="0016137F">
            <w:pPr>
              <w:pStyle w:val="TableParagraph"/>
              <w:spacing w:line="360" w:lineRule="auto"/>
              <w:rPr>
                <w:sz w:val="20"/>
              </w:rPr>
            </w:pPr>
            <w:r w:rsidRPr="0016137F">
              <w:rPr>
                <w:w w:val="105"/>
                <w:sz w:val="20"/>
              </w:rPr>
              <w:t>Set shifting</w:t>
            </w:r>
          </w:p>
        </w:tc>
        <w:tc>
          <w:tcPr>
            <w:tcW w:w="1382" w:type="dxa"/>
          </w:tcPr>
          <w:p w14:paraId="55518888" w14:textId="77777777" w:rsidR="0016137F" w:rsidRPr="0016137F" w:rsidRDefault="0016137F" w:rsidP="0016137F">
            <w:pPr>
              <w:pStyle w:val="TableParagraph"/>
              <w:spacing w:line="360" w:lineRule="auto"/>
              <w:ind w:left="0" w:right="118"/>
              <w:jc w:val="right"/>
              <w:rPr>
                <w:sz w:val="20"/>
              </w:rPr>
            </w:pPr>
            <w:r w:rsidRPr="0016137F">
              <w:rPr>
                <w:sz w:val="20"/>
              </w:rPr>
              <w:t>0.93</w:t>
            </w:r>
          </w:p>
        </w:tc>
      </w:tr>
      <w:tr w:rsidR="0016137F" w:rsidRPr="0016137F" w14:paraId="4B852F96" w14:textId="77777777" w:rsidTr="0047038B">
        <w:trPr>
          <w:trHeight w:val="239"/>
        </w:trPr>
        <w:tc>
          <w:tcPr>
            <w:tcW w:w="2471" w:type="dxa"/>
          </w:tcPr>
          <w:p w14:paraId="0C2B2FFE" w14:textId="77777777" w:rsidR="0016137F" w:rsidRPr="0016137F" w:rsidRDefault="0016137F" w:rsidP="0016137F">
            <w:pPr>
              <w:pStyle w:val="TableParagraph"/>
              <w:spacing w:line="360" w:lineRule="auto"/>
              <w:rPr>
                <w:sz w:val="20"/>
              </w:rPr>
            </w:pPr>
            <w:r w:rsidRPr="0016137F">
              <w:rPr>
                <w:w w:val="105"/>
                <w:sz w:val="20"/>
              </w:rPr>
              <w:t>Memory, recognition</w:t>
            </w:r>
          </w:p>
        </w:tc>
        <w:tc>
          <w:tcPr>
            <w:tcW w:w="2732" w:type="dxa"/>
          </w:tcPr>
          <w:p w14:paraId="6FDCD83F" w14:textId="77777777" w:rsidR="0016137F" w:rsidRPr="0016137F" w:rsidRDefault="0016137F" w:rsidP="0016137F">
            <w:pPr>
              <w:pStyle w:val="TableParagraph"/>
              <w:spacing w:line="360" w:lineRule="auto"/>
              <w:ind w:left="120"/>
              <w:rPr>
                <w:sz w:val="20"/>
              </w:rPr>
            </w:pPr>
            <w:r w:rsidRPr="0016137F">
              <w:rPr>
                <w:w w:val="105"/>
                <w:sz w:val="20"/>
              </w:rPr>
              <w:t>Memory, delayed episodic</w:t>
            </w:r>
          </w:p>
        </w:tc>
        <w:tc>
          <w:tcPr>
            <w:tcW w:w="1382" w:type="dxa"/>
          </w:tcPr>
          <w:p w14:paraId="0660D2D7" w14:textId="77777777" w:rsidR="0016137F" w:rsidRPr="0016137F" w:rsidRDefault="0016137F" w:rsidP="0016137F">
            <w:pPr>
              <w:pStyle w:val="TableParagraph"/>
              <w:spacing w:line="360" w:lineRule="auto"/>
              <w:ind w:left="0" w:right="116"/>
              <w:jc w:val="right"/>
              <w:rPr>
                <w:sz w:val="20"/>
              </w:rPr>
            </w:pPr>
            <w:r w:rsidRPr="0016137F">
              <w:rPr>
                <w:sz w:val="20"/>
              </w:rPr>
              <w:t>0.91</w:t>
            </w:r>
          </w:p>
        </w:tc>
      </w:tr>
      <w:tr w:rsidR="0016137F" w:rsidRPr="0016137F" w14:paraId="4380B2D3" w14:textId="77777777" w:rsidTr="0047038B">
        <w:trPr>
          <w:trHeight w:val="239"/>
        </w:trPr>
        <w:tc>
          <w:tcPr>
            <w:tcW w:w="2471" w:type="dxa"/>
          </w:tcPr>
          <w:p w14:paraId="4F7F7125" w14:textId="77777777" w:rsidR="0016137F" w:rsidRPr="0016137F" w:rsidRDefault="0016137F" w:rsidP="0016137F">
            <w:pPr>
              <w:pStyle w:val="TableParagraph"/>
              <w:spacing w:line="360" w:lineRule="auto"/>
              <w:rPr>
                <w:sz w:val="20"/>
              </w:rPr>
            </w:pPr>
            <w:r w:rsidRPr="0016137F">
              <w:rPr>
                <w:w w:val="105"/>
                <w:sz w:val="20"/>
              </w:rPr>
              <w:t>Memory, recognition</w:t>
            </w:r>
          </w:p>
        </w:tc>
        <w:tc>
          <w:tcPr>
            <w:tcW w:w="2732" w:type="dxa"/>
          </w:tcPr>
          <w:p w14:paraId="6724889B" w14:textId="77777777" w:rsidR="0016137F" w:rsidRPr="0016137F" w:rsidRDefault="0016137F" w:rsidP="0016137F">
            <w:pPr>
              <w:pStyle w:val="TableParagraph"/>
              <w:spacing w:line="360" w:lineRule="auto"/>
              <w:ind w:left="120"/>
              <w:rPr>
                <w:sz w:val="20"/>
              </w:rPr>
            </w:pPr>
            <w:r w:rsidRPr="0016137F">
              <w:rPr>
                <w:w w:val="105"/>
                <w:sz w:val="20"/>
              </w:rPr>
              <w:t>Memory, immediate episodic</w:t>
            </w:r>
          </w:p>
        </w:tc>
        <w:tc>
          <w:tcPr>
            <w:tcW w:w="1382" w:type="dxa"/>
          </w:tcPr>
          <w:p w14:paraId="7F999F49" w14:textId="77777777" w:rsidR="0016137F" w:rsidRPr="0016137F" w:rsidRDefault="0016137F" w:rsidP="0016137F">
            <w:pPr>
              <w:pStyle w:val="TableParagraph"/>
              <w:spacing w:line="360" w:lineRule="auto"/>
              <w:ind w:left="0" w:right="115"/>
              <w:jc w:val="right"/>
              <w:rPr>
                <w:sz w:val="20"/>
              </w:rPr>
            </w:pPr>
            <w:r w:rsidRPr="0016137F">
              <w:rPr>
                <w:sz w:val="20"/>
              </w:rPr>
              <w:t>0.89</w:t>
            </w:r>
          </w:p>
        </w:tc>
      </w:tr>
      <w:tr w:rsidR="0016137F" w:rsidRPr="0016137F" w14:paraId="6418AF82" w14:textId="77777777" w:rsidTr="0047038B">
        <w:trPr>
          <w:trHeight w:val="239"/>
        </w:trPr>
        <w:tc>
          <w:tcPr>
            <w:tcW w:w="2471" w:type="dxa"/>
          </w:tcPr>
          <w:p w14:paraId="3B591382" w14:textId="77777777" w:rsidR="0016137F" w:rsidRPr="0016137F" w:rsidRDefault="0016137F" w:rsidP="0016137F">
            <w:pPr>
              <w:pStyle w:val="TableParagraph"/>
              <w:spacing w:line="360" w:lineRule="auto"/>
              <w:rPr>
                <w:sz w:val="20"/>
              </w:rPr>
            </w:pPr>
            <w:r w:rsidRPr="0016137F">
              <w:rPr>
                <w:w w:val="105"/>
                <w:sz w:val="20"/>
              </w:rPr>
              <w:t>Language, fluency</w:t>
            </w:r>
          </w:p>
        </w:tc>
        <w:tc>
          <w:tcPr>
            <w:tcW w:w="2732" w:type="dxa"/>
          </w:tcPr>
          <w:p w14:paraId="634E274F" w14:textId="77777777" w:rsidR="0016137F" w:rsidRPr="0016137F" w:rsidRDefault="0016137F" w:rsidP="0016137F">
            <w:pPr>
              <w:pStyle w:val="TableParagraph"/>
              <w:spacing w:line="360" w:lineRule="auto"/>
              <w:rPr>
                <w:sz w:val="20"/>
              </w:rPr>
            </w:pPr>
            <w:r w:rsidRPr="0016137F">
              <w:rPr>
                <w:w w:val="110"/>
                <w:sz w:val="20"/>
              </w:rPr>
              <w:t>Attention, speed</w:t>
            </w:r>
          </w:p>
        </w:tc>
        <w:tc>
          <w:tcPr>
            <w:tcW w:w="1382" w:type="dxa"/>
          </w:tcPr>
          <w:p w14:paraId="4846EDAC" w14:textId="77777777" w:rsidR="0016137F" w:rsidRPr="0016137F" w:rsidRDefault="0016137F" w:rsidP="0016137F">
            <w:pPr>
              <w:pStyle w:val="TableParagraph"/>
              <w:spacing w:line="360" w:lineRule="auto"/>
              <w:ind w:left="0" w:right="117"/>
              <w:jc w:val="right"/>
              <w:rPr>
                <w:sz w:val="20"/>
              </w:rPr>
            </w:pPr>
            <w:r w:rsidRPr="0016137F">
              <w:rPr>
                <w:sz w:val="20"/>
              </w:rPr>
              <w:t>0.89</w:t>
            </w:r>
          </w:p>
        </w:tc>
      </w:tr>
      <w:tr w:rsidR="0016137F" w:rsidRPr="0016137F" w14:paraId="02A5CB20" w14:textId="77777777" w:rsidTr="0047038B">
        <w:trPr>
          <w:trHeight w:val="239"/>
        </w:trPr>
        <w:tc>
          <w:tcPr>
            <w:tcW w:w="2471" w:type="dxa"/>
          </w:tcPr>
          <w:p w14:paraId="2211E7C5" w14:textId="77777777" w:rsidR="0016137F" w:rsidRPr="0016137F" w:rsidRDefault="0016137F" w:rsidP="0016137F">
            <w:pPr>
              <w:pStyle w:val="TableParagraph"/>
              <w:spacing w:line="360" w:lineRule="auto"/>
              <w:rPr>
                <w:sz w:val="20"/>
              </w:rPr>
            </w:pPr>
            <w:r w:rsidRPr="0016137F">
              <w:rPr>
                <w:w w:val="105"/>
                <w:sz w:val="20"/>
              </w:rPr>
              <w:t>Language, fluency</w:t>
            </w:r>
          </w:p>
        </w:tc>
        <w:tc>
          <w:tcPr>
            <w:tcW w:w="2732" w:type="dxa"/>
          </w:tcPr>
          <w:p w14:paraId="23F5265E" w14:textId="77777777" w:rsidR="0016137F" w:rsidRPr="0016137F" w:rsidRDefault="0016137F" w:rsidP="0016137F">
            <w:pPr>
              <w:pStyle w:val="TableParagraph"/>
              <w:spacing w:line="360" w:lineRule="auto"/>
              <w:rPr>
                <w:sz w:val="20"/>
              </w:rPr>
            </w:pPr>
            <w:r w:rsidRPr="0016137F">
              <w:rPr>
                <w:w w:val="105"/>
                <w:sz w:val="20"/>
              </w:rPr>
              <w:t>Memory, delayed episodic</w:t>
            </w:r>
          </w:p>
        </w:tc>
        <w:tc>
          <w:tcPr>
            <w:tcW w:w="1382" w:type="dxa"/>
          </w:tcPr>
          <w:p w14:paraId="0ECDA7AA" w14:textId="77777777" w:rsidR="0016137F" w:rsidRPr="0016137F" w:rsidRDefault="0016137F" w:rsidP="0016137F">
            <w:pPr>
              <w:pStyle w:val="TableParagraph"/>
              <w:spacing w:line="360" w:lineRule="auto"/>
              <w:ind w:left="0" w:right="117"/>
              <w:jc w:val="right"/>
              <w:rPr>
                <w:sz w:val="20"/>
              </w:rPr>
            </w:pPr>
            <w:r w:rsidRPr="0016137F">
              <w:rPr>
                <w:sz w:val="20"/>
              </w:rPr>
              <w:t>0.88</w:t>
            </w:r>
          </w:p>
        </w:tc>
      </w:tr>
      <w:tr w:rsidR="0016137F" w:rsidRPr="0016137F" w14:paraId="44B93A68" w14:textId="77777777" w:rsidTr="0047038B">
        <w:trPr>
          <w:trHeight w:val="239"/>
        </w:trPr>
        <w:tc>
          <w:tcPr>
            <w:tcW w:w="2471" w:type="dxa"/>
          </w:tcPr>
          <w:p w14:paraId="2D6E3E1A" w14:textId="77777777" w:rsidR="0016137F" w:rsidRPr="0016137F" w:rsidRDefault="0016137F" w:rsidP="0016137F">
            <w:pPr>
              <w:pStyle w:val="TableParagraph"/>
              <w:spacing w:line="360" w:lineRule="auto"/>
              <w:rPr>
                <w:sz w:val="20"/>
              </w:rPr>
            </w:pPr>
            <w:r w:rsidRPr="0016137F">
              <w:rPr>
                <w:w w:val="105"/>
                <w:sz w:val="20"/>
              </w:rPr>
              <w:t>Language, fluency</w:t>
            </w:r>
          </w:p>
        </w:tc>
        <w:tc>
          <w:tcPr>
            <w:tcW w:w="2732" w:type="dxa"/>
          </w:tcPr>
          <w:p w14:paraId="79513D1E" w14:textId="77777777" w:rsidR="0016137F" w:rsidRPr="0016137F" w:rsidRDefault="0016137F" w:rsidP="0016137F">
            <w:pPr>
              <w:pStyle w:val="TableParagraph"/>
              <w:spacing w:line="360" w:lineRule="auto"/>
              <w:rPr>
                <w:sz w:val="20"/>
              </w:rPr>
            </w:pPr>
            <w:r w:rsidRPr="0016137F">
              <w:rPr>
                <w:w w:val="105"/>
                <w:sz w:val="20"/>
              </w:rPr>
              <w:t>Memory, recognition</w:t>
            </w:r>
          </w:p>
        </w:tc>
        <w:tc>
          <w:tcPr>
            <w:tcW w:w="1382" w:type="dxa"/>
          </w:tcPr>
          <w:p w14:paraId="3CA2984B" w14:textId="77777777" w:rsidR="0016137F" w:rsidRPr="0016137F" w:rsidRDefault="0016137F" w:rsidP="0016137F">
            <w:pPr>
              <w:pStyle w:val="TableParagraph"/>
              <w:spacing w:line="360" w:lineRule="auto"/>
              <w:ind w:left="0" w:right="117"/>
              <w:jc w:val="right"/>
              <w:rPr>
                <w:sz w:val="20"/>
              </w:rPr>
            </w:pPr>
            <w:r w:rsidRPr="0016137F">
              <w:rPr>
                <w:sz w:val="20"/>
              </w:rPr>
              <w:t>0.84</w:t>
            </w:r>
          </w:p>
        </w:tc>
      </w:tr>
      <w:tr w:rsidR="0016137F" w:rsidRPr="0016137F" w14:paraId="22C787D1" w14:textId="77777777" w:rsidTr="0047038B">
        <w:trPr>
          <w:trHeight w:val="239"/>
        </w:trPr>
        <w:tc>
          <w:tcPr>
            <w:tcW w:w="2471" w:type="dxa"/>
          </w:tcPr>
          <w:p w14:paraId="1102745C" w14:textId="77777777" w:rsidR="0016137F" w:rsidRPr="0016137F" w:rsidRDefault="0016137F" w:rsidP="0016137F">
            <w:pPr>
              <w:pStyle w:val="TableParagraph"/>
              <w:spacing w:line="360" w:lineRule="auto"/>
              <w:rPr>
                <w:sz w:val="20"/>
              </w:rPr>
            </w:pPr>
            <w:r w:rsidRPr="0016137F">
              <w:rPr>
                <w:w w:val="105"/>
                <w:sz w:val="20"/>
              </w:rPr>
              <w:t>Set shifting</w:t>
            </w:r>
          </w:p>
        </w:tc>
        <w:tc>
          <w:tcPr>
            <w:tcW w:w="2732" w:type="dxa"/>
          </w:tcPr>
          <w:p w14:paraId="2636B953" w14:textId="77777777" w:rsidR="0016137F" w:rsidRPr="0016137F" w:rsidRDefault="0016137F" w:rsidP="0016137F">
            <w:pPr>
              <w:pStyle w:val="TableParagraph"/>
              <w:spacing w:line="360" w:lineRule="auto"/>
              <w:rPr>
                <w:sz w:val="20"/>
              </w:rPr>
            </w:pPr>
            <w:r w:rsidRPr="0016137F">
              <w:rPr>
                <w:w w:val="105"/>
                <w:sz w:val="20"/>
              </w:rPr>
              <w:t>Memory, immediate episodic</w:t>
            </w:r>
          </w:p>
        </w:tc>
        <w:tc>
          <w:tcPr>
            <w:tcW w:w="1382" w:type="dxa"/>
          </w:tcPr>
          <w:p w14:paraId="1C707F12" w14:textId="77777777" w:rsidR="0016137F" w:rsidRPr="0016137F" w:rsidRDefault="0016137F" w:rsidP="0016137F">
            <w:pPr>
              <w:pStyle w:val="TableParagraph"/>
              <w:spacing w:line="360" w:lineRule="auto"/>
              <w:ind w:left="0" w:right="117"/>
              <w:jc w:val="right"/>
              <w:rPr>
                <w:sz w:val="20"/>
              </w:rPr>
            </w:pPr>
            <w:r w:rsidRPr="0016137F">
              <w:rPr>
                <w:sz w:val="20"/>
              </w:rPr>
              <w:t>0.81</w:t>
            </w:r>
          </w:p>
        </w:tc>
      </w:tr>
      <w:tr w:rsidR="0016137F" w:rsidRPr="0016137F" w14:paraId="65CE510F" w14:textId="77777777" w:rsidTr="0047038B">
        <w:trPr>
          <w:trHeight w:val="239"/>
        </w:trPr>
        <w:tc>
          <w:tcPr>
            <w:tcW w:w="2471" w:type="dxa"/>
          </w:tcPr>
          <w:p w14:paraId="5BB23231" w14:textId="77777777" w:rsidR="0016137F" w:rsidRPr="0016137F" w:rsidRDefault="0016137F" w:rsidP="0016137F">
            <w:pPr>
              <w:pStyle w:val="TableParagraph"/>
              <w:spacing w:line="360" w:lineRule="auto"/>
              <w:rPr>
                <w:sz w:val="20"/>
              </w:rPr>
            </w:pPr>
            <w:r w:rsidRPr="0016137F">
              <w:rPr>
                <w:w w:val="110"/>
                <w:sz w:val="20"/>
              </w:rPr>
              <w:t>Attention, speed</w:t>
            </w:r>
          </w:p>
        </w:tc>
        <w:tc>
          <w:tcPr>
            <w:tcW w:w="2732" w:type="dxa"/>
          </w:tcPr>
          <w:p w14:paraId="5E3C76C3" w14:textId="77777777" w:rsidR="0016137F" w:rsidRPr="0016137F" w:rsidRDefault="0016137F" w:rsidP="0016137F">
            <w:pPr>
              <w:pStyle w:val="TableParagraph"/>
              <w:spacing w:line="360" w:lineRule="auto"/>
              <w:ind w:left="120"/>
              <w:rPr>
                <w:sz w:val="20"/>
              </w:rPr>
            </w:pPr>
            <w:r w:rsidRPr="0016137F">
              <w:rPr>
                <w:w w:val="105"/>
                <w:sz w:val="20"/>
              </w:rPr>
              <w:t>Memory, immediate episodic</w:t>
            </w:r>
          </w:p>
        </w:tc>
        <w:tc>
          <w:tcPr>
            <w:tcW w:w="1382" w:type="dxa"/>
          </w:tcPr>
          <w:p w14:paraId="50A5056F" w14:textId="77777777" w:rsidR="0016137F" w:rsidRPr="0016137F" w:rsidRDefault="0016137F" w:rsidP="0016137F">
            <w:pPr>
              <w:pStyle w:val="TableParagraph"/>
              <w:spacing w:line="360" w:lineRule="auto"/>
              <w:ind w:left="0" w:right="117"/>
              <w:jc w:val="right"/>
              <w:rPr>
                <w:sz w:val="20"/>
              </w:rPr>
            </w:pPr>
            <w:r w:rsidRPr="0016137F">
              <w:rPr>
                <w:sz w:val="20"/>
              </w:rPr>
              <w:t>0.80</w:t>
            </w:r>
          </w:p>
        </w:tc>
      </w:tr>
      <w:tr w:rsidR="0016137F" w:rsidRPr="0016137F" w14:paraId="41B8F32D" w14:textId="77777777" w:rsidTr="0047038B">
        <w:trPr>
          <w:trHeight w:val="239"/>
        </w:trPr>
        <w:tc>
          <w:tcPr>
            <w:tcW w:w="2471" w:type="dxa"/>
          </w:tcPr>
          <w:p w14:paraId="37088F35" w14:textId="77777777" w:rsidR="0016137F" w:rsidRPr="0016137F" w:rsidRDefault="0016137F" w:rsidP="0016137F">
            <w:pPr>
              <w:pStyle w:val="TableParagraph"/>
              <w:spacing w:line="360" w:lineRule="auto"/>
              <w:rPr>
                <w:sz w:val="20"/>
              </w:rPr>
            </w:pPr>
            <w:r w:rsidRPr="0016137F">
              <w:rPr>
                <w:w w:val="110"/>
                <w:sz w:val="20"/>
              </w:rPr>
              <w:t>Attention, speed</w:t>
            </w:r>
          </w:p>
        </w:tc>
        <w:tc>
          <w:tcPr>
            <w:tcW w:w="2732" w:type="dxa"/>
          </w:tcPr>
          <w:p w14:paraId="5E6AA72A" w14:textId="77777777" w:rsidR="0016137F" w:rsidRPr="0016137F" w:rsidRDefault="0016137F" w:rsidP="0016137F">
            <w:pPr>
              <w:pStyle w:val="TableParagraph"/>
              <w:spacing w:line="360" w:lineRule="auto"/>
              <w:ind w:left="120"/>
              <w:rPr>
                <w:sz w:val="20"/>
              </w:rPr>
            </w:pPr>
            <w:r w:rsidRPr="0016137F">
              <w:rPr>
                <w:w w:val="105"/>
                <w:sz w:val="20"/>
              </w:rPr>
              <w:t>Memory, delayed episodic</w:t>
            </w:r>
          </w:p>
        </w:tc>
        <w:tc>
          <w:tcPr>
            <w:tcW w:w="1382" w:type="dxa"/>
          </w:tcPr>
          <w:p w14:paraId="3C9BD7F7" w14:textId="77777777" w:rsidR="0016137F" w:rsidRPr="0016137F" w:rsidRDefault="0016137F" w:rsidP="0016137F">
            <w:pPr>
              <w:pStyle w:val="TableParagraph"/>
              <w:spacing w:line="360" w:lineRule="auto"/>
              <w:ind w:left="0" w:right="117"/>
              <w:jc w:val="right"/>
              <w:rPr>
                <w:sz w:val="20"/>
              </w:rPr>
            </w:pPr>
            <w:r w:rsidRPr="0016137F">
              <w:rPr>
                <w:sz w:val="20"/>
              </w:rPr>
              <w:t>0.79</w:t>
            </w:r>
          </w:p>
        </w:tc>
      </w:tr>
      <w:tr w:rsidR="0016137F" w:rsidRPr="0016137F" w14:paraId="62604932" w14:textId="77777777" w:rsidTr="0047038B">
        <w:trPr>
          <w:trHeight w:val="239"/>
        </w:trPr>
        <w:tc>
          <w:tcPr>
            <w:tcW w:w="2471" w:type="dxa"/>
          </w:tcPr>
          <w:p w14:paraId="6F55D405" w14:textId="77777777" w:rsidR="0016137F" w:rsidRPr="0016137F" w:rsidRDefault="0016137F" w:rsidP="0016137F">
            <w:pPr>
              <w:pStyle w:val="TableParagraph"/>
              <w:spacing w:line="360" w:lineRule="auto"/>
              <w:rPr>
                <w:sz w:val="20"/>
              </w:rPr>
            </w:pPr>
            <w:r w:rsidRPr="0016137F">
              <w:rPr>
                <w:w w:val="105"/>
                <w:sz w:val="20"/>
              </w:rPr>
              <w:t>Set shifting</w:t>
            </w:r>
          </w:p>
        </w:tc>
        <w:tc>
          <w:tcPr>
            <w:tcW w:w="2732" w:type="dxa"/>
          </w:tcPr>
          <w:p w14:paraId="4AB3B961" w14:textId="77777777" w:rsidR="0016137F" w:rsidRPr="0016137F" w:rsidRDefault="0016137F" w:rsidP="0016137F">
            <w:pPr>
              <w:pStyle w:val="TableParagraph"/>
              <w:spacing w:line="360" w:lineRule="auto"/>
              <w:rPr>
                <w:sz w:val="20"/>
              </w:rPr>
            </w:pPr>
            <w:r w:rsidRPr="0016137F">
              <w:rPr>
                <w:w w:val="105"/>
                <w:sz w:val="20"/>
              </w:rPr>
              <w:t>Memory, delayed episodic</w:t>
            </w:r>
          </w:p>
        </w:tc>
        <w:tc>
          <w:tcPr>
            <w:tcW w:w="1382" w:type="dxa"/>
          </w:tcPr>
          <w:p w14:paraId="6BDB97ED" w14:textId="77777777" w:rsidR="0016137F" w:rsidRPr="0016137F" w:rsidRDefault="0016137F" w:rsidP="0016137F">
            <w:pPr>
              <w:pStyle w:val="TableParagraph"/>
              <w:spacing w:line="360" w:lineRule="auto"/>
              <w:ind w:left="0" w:right="117"/>
              <w:jc w:val="right"/>
              <w:rPr>
                <w:sz w:val="20"/>
              </w:rPr>
            </w:pPr>
            <w:r w:rsidRPr="0016137F">
              <w:rPr>
                <w:sz w:val="20"/>
              </w:rPr>
              <w:t>0.78</w:t>
            </w:r>
          </w:p>
        </w:tc>
      </w:tr>
      <w:tr w:rsidR="0016137F" w:rsidRPr="0016137F" w14:paraId="5C21E9B5" w14:textId="77777777" w:rsidTr="0047038B">
        <w:trPr>
          <w:trHeight w:val="239"/>
        </w:trPr>
        <w:tc>
          <w:tcPr>
            <w:tcW w:w="2471" w:type="dxa"/>
          </w:tcPr>
          <w:p w14:paraId="22E4E4CC" w14:textId="77777777" w:rsidR="0016137F" w:rsidRPr="0016137F" w:rsidRDefault="0016137F" w:rsidP="0016137F">
            <w:pPr>
              <w:pStyle w:val="TableParagraph"/>
              <w:spacing w:line="360" w:lineRule="auto"/>
              <w:rPr>
                <w:sz w:val="20"/>
              </w:rPr>
            </w:pPr>
            <w:r w:rsidRPr="0016137F">
              <w:rPr>
                <w:w w:val="110"/>
                <w:sz w:val="20"/>
              </w:rPr>
              <w:t>Orientation</w:t>
            </w:r>
          </w:p>
        </w:tc>
        <w:tc>
          <w:tcPr>
            <w:tcW w:w="2732" w:type="dxa"/>
          </w:tcPr>
          <w:p w14:paraId="422A3396" w14:textId="77777777" w:rsidR="0016137F" w:rsidRPr="0016137F" w:rsidRDefault="0016137F" w:rsidP="0016137F">
            <w:pPr>
              <w:pStyle w:val="TableParagraph"/>
              <w:spacing w:line="360" w:lineRule="auto"/>
              <w:ind w:left="120"/>
              <w:rPr>
                <w:sz w:val="20"/>
              </w:rPr>
            </w:pPr>
            <w:r w:rsidRPr="0016137F">
              <w:rPr>
                <w:w w:val="105"/>
                <w:sz w:val="20"/>
              </w:rPr>
              <w:t>Memory, recognition</w:t>
            </w:r>
          </w:p>
        </w:tc>
        <w:tc>
          <w:tcPr>
            <w:tcW w:w="1382" w:type="dxa"/>
          </w:tcPr>
          <w:p w14:paraId="6809D449" w14:textId="77777777" w:rsidR="0016137F" w:rsidRPr="0016137F" w:rsidRDefault="0016137F" w:rsidP="0016137F">
            <w:pPr>
              <w:pStyle w:val="TableParagraph"/>
              <w:spacing w:line="360" w:lineRule="auto"/>
              <w:ind w:left="0" w:right="116"/>
              <w:jc w:val="right"/>
              <w:rPr>
                <w:sz w:val="20"/>
              </w:rPr>
            </w:pPr>
            <w:r w:rsidRPr="0016137F">
              <w:rPr>
                <w:sz w:val="20"/>
              </w:rPr>
              <w:t>0.72</w:t>
            </w:r>
          </w:p>
        </w:tc>
      </w:tr>
      <w:tr w:rsidR="0016137F" w:rsidRPr="0016137F" w14:paraId="7EC7DD7D" w14:textId="77777777" w:rsidTr="0047038B">
        <w:trPr>
          <w:trHeight w:val="239"/>
        </w:trPr>
        <w:tc>
          <w:tcPr>
            <w:tcW w:w="2471" w:type="dxa"/>
          </w:tcPr>
          <w:p w14:paraId="1C0FA1E4" w14:textId="77777777" w:rsidR="0016137F" w:rsidRPr="0016137F" w:rsidRDefault="0016137F" w:rsidP="0016137F">
            <w:pPr>
              <w:pStyle w:val="TableParagraph"/>
              <w:spacing w:line="360" w:lineRule="auto"/>
              <w:rPr>
                <w:sz w:val="20"/>
              </w:rPr>
            </w:pPr>
            <w:r w:rsidRPr="0016137F">
              <w:rPr>
                <w:w w:val="110"/>
                <w:sz w:val="20"/>
              </w:rPr>
              <w:t>Orientation</w:t>
            </w:r>
          </w:p>
        </w:tc>
        <w:tc>
          <w:tcPr>
            <w:tcW w:w="2732" w:type="dxa"/>
          </w:tcPr>
          <w:p w14:paraId="1EC27934" w14:textId="77777777" w:rsidR="0016137F" w:rsidRPr="0016137F" w:rsidRDefault="0016137F" w:rsidP="0016137F">
            <w:pPr>
              <w:pStyle w:val="TableParagraph"/>
              <w:spacing w:line="360" w:lineRule="auto"/>
              <w:ind w:left="120"/>
              <w:rPr>
                <w:sz w:val="20"/>
              </w:rPr>
            </w:pPr>
            <w:r w:rsidRPr="0016137F">
              <w:rPr>
                <w:w w:val="105"/>
                <w:sz w:val="20"/>
              </w:rPr>
              <w:t>Language, fluency</w:t>
            </w:r>
          </w:p>
        </w:tc>
        <w:tc>
          <w:tcPr>
            <w:tcW w:w="1382" w:type="dxa"/>
          </w:tcPr>
          <w:p w14:paraId="25B07D69" w14:textId="77777777" w:rsidR="0016137F" w:rsidRPr="0016137F" w:rsidRDefault="0016137F" w:rsidP="0016137F">
            <w:pPr>
              <w:pStyle w:val="TableParagraph"/>
              <w:spacing w:line="360" w:lineRule="auto"/>
              <w:ind w:left="0" w:right="117"/>
              <w:jc w:val="right"/>
              <w:rPr>
                <w:sz w:val="20"/>
              </w:rPr>
            </w:pPr>
            <w:r w:rsidRPr="0016137F">
              <w:rPr>
                <w:sz w:val="20"/>
              </w:rPr>
              <w:t>0.70</w:t>
            </w:r>
          </w:p>
        </w:tc>
      </w:tr>
      <w:tr w:rsidR="0016137F" w:rsidRPr="0016137F" w14:paraId="72213A61" w14:textId="77777777" w:rsidTr="0047038B">
        <w:trPr>
          <w:trHeight w:val="239"/>
        </w:trPr>
        <w:tc>
          <w:tcPr>
            <w:tcW w:w="2471" w:type="dxa"/>
          </w:tcPr>
          <w:p w14:paraId="5488F507" w14:textId="77777777" w:rsidR="0016137F" w:rsidRPr="0016137F" w:rsidRDefault="0016137F" w:rsidP="0016137F">
            <w:pPr>
              <w:pStyle w:val="TableParagraph"/>
              <w:spacing w:line="360" w:lineRule="auto"/>
              <w:rPr>
                <w:sz w:val="20"/>
              </w:rPr>
            </w:pPr>
            <w:r w:rsidRPr="0016137F">
              <w:rPr>
                <w:w w:val="110"/>
                <w:sz w:val="20"/>
              </w:rPr>
              <w:t>Attention, speed</w:t>
            </w:r>
          </w:p>
        </w:tc>
        <w:tc>
          <w:tcPr>
            <w:tcW w:w="2732" w:type="dxa"/>
          </w:tcPr>
          <w:p w14:paraId="252CE7AF" w14:textId="77777777" w:rsidR="0016137F" w:rsidRPr="0016137F" w:rsidRDefault="0016137F" w:rsidP="0016137F">
            <w:pPr>
              <w:pStyle w:val="TableParagraph"/>
              <w:spacing w:line="360" w:lineRule="auto"/>
              <w:ind w:left="120"/>
              <w:rPr>
                <w:sz w:val="20"/>
              </w:rPr>
            </w:pPr>
            <w:r w:rsidRPr="0016137F">
              <w:rPr>
                <w:w w:val="105"/>
                <w:sz w:val="20"/>
              </w:rPr>
              <w:t>Memory, recognition</w:t>
            </w:r>
          </w:p>
        </w:tc>
        <w:tc>
          <w:tcPr>
            <w:tcW w:w="1382" w:type="dxa"/>
          </w:tcPr>
          <w:p w14:paraId="46C0EBC2" w14:textId="77777777" w:rsidR="0016137F" w:rsidRPr="0016137F" w:rsidRDefault="0016137F" w:rsidP="0016137F">
            <w:pPr>
              <w:pStyle w:val="TableParagraph"/>
              <w:spacing w:line="360" w:lineRule="auto"/>
              <w:ind w:left="0" w:right="117"/>
              <w:jc w:val="right"/>
              <w:rPr>
                <w:sz w:val="20"/>
              </w:rPr>
            </w:pPr>
            <w:r w:rsidRPr="0016137F">
              <w:rPr>
                <w:sz w:val="20"/>
              </w:rPr>
              <w:t>0.70</w:t>
            </w:r>
          </w:p>
        </w:tc>
      </w:tr>
      <w:tr w:rsidR="0016137F" w:rsidRPr="0016137F" w14:paraId="03752162" w14:textId="77777777" w:rsidTr="0047038B">
        <w:trPr>
          <w:trHeight w:val="239"/>
        </w:trPr>
        <w:tc>
          <w:tcPr>
            <w:tcW w:w="2471" w:type="dxa"/>
          </w:tcPr>
          <w:p w14:paraId="7FC99152" w14:textId="77777777" w:rsidR="0016137F" w:rsidRPr="0016137F" w:rsidRDefault="0016137F" w:rsidP="0016137F">
            <w:pPr>
              <w:pStyle w:val="TableParagraph"/>
              <w:spacing w:line="360" w:lineRule="auto"/>
              <w:rPr>
                <w:sz w:val="20"/>
              </w:rPr>
            </w:pPr>
            <w:r w:rsidRPr="0016137F">
              <w:rPr>
                <w:w w:val="105"/>
                <w:sz w:val="20"/>
              </w:rPr>
              <w:t>Set shifting</w:t>
            </w:r>
          </w:p>
        </w:tc>
        <w:tc>
          <w:tcPr>
            <w:tcW w:w="2732" w:type="dxa"/>
          </w:tcPr>
          <w:p w14:paraId="72D9012E" w14:textId="77777777" w:rsidR="0016137F" w:rsidRPr="0016137F" w:rsidRDefault="0016137F" w:rsidP="0016137F">
            <w:pPr>
              <w:pStyle w:val="TableParagraph"/>
              <w:spacing w:line="360" w:lineRule="auto"/>
              <w:rPr>
                <w:sz w:val="20"/>
              </w:rPr>
            </w:pPr>
            <w:r w:rsidRPr="0016137F">
              <w:rPr>
                <w:w w:val="105"/>
                <w:sz w:val="20"/>
              </w:rPr>
              <w:t>Memory, recognition</w:t>
            </w:r>
          </w:p>
        </w:tc>
        <w:tc>
          <w:tcPr>
            <w:tcW w:w="1382" w:type="dxa"/>
          </w:tcPr>
          <w:p w14:paraId="0A0F2E6F" w14:textId="77777777" w:rsidR="0016137F" w:rsidRPr="0016137F" w:rsidRDefault="0016137F" w:rsidP="0016137F">
            <w:pPr>
              <w:pStyle w:val="TableParagraph"/>
              <w:spacing w:line="360" w:lineRule="auto"/>
              <w:ind w:left="0" w:right="116"/>
              <w:jc w:val="right"/>
              <w:rPr>
                <w:sz w:val="20"/>
              </w:rPr>
            </w:pPr>
            <w:r w:rsidRPr="0016137F">
              <w:rPr>
                <w:sz w:val="20"/>
              </w:rPr>
              <w:t>0.68</w:t>
            </w:r>
          </w:p>
        </w:tc>
      </w:tr>
      <w:tr w:rsidR="0016137F" w:rsidRPr="0016137F" w14:paraId="17B4B656" w14:textId="77777777" w:rsidTr="0047038B">
        <w:trPr>
          <w:trHeight w:val="239"/>
        </w:trPr>
        <w:tc>
          <w:tcPr>
            <w:tcW w:w="2471" w:type="dxa"/>
          </w:tcPr>
          <w:p w14:paraId="3F8E63E6" w14:textId="77777777" w:rsidR="0016137F" w:rsidRPr="0016137F" w:rsidRDefault="0016137F" w:rsidP="0016137F">
            <w:pPr>
              <w:pStyle w:val="TableParagraph"/>
              <w:spacing w:line="360" w:lineRule="auto"/>
              <w:rPr>
                <w:sz w:val="20"/>
              </w:rPr>
            </w:pPr>
            <w:r w:rsidRPr="0016137F">
              <w:rPr>
                <w:w w:val="105"/>
                <w:sz w:val="20"/>
              </w:rPr>
              <w:t>Visuospatial</w:t>
            </w:r>
          </w:p>
        </w:tc>
        <w:tc>
          <w:tcPr>
            <w:tcW w:w="2732" w:type="dxa"/>
          </w:tcPr>
          <w:p w14:paraId="549B4A57" w14:textId="77777777" w:rsidR="0016137F" w:rsidRPr="0016137F" w:rsidRDefault="0016137F" w:rsidP="0016137F">
            <w:pPr>
              <w:pStyle w:val="TableParagraph"/>
              <w:spacing w:line="360" w:lineRule="auto"/>
              <w:ind w:left="118"/>
              <w:rPr>
                <w:sz w:val="20"/>
              </w:rPr>
            </w:pPr>
            <w:r w:rsidRPr="0016137F">
              <w:rPr>
                <w:w w:val="110"/>
                <w:sz w:val="20"/>
              </w:rPr>
              <w:t>Set shifting</w:t>
            </w:r>
          </w:p>
        </w:tc>
        <w:tc>
          <w:tcPr>
            <w:tcW w:w="1382" w:type="dxa"/>
          </w:tcPr>
          <w:p w14:paraId="647FD900" w14:textId="77777777" w:rsidR="0016137F" w:rsidRPr="0016137F" w:rsidRDefault="0016137F" w:rsidP="0016137F">
            <w:pPr>
              <w:pStyle w:val="TableParagraph"/>
              <w:spacing w:line="360" w:lineRule="auto"/>
              <w:ind w:left="0" w:right="118"/>
              <w:jc w:val="right"/>
              <w:rPr>
                <w:sz w:val="20"/>
              </w:rPr>
            </w:pPr>
            <w:r w:rsidRPr="0016137F">
              <w:rPr>
                <w:sz w:val="20"/>
              </w:rPr>
              <w:t>0.65</w:t>
            </w:r>
          </w:p>
        </w:tc>
      </w:tr>
      <w:tr w:rsidR="0016137F" w:rsidRPr="0016137F" w14:paraId="3263AE20" w14:textId="77777777" w:rsidTr="0047038B">
        <w:trPr>
          <w:trHeight w:val="239"/>
        </w:trPr>
        <w:tc>
          <w:tcPr>
            <w:tcW w:w="2471" w:type="dxa"/>
          </w:tcPr>
          <w:p w14:paraId="0AC3B2D9" w14:textId="77777777" w:rsidR="0016137F" w:rsidRPr="0016137F" w:rsidRDefault="0016137F" w:rsidP="0016137F">
            <w:pPr>
              <w:pStyle w:val="TableParagraph"/>
              <w:spacing w:line="360" w:lineRule="auto"/>
              <w:rPr>
                <w:sz w:val="20"/>
              </w:rPr>
            </w:pPr>
            <w:r w:rsidRPr="0016137F">
              <w:rPr>
                <w:w w:val="110"/>
                <w:sz w:val="20"/>
              </w:rPr>
              <w:t>Orientation</w:t>
            </w:r>
          </w:p>
        </w:tc>
        <w:tc>
          <w:tcPr>
            <w:tcW w:w="2732" w:type="dxa"/>
          </w:tcPr>
          <w:p w14:paraId="10B0EBC0" w14:textId="77777777" w:rsidR="0016137F" w:rsidRPr="0016137F" w:rsidRDefault="0016137F" w:rsidP="0016137F">
            <w:pPr>
              <w:pStyle w:val="TableParagraph"/>
              <w:spacing w:line="360" w:lineRule="auto"/>
              <w:ind w:left="120"/>
              <w:rPr>
                <w:sz w:val="20"/>
              </w:rPr>
            </w:pPr>
            <w:r w:rsidRPr="0016137F">
              <w:rPr>
                <w:w w:val="105"/>
                <w:sz w:val="20"/>
              </w:rPr>
              <w:t>Memory, immediate episodic</w:t>
            </w:r>
          </w:p>
        </w:tc>
        <w:tc>
          <w:tcPr>
            <w:tcW w:w="1382" w:type="dxa"/>
          </w:tcPr>
          <w:p w14:paraId="6E50F213" w14:textId="77777777" w:rsidR="0016137F" w:rsidRPr="0016137F" w:rsidRDefault="0016137F" w:rsidP="0016137F">
            <w:pPr>
              <w:pStyle w:val="TableParagraph"/>
              <w:spacing w:line="360" w:lineRule="auto"/>
              <w:ind w:left="0" w:right="115"/>
              <w:jc w:val="right"/>
              <w:rPr>
                <w:sz w:val="20"/>
              </w:rPr>
            </w:pPr>
            <w:r w:rsidRPr="0016137F">
              <w:rPr>
                <w:sz w:val="20"/>
              </w:rPr>
              <w:t>0.64</w:t>
            </w:r>
          </w:p>
        </w:tc>
      </w:tr>
      <w:tr w:rsidR="0016137F" w:rsidRPr="0016137F" w14:paraId="238735A0" w14:textId="77777777" w:rsidTr="0047038B">
        <w:trPr>
          <w:trHeight w:val="239"/>
        </w:trPr>
        <w:tc>
          <w:tcPr>
            <w:tcW w:w="2471" w:type="dxa"/>
          </w:tcPr>
          <w:p w14:paraId="351BD8C5" w14:textId="77777777" w:rsidR="0016137F" w:rsidRPr="0016137F" w:rsidRDefault="0016137F" w:rsidP="0016137F">
            <w:pPr>
              <w:pStyle w:val="TableParagraph"/>
              <w:spacing w:line="360" w:lineRule="auto"/>
              <w:rPr>
                <w:sz w:val="20"/>
              </w:rPr>
            </w:pPr>
            <w:r w:rsidRPr="0016137F">
              <w:rPr>
                <w:w w:val="105"/>
                <w:sz w:val="20"/>
              </w:rPr>
              <w:t>Visuospatial</w:t>
            </w:r>
          </w:p>
        </w:tc>
        <w:tc>
          <w:tcPr>
            <w:tcW w:w="2732" w:type="dxa"/>
          </w:tcPr>
          <w:p w14:paraId="0857BA90" w14:textId="77777777" w:rsidR="0016137F" w:rsidRPr="0016137F" w:rsidRDefault="0016137F" w:rsidP="0016137F">
            <w:pPr>
              <w:pStyle w:val="TableParagraph"/>
              <w:spacing w:line="360" w:lineRule="auto"/>
              <w:ind w:left="118"/>
              <w:rPr>
                <w:sz w:val="20"/>
              </w:rPr>
            </w:pPr>
            <w:r w:rsidRPr="0016137F">
              <w:rPr>
                <w:w w:val="105"/>
                <w:sz w:val="20"/>
              </w:rPr>
              <w:t>Language, fluency</w:t>
            </w:r>
          </w:p>
        </w:tc>
        <w:tc>
          <w:tcPr>
            <w:tcW w:w="1382" w:type="dxa"/>
          </w:tcPr>
          <w:p w14:paraId="289CD43F" w14:textId="77777777" w:rsidR="0016137F" w:rsidRPr="0016137F" w:rsidRDefault="0016137F" w:rsidP="0016137F">
            <w:pPr>
              <w:pStyle w:val="TableParagraph"/>
              <w:spacing w:line="360" w:lineRule="auto"/>
              <w:ind w:left="0" w:right="118"/>
              <w:jc w:val="right"/>
              <w:rPr>
                <w:sz w:val="20"/>
              </w:rPr>
            </w:pPr>
            <w:r w:rsidRPr="0016137F">
              <w:rPr>
                <w:sz w:val="20"/>
              </w:rPr>
              <w:t>0.59</w:t>
            </w:r>
          </w:p>
        </w:tc>
      </w:tr>
      <w:tr w:rsidR="0016137F" w:rsidRPr="0016137F" w14:paraId="0A3E95F0" w14:textId="77777777" w:rsidTr="0047038B">
        <w:trPr>
          <w:trHeight w:val="239"/>
        </w:trPr>
        <w:tc>
          <w:tcPr>
            <w:tcW w:w="2471" w:type="dxa"/>
          </w:tcPr>
          <w:p w14:paraId="15211292" w14:textId="77777777" w:rsidR="0016137F" w:rsidRPr="0016137F" w:rsidRDefault="0016137F" w:rsidP="0016137F">
            <w:pPr>
              <w:pStyle w:val="TableParagraph"/>
              <w:spacing w:line="360" w:lineRule="auto"/>
              <w:rPr>
                <w:sz w:val="20"/>
              </w:rPr>
            </w:pPr>
            <w:r w:rsidRPr="0016137F">
              <w:rPr>
                <w:w w:val="110"/>
                <w:sz w:val="20"/>
              </w:rPr>
              <w:t>Orientation</w:t>
            </w:r>
          </w:p>
        </w:tc>
        <w:tc>
          <w:tcPr>
            <w:tcW w:w="2732" w:type="dxa"/>
          </w:tcPr>
          <w:p w14:paraId="30D21D8B" w14:textId="77777777" w:rsidR="0016137F" w:rsidRPr="0016137F" w:rsidRDefault="0016137F" w:rsidP="0016137F">
            <w:pPr>
              <w:pStyle w:val="TableParagraph"/>
              <w:spacing w:line="360" w:lineRule="auto"/>
              <w:ind w:left="120"/>
              <w:rPr>
                <w:sz w:val="20"/>
              </w:rPr>
            </w:pPr>
            <w:r w:rsidRPr="0016137F">
              <w:rPr>
                <w:w w:val="105"/>
                <w:sz w:val="20"/>
              </w:rPr>
              <w:t>Memory, delayed episodic</w:t>
            </w:r>
          </w:p>
        </w:tc>
        <w:tc>
          <w:tcPr>
            <w:tcW w:w="1382" w:type="dxa"/>
          </w:tcPr>
          <w:p w14:paraId="07C4214F" w14:textId="77777777" w:rsidR="0016137F" w:rsidRPr="0016137F" w:rsidRDefault="0016137F" w:rsidP="0016137F">
            <w:pPr>
              <w:pStyle w:val="TableParagraph"/>
              <w:spacing w:line="360" w:lineRule="auto"/>
              <w:ind w:left="0" w:right="116"/>
              <w:jc w:val="right"/>
              <w:rPr>
                <w:sz w:val="20"/>
              </w:rPr>
            </w:pPr>
            <w:r w:rsidRPr="0016137F">
              <w:rPr>
                <w:sz w:val="20"/>
              </w:rPr>
              <w:t>0.59</w:t>
            </w:r>
          </w:p>
        </w:tc>
      </w:tr>
      <w:tr w:rsidR="0016137F" w:rsidRPr="0016137F" w14:paraId="73A98120" w14:textId="77777777" w:rsidTr="0047038B">
        <w:trPr>
          <w:trHeight w:val="239"/>
        </w:trPr>
        <w:tc>
          <w:tcPr>
            <w:tcW w:w="2471" w:type="dxa"/>
          </w:tcPr>
          <w:p w14:paraId="1E0AE18B" w14:textId="77777777" w:rsidR="0016137F" w:rsidRPr="0016137F" w:rsidRDefault="0016137F" w:rsidP="0016137F">
            <w:pPr>
              <w:pStyle w:val="TableParagraph"/>
              <w:spacing w:line="360" w:lineRule="auto"/>
              <w:rPr>
                <w:sz w:val="20"/>
              </w:rPr>
            </w:pPr>
            <w:r w:rsidRPr="0016137F">
              <w:rPr>
                <w:w w:val="105"/>
                <w:sz w:val="20"/>
              </w:rPr>
              <w:t>Visuospatial</w:t>
            </w:r>
          </w:p>
        </w:tc>
        <w:tc>
          <w:tcPr>
            <w:tcW w:w="2732" w:type="dxa"/>
          </w:tcPr>
          <w:p w14:paraId="227B64AB" w14:textId="77777777" w:rsidR="0016137F" w:rsidRPr="0016137F" w:rsidRDefault="0016137F" w:rsidP="0016137F">
            <w:pPr>
              <w:pStyle w:val="TableParagraph"/>
              <w:spacing w:line="360" w:lineRule="auto"/>
              <w:ind w:left="118"/>
              <w:rPr>
                <w:sz w:val="20"/>
              </w:rPr>
            </w:pPr>
            <w:r w:rsidRPr="0016137F">
              <w:rPr>
                <w:w w:val="110"/>
                <w:sz w:val="20"/>
              </w:rPr>
              <w:t>Attention, speed</w:t>
            </w:r>
          </w:p>
        </w:tc>
        <w:tc>
          <w:tcPr>
            <w:tcW w:w="1382" w:type="dxa"/>
          </w:tcPr>
          <w:p w14:paraId="72D1BF6C" w14:textId="77777777" w:rsidR="0016137F" w:rsidRPr="0016137F" w:rsidRDefault="0016137F" w:rsidP="0016137F">
            <w:pPr>
              <w:pStyle w:val="TableParagraph"/>
              <w:spacing w:line="360" w:lineRule="auto"/>
              <w:ind w:left="0" w:right="118"/>
              <w:jc w:val="right"/>
              <w:rPr>
                <w:sz w:val="20"/>
              </w:rPr>
            </w:pPr>
            <w:r w:rsidRPr="0016137F">
              <w:rPr>
                <w:sz w:val="20"/>
              </w:rPr>
              <w:t>0.57</w:t>
            </w:r>
          </w:p>
        </w:tc>
      </w:tr>
      <w:tr w:rsidR="0016137F" w:rsidRPr="0016137F" w14:paraId="40D3FFCA" w14:textId="77777777" w:rsidTr="0047038B">
        <w:trPr>
          <w:trHeight w:val="239"/>
        </w:trPr>
        <w:tc>
          <w:tcPr>
            <w:tcW w:w="2471" w:type="dxa"/>
          </w:tcPr>
          <w:p w14:paraId="48CBA23C" w14:textId="77777777" w:rsidR="0016137F" w:rsidRPr="0016137F" w:rsidRDefault="0016137F" w:rsidP="0016137F">
            <w:pPr>
              <w:pStyle w:val="TableParagraph"/>
              <w:spacing w:line="360" w:lineRule="auto"/>
              <w:rPr>
                <w:sz w:val="20"/>
              </w:rPr>
            </w:pPr>
            <w:r w:rsidRPr="0016137F">
              <w:rPr>
                <w:w w:val="110"/>
                <w:sz w:val="20"/>
              </w:rPr>
              <w:t>Orientation</w:t>
            </w:r>
          </w:p>
        </w:tc>
        <w:tc>
          <w:tcPr>
            <w:tcW w:w="2732" w:type="dxa"/>
          </w:tcPr>
          <w:p w14:paraId="471BAA25" w14:textId="77777777" w:rsidR="0016137F" w:rsidRPr="0016137F" w:rsidRDefault="0016137F" w:rsidP="0016137F">
            <w:pPr>
              <w:pStyle w:val="TableParagraph"/>
              <w:spacing w:line="360" w:lineRule="auto"/>
              <w:ind w:left="120"/>
              <w:rPr>
                <w:sz w:val="20"/>
              </w:rPr>
            </w:pPr>
            <w:r w:rsidRPr="0016137F">
              <w:rPr>
                <w:w w:val="110"/>
                <w:sz w:val="20"/>
              </w:rPr>
              <w:t>Attention, speed</w:t>
            </w:r>
          </w:p>
        </w:tc>
        <w:tc>
          <w:tcPr>
            <w:tcW w:w="1382" w:type="dxa"/>
          </w:tcPr>
          <w:p w14:paraId="0B5B18D3" w14:textId="77777777" w:rsidR="0016137F" w:rsidRPr="0016137F" w:rsidRDefault="0016137F" w:rsidP="0016137F">
            <w:pPr>
              <w:pStyle w:val="TableParagraph"/>
              <w:spacing w:line="360" w:lineRule="auto"/>
              <w:ind w:left="0" w:right="116"/>
              <w:jc w:val="right"/>
              <w:rPr>
                <w:sz w:val="20"/>
              </w:rPr>
            </w:pPr>
            <w:r w:rsidRPr="0016137F">
              <w:rPr>
                <w:sz w:val="20"/>
              </w:rPr>
              <w:t>0.56</w:t>
            </w:r>
          </w:p>
        </w:tc>
      </w:tr>
      <w:tr w:rsidR="0016137F" w:rsidRPr="0016137F" w14:paraId="376FC1B8" w14:textId="77777777" w:rsidTr="0047038B">
        <w:trPr>
          <w:trHeight w:val="239"/>
        </w:trPr>
        <w:tc>
          <w:tcPr>
            <w:tcW w:w="2471" w:type="dxa"/>
          </w:tcPr>
          <w:p w14:paraId="2008B782" w14:textId="77777777" w:rsidR="0016137F" w:rsidRPr="0016137F" w:rsidRDefault="0016137F" w:rsidP="0016137F">
            <w:pPr>
              <w:pStyle w:val="TableParagraph"/>
              <w:spacing w:line="360" w:lineRule="auto"/>
              <w:rPr>
                <w:sz w:val="20"/>
              </w:rPr>
            </w:pPr>
            <w:r w:rsidRPr="0016137F">
              <w:rPr>
                <w:w w:val="110"/>
                <w:sz w:val="20"/>
              </w:rPr>
              <w:t>Orientation</w:t>
            </w:r>
          </w:p>
        </w:tc>
        <w:tc>
          <w:tcPr>
            <w:tcW w:w="2732" w:type="dxa"/>
          </w:tcPr>
          <w:p w14:paraId="0974C8E0" w14:textId="77777777" w:rsidR="0016137F" w:rsidRPr="0016137F" w:rsidRDefault="0016137F" w:rsidP="0016137F">
            <w:pPr>
              <w:pStyle w:val="TableParagraph"/>
              <w:spacing w:line="360" w:lineRule="auto"/>
              <w:ind w:left="120"/>
              <w:rPr>
                <w:sz w:val="20"/>
              </w:rPr>
            </w:pPr>
            <w:r w:rsidRPr="0016137F">
              <w:rPr>
                <w:w w:val="105"/>
                <w:sz w:val="20"/>
              </w:rPr>
              <w:t>Set shifting</w:t>
            </w:r>
          </w:p>
        </w:tc>
        <w:tc>
          <w:tcPr>
            <w:tcW w:w="1382" w:type="dxa"/>
          </w:tcPr>
          <w:p w14:paraId="604AFA43" w14:textId="77777777" w:rsidR="0016137F" w:rsidRPr="0016137F" w:rsidRDefault="0016137F" w:rsidP="0016137F">
            <w:pPr>
              <w:pStyle w:val="TableParagraph"/>
              <w:spacing w:line="360" w:lineRule="auto"/>
              <w:ind w:left="0" w:right="117"/>
              <w:jc w:val="right"/>
              <w:rPr>
                <w:sz w:val="20"/>
              </w:rPr>
            </w:pPr>
            <w:r w:rsidRPr="0016137F">
              <w:rPr>
                <w:sz w:val="20"/>
              </w:rPr>
              <w:t>0.52</w:t>
            </w:r>
          </w:p>
        </w:tc>
      </w:tr>
      <w:tr w:rsidR="0016137F" w:rsidRPr="0016137F" w14:paraId="7E561B39" w14:textId="77777777" w:rsidTr="0047038B">
        <w:trPr>
          <w:trHeight w:val="239"/>
        </w:trPr>
        <w:tc>
          <w:tcPr>
            <w:tcW w:w="2471" w:type="dxa"/>
          </w:tcPr>
          <w:p w14:paraId="55678077" w14:textId="77777777" w:rsidR="0016137F" w:rsidRPr="0016137F" w:rsidRDefault="0016137F" w:rsidP="0016137F">
            <w:pPr>
              <w:pStyle w:val="TableParagraph"/>
              <w:spacing w:line="360" w:lineRule="auto"/>
              <w:rPr>
                <w:sz w:val="20"/>
              </w:rPr>
            </w:pPr>
            <w:r w:rsidRPr="0016137F">
              <w:rPr>
                <w:w w:val="105"/>
                <w:sz w:val="20"/>
              </w:rPr>
              <w:t>Visuospatial</w:t>
            </w:r>
          </w:p>
        </w:tc>
        <w:tc>
          <w:tcPr>
            <w:tcW w:w="2732" w:type="dxa"/>
          </w:tcPr>
          <w:p w14:paraId="7EB84026" w14:textId="77777777" w:rsidR="0016137F" w:rsidRPr="0016137F" w:rsidRDefault="0016137F" w:rsidP="0016137F">
            <w:pPr>
              <w:pStyle w:val="TableParagraph"/>
              <w:spacing w:line="360" w:lineRule="auto"/>
              <w:ind w:left="118"/>
              <w:rPr>
                <w:sz w:val="20"/>
              </w:rPr>
            </w:pPr>
            <w:r w:rsidRPr="0016137F">
              <w:rPr>
                <w:w w:val="105"/>
                <w:sz w:val="20"/>
              </w:rPr>
              <w:t>Memory, delayed episodic</w:t>
            </w:r>
          </w:p>
        </w:tc>
        <w:tc>
          <w:tcPr>
            <w:tcW w:w="1382" w:type="dxa"/>
          </w:tcPr>
          <w:p w14:paraId="7D81F9B9" w14:textId="77777777" w:rsidR="0016137F" w:rsidRPr="0016137F" w:rsidRDefault="0016137F" w:rsidP="0016137F">
            <w:pPr>
              <w:pStyle w:val="TableParagraph"/>
              <w:spacing w:line="360" w:lineRule="auto"/>
              <w:ind w:left="0" w:right="118"/>
              <w:jc w:val="right"/>
              <w:rPr>
                <w:sz w:val="20"/>
              </w:rPr>
            </w:pPr>
            <w:r w:rsidRPr="0016137F">
              <w:rPr>
                <w:sz w:val="20"/>
              </w:rPr>
              <w:t>0.52</w:t>
            </w:r>
          </w:p>
        </w:tc>
      </w:tr>
      <w:tr w:rsidR="0016137F" w:rsidRPr="0016137F" w14:paraId="1BB7CD0E" w14:textId="77777777" w:rsidTr="0047038B">
        <w:trPr>
          <w:trHeight w:val="239"/>
        </w:trPr>
        <w:tc>
          <w:tcPr>
            <w:tcW w:w="2471" w:type="dxa"/>
          </w:tcPr>
          <w:p w14:paraId="485F6500" w14:textId="77777777" w:rsidR="0016137F" w:rsidRPr="0016137F" w:rsidRDefault="0016137F" w:rsidP="0016137F">
            <w:pPr>
              <w:pStyle w:val="TableParagraph"/>
              <w:spacing w:line="360" w:lineRule="auto"/>
              <w:rPr>
                <w:sz w:val="20"/>
              </w:rPr>
            </w:pPr>
            <w:r w:rsidRPr="0016137F">
              <w:rPr>
                <w:w w:val="105"/>
                <w:sz w:val="20"/>
              </w:rPr>
              <w:t>Visuospatial</w:t>
            </w:r>
          </w:p>
        </w:tc>
        <w:tc>
          <w:tcPr>
            <w:tcW w:w="2732" w:type="dxa"/>
          </w:tcPr>
          <w:p w14:paraId="0EB27E41" w14:textId="77777777" w:rsidR="0016137F" w:rsidRPr="0016137F" w:rsidRDefault="0016137F" w:rsidP="0016137F">
            <w:pPr>
              <w:pStyle w:val="TableParagraph"/>
              <w:spacing w:line="360" w:lineRule="auto"/>
              <w:ind w:left="118"/>
              <w:rPr>
                <w:sz w:val="20"/>
              </w:rPr>
            </w:pPr>
            <w:r w:rsidRPr="0016137F">
              <w:rPr>
                <w:w w:val="105"/>
                <w:sz w:val="20"/>
              </w:rPr>
              <w:t>Memory, immediate episodic</w:t>
            </w:r>
          </w:p>
        </w:tc>
        <w:tc>
          <w:tcPr>
            <w:tcW w:w="1382" w:type="dxa"/>
          </w:tcPr>
          <w:p w14:paraId="70A24180" w14:textId="77777777" w:rsidR="0016137F" w:rsidRPr="0016137F" w:rsidRDefault="0016137F" w:rsidP="0016137F">
            <w:pPr>
              <w:pStyle w:val="TableParagraph"/>
              <w:spacing w:line="360" w:lineRule="auto"/>
              <w:ind w:left="0" w:right="118"/>
              <w:jc w:val="right"/>
              <w:rPr>
                <w:sz w:val="20"/>
              </w:rPr>
            </w:pPr>
            <w:r w:rsidRPr="0016137F">
              <w:rPr>
                <w:sz w:val="20"/>
              </w:rPr>
              <w:t>0.50</w:t>
            </w:r>
          </w:p>
        </w:tc>
      </w:tr>
      <w:tr w:rsidR="0016137F" w:rsidRPr="0016137F" w14:paraId="5F727D7E" w14:textId="77777777" w:rsidTr="0047038B">
        <w:trPr>
          <w:trHeight w:val="239"/>
        </w:trPr>
        <w:tc>
          <w:tcPr>
            <w:tcW w:w="2471" w:type="dxa"/>
          </w:tcPr>
          <w:p w14:paraId="754247CE" w14:textId="77777777" w:rsidR="0016137F" w:rsidRPr="0016137F" w:rsidRDefault="0016137F" w:rsidP="0016137F">
            <w:pPr>
              <w:pStyle w:val="TableParagraph"/>
              <w:spacing w:line="360" w:lineRule="auto"/>
              <w:rPr>
                <w:sz w:val="20"/>
              </w:rPr>
            </w:pPr>
            <w:r w:rsidRPr="0016137F">
              <w:rPr>
                <w:w w:val="105"/>
                <w:sz w:val="20"/>
              </w:rPr>
              <w:lastRenderedPageBreak/>
              <w:t>Visuospatial</w:t>
            </w:r>
          </w:p>
        </w:tc>
        <w:tc>
          <w:tcPr>
            <w:tcW w:w="2732" w:type="dxa"/>
          </w:tcPr>
          <w:p w14:paraId="0AC9B31C" w14:textId="77777777" w:rsidR="0016137F" w:rsidRPr="0016137F" w:rsidRDefault="0016137F" w:rsidP="0016137F">
            <w:pPr>
              <w:pStyle w:val="TableParagraph"/>
              <w:spacing w:line="360" w:lineRule="auto"/>
              <w:ind w:left="118"/>
              <w:rPr>
                <w:sz w:val="20"/>
              </w:rPr>
            </w:pPr>
            <w:r w:rsidRPr="0016137F">
              <w:rPr>
                <w:w w:val="105"/>
                <w:sz w:val="20"/>
              </w:rPr>
              <w:t>Memory, recognition</w:t>
            </w:r>
          </w:p>
        </w:tc>
        <w:tc>
          <w:tcPr>
            <w:tcW w:w="1382" w:type="dxa"/>
          </w:tcPr>
          <w:p w14:paraId="76E8E3A7" w14:textId="77777777" w:rsidR="0016137F" w:rsidRPr="0016137F" w:rsidRDefault="0016137F" w:rsidP="0016137F">
            <w:pPr>
              <w:pStyle w:val="TableParagraph"/>
              <w:spacing w:line="360" w:lineRule="auto"/>
              <w:ind w:left="0" w:right="118"/>
              <w:jc w:val="right"/>
              <w:rPr>
                <w:sz w:val="20"/>
              </w:rPr>
            </w:pPr>
            <w:r w:rsidRPr="0016137F">
              <w:rPr>
                <w:sz w:val="20"/>
              </w:rPr>
              <w:t>0.42</w:t>
            </w:r>
          </w:p>
        </w:tc>
      </w:tr>
      <w:tr w:rsidR="0016137F" w:rsidRPr="0016137F" w14:paraId="16463652" w14:textId="77777777" w:rsidTr="0047038B">
        <w:trPr>
          <w:trHeight w:val="240"/>
        </w:trPr>
        <w:tc>
          <w:tcPr>
            <w:tcW w:w="2471" w:type="dxa"/>
            <w:tcBorders>
              <w:bottom w:val="single" w:sz="4" w:space="0" w:color="000000"/>
            </w:tcBorders>
          </w:tcPr>
          <w:p w14:paraId="4645467B" w14:textId="77777777" w:rsidR="0016137F" w:rsidRPr="0016137F" w:rsidRDefault="0016137F" w:rsidP="0016137F">
            <w:pPr>
              <w:pStyle w:val="TableParagraph"/>
              <w:spacing w:line="360" w:lineRule="auto"/>
              <w:rPr>
                <w:sz w:val="20"/>
              </w:rPr>
            </w:pPr>
            <w:r w:rsidRPr="0016137F">
              <w:rPr>
                <w:w w:val="105"/>
                <w:sz w:val="20"/>
              </w:rPr>
              <w:t>Visuospatial</w:t>
            </w:r>
          </w:p>
        </w:tc>
        <w:tc>
          <w:tcPr>
            <w:tcW w:w="2732" w:type="dxa"/>
            <w:tcBorders>
              <w:bottom w:val="single" w:sz="4" w:space="0" w:color="000000"/>
            </w:tcBorders>
          </w:tcPr>
          <w:p w14:paraId="6AADB240" w14:textId="77777777" w:rsidR="0016137F" w:rsidRPr="0016137F" w:rsidRDefault="0016137F" w:rsidP="0016137F">
            <w:pPr>
              <w:pStyle w:val="TableParagraph"/>
              <w:spacing w:line="360" w:lineRule="auto"/>
              <w:ind w:left="118"/>
              <w:rPr>
                <w:sz w:val="20"/>
              </w:rPr>
            </w:pPr>
            <w:r w:rsidRPr="0016137F">
              <w:rPr>
                <w:w w:val="110"/>
                <w:sz w:val="20"/>
              </w:rPr>
              <w:t>Orientation</w:t>
            </w:r>
          </w:p>
        </w:tc>
        <w:tc>
          <w:tcPr>
            <w:tcW w:w="1382" w:type="dxa"/>
            <w:tcBorders>
              <w:bottom w:val="single" w:sz="4" w:space="0" w:color="000000"/>
            </w:tcBorders>
          </w:tcPr>
          <w:p w14:paraId="249C2BBA" w14:textId="77777777" w:rsidR="0016137F" w:rsidRPr="0016137F" w:rsidRDefault="0016137F" w:rsidP="0016137F">
            <w:pPr>
              <w:pStyle w:val="TableParagraph"/>
              <w:spacing w:line="360" w:lineRule="auto"/>
              <w:ind w:left="0" w:right="117"/>
              <w:jc w:val="right"/>
              <w:rPr>
                <w:sz w:val="20"/>
              </w:rPr>
            </w:pPr>
            <w:r w:rsidRPr="0016137F">
              <w:rPr>
                <w:sz w:val="20"/>
              </w:rPr>
              <w:t>0.33</w:t>
            </w:r>
          </w:p>
        </w:tc>
      </w:tr>
    </w:tbl>
    <w:p w14:paraId="1E9EA0A9" w14:textId="77777777" w:rsidR="0016137F" w:rsidRPr="0016137F" w:rsidRDefault="0016137F" w:rsidP="0016137F">
      <w:pPr>
        <w:spacing w:line="360" w:lineRule="auto"/>
        <w:rPr>
          <w:rFonts w:cs="Times New Roman"/>
          <w:b/>
          <w:sz w:val="20"/>
        </w:rPr>
      </w:pPr>
    </w:p>
    <w:p w14:paraId="0236A36D" w14:textId="23C8C815" w:rsidR="009A3D9C" w:rsidRDefault="009A3D9C">
      <w:pPr>
        <w:rPr>
          <w:rFonts w:cs="Times New Roman"/>
          <w:lang w:val="en-US"/>
        </w:rPr>
      </w:pPr>
      <w:r>
        <w:rPr>
          <w:rFonts w:cs="Times New Roman"/>
          <w:lang w:val="en-US"/>
        </w:rPr>
        <w:br w:type="page"/>
      </w:r>
    </w:p>
    <w:p w14:paraId="6A3CFFA4" w14:textId="27DC52A0" w:rsidR="009A3D9C" w:rsidRDefault="009A3D9C" w:rsidP="004F7C81">
      <w:pPr>
        <w:pStyle w:val="Heading1"/>
      </w:pPr>
      <w:bookmarkStart w:id="5" w:name="_Toc63504155"/>
      <w:bookmarkStart w:id="6" w:name="_Toc64889686"/>
      <w:r>
        <w:lastRenderedPageBreak/>
        <w:t>Figure S1: General approach to factor models</w:t>
      </w:r>
      <w:bookmarkEnd w:id="5"/>
      <w:bookmarkEnd w:id="6"/>
    </w:p>
    <w:p w14:paraId="41282FE3" w14:textId="1862D20A" w:rsidR="009A3D9C" w:rsidRDefault="009A3D9C" w:rsidP="009A3D9C">
      <w:pPr>
        <w:spacing w:line="240" w:lineRule="auto"/>
        <w:rPr>
          <w:b/>
          <w:bCs/>
        </w:rPr>
      </w:pPr>
    </w:p>
    <w:p w14:paraId="222076D1" w14:textId="33EA0B90" w:rsidR="009A3D9C" w:rsidRDefault="009A3D9C" w:rsidP="009A3D9C">
      <w:pPr>
        <w:spacing w:line="240" w:lineRule="auto"/>
        <w:rPr>
          <w:b/>
          <w:bCs/>
        </w:rPr>
      </w:pPr>
      <w:r>
        <w:rPr>
          <w:b/>
          <w:bCs/>
          <w:noProof/>
        </w:rPr>
        <w:drawing>
          <wp:inline distT="0" distB="0" distL="0" distR="0" wp14:anchorId="34CA63C9" wp14:editId="4F58F36A">
            <wp:extent cx="5943600" cy="1750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750695"/>
                    </a:xfrm>
                    <a:prstGeom prst="rect">
                      <a:avLst/>
                    </a:prstGeom>
                  </pic:spPr>
                </pic:pic>
              </a:graphicData>
            </a:graphic>
          </wp:inline>
        </w:drawing>
      </w:r>
    </w:p>
    <w:p w14:paraId="527DB50B" w14:textId="77777777" w:rsidR="009A3D9C" w:rsidRDefault="009A3D9C" w:rsidP="009A3D9C">
      <w:pPr>
        <w:spacing w:line="240" w:lineRule="auto"/>
        <w:rPr>
          <w:b/>
          <w:bCs/>
        </w:rPr>
      </w:pPr>
    </w:p>
    <w:p w14:paraId="3DC1F43A" w14:textId="04F32F91" w:rsidR="009A3D9C" w:rsidRDefault="009A3D9C" w:rsidP="009A3D9C">
      <w:pPr>
        <w:spacing w:line="240" w:lineRule="auto"/>
        <w:rPr>
          <w:b/>
          <w:bCs/>
        </w:rPr>
      </w:pPr>
      <w:r w:rsidRPr="00B275A3">
        <w:rPr>
          <w:b/>
          <w:bCs/>
        </w:rPr>
        <w:t xml:space="preserve">Figure </w:t>
      </w:r>
      <w:r>
        <w:rPr>
          <w:b/>
          <w:bCs/>
        </w:rPr>
        <w:t>S</w:t>
      </w:r>
      <w:r w:rsidRPr="00B275A3">
        <w:rPr>
          <w:b/>
          <w:bCs/>
        </w:rPr>
        <w:t>1</w:t>
      </w:r>
      <w:r>
        <w:rPr>
          <w:b/>
          <w:bCs/>
        </w:rPr>
        <w:t xml:space="preserve"> Caption</w:t>
      </w:r>
    </w:p>
    <w:p w14:paraId="54C329F7" w14:textId="055245F1" w:rsidR="009A3D9C" w:rsidRPr="00AC6924" w:rsidRDefault="009A3D9C" w:rsidP="009A3D9C">
      <w:pPr>
        <w:spacing w:line="240" w:lineRule="auto"/>
      </w:pPr>
      <w:r>
        <w:t xml:space="preserve">Figure S1 illustrates the general approach to modeling we used. First, we estimated single domain factor models (Panel A). Once these were adequately fitting, we estimated a multiple latent dimension correlated factors model, combining the single domain models (Panel B). In some cases, results of initial correlated factors models required re-specification of single factor models, and estimation of a new correlated factors model. With a well-fitting correlated factors model, we estimated a second-order factor model (Panel C). </w:t>
      </w:r>
      <w:r w:rsidR="00AD326F">
        <w:t>Methods factors (in gray) capture residual correlation for tasks with shared stimuli (common word lists, common story prompts)</w:t>
      </w:r>
      <w:r>
        <w:t>.</w:t>
      </w:r>
      <w:r w:rsidR="00AD326F">
        <w:t xml:space="preserve"> The methods factors are uncorrelated with other factors.</w:t>
      </w:r>
      <w:r>
        <w:t xml:space="preserve"> </w:t>
      </w:r>
    </w:p>
    <w:p w14:paraId="73943930" w14:textId="77777777" w:rsidR="009A3D9C" w:rsidRDefault="009A3D9C" w:rsidP="009A3D9C"/>
    <w:p w14:paraId="1B661A09" w14:textId="77777777" w:rsidR="009A3D9C" w:rsidRDefault="009A3D9C" w:rsidP="009A3D9C">
      <w:r>
        <w:br w:type="page"/>
      </w:r>
    </w:p>
    <w:p w14:paraId="370180C5" w14:textId="77777777" w:rsidR="009A3D9C" w:rsidRDefault="009A3D9C" w:rsidP="009A3D9C"/>
    <w:p w14:paraId="3D3CA947" w14:textId="246A76B8" w:rsidR="0027737D" w:rsidRDefault="0027737D" w:rsidP="0027737D">
      <w:pPr>
        <w:pStyle w:val="Heading1"/>
      </w:pPr>
      <w:bookmarkStart w:id="7" w:name="_Toc64889687"/>
      <w:r>
        <w:t>Figure S2 Density plot of factor score estimates obtained as expected a priori (EAP) estimates and Bayesian plausible values.</w:t>
      </w:r>
      <w:bookmarkEnd w:id="7"/>
    </w:p>
    <w:p w14:paraId="5B36CF86" w14:textId="0BE2F64A" w:rsidR="0027737D" w:rsidRDefault="0027737D" w:rsidP="0027737D">
      <w:pPr>
        <w:spacing w:line="240" w:lineRule="auto"/>
      </w:pPr>
    </w:p>
    <w:p w14:paraId="1D0F3972" w14:textId="76E1782D" w:rsidR="0027737D" w:rsidRDefault="0027737D" w:rsidP="0027737D">
      <w:pPr>
        <w:spacing w:line="240" w:lineRule="auto"/>
      </w:pPr>
      <w:r>
        <w:rPr>
          <w:noProof/>
        </w:rPr>
        <w:drawing>
          <wp:inline distT="0" distB="0" distL="0" distR="0" wp14:anchorId="42CC53B4" wp14:editId="19ECC29C">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6FAEF91A" w14:textId="26974286" w:rsidR="0027737D" w:rsidRDefault="0027737D" w:rsidP="0027737D">
      <w:pPr>
        <w:spacing w:line="240" w:lineRule="auto"/>
      </w:pPr>
    </w:p>
    <w:p w14:paraId="13DFCDB3" w14:textId="77777777" w:rsidR="0027737D" w:rsidRDefault="0027737D" w:rsidP="0027737D">
      <w:pPr>
        <w:spacing w:line="240" w:lineRule="auto"/>
      </w:pPr>
    </w:p>
    <w:p w14:paraId="60C43380" w14:textId="4A55C9B5" w:rsidR="0027737D" w:rsidRPr="0027737D" w:rsidRDefault="0027737D" w:rsidP="0027737D">
      <w:pPr>
        <w:spacing w:line="240" w:lineRule="auto"/>
        <w:rPr>
          <w:b/>
          <w:bCs/>
        </w:rPr>
      </w:pPr>
      <w:r w:rsidRPr="0027737D">
        <w:rPr>
          <w:b/>
          <w:bCs/>
        </w:rPr>
        <w:t>Figure S2 Caption</w:t>
      </w:r>
    </w:p>
    <w:p w14:paraId="724A9A07" w14:textId="07161D5F" w:rsidR="0027737D" w:rsidRDefault="0027737D" w:rsidP="0027737D">
      <w:pPr>
        <w:spacing w:line="240" w:lineRule="auto"/>
      </w:pPr>
      <w:r>
        <w:t>Figure S2 illustrates the density of EAP factor score estimates (black line) and the density of plausible values (gray-filled density). Estimates were derived from the single factor models for specific domains (corresponding to models IID, IIIA, V, and XI in Tables 3 &amp; 4. Bayesian plausible values are draws from the posterior distribution of the latent trait, given what is observed for item responses and given fixed item parameters from the estimated models. Regions where the plausible value density exceeds the EAP density indicate regions of poor measurement precision.</w:t>
      </w:r>
    </w:p>
    <w:p w14:paraId="68B094E2" w14:textId="6C3BE199" w:rsidR="00C96685" w:rsidRDefault="00C96685">
      <w:pPr>
        <w:rPr>
          <w:rFonts w:cs="Times New Roman"/>
        </w:rPr>
      </w:pPr>
      <w:r>
        <w:rPr>
          <w:rFonts w:cs="Times New Roman"/>
        </w:rPr>
        <w:br w:type="page"/>
      </w:r>
    </w:p>
    <w:p w14:paraId="504A8CE3" w14:textId="719D7C8A" w:rsidR="00FA17C7" w:rsidRPr="00343D3A" w:rsidRDefault="00343D3A" w:rsidP="00343D3A">
      <w:pPr>
        <w:pStyle w:val="Heading1"/>
      </w:pPr>
      <w:r w:rsidRPr="00343D3A">
        <w:lastRenderedPageBreak/>
        <w:t>F</w:t>
      </w:r>
      <w:r w:rsidRPr="00343D3A">
        <w:t>i</w:t>
      </w:r>
      <w:r w:rsidRPr="00343D3A">
        <w:t>gure S3.</w:t>
      </w:r>
      <w:r w:rsidRPr="00343D3A">
        <w:t xml:space="preserve"> </w:t>
      </w:r>
      <w:r w:rsidRPr="00343D3A">
        <w:t>Participant flow in HRS/HCAP and in deriving analytic sample for this study</w:t>
      </w:r>
    </w:p>
    <w:p w14:paraId="5AA5F8D0" w14:textId="36C66F0D" w:rsidR="00343D3A" w:rsidRDefault="00343D3A" w:rsidP="00343D3A">
      <w:pPr>
        <w:spacing w:line="240" w:lineRule="auto"/>
      </w:pPr>
    </w:p>
    <w:p w14:paraId="759F0C14" w14:textId="06FE1985" w:rsidR="00343D3A" w:rsidRDefault="00343D3A" w:rsidP="00343D3A">
      <w:pPr>
        <w:spacing w:line="240" w:lineRule="auto"/>
        <w:jc w:val="center"/>
      </w:pPr>
      <w:r>
        <w:rPr>
          <w:noProof/>
        </w:rPr>
        <w:drawing>
          <wp:inline distT="0" distB="0" distL="0" distR="0" wp14:anchorId="5D25A482" wp14:editId="3548F127">
            <wp:extent cx="4875350" cy="6025953"/>
            <wp:effectExtent l="0" t="0" r="190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0956" cy="6032881"/>
                    </a:xfrm>
                    <a:prstGeom prst="rect">
                      <a:avLst/>
                    </a:prstGeom>
                  </pic:spPr>
                </pic:pic>
              </a:graphicData>
            </a:graphic>
          </wp:inline>
        </w:drawing>
      </w:r>
    </w:p>
    <w:p w14:paraId="7BD85F21" w14:textId="77777777" w:rsidR="00343D3A" w:rsidRPr="00343D3A" w:rsidRDefault="00343D3A" w:rsidP="00343D3A">
      <w:pPr>
        <w:spacing w:line="240" w:lineRule="auto"/>
      </w:pPr>
    </w:p>
    <w:p w14:paraId="2B1D9B03" w14:textId="63DC80AA" w:rsidR="00343D3A" w:rsidRDefault="00343D3A" w:rsidP="00343D3A">
      <w:pPr>
        <w:spacing w:line="240" w:lineRule="auto"/>
      </w:pPr>
      <w:r w:rsidRPr="00343D3A">
        <w:t>Figure S3 Caption</w:t>
      </w:r>
    </w:p>
    <w:p w14:paraId="5EBF9B30" w14:textId="6E1F0210" w:rsidR="00343D3A" w:rsidRPr="00726E8D" w:rsidRDefault="00343D3A" w:rsidP="00343D3A">
      <w:pPr>
        <w:spacing w:line="240" w:lineRule="auto"/>
        <w:rPr>
          <w:b/>
        </w:rPr>
      </w:pPr>
      <w:r w:rsidRPr="00726E8D">
        <w:t xml:space="preserve">Figure </w:t>
      </w:r>
      <w:r>
        <w:t>S3</w:t>
      </w:r>
      <w:r w:rsidRPr="00726E8D">
        <w:t xml:space="preserve"> displays the flow of participants in HRS/HCAP and in deriving the analytic sample for this study. Participant disposition variables extracted from the HRS tracker file (version trk2018tr_r.dta) available at </w:t>
      </w:r>
      <w:hyperlink r:id="rId11" w:history="1">
        <w:r w:rsidRPr="00726E8D">
          <w:rPr>
            <w:rStyle w:val="Hyperlink"/>
            <w:color w:val="000000" w:themeColor="text1"/>
          </w:rPr>
          <w:t>https://hrsdata.isr.umich.edu/data-products/public-survey-data</w:t>
        </w:r>
      </w:hyperlink>
    </w:p>
    <w:p w14:paraId="77B16297" w14:textId="77777777" w:rsidR="00343D3A" w:rsidRPr="00726E8D" w:rsidRDefault="00343D3A" w:rsidP="00343D3A">
      <w:pPr>
        <w:spacing w:line="240" w:lineRule="auto"/>
      </w:pPr>
    </w:p>
    <w:p w14:paraId="6B20391B" w14:textId="77777777" w:rsidR="00343D3A" w:rsidRPr="00726E8D" w:rsidRDefault="00343D3A" w:rsidP="00343D3A">
      <w:pPr>
        <w:spacing w:line="240" w:lineRule="auto"/>
        <w:rPr>
          <w:rFonts w:cs="Times New Roman"/>
        </w:rPr>
      </w:pPr>
      <w:r w:rsidRPr="00726E8D">
        <w:rPr>
          <w:u w:val="single"/>
        </w:rPr>
        <w:t>Abbreviations</w:t>
      </w:r>
      <w:r w:rsidRPr="00726E8D">
        <w:t>: HRS, Health and Retirement Study; HCAP, Harmonized Cognitive Assessment Protocol</w:t>
      </w:r>
    </w:p>
    <w:p w14:paraId="1D40EC8D" w14:textId="77777777" w:rsidR="00343D3A" w:rsidRPr="00343D3A" w:rsidRDefault="00343D3A" w:rsidP="00343D3A">
      <w:pPr>
        <w:spacing w:line="240" w:lineRule="auto"/>
      </w:pPr>
    </w:p>
    <w:p w14:paraId="7C213438" w14:textId="77777777" w:rsidR="00343D3A" w:rsidRPr="00343D3A" w:rsidRDefault="00343D3A" w:rsidP="00343D3A">
      <w:pPr>
        <w:spacing w:line="240" w:lineRule="auto"/>
      </w:pPr>
    </w:p>
    <w:sectPr w:rsidR="00343D3A" w:rsidRPr="00343D3A">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31BE" w14:textId="77777777" w:rsidR="003E52A3" w:rsidRDefault="003E52A3" w:rsidP="00471833">
      <w:pPr>
        <w:spacing w:line="240" w:lineRule="auto"/>
      </w:pPr>
      <w:r>
        <w:separator/>
      </w:r>
    </w:p>
  </w:endnote>
  <w:endnote w:type="continuationSeparator" w:id="0">
    <w:p w14:paraId="60C20449" w14:textId="77777777" w:rsidR="003E52A3" w:rsidRDefault="003E52A3" w:rsidP="00471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546696"/>
      <w:docPartObj>
        <w:docPartGallery w:val="Page Numbers (Bottom of Page)"/>
        <w:docPartUnique/>
      </w:docPartObj>
    </w:sdtPr>
    <w:sdtContent>
      <w:p w14:paraId="40A0B98F" w14:textId="79B8B105" w:rsidR="0047038B" w:rsidRDefault="0047038B" w:rsidP="00EE4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8E408" w14:textId="77777777" w:rsidR="0047038B" w:rsidRDefault="0047038B" w:rsidP="00471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61035"/>
      <w:docPartObj>
        <w:docPartGallery w:val="Page Numbers (Bottom of Page)"/>
        <w:docPartUnique/>
      </w:docPartObj>
    </w:sdtPr>
    <w:sdtContent>
      <w:p w14:paraId="344969DA" w14:textId="7D18CF6F" w:rsidR="0047038B" w:rsidRDefault="0047038B" w:rsidP="00EE4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AAF36D" w14:textId="77777777" w:rsidR="0047038B" w:rsidRDefault="0047038B" w:rsidP="00471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C4B2" w14:textId="77777777" w:rsidR="003E52A3" w:rsidRDefault="003E52A3" w:rsidP="00471833">
      <w:pPr>
        <w:spacing w:line="240" w:lineRule="auto"/>
      </w:pPr>
      <w:r>
        <w:separator/>
      </w:r>
    </w:p>
  </w:footnote>
  <w:footnote w:type="continuationSeparator" w:id="0">
    <w:p w14:paraId="3D772FA1" w14:textId="77777777" w:rsidR="003E52A3" w:rsidRDefault="003E52A3" w:rsidP="00471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021"/>
    <w:multiLevelType w:val="hybridMultilevel"/>
    <w:tmpl w:val="E84A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D04EC"/>
    <w:multiLevelType w:val="hybridMultilevel"/>
    <w:tmpl w:val="0E3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240359">
    <w:abstractNumId w:val="0"/>
  </w:num>
  <w:num w:numId="2" w16cid:durableId="498228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rx9dvti5spd1epwtu50zpxds2xf0avt2ef&quot;&gt;jones&lt;record-ids&gt;&lt;item&gt;13&lt;/item&gt;&lt;item&gt;1037&lt;/item&gt;&lt;item&gt;2294&lt;/item&gt;&lt;item&gt;2616&lt;/item&gt;&lt;item&gt;2904&lt;/item&gt;&lt;item&gt;3272&lt;/item&gt;&lt;item&gt;4596&lt;/item&gt;&lt;item&gt;4729&lt;/item&gt;&lt;item&gt;4990&lt;/item&gt;&lt;item&gt;5056&lt;/item&gt;&lt;item&gt;5200&lt;/item&gt;&lt;item&gt;6573&lt;/item&gt;&lt;item&gt;6917&lt;/item&gt;&lt;item&gt;7643&lt;/item&gt;&lt;item&gt;7644&lt;/item&gt;&lt;item&gt;7783&lt;/item&gt;&lt;item&gt;8186&lt;/item&gt;&lt;item&gt;9170&lt;/item&gt;&lt;item&gt;9347&lt;/item&gt;&lt;item&gt;9350&lt;/item&gt;&lt;item&gt;9399&lt;/item&gt;&lt;item&gt;9510&lt;/item&gt;&lt;item&gt;9518&lt;/item&gt;&lt;item&gt;9520&lt;/item&gt;&lt;item&gt;9527&lt;/item&gt;&lt;item&gt;9563&lt;/item&gt;&lt;item&gt;9574&lt;/item&gt;&lt;item&gt;9575&lt;/item&gt;&lt;item&gt;9577&lt;/item&gt;&lt;item&gt;9579&lt;/item&gt;&lt;item&gt;9581&lt;/item&gt;&lt;item&gt;9582&lt;/item&gt;&lt;item&gt;9584&lt;/item&gt;&lt;item&gt;9585&lt;/item&gt;&lt;/record-ids&gt;&lt;/item&gt;&lt;/Libraries&gt;"/>
  </w:docVars>
  <w:rsids>
    <w:rsidRoot w:val="00EC6AA1"/>
    <w:rsid w:val="00000997"/>
    <w:rsid w:val="000058D4"/>
    <w:rsid w:val="0002508A"/>
    <w:rsid w:val="00026779"/>
    <w:rsid w:val="00036540"/>
    <w:rsid w:val="00043C5E"/>
    <w:rsid w:val="00047AD0"/>
    <w:rsid w:val="00067ACC"/>
    <w:rsid w:val="0007023F"/>
    <w:rsid w:val="00073755"/>
    <w:rsid w:val="00077B8E"/>
    <w:rsid w:val="00084AA7"/>
    <w:rsid w:val="000A4E05"/>
    <w:rsid w:val="000B60A5"/>
    <w:rsid w:val="000D27C2"/>
    <w:rsid w:val="00104D51"/>
    <w:rsid w:val="001133DE"/>
    <w:rsid w:val="00115B1F"/>
    <w:rsid w:val="0012414A"/>
    <w:rsid w:val="0012441A"/>
    <w:rsid w:val="00147A6B"/>
    <w:rsid w:val="001530FE"/>
    <w:rsid w:val="00157CC4"/>
    <w:rsid w:val="00160E79"/>
    <w:rsid w:val="0016137F"/>
    <w:rsid w:val="00161432"/>
    <w:rsid w:val="00167978"/>
    <w:rsid w:val="001679ED"/>
    <w:rsid w:val="00175311"/>
    <w:rsid w:val="00176DC6"/>
    <w:rsid w:val="001802F9"/>
    <w:rsid w:val="0018153B"/>
    <w:rsid w:val="00195C3E"/>
    <w:rsid w:val="001A5238"/>
    <w:rsid w:val="001B6C6C"/>
    <w:rsid w:val="001C4A5C"/>
    <w:rsid w:val="001C68D9"/>
    <w:rsid w:val="001D216F"/>
    <w:rsid w:val="001E470B"/>
    <w:rsid w:val="001F0744"/>
    <w:rsid w:val="001F1AAA"/>
    <w:rsid w:val="001F1F0A"/>
    <w:rsid w:val="00203D21"/>
    <w:rsid w:val="00211091"/>
    <w:rsid w:val="00233556"/>
    <w:rsid w:val="00237099"/>
    <w:rsid w:val="00247BF6"/>
    <w:rsid w:val="0025662C"/>
    <w:rsid w:val="0027737D"/>
    <w:rsid w:val="002811E4"/>
    <w:rsid w:val="00297F0D"/>
    <w:rsid w:val="002B024E"/>
    <w:rsid w:val="002B4A03"/>
    <w:rsid w:val="002B5E6F"/>
    <w:rsid w:val="002B7779"/>
    <w:rsid w:val="002C68D0"/>
    <w:rsid w:val="002E0039"/>
    <w:rsid w:val="002E1EFE"/>
    <w:rsid w:val="002F2F42"/>
    <w:rsid w:val="002F441B"/>
    <w:rsid w:val="003233FD"/>
    <w:rsid w:val="003377A5"/>
    <w:rsid w:val="00343D3A"/>
    <w:rsid w:val="00351324"/>
    <w:rsid w:val="003566B5"/>
    <w:rsid w:val="003736A8"/>
    <w:rsid w:val="003B02D1"/>
    <w:rsid w:val="003B09D4"/>
    <w:rsid w:val="003E47C9"/>
    <w:rsid w:val="003E52A3"/>
    <w:rsid w:val="003F467D"/>
    <w:rsid w:val="003F6C95"/>
    <w:rsid w:val="00404F45"/>
    <w:rsid w:val="00406A3C"/>
    <w:rsid w:val="00410560"/>
    <w:rsid w:val="0043342E"/>
    <w:rsid w:val="00437B5F"/>
    <w:rsid w:val="004534C3"/>
    <w:rsid w:val="00467B51"/>
    <w:rsid w:val="0047038B"/>
    <w:rsid w:val="00471833"/>
    <w:rsid w:val="00476FB3"/>
    <w:rsid w:val="004917E6"/>
    <w:rsid w:val="004953D4"/>
    <w:rsid w:val="004A107B"/>
    <w:rsid w:val="004B0260"/>
    <w:rsid w:val="004B6428"/>
    <w:rsid w:val="004C239D"/>
    <w:rsid w:val="004D762F"/>
    <w:rsid w:val="004E42DE"/>
    <w:rsid w:val="004E5479"/>
    <w:rsid w:val="004F7C81"/>
    <w:rsid w:val="0052554F"/>
    <w:rsid w:val="005407AE"/>
    <w:rsid w:val="005737FA"/>
    <w:rsid w:val="00573C19"/>
    <w:rsid w:val="0057779C"/>
    <w:rsid w:val="00580461"/>
    <w:rsid w:val="005A6F9A"/>
    <w:rsid w:val="005B44B1"/>
    <w:rsid w:val="005C064C"/>
    <w:rsid w:val="005F4652"/>
    <w:rsid w:val="00600864"/>
    <w:rsid w:val="00611E8D"/>
    <w:rsid w:val="00624470"/>
    <w:rsid w:val="0063234A"/>
    <w:rsid w:val="00634A6B"/>
    <w:rsid w:val="0064226E"/>
    <w:rsid w:val="00644202"/>
    <w:rsid w:val="006602B6"/>
    <w:rsid w:val="00663643"/>
    <w:rsid w:val="006923D0"/>
    <w:rsid w:val="00692487"/>
    <w:rsid w:val="006C07B1"/>
    <w:rsid w:val="006C1F55"/>
    <w:rsid w:val="006D013E"/>
    <w:rsid w:val="006D0EF2"/>
    <w:rsid w:val="006D6DB3"/>
    <w:rsid w:val="006E4B66"/>
    <w:rsid w:val="006E627A"/>
    <w:rsid w:val="006F7F44"/>
    <w:rsid w:val="007219DE"/>
    <w:rsid w:val="00724BE7"/>
    <w:rsid w:val="00726E8D"/>
    <w:rsid w:val="007306CC"/>
    <w:rsid w:val="007359CC"/>
    <w:rsid w:val="00735CC1"/>
    <w:rsid w:val="00747484"/>
    <w:rsid w:val="00752CEA"/>
    <w:rsid w:val="007643FF"/>
    <w:rsid w:val="00765E71"/>
    <w:rsid w:val="00770F44"/>
    <w:rsid w:val="00786068"/>
    <w:rsid w:val="0078625B"/>
    <w:rsid w:val="00786E45"/>
    <w:rsid w:val="00790FD9"/>
    <w:rsid w:val="00791B0F"/>
    <w:rsid w:val="00791E6D"/>
    <w:rsid w:val="007C3E28"/>
    <w:rsid w:val="007C6B2D"/>
    <w:rsid w:val="007D00B9"/>
    <w:rsid w:val="007D0B46"/>
    <w:rsid w:val="007D10BF"/>
    <w:rsid w:val="007D6BC5"/>
    <w:rsid w:val="007F5C76"/>
    <w:rsid w:val="007F70EB"/>
    <w:rsid w:val="008122B3"/>
    <w:rsid w:val="00813A39"/>
    <w:rsid w:val="008159F4"/>
    <w:rsid w:val="008203B6"/>
    <w:rsid w:val="00826771"/>
    <w:rsid w:val="008571C4"/>
    <w:rsid w:val="00860F25"/>
    <w:rsid w:val="00862DF2"/>
    <w:rsid w:val="00873EFF"/>
    <w:rsid w:val="008871EF"/>
    <w:rsid w:val="008A5E0F"/>
    <w:rsid w:val="008B736F"/>
    <w:rsid w:val="008C596B"/>
    <w:rsid w:val="008D06AC"/>
    <w:rsid w:val="008F7AFD"/>
    <w:rsid w:val="00906B35"/>
    <w:rsid w:val="00913E9D"/>
    <w:rsid w:val="00952A69"/>
    <w:rsid w:val="00955606"/>
    <w:rsid w:val="0098060A"/>
    <w:rsid w:val="00981EDB"/>
    <w:rsid w:val="009878FD"/>
    <w:rsid w:val="00991366"/>
    <w:rsid w:val="009A3D9C"/>
    <w:rsid w:val="009A43AF"/>
    <w:rsid w:val="009A4610"/>
    <w:rsid w:val="009A5E42"/>
    <w:rsid w:val="009D34C1"/>
    <w:rsid w:val="009E19A3"/>
    <w:rsid w:val="009F0D2D"/>
    <w:rsid w:val="009F4FE2"/>
    <w:rsid w:val="009F5BAD"/>
    <w:rsid w:val="009F62CF"/>
    <w:rsid w:val="00A0676F"/>
    <w:rsid w:val="00A44F08"/>
    <w:rsid w:val="00A46499"/>
    <w:rsid w:val="00A50A9A"/>
    <w:rsid w:val="00A522CD"/>
    <w:rsid w:val="00A55527"/>
    <w:rsid w:val="00A7675A"/>
    <w:rsid w:val="00A969DA"/>
    <w:rsid w:val="00AA4ED7"/>
    <w:rsid w:val="00AA6B6B"/>
    <w:rsid w:val="00AB3785"/>
    <w:rsid w:val="00AC6924"/>
    <w:rsid w:val="00AD0F92"/>
    <w:rsid w:val="00AD23E5"/>
    <w:rsid w:val="00AD326F"/>
    <w:rsid w:val="00AD5A84"/>
    <w:rsid w:val="00AD5D0F"/>
    <w:rsid w:val="00B13E77"/>
    <w:rsid w:val="00B16FB3"/>
    <w:rsid w:val="00B245DC"/>
    <w:rsid w:val="00B24BFC"/>
    <w:rsid w:val="00B275A3"/>
    <w:rsid w:val="00B43C15"/>
    <w:rsid w:val="00B51B24"/>
    <w:rsid w:val="00B773E9"/>
    <w:rsid w:val="00B83A81"/>
    <w:rsid w:val="00B84B4D"/>
    <w:rsid w:val="00BA71FA"/>
    <w:rsid w:val="00BB36AE"/>
    <w:rsid w:val="00BC0256"/>
    <w:rsid w:val="00BC4A0F"/>
    <w:rsid w:val="00BC5337"/>
    <w:rsid w:val="00BD255F"/>
    <w:rsid w:val="00BF1286"/>
    <w:rsid w:val="00BF1BFE"/>
    <w:rsid w:val="00BF7CD9"/>
    <w:rsid w:val="00C00EC9"/>
    <w:rsid w:val="00C03C3C"/>
    <w:rsid w:val="00C074F2"/>
    <w:rsid w:val="00C16538"/>
    <w:rsid w:val="00C32364"/>
    <w:rsid w:val="00C364C6"/>
    <w:rsid w:val="00C419A1"/>
    <w:rsid w:val="00C424D2"/>
    <w:rsid w:val="00C4556B"/>
    <w:rsid w:val="00C77994"/>
    <w:rsid w:val="00C96685"/>
    <w:rsid w:val="00C96CF0"/>
    <w:rsid w:val="00CA6B64"/>
    <w:rsid w:val="00CB0DA0"/>
    <w:rsid w:val="00CB3914"/>
    <w:rsid w:val="00CB4053"/>
    <w:rsid w:val="00CC32E8"/>
    <w:rsid w:val="00CC3D23"/>
    <w:rsid w:val="00CE2BBF"/>
    <w:rsid w:val="00CF4FBD"/>
    <w:rsid w:val="00D039EE"/>
    <w:rsid w:val="00D06A38"/>
    <w:rsid w:val="00D11865"/>
    <w:rsid w:val="00D177EA"/>
    <w:rsid w:val="00D21640"/>
    <w:rsid w:val="00D23691"/>
    <w:rsid w:val="00D31FCD"/>
    <w:rsid w:val="00D3443B"/>
    <w:rsid w:val="00D35736"/>
    <w:rsid w:val="00D40DC1"/>
    <w:rsid w:val="00D41B29"/>
    <w:rsid w:val="00D977B0"/>
    <w:rsid w:val="00DC0377"/>
    <w:rsid w:val="00DD20EF"/>
    <w:rsid w:val="00DF51A7"/>
    <w:rsid w:val="00E00CCA"/>
    <w:rsid w:val="00E014BF"/>
    <w:rsid w:val="00E30516"/>
    <w:rsid w:val="00E53811"/>
    <w:rsid w:val="00E53A15"/>
    <w:rsid w:val="00E57844"/>
    <w:rsid w:val="00E670F3"/>
    <w:rsid w:val="00EB4979"/>
    <w:rsid w:val="00EC1E4D"/>
    <w:rsid w:val="00EC6AA1"/>
    <w:rsid w:val="00EE492E"/>
    <w:rsid w:val="00EE4BD4"/>
    <w:rsid w:val="00EE70CE"/>
    <w:rsid w:val="00EF4FCA"/>
    <w:rsid w:val="00EF5143"/>
    <w:rsid w:val="00EF6C90"/>
    <w:rsid w:val="00F010AB"/>
    <w:rsid w:val="00F22B58"/>
    <w:rsid w:val="00F2387B"/>
    <w:rsid w:val="00F25AE6"/>
    <w:rsid w:val="00F42D2C"/>
    <w:rsid w:val="00F46636"/>
    <w:rsid w:val="00F569DC"/>
    <w:rsid w:val="00F6425D"/>
    <w:rsid w:val="00F65189"/>
    <w:rsid w:val="00F66754"/>
    <w:rsid w:val="00F67E04"/>
    <w:rsid w:val="00F73F01"/>
    <w:rsid w:val="00F74E48"/>
    <w:rsid w:val="00F835CA"/>
    <w:rsid w:val="00F83C74"/>
    <w:rsid w:val="00F83CE0"/>
    <w:rsid w:val="00F8527F"/>
    <w:rsid w:val="00F864C7"/>
    <w:rsid w:val="00F86528"/>
    <w:rsid w:val="00F975D2"/>
    <w:rsid w:val="00FA17C7"/>
    <w:rsid w:val="00FA7BEE"/>
    <w:rsid w:val="00FB3DF2"/>
    <w:rsid w:val="00FC3F23"/>
    <w:rsid w:val="00FD7C40"/>
    <w:rsid w:val="00FE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F5EF"/>
  <w15:docId w15:val="{4BCD4AB1-DFA9-7E45-A982-2181D9DB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tabs>
          <w:tab w:val="left" w:pos="0"/>
          <w:tab w:val="left" w:pos="720"/>
        </w:tabs>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CE"/>
    <w:rPr>
      <w:rFonts w:ascii="Times New Roman" w:hAnsi="Times New Roman"/>
      <w:color w:val="000000" w:themeColor="text1"/>
      <w:sz w:val="24"/>
    </w:rPr>
  </w:style>
  <w:style w:type="paragraph" w:styleId="Heading1">
    <w:name w:val="heading 1"/>
    <w:basedOn w:val="Normal"/>
    <w:next w:val="Normal"/>
    <w:uiPriority w:val="9"/>
    <w:qFormat/>
    <w:rsid w:val="004F7C81"/>
    <w:pPr>
      <w:keepNext/>
      <w:keepLines/>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b/>
      <w:i/>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b/>
      <w:sz w:val="32"/>
      <w:szCs w:val="32"/>
    </w:rPr>
  </w:style>
  <w:style w:type="paragraph" w:styleId="Subtitle">
    <w:name w:val="Subtitle"/>
    <w:basedOn w:val="Normal"/>
    <w:next w:val="Normal"/>
    <w:uiPriority w:val="11"/>
    <w:qFormat/>
    <w:pPr>
      <w:keepNext/>
      <w:keepLines/>
      <w:spacing w:after="60"/>
      <w:jc w:val="center"/>
    </w:pPr>
  </w:style>
  <w:style w:type="paragraph" w:styleId="BalloonText">
    <w:name w:val="Balloon Text"/>
    <w:basedOn w:val="Normal"/>
    <w:link w:val="BalloonTextChar"/>
    <w:uiPriority w:val="99"/>
    <w:semiHidden/>
    <w:unhideWhenUsed/>
    <w:rsid w:val="00C424D2"/>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424D2"/>
    <w:rPr>
      <w:rFonts w:ascii="Times New Roman" w:hAnsi="Times New Roman" w:cs="Times New Roman"/>
      <w:sz w:val="18"/>
      <w:szCs w:val="18"/>
    </w:rPr>
  </w:style>
  <w:style w:type="character" w:styleId="Hyperlink">
    <w:name w:val="Hyperlink"/>
    <w:basedOn w:val="DefaultParagraphFont"/>
    <w:uiPriority w:val="99"/>
    <w:unhideWhenUsed/>
    <w:rsid w:val="00634A6B"/>
    <w:rPr>
      <w:color w:val="0000FF" w:themeColor="hyperlink"/>
      <w:u w:val="single"/>
    </w:rPr>
  </w:style>
  <w:style w:type="character" w:styleId="CommentReference">
    <w:name w:val="annotation reference"/>
    <w:basedOn w:val="DefaultParagraphFont"/>
    <w:uiPriority w:val="99"/>
    <w:semiHidden/>
    <w:unhideWhenUsed/>
    <w:rsid w:val="00634A6B"/>
    <w:rPr>
      <w:sz w:val="16"/>
      <w:szCs w:val="16"/>
    </w:rPr>
  </w:style>
  <w:style w:type="paragraph" w:styleId="CommentText">
    <w:name w:val="annotation text"/>
    <w:basedOn w:val="Normal"/>
    <w:link w:val="CommentTextChar"/>
    <w:uiPriority w:val="99"/>
    <w:semiHidden/>
    <w:unhideWhenUsed/>
    <w:rsid w:val="00634A6B"/>
    <w:pPr>
      <w:tabs>
        <w:tab w:val="clear" w:pos="0"/>
        <w:tab w:val="clear" w:pos="720"/>
      </w:tabs>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34A6B"/>
    <w:rPr>
      <w:rFonts w:asciiTheme="minorHAnsi" w:eastAsiaTheme="minorHAnsi" w:hAnsiTheme="minorHAnsi" w:cstheme="minorBidi"/>
      <w:sz w:val="20"/>
      <w:szCs w:val="20"/>
      <w:lang w:val="en-US"/>
    </w:rPr>
  </w:style>
  <w:style w:type="paragraph" w:customStyle="1" w:styleId="EndNoteBibliographyTitle">
    <w:name w:val="EndNote Bibliography Title"/>
    <w:basedOn w:val="Normal"/>
    <w:link w:val="EndNoteBibliographyTitleChar"/>
    <w:rsid w:val="00351324"/>
    <w:pPr>
      <w:jc w:val="center"/>
    </w:pPr>
    <w:rPr>
      <w:rFonts w:ascii="Arial" w:hAnsi="Arial"/>
      <w:sz w:val="22"/>
      <w:lang w:val="en-US"/>
    </w:rPr>
  </w:style>
  <w:style w:type="character" w:customStyle="1" w:styleId="EndNoteBibliographyTitleChar">
    <w:name w:val="EndNote Bibliography Title Char"/>
    <w:basedOn w:val="DefaultParagraphFont"/>
    <w:link w:val="EndNoteBibliographyTitle"/>
    <w:rsid w:val="00351324"/>
    <w:rPr>
      <w:color w:val="000000" w:themeColor="text1"/>
      <w:lang w:val="en-US"/>
    </w:rPr>
  </w:style>
  <w:style w:type="paragraph" w:customStyle="1" w:styleId="EndNoteBibliography">
    <w:name w:val="EndNote Bibliography"/>
    <w:basedOn w:val="Normal"/>
    <w:link w:val="EndNoteBibliographyChar"/>
    <w:rsid w:val="00351324"/>
    <w:pPr>
      <w:spacing w:line="240" w:lineRule="auto"/>
    </w:pPr>
    <w:rPr>
      <w:rFonts w:ascii="Arial" w:hAnsi="Arial"/>
      <w:sz w:val="22"/>
      <w:lang w:val="en-US"/>
    </w:rPr>
  </w:style>
  <w:style w:type="character" w:customStyle="1" w:styleId="EndNoteBibliographyChar">
    <w:name w:val="EndNote Bibliography Char"/>
    <w:basedOn w:val="DefaultParagraphFont"/>
    <w:link w:val="EndNoteBibliography"/>
    <w:rsid w:val="00351324"/>
    <w:rPr>
      <w:color w:val="000000" w:themeColor="text1"/>
      <w:lang w:val="en-US"/>
    </w:rPr>
  </w:style>
  <w:style w:type="paragraph" w:styleId="Footer">
    <w:name w:val="footer"/>
    <w:basedOn w:val="Normal"/>
    <w:link w:val="FooterChar"/>
    <w:uiPriority w:val="99"/>
    <w:unhideWhenUsed/>
    <w:rsid w:val="00471833"/>
    <w:pPr>
      <w:tabs>
        <w:tab w:val="clear" w:pos="0"/>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471833"/>
  </w:style>
  <w:style w:type="character" w:styleId="PageNumber">
    <w:name w:val="page number"/>
    <w:basedOn w:val="DefaultParagraphFont"/>
    <w:uiPriority w:val="99"/>
    <w:semiHidden/>
    <w:unhideWhenUsed/>
    <w:rsid w:val="00471833"/>
  </w:style>
  <w:style w:type="paragraph" w:styleId="ListParagraph">
    <w:name w:val="List Paragraph"/>
    <w:basedOn w:val="Normal"/>
    <w:uiPriority w:val="34"/>
    <w:qFormat/>
    <w:rsid w:val="002B5E6F"/>
    <w:pPr>
      <w:ind w:left="720"/>
      <w:contextualSpacing/>
    </w:pPr>
  </w:style>
  <w:style w:type="paragraph" w:styleId="CommentSubject">
    <w:name w:val="annotation subject"/>
    <w:basedOn w:val="CommentText"/>
    <w:next w:val="CommentText"/>
    <w:link w:val="CommentSubjectChar"/>
    <w:uiPriority w:val="99"/>
    <w:semiHidden/>
    <w:unhideWhenUsed/>
    <w:rsid w:val="00D40DC1"/>
    <w:pPr>
      <w:tabs>
        <w:tab w:val="left" w:pos="0"/>
        <w:tab w:val="left" w:pos="720"/>
      </w:tabs>
      <w:spacing w:after="0"/>
    </w:pPr>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D40DC1"/>
    <w:rPr>
      <w:rFonts w:asciiTheme="minorHAnsi" w:eastAsiaTheme="minorHAnsi" w:hAnsiTheme="minorHAnsi" w:cstheme="minorBidi"/>
      <w:b/>
      <w:bCs/>
      <w:sz w:val="20"/>
      <w:szCs w:val="20"/>
      <w:lang w:val="en-US"/>
    </w:rPr>
  </w:style>
  <w:style w:type="table" w:styleId="TableGrid">
    <w:name w:val="Table Grid"/>
    <w:basedOn w:val="TableNormal"/>
    <w:uiPriority w:val="39"/>
    <w:rsid w:val="00CA6B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3F01"/>
    <w:rPr>
      <w:color w:val="605E5C"/>
      <w:shd w:val="clear" w:color="auto" w:fill="E1DFDD"/>
    </w:rPr>
  </w:style>
  <w:style w:type="character" w:styleId="PlaceholderText">
    <w:name w:val="Placeholder Text"/>
    <w:basedOn w:val="DefaultParagraphFont"/>
    <w:uiPriority w:val="99"/>
    <w:semiHidden/>
    <w:rsid w:val="00B43C15"/>
    <w:rPr>
      <w:color w:val="808080"/>
    </w:rPr>
  </w:style>
  <w:style w:type="paragraph" w:styleId="Revision">
    <w:name w:val="Revision"/>
    <w:hidden/>
    <w:uiPriority w:val="99"/>
    <w:semiHidden/>
    <w:rsid w:val="00C364C6"/>
    <w:pPr>
      <w:tabs>
        <w:tab w:val="clear" w:pos="0"/>
        <w:tab w:val="clear" w:pos="720"/>
      </w:tabs>
      <w:spacing w:line="240" w:lineRule="auto"/>
    </w:pPr>
  </w:style>
  <w:style w:type="character" w:styleId="FollowedHyperlink">
    <w:name w:val="FollowedHyperlink"/>
    <w:basedOn w:val="DefaultParagraphFont"/>
    <w:uiPriority w:val="99"/>
    <w:semiHidden/>
    <w:unhideWhenUsed/>
    <w:rsid w:val="00073755"/>
    <w:rPr>
      <w:color w:val="800080" w:themeColor="followedHyperlink"/>
      <w:u w:val="single"/>
    </w:rPr>
  </w:style>
  <w:style w:type="paragraph" w:styleId="Header">
    <w:name w:val="header"/>
    <w:basedOn w:val="Normal"/>
    <w:link w:val="HeaderChar"/>
    <w:uiPriority w:val="99"/>
    <w:unhideWhenUsed/>
    <w:rsid w:val="00AD5D0F"/>
    <w:pPr>
      <w:tabs>
        <w:tab w:val="clear" w:pos="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D5D0F"/>
    <w:rPr>
      <w:rFonts w:ascii="Times New Roman" w:hAnsi="Times New Roman"/>
      <w:color w:val="000000" w:themeColor="text1"/>
      <w:sz w:val="24"/>
    </w:rPr>
  </w:style>
  <w:style w:type="paragraph" w:customStyle="1" w:styleId="TableParagraph">
    <w:name w:val="Table Paragraph"/>
    <w:basedOn w:val="Normal"/>
    <w:uiPriority w:val="1"/>
    <w:qFormat/>
    <w:rsid w:val="0016137F"/>
    <w:pPr>
      <w:widowControl w:val="0"/>
      <w:tabs>
        <w:tab w:val="clear" w:pos="0"/>
        <w:tab w:val="clear" w:pos="720"/>
      </w:tabs>
      <w:autoSpaceDE w:val="0"/>
      <w:autoSpaceDN w:val="0"/>
      <w:spacing w:line="213" w:lineRule="exact"/>
      <w:ind w:left="119"/>
    </w:pPr>
    <w:rPr>
      <w:rFonts w:eastAsia="Times New Roman" w:cs="Times New Roman"/>
      <w:color w:val="auto"/>
      <w:sz w:val="22"/>
      <w:lang w:val="en-US"/>
    </w:rPr>
  </w:style>
  <w:style w:type="paragraph" w:styleId="TOC1">
    <w:name w:val="toc 1"/>
    <w:basedOn w:val="Normal"/>
    <w:next w:val="Normal"/>
    <w:autoRedefine/>
    <w:uiPriority w:val="39"/>
    <w:unhideWhenUsed/>
    <w:rsid w:val="00624470"/>
    <w:pPr>
      <w:tabs>
        <w:tab w:val="clear" w:pos="0"/>
        <w:tab w:val="clear" w:pos="720"/>
      </w:tabs>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24470"/>
    <w:pPr>
      <w:tabs>
        <w:tab w:val="clear" w:pos="0"/>
        <w:tab w:val="clear" w:pos="720"/>
      </w:tabs>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624470"/>
    <w:pPr>
      <w:tabs>
        <w:tab w:val="clear" w:pos="0"/>
        <w:tab w:val="clear" w:pos="720"/>
      </w:tabs>
      <w:ind w:left="480"/>
    </w:pPr>
    <w:rPr>
      <w:rFonts w:asciiTheme="minorHAnsi" w:hAnsiTheme="minorHAnsi"/>
      <w:sz w:val="20"/>
      <w:szCs w:val="20"/>
    </w:rPr>
  </w:style>
  <w:style w:type="paragraph" w:styleId="TOC4">
    <w:name w:val="toc 4"/>
    <w:basedOn w:val="Normal"/>
    <w:next w:val="Normal"/>
    <w:autoRedefine/>
    <w:uiPriority w:val="39"/>
    <w:unhideWhenUsed/>
    <w:rsid w:val="00624470"/>
    <w:pPr>
      <w:tabs>
        <w:tab w:val="clear" w:pos="0"/>
        <w:tab w:val="clear" w:pos="720"/>
      </w:tabs>
      <w:ind w:left="720"/>
    </w:pPr>
    <w:rPr>
      <w:rFonts w:asciiTheme="minorHAnsi" w:hAnsiTheme="minorHAnsi"/>
      <w:sz w:val="20"/>
      <w:szCs w:val="20"/>
    </w:rPr>
  </w:style>
  <w:style w:type="paragraph" w:styleId="TOC5">
    <w:name w:val="toc 5"/>
    <w:basedOn w:val="Normal"/>
    <w:next w:val="Normal"/>
    <w:autoRedefine/>
    <w:uiPriority w:val="39"/>
    <w:unhideWhenUsed/>
    <w:rsid w:val="00624470"/>
    <w:pPr>
      <w:tabs>
        <w:tab w:val="clear" w:pos="0"/>
        <w:tab w:val="clear" w:pos="720"/>
      </w:tabs>
      <w:ind w:left="960"/>
    </w:pPr>
    <w:rPr>
      <w:rFonts w:asciiTheme="minorHAnsi" w:hAnsiTheme="minorHAnsi"/>
      <w:sz w:val="20"/>
      <w:szCs w:val="20"/>
    </w:rPr>
  </w:style>
  <w:style w:type="paragraph" w:styleId="TOC6">
    <w:name w:val="toc 6"/>
    <w:basedOn w:val="Normal"/>
    <w:next w:val="Normal"/>
    <w:autoRedefine/>
    <w:uiPriority w:val="39"/>
    <w:unhideWhenUsed/>
    <w:rsid w:val="00624470"/>
    <w:pPr>
      <w:tabs>
        <w:tab w:val="clear" w:pos="0"/>
        <w:tab w:val="clear" w:pos="720"/>
      </w:tabs>
      <w:ind w:left="1200"/>
    </w:pPr>
    <w:rPr>
      <w:rFonts w:asciiTheme="minorHAnsi" w:hAnsiTheme="minorHAnsi"/>
      <w:sz w:val="20"/>
      <w:szCs w:val="20"/>
    </w:rPr>
  </w:style>
  <w:style w:type="paragraph" w:styleId="TOC7">
    <w:name w:val="toc 7"/>
    <w:basedOn w:val="Normal"/>
    <w:next w:val="Normal"/>
    <w:autoRedefine/>
    <w:uiPriority w:val="39"/>
    <w:unhideWhenUsed/>
    <w:rsid w:val="00624470"/>
    <w:pPr>
      <w:tabs>
        <w:tab w:val="clear" w:pos="0"/>
        <w:tab w:val="clear" w:pos="720"/>
      </w:tabs>
      <w:ind w:left="1440"/>
    </w:pPr>
    <w:rPr>
      <w:rFonts w:asciiTheme="minorHAnsi" w:hAnsiTheme="minorHAnsi"/>
      <w:sz w:val="20"/>
      <w:szCs w:val="20"/>
    </w:rPr>
  </w:style>
  <w:style w:type="paragraph" w:styleId="TOC8">
    <w:name w:val="toc 8"/>
    <w:basedOn w:val="Normal"/>
    <w:next w:val="Normal"/>
    <w:autoRedefine/>
    <w:uiPriority w:val="39"/>
    <w:unhideWhenUsed/>
    <w:rsid w:val="00624470"/>
    <w:pPr>
      <w:tabs>
        <w:tab w:val="clear" w:pos="0"/>
        <w:tab w:val="clear" w:pos="720"/>
      </w:tabs>
      <w:ind w:left="1680"/>
    </w:pPr>
    <w:rPr>
      <w:rFonts w:asciiTheme="minorHAnsi" w:hAnsiTheme="minorHAnsi"/>
      <w:sz w:val="20"/>
      <w:szCs w:val="20"/>
    </w:rPr>
  </w:style>
  <w:style w:type="paragraph" w:styleId="TOC9">
    <w:name w:val="toc 9"/>
    <w:basedOn w:val="Normal"/>
    <w:next w:val="Normal"/>
    <w:autoRedefine/>
    <w:uiPriority w:val="39"/>
    <w:unhideWhenUsed/>
    <w:rsid w:val="00624470"/>
    <w:pPr>
      <w:tabs>
        <w:tab w:val="clear" w:pos="0"/>
        <w:tab w:val="clear" w:pos="720"/>
      </w:tabs>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19097">
      <w:bodyDiv w:val="1"/>
      <w:marLeft w:val="0"/>
      <w:marRight w:val="0"/>
      <w:marTop w:val="0"/>
      <w:marBottom w:val="0"/>
      <w:divBdr>
        <w:top w:val="none" w:sz="0" w:space="0" w:color="auto"/>
        <w:left w:val="none" w:sz="0" w:space="0" w:color="auto"/>
        <w:bottom w:val="none" w:sz="0" w:space="0" w:color="auto"/>
        <w:right w:val="none" w:sz="0" w:space="0" w:color="auto"/>
      </w:divBdr>
    </w:div>
    <w:div w:id="1291209835">
      <w:bodyDiv w:val="1"/>
      <w:marLeft w:val="0"/>
      <w:marRight w:val="0"/>
      <w:marTop w:val="0"/>
      <w:marBottom w:val="0"/>
      <w:divBdr>
        <w:top w:val="none" w:sz="0" w:space="0" w:color="auto"/>
        <w:left w:val="none" w:sz="0" w:space="0" w:color="auto"/>
        <w:bottom w:val="none" w:sz="0" w:space="0" w:color="auto"/>
        <w:right w:val="none" w:sz="0" w:space="0" w:color="auto"/>
      </w:divBdr>
    </w:div>
    <w:div w:id="1364751532">
      <w:bodyDiv w:val="1"/>
      <w:marLeft w:val="0"/>
      <w:marRight w:val="0"/>
      <w:marTop w:val="0"/>
      <w:marBottom w:val="0"/>
      <w:divBdr>
        <w:top w:val="none" w:sz="0" w:space="0" w:color="auto"/>
        <w:left w:val="none" w:sz="0" w:space="0" w:color="auto"/>
        <w:bottom w:val="none" w:sz="0" w:space="0" w:color="auto"/>
        <w:right w:val="none" w:sz="0" w:space="0" w:color="auto"/>
      </w:divBdr>
    </w:div>
    <w:div w:id="1767340212">
      <w:bodyDiv w:val="1"/>
      <w:marLeft w:val="0"/>
      <w:marRight w:val="0"/>
      <w:marTop w:val="0"/>
      <w:marBottom w:val="0"/>
      <w:divBdr>
        <w:top w:val="none" w:sz="0" w:space="0" w:color="auto"/>
        <w:left w:val="none" w:sz="0" w:space="0" w:color="auto"/>
        <w:bottom w:val="none" w:sz="0" w:space="0" w:color="auto"/>
        <w:right w:val="none" w:sz="0" w:space="0" w:color="auto"/>
      </w:divBdr>
    </w:div>
    <w:div w:id="182381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sdata.isr.umich.edu/data-products/public-survey-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4AE9-C57F-AF46-A323-FF5A88C6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Rich</cp:lastModifiedBy>
  <cp:revision>15</cp:revision>
  <cp:lastPrinted>2020-10-17T11:46:00Z</cp:lastPrinted>
  <dcterms:created xsi:type="dcterms:W3CDTF">2020-10-17T17:30:00Z</dcterms:created>
  <dcterms:modified xsi:type="dcterms:W3CDTF">2022-12-17T17:20:00Z</dcterms:modified>
</cp:coreProperties>
</file>