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5C6A4" w14:textId="2C9B1077" w:rsidR="004010F0" w:rsidRPr="00FB1A58" w:rsidRDefault="009F0B0D" w:rsidP="002F785E">
      <w:pPr>
        <w:pStyle w:val="Heading1"/>
        <w:rPr>
          <w:color w:val="auto"/>
          <w:lang w:val="en-US"/>
        </w:rPr>
      </w:pPr>
      <w:r w:rsidRPr="00FB1A58">
        <w:rPr>
          <w:color w:val="auto"/>
          <w:lang w:val="en-US"/>
        </w:rPr>
        <w:t xml:space="preserve">Appendix A. </w:t>
      </w:r>
      <w:r w:rsidR="00243228" w:rsidRPr="00FB1A58">
        <w:rPr>
          <w:color w:val="auto"/>
          <w:lang w:val="en-US"/>
        </w:rPr>
        <w:t xml:space="preserve">Calculating </w:t>
      </w:r>
      <w:r w:rsidR="00673E0C" w:rsidRPr="00FB1A58">
        <w:rPr>
          <w:color w:val="auto"/>
          <w:lang w:val="en-US"/>
        </w:rPr>
        <w:t>p</w:t>
      </w:r>
      <w:r w:rsidR="004010F0" w:rsidRPr="00FB1A58">
        <w:rPr>
          <w:color w:val="auto"/>
          <w:lang w:val="en-US"/>
        </w:rPr>
        <w:t>ost-test probabilities</w:t>
      </w:r>
      <w:r w:rsidR="00DA58D2" w:rsidRPr="00FB1A58">
        <w:rPr>
          <w:color w:val="auto"/>
          <w:lang w:val="en-US"/>
        </w:rPr>
        <w:t xml:space="preserve"> with known sensitivity, specificity and base rate</w:t>
      </w:r>
    </w:p>
    <w:p w14:paraId="34C96866" w14:textId="20EFC859" w:rsidR="009F0B0D" w:rsidRPr="00FB1A58" w:rsidRDefault="009F0B0D" w:rsidP="009F0B0D">
      <w:pPr>
        <w:rPr>
          <w:lang w:val="en-GB"/>
        </w:rPr>
      </w:pPr>
      <w:r w:rsidRPr="00FB1A58">
        <w:rPr>
          <w:lang w:val="en-GB"/>
        </w:rPr>
        <w:t xml:space="preserve">Bayesian hypothesis testing relies on Bayes’ theorem, which helps solve problems such as the following: </w:t>
      </w:r>
    </w:p>
    <w:p w14:paraId="2DB6DF48" w14:textId="77777777" w:rsidR="009F0B0D" w:rsidRPr="00FB1A58" w:rsidRDefault="009F0B0D" w:rsidP="009F0B0D">
      <w:pPr>
        <w:ind w:left="720"/>
        <w:rPr>
          <w:lang w:val="en-GB"/>
        </w:rPr>
      </w:pPr>
      <w:r w:rsidRPr="00FB1A58">
        <w:rPr>
          <w:lang w:val="en-GB"/>
        </w:rPr>
        <w:t xml:space="preserve">“A patient is referred to a memory clinic to evaluate whether he has an objective memory impairment. Of the 40 patients referred to the memory clinic, 4 have an objective memory impairment of whom 2 have a positive test result (i.e., a test result that exceeds a pre-specified criterion). Out of the 36 patients referred to the memory clinic without an objective memory impairment, 4 patients have a positive test result. If a patient has a positive test result, what is the probability that he has an objective memory impairment?” </w:t>
      </w:r>
    </w:p>
    <w:p w14:paraId="5BA098E8" w14:textId="44F77BCA" w:rsidR="009F0B0D" w:rsidRPr="00FB1A58" w:rsidRDefault="009F0B0D" w:rsidP="009F0B0D">
      <w:pPr>
        <w:rPr>
          <w:lang w:val="en-GB"/>
        </w:rPr>
      </w:pPr>
      <w:r w:rsidRPr="00FB1A58">
        <w:rPr>
          <w:lang w:val="en-GB"/>
        </w:rPr>
        <w:t>One may be inclined to state that the patient has a 50% probability to have an objective memory impairment, given that 2 out of 4 patients with an objective memory impairment</w:t>
      </w:r>
      <w:r w:rsidRPr="00FB1A58" w:rsidDel="003D12ED">
        <w:rPr>
          <w:lang w:val="en-GB"/>
        </w:rPr>
        <w:t xml:space="preserve"> </w:t>
      </w:r>
      <w:r w:rsidRPr="00FB1A58">
        <w:rPr>
          <w:lang w:val="en-GB"/>
        </w:rPr>
        <w:t xml:space="preserve">have a positive test result. However, the correct answer is actually 33%. People’s intuitions about these problems indeed tend to deviate from the true result </w:t>
      </w:r>
      <w:r w:rsidRPr="00FB1A58">
        <w:rPr>
          <w:lang w:val="en-GB"/>
        </w:rPr>
        <w:fldChar w:fldCharType="begin"/>
      </w:r>
      <w:r w:rsidRPr="00FB1A58">
        <w:rPr>
          <w:lang w:val="en-GB"/>
        </w:rPr>
        <w:instrText xml:space="preserve"> ADDIN ZOTERO_ITEM CSL_CITATION {"citationID":"D7M7sMUp","properties":{"formattedCitation":"(Binder et al., 2015)","plainCitation":"(Binder et al., 2015)","noteIndex":0},"citationItems":[{"id":10135,"uris":["http://zotero.org/users/2737028/items/42HYFYTU"],"uri":["http://zotero.org/users/2737028/items/42HYFYTU"],"itemData":{"id":10135,"type":"article-journal","abstract":"In their research articles, scholars often use 2 × 2 tables or tree diagrams including natural frequencies in order to illustrate Bayesian reasoning situations to their peers. Interestingly, the effect of these visualizations on participants’ performance has not been tested empirically so far (apart from explicit training studies). In the present article, we report on an empirical study (3 × 2 × 2 design) in which we systematically vary visualization (no visualization vs. 2 × 2 table vs. tree diagram) and information format (probabilities vs. natural frequencies) for two contexts (medical vs. economical context; not a factor of interest). Each of N = 259 participants (students of age 16–18) had to solve two typical Bayesian reasoning tasks (“mammography problem” and “economics problem”). The hypothesis is that 2 × 2 tables and tree diagrams – especially when natural frequencies are included – can foster insight into the notoriously difﬁcult structure of Bayesian reasoning situations. In contrast to many other visualizations (e.g., icon arrays, Euler diagrams), 2 × 2 tables and tree diagrams have the advantage that they can be constructed easily. The implications of our ﬁndings for teaching Bayesian reasoning will be discussed.","container-title":"Frontiers in Psychology","DOI":"10.3389/fpsyg.2015.01186","ISSN":"1664-1078","journalAbbreviation":"Front. Psychol.","language":"en","source":"DOI.org (Crossref)","title":"Effects of visualizing statistical information – an empirical study on tree diagrams and 2 × 2 tables","URL":"http://journal.frontiersin.org/Article/10.3389/fpsyg.2015.01186/abstract","volume":"6","author":[{"family":"Binder","given":"Karin"},{"family":"Krauss","given":"Stefan"},{"family":"Bruckmaier","given":"Georg"}],"accessed":{"date-parts":[["2020",5,28]]},"issued":{"date-parts":[["2015",8,26]]}}}],"schema":"https://github.com/citation-style-language/schema/raw/master/csl-citation.json"} </w:instrText>
      </w:r>
      <w:r w:rsidRPr="00FB1A58">
        <w:rPr>
          <w:lang w:val="en-GB"/>
        </w:rPr>
        <w:fldChar w:fldCharType="separate"/>
      </w:r>
      <w:r w:rsidRPr="00FB1A58">
        <w:rPr>
          <w:rFonts w:ascii="Calibri" w:hAnsi="Calibri" w:cs="Calibri"/>
          <w:lang w:val="en-GB"/>
        </w:rPr>
        <w:t>(Binder et al., 2015)</w:t>
      </w:r>
      <w:r w:rsidRPr="00FB1A58">
        <w:rPr>
          <w:lang w:val="en-GB"/>
        </w:rPr>
        <w:fldChar w:fldCharType="end"/>
      </w:r>
      <w:r w:rsidRPr="00FB1A58">
        <w:rPr>
          <w:lang w:val="en-GB"/>
        </w:rPr>
        <w:t xml:space="preserve">. It often helps to solve these problems using a two-by-two table or </w:t>
      </w:r>
      <w:r w:rsidR="00C46C4F" w:rsidRPr="00FB1A58">
        <w:rPr>
          <w:lang w:val="en-GB"/>
        </w:rPr>
        <w:t>visualization</w:t>
      </w:r>
      <w:r w:rsidRPr="00FB1A58">
        <w:rPr>
          <w:lang w:val="en-GB"/>
        </w:rPr>
        <w:t xml:space="preserve"> such as in Figure A1 </w:t>
      </w:r>
      <w:r w:rsidRPr="00FB1A58">
        <w:rPr>
          <w:lang w:val="en-GB"/>
        </w:rPr>
        <w:fldChar w:fldCharType="begin"/>
      </w:r>
      <w:r w:rsidRPr="00FB1A58">
        <w:rPr>
          <w:lang w:val="en-GB"/>
        </w:rPr>
        <w:instrText xml:space="preserve"> ADDIN ZOTERO_ITEM CSL_CITATION {"citationID":"1LCaucEb","properties":{"formattedCitation":"(Binder et al., 2015)","plainCitation":"(Binder et al., 2015)","noteIndex":0},"citationItems":[{"id":10135,"uris":["http://zotero.org/users/2737028/items/42HYFYTU"],"uri":["http://zotero.org/users/2737028/items/42HYFYTU"],"itemData":{"id":10135,"type":"article-journal","abstract":"In their research articles, scholars often use 2 × 2 tables or tree diagrams including natural frequencies in order to illustrate Bayesian reasoning situations to their peers. Interestingly, the effect of these visualizations on participants’ performance has not been tested empirically so far (apart from explicit training studies). In the present article, we report on an empirical study (3 × 2 × 2 design) in which we systematically vary visualization (no visualization vs. 2 × 2 table vs. tree diagram) and information format (probabilities vs. natural frequencies) for two contexts (medical vs. economical context; not a factor of interest). Each of N = 259 participants (students of age 16–18) had to solve two typical Bayesian reasoning tasks (“mammography problem” and “economics problem”). The hypothesis is that 2 × 2 tables and tree diagrams – especially when natural frequencies are included – can foster insight into the notoriously difﬁcult structure of Bayesian reasoning situations. In contrast to many other visualizations (e.g., icon arrays, Euler diagrams), 2 × 2 tables and tree diagrams have the advantage that they can be constructed easily. The implications of our ﬁndings for teaching Bayesian reasoning will be discussed.","container-title":"Frontiers in Psychology","DOI":"10.3389/fpsyg.2015.01186","ISSN":"1664-1078","journalAbbreviation":"Front. Psychol.","language":"en","source":"DOI.org (Crossref)","title":"Effects of visualizing statistical information – an empirical study on tree diagrams and 2 × 2 tables","URL":"http://journal.frontiersin.org/Article/10.3389/fpsyg.2015.01186/abstract","volume":"6","author":[{"family":"Binder","given":"Karin"},{"family":"Krauss","given":"Stefan"},{"family":"Bruckmaier","given":"Georg"}],"accessed":{"date-parts":[["2020",5,28]]},"issued":{"date-parts":[["2015",8,26]]}}}],"schema":"https://github.com/citation-style-language/schema/raw/master/csl-citation.json"} </w:instrText>
      </w:r>
      <w:r w:rsidRPr="00FB1A58">
        <w:rPr>
          <w:lang w:val="en-GB"/>
        </w:rPr>
        <w:fldChar w:fldCharType="separate"/>
      </w:r>
      <w:r w:rsidRPr="00FB1A58">
        <w:rPr>
          <w:rFonts w:ascii="Calibri" w:hAnsi="Calibri" w:cs="Calibri"/>
          <w:lang w:val="en-GB"/>
        </w:rPr>
        <w:t>(Binder et al., 2015)</w:t>
      </w:r>
      <w:r w:rsidRPr="00FB1A58">
        <w:rPr>
          <w:lang w:val="en-GB"/>
        </w:rPr>
        <w:fldChar w:fldCharType="end"/>
      </w:r>
      <w:r w:rsidRPr="00FB1A58">
        <w:rPr>
          <w:lang w:val="en-GB"/>
        </w:rPr>
        <w:t>. To obtain the correct result for such problems, one needs to apply Bayes’ theorem:</w:t>
      </w:r>
    </w:p>
    <w:p w14:paraId="3B16EE9F" w14:textId="2CFFF431" w:rsidR="009F0B0D" w:rsidRPr="00FB1A58" w:rsidRDefault="009F0B0D" w:rsidP="009F0B0D">
      <w:pPr>
        <w:jc w:val="left"/>
        <w:rPr>
          <w:lang w:val="en-GB"/>
        </w:rPr>
      </w:pPr>
      <w:r w:rsidRPr="00FB1A58">
        <w:rPr>
          <w:lang w:val="en-GB"/>
        </w:rPr>
        <w:t xml:space="preserve">Equation </w:t>
      </w:r>
      <w:r w:rsidR="00B50E2B" w:rsidRPr="00FB1A58">
        <w:rPr>
          <w:lang w:val="en-GB"/>
        </w:rPr>
        <w:t>A</w:t>
      </w:r>
      <w:r w:rsidRPr="00FB1A58">
        <w:rPr>
          <w:lang w:val="en-GB"/>
        </w:rPr>
        <w:t xml:space="preserve">1. </w:t>
      </w:r>
      <w:r w:rsidRPr="00FB1A58">
        <w:rPr>
          <w:lang w:val="en-GB"/>
        </w:rPr>
        <w:tab/>
      </w:r>
      <w:r w:rsidRPr="00FB1A58">
        <w:rPr>
          <w:lang w:val="en-GB"/>
        </w:rPr>
        <w:tab/>
      </w:r>
      <w:r w:rsidRPr="00FB1A58">
        <w:rPr>
          <w:lang w:val="en-GB"/>
        </w:rPr>
        <w:tab/>
      </w:r>
      <w:r w:rsidRPr="00FB1A58">
        <w:rPr>
          <w:lang w:val="en-GB"/>
        </w:rPr>
        <w:tab/>
      </w:r>
      <m:oMath>
        <m:r>
          <w:rPr>
            <w:rFonts w:ascii="Cambria Math" w:hAnsi="Cambria Math"/>
            <w:lang w:val="en-GB"/>
          </w:rPr>
          <m:t>p</m:t>
        </m:r>
        <m:d>
          <m:dPr>
            <m:ctrlPr>
              <w:rPr>
                <w:rFonts w:ascii="Cambria Math" w:hAnsi="Cambria Math"/>
                <w:i/>
                <w:lang w:val="en-GB"/>
              </w:rPr>
            </m:ctrlPr>
          </m:dPr>
          <m:e>
            <m:r>
              <w:rPr>
                <w:rFonts w:ascii="Cambria Math" w:hAnsi="Cambria Math"/>
                <w:lang w:val="en-GB"/>
              </w:rPr>
              <m:t>H</m:t>
            </m:r>
          </m:e>
          <m:e>
            <m:r>
              <w:rPr>
                <w:rFonts w:ascii="Cambria Math" w:hAnsi="Cambria Math"/>
                <w:lang w:val="en-GB"/>
              </w:rPr>
              <m:t>D</m:t>
            </m:r>
          </m:e>
        </m:d>
        <m:r>
          <w:rPr>
            <w:rFonts w:ascii="Cambria Math" w:hAnsi="Cambria Math"/>
            <w:lang w:val="en-GB"/>
          </w:rPr>
          <m:t xml:space="preserve">= </m:t>
        </m:r>
        <m:f>
          <m:fPr>
            <m:ctrlPr>
              <w:rPr>
                <w:rFonts w:ascii="Cambria Math" w:hAnsi="Cambria Math"/>
                <w:i/>
                <w:lang w:val="en-GB"/>
              </w:rPr>
            </m:ctrlPr>
          </m:fPr>
          <m:num>
            <m:r>
              <w:rPr>
                <w:rFonts w:ascii="Cambria Math" w:hAnsi="Cambria Math"/>
                <w:lang w:val="en-GB"/>
              </w:rPr>
              <m:t>p</m:t>
            </m:r>
            <m:d>
              <m:dPr>
                <m:ctrlPr>
                  <w:rPr>
                    <w:rFonts w:ascii="Cambria Math" w:hAnsi="Cambria Math"/>
                    <w:i/>
                    <w:lang w:val="en-GB"/>
                  </w:rPr>
                </m:ctrlPr>
              </m:dPr>
              <m:e>
                <m:r>
                  <w:rPr>
                    <w:rFonts w:ascii="Cambria Math" w:hAnsi="Cambria Math"/>
                    <w:lang w:val="en-GB"/>
                  </w:rPr>
                  <m:t>D</m:t>
                </m:r>
              </m:e>
              <m:e>
                <m:r>
                  <w:rPr>
                    <w:rFonts w:ascii="Cambria Math" w:hAnsi="Cambria Math"/>
                    <w:lang w:val="en-GB"/>
                  </w:rPr>
                  <m:t>H</m:t>
                </m:r>
              </m:e>
            </m:d>
            <m:r>
              <w:rPr>
                <w:rFonts w:ascii="Cambria Math" w:hAnsi="Cambria Math"/>
                <w:lang w:val="en-GB"/>
              </w:rPr>
              <m:t xml:space="preserve"> p(H)</m:t>
            </m:r>
          </m:num>
          <m:den>
            <m:r>
              <w:rPr>
                <w:rFonts w:ascii="Cambria Math" w:hAnsi="Cambria Math"/>
                <w:lang w:val="en-GB"/>
              </w:rPr>
              <m:t>p(D)</m:t>
            </m:r>
          </m:den>
        </m:f>
      </m:oMath>
      <w:r w:rsidRPr="00FB1A58">
        <w:rPr>
          <w:lang w:val="en-GB"/>
        </w:rPr>
        <w:t xml:space="preserve">. </w:t>
      </w:r>
    </w:p>
    <w:p w14:paraId="79CD2AA4" w14:textId="77777777" w:rsidR="009F0B0D" w:rsidRPr="00FB1A58" w:rsidRDefault="009F0B0D" w:rsidP="009F0B0D">
      <w:pPr>
        <w:rPr>
          <w:lang w:val="en-GB"/>
        </w:rPr>
      </w:pPr>
      <w:r w:rsidRPr="00FB1A58">
        <w:rPr>
          <w:lang w:val="en-GB"/>
        </w:rPr>
        <w:t xml:space="preserve">The </w:t>
      </w:r>
      <w:r w:rsidRPr="00FB1A58">
        <w:rPr>
          <w:i/>
          <w:iCs/>
          <w:lang w:val="en-GB"/>
        </w:rPr>
        <w:t>posterior probability</w:t>
      </w:r>
      <w:r w:rsidRPr="00FB1A58">
        <w:rPr>
          <w:lang w:val="en-GB"/>
        </w:rPr>
        <w:t xml:space="preserve"> (</w:t>
      </w:r>
      <m:oMath>
        <m:r>
          <w:rPr>
            <w:rFonts w:ascii="Cambria Math" w:hAnsi="Cambria Math"/>
            <w:lang w:val="en-GB"/>
          </w:rPr>
          <m:t>p</m:t>
        </m:r>
        <m:d>
          <m:dPr>
            <m:ctrlPr>
              <w:rPr>
                <w:rFonts w:ascii="Cambria Math" w:hAnsi="Cambria Math"/>
                <w:i/>
                <w:lang w:val="en-GB"/>
              </w:rPr>
            </m:ctrlPr>
          </m:dPr>
          <m:e>
            <m:r>
              <w:rPr>
                <w:rFonts w:ascii="Cambria Math" w:hAnsi="Cambria Math"/>
                <w:lang w:val="en-GB"/>
              </w:rPr>
              <m:t>H</m:t>
            </m:r>
          </m:e>
          <m:e>
            <m:r>
              <w:rPr>
                <w:rFonts w:ascii="Cambria Math" w:hAnsi="Cambria Math"/>
                <w:lang w:val="en-GB"/>
              </w:rPr>
              <m:t>D</m:t>
            </m:r>
          </m:e>
        </m:d>
      </m:oMath>
      <w:r w:rsidRPr="00FB1A58">
        <w:rPr>
          <w:lang w:val="en-GB"/>
        </w:rPr>
        <w:t xml:space="preserve">) refers to the probability that a certain hypothesis (H) is true given the observed data (D). In diagnosis this could reflect the probability that a patient has a COI (COI +) given a positive test result (Test +; a test result that exceeds a pre-specified criterion) or the probability that a patient does not have a COI (COI -) given a negative test result (Test -; a test result that does not exceed a pre-specified criterion). These posterior probabilities have been coined the </w:t>
      </w:r>
      <w:r w:rsidRPr="00FB1A58">
        <w:rPr>
          <w:i/>
          <w:iCs/>
          <w:lang w:val="en-GB"/>
        </w:rPr>
        <w:t xml:space="preserve">post-test probabilities </w:t>
      </w:r>
      <w:r w:rsidRPr="00FB1A58">
        <w:rPr>
          <w:lang w:val="en-GB"/>
        </w:rPr>
        <w:fldChar w:fldCharType="begin"/>
      </w:r>
      <w:r w:rsidRPr="00FB1A58">
        <w:rPr>
          <w:lang w:val="en-GB"/>
        </w:rPr>
        <w:instrText xml:space="preserve"> ADDIN ZOTERO_ITEM CSL_CITATION {"citationID":"h3Xpqj2F","properties":{"formattedCitation":"(P. J. R. Crawford et al., 2009)","plainCitation":"(P. J. R. Crawford et al., 2009)","dontUpdate":true,"noteIndex":0},"citationItems":[{"id":9744,"uris":["http://zotero.org/users/2737028/items/5BWTVQEE"],"uri":["http://zotero.org/users/2737028/items/5BWTVQEE"],"itemData":{"id":9744,"type":"article-journal","abstract":"Most neuropsychologists are aware that, given the specificity and sensitivity of a test and an estimate of the base rate of a disorder, Bayes’ theorem can be used to provide a post-test probability for the presence of the disorder given a positive test result (and a post-test probability for the absence of a disorder given a negative result). However, in the standard application of Bayes’ theorem the three quantities (sensitivity, specificity, and the base rate) are all treated as fixed, known quantities. This is very unrealistic as there may be considerable uncertainty over these quantities and therefore even greater uncertainty over the post-test probability. Methods of obtaining interval estimates on the specificity and sensitivity of a test are set out. In addition, drawing and extending upon work by Mossman and Berger (2001), a Monte Carlo method is used to obtain interval estimates for post-test probabilities. All the methods have been implemented in a computer program, which is described and made available (www.abdn.ac.uk/ psy086/dept/BayesPTP.htm). When objective data on the base rate are lacking (or have limited relevance to the case at hand) the program elicits opinion for the pre-test probability.","container-title":"The Clinical Neuropsychologist","DOI":"10.1080/13854040802524229","ISSN":"1385-4046","issue":"4","note":"PMID: 19235634","page":"624-644","source":"Taylor and Francis+NEJM","title":"Bayes’ theorem and diagnostic tests in neuropsychology: Interval estimates for post-test probabilities","title-short":"Bayes’ theorem and diagnostic tests in neuropsychology","volume":"23","author":[{"family":"Crawford","given":"Professor John R."},{"family":"Garthwaite","given":"Paul H."},{"family":"Betkowska","given":"Karolina"}],"issued":{"date-parts":[["2009",5,1]]}}}],"schema":"https://github.com/citation-style-language/schema/raw/master/csl-citation.json"} </w:instrText>
      </w:r>
      <w:r w:rsidRPr="00FB1A58">
        <w:rPr>
          <w:lang w:val="en-GB"/>
        </w:rPr>
        <w:fldChar w:fldCharType="separate"/>
      </w:r>
      <w:r w:rsidRPr="00FB1A58">
        <w:rPr>
          <w:rFonts w:ascii="Calibri" w:hAnsi="Calibri" w:cs="Calibri"/>
          <w:lang w:val="en-GB"/>
        </w:rPr>
        <w:t>(Crawford et al., 2009)</w:t>
      </w:r>
      <w:r w:rsidRPr="00FB1A58">
        <w:rPr>
          <w:lang w:val="en-GB"/>
        </w:rPr>
        <w:fldChar w:fldCharType="end"/>
      </w:r>
      <w:r w:rsidRPr="00FB1A58">
        <w:rPr>
          <w:lang w:val="en-GB"/>
        </w:rPr>
        <w:t xml:space="preserve">. </w:t>
      </w:r>
    </w:p>
    <w:p w14:paraId="4EE9D076" w14:textId="77777777" w:rsidR="009F0B0D" w:rsidRPr="00FB1A58" w:rsidRDefault="009F0B0D" w:rsidP="009F0B0D">
      <w:pPr>
        <w:rPr>
          <w:lang w:val="en-GB"/>
        </w:rPr>
      </w:pPr>
      <w:r w:rsidRPr="00FB1A58">
        <w:rPr>
          <w:lang w:val="en-GB"/>
        </w:rPr>
        <w:t xml:space="preserve">Let’s first consider the situation in which the patient obtains a positive test result. We are interested in the probability that this patient has a certain COI given the positive test result (p(COI+|Test+)). Bayes’ theorem clarifies that this posterior probability can be obtained by combining the </w:t>
      </w:r>
      <w:r w:rsidRPr="00FB1A58">
        <w:rPr>
          <w:i/>
          <w:iCs/>
          <w:lang w:val="en-GB"/>
        </w:rPr>
        <w:t>prior probability</w:t>
      </w:r>
      <w:r w:rsidRPr="00FB1A58">
        <w:rPr>
          <w:lang w:val="en-GB"/>
        </w:rPr>
        <w:t xml:space="preserve"> of the hypothesis (p(H)) with the </w:t>
      </w:r>
      <w:r w:rsidRPr="00FB1A58">
        <w:rPr>
          <w:i/>
          <w:iCs/>
          <w:lang w:val="en-GB"/>
        </w:rPr>
        <w:t>likelihood</w:t>
      </w:r>
      <w:r w:rsidRPr="00FB1A58">
        <w:rPr>
          <w:lang w:val="en-GB"/>
        </w:rPr>
        <w:t xml:space="preserve"> (p(D|H)). In this situation, the prior probability of the hypothesis refers to the belief that the patient has a certain COI </w:t>
      </w:r>
      <w:r w:rsidRPr="00FB1A58">
        <w:rPr>
          <w:i/>
          <w:iCs/>
          <w:lang w:val="en-GB"/>
        </w:rPr>
        <w:t xml:space="preserve">prior </w:t>
      </w:r>
      <w:r w:rsidRPr="00FB1A58">
        <w:rPr>
          <w:lang w:val="en-GB"/>
        </w:rPr>
        <w:t xml:space="preserve">to neuropsychological testing. The best way to estimate this probability would be to base it on the prevalence of the COI (p(COI+)), also known as the </w:t>
      </w:r>
      <w:r w:rsidRPr="00FB1A58">
        <w:rPr>
          <w:i/>
          <w:iCs/>
          <w:lang w:val="en-GB"/>
        </w:rPr>
        <w:t>base rate</w:t>
      </w:r>
      <w:r w:rsidRPr="00FB1A58">
        <w:rPr>
          <w:lang w:val="en-GB"/>
        </w:rPr>
        <w:t xml:space="preserve">. In the example above, 4 out of 40 patients referred to a memory clinic have an objective memory impairment, constituting a 10% prior (pre-test) probability of the COI (Figure A1). </w:t>
      </w:r>
    </w:p>
    <w:p w14:paraId="7AEF1482" w14:textId="77777777" w:rsidR="009F0B0D" w:rsidRPr="00FB1A58" w:rsidRDefault="009F0B0D" w:rsidP="009F0B0D">
      <w:pPr>
        <w:rPr>
          <w:lang w:val="en-GB"/>
        </w:rPr>
      </w:pPr>
      <w:r w:rsidRPr="00FB1A58">
        <w:rPr>
          <w:lang w:val="en-GB"/>
        </w:rPr>
        <w:t xml:space="preserve">This prior probability must then be combined with the likelihood. The likelihood (p(D|H)) refers to the probability of a positive test result given the presence of the COI (p(Test+|COI+)). This likelihood is better known in neuropsychology as the </w:t>
      </w:r>
      <w:r w:rsidRPr="00FB1A58">
        <w:rPr>
          <w:i/>
          <w:iCs/>
          <w:lang w:val="en-GB"/>
        </w:rPr>
        <w:t>sensitivity</w:t>
      </w:r>
      <w:r w:rsidRPr="00FB1A58">
        <w:rPr>
          <w:lang w:val="en-GB"/>
        </w:rPr>
        <w:t xml:space="preserve"> of the neuropsychological test </w:t>
      </w:r>
      <w:r w:rsidRPr="00FB1A58">
        <w:rPr>
          <w:lang w:val="en-GB"/>
        </w:rPr>
        <w:fldChar w:fldCharType="begin"/>
      </w:r>
      <w:r w:rsidRPr="00FB1A58">
        <w:rPr>
          <w:lang w:val="en-GB"/>
        </w:rPr>
        <w:instrText xml:space="preserve"> ADDIN ZOTERO_ITEM CSL_CITATION {"citationID":"VWiUGFUs","properties":{"formattedCitation":"(Elwood, 1993)","plainCitation":"(Elwood, 1993)","noteIndex":0},"citationItems":[{"id":9740,"uris":["http://zotero.org/users/2737028/items/NEZV9JH8"],"uri":["http://zotero.org/users/2737028/items/NEZV9JH8"],"itemData":{"id":9740,"type":"article-journal","abstract":"Neuropsychological tests are routinely used to make clinical judgements regarding the classification, diagnosis, or prediction of subject variables. The accuracy of those decisions depends on the discriminant validity of the tests used. The traditional method of validating psychological tests by comparing the mean test scores of reference groups is often unrelated to actual clinical discriminations. Alternative measures based on Bayesian probabilities are reviewed, with specific application to neuropsychological assessment.","container-title":"Clinical Neuropsychologist","DOI":"10.1080/13854049308401527","ISSN":"0920-1637","issue":"2","note":"PMID: 29022471","page":"224-233","source":"Taylor and Francis+NEJM","title":"Clinical discriminations and neuropsychological tests: An appeal to bayes' theorem","title-short":"Clinical discriminations and neuropsychological tests","volume":"7","author":[{"family":"Elwood","given":"Richard W."}],"issued":{"date-parts":[["1993",4,1]]}}}],"schema":"https://github.com/citation-style-language/schema/raw/master/csl-citation.json"} </w:instrText>
      </w:r>
      <w:r w:rsidRPr="00FB1A58">
        <w:rPr>
          <w:lang w:val="en-GB"/>
        </w:rPr>
        <w:fldChar w:fldCharType="separate"/>
      </w:r>
      <w:r w:rsidRPr="00FB1A58">
        <w:rPr>
          <w:rFonts w:ascii="Calibri" w:hAnsi="Calibri" w:cs="Calibri"/>
          <w:lang w:val="en-GB"/>
        </w:rPr>
        <w:t>(Elwood, 1993)</w:t>
      </w:r>
      <w:r w:rsidRPr="00FB1A58">
        <w:rPr>
          <w:lang w:val="en-GB"/>
        </w:rPr>
        <w:fldChar w:fldCharType="end"/>
      </w:r>
      <w:r w:rsidRPr="00FB1A58">
        <w:rPr>
          <w:lang w:val="en-GB"/>
        </w:rPr>
        <w:t xml:space="preserve">. In the example stated above, 2 out of 4 patients with an objective memory impairment have a positive test result, constituting a sensitivity of 50% (Figure A1). Last, we need to estimate p(D), representing the probability of a positive test result (p(Test+)). </w:t>
      </w:r>
      <w:r w:rsidRPr="00FB1A58">
        <w:rPr>
          <w:lang w:val="en-GB"/>
        </w:rPr>
        <w:lastRenderedPageBreak/>
        <w:t xml:space="preserve">This probability can be obtained by combining the expected number of positive tests among the patients with the COI and the expected number of positive tests among the patients without the COI. In the problem stated above this equals 15% (Figure A1). When we combine these numbers according to Equation 1, we obtain a posterior probability of 33% (Figure A1). </w:t>
      </w:r>
    </w:p>
    <w:p w14:paraId="40F2B0AB" w14:textId="719CE383" w:rsidR="009F0B0D" w:rsidRPr="00FB1A58" w:rsidRDefault="009F0B0D" w:rsidP="009F0B0D">
      <w:pPr>
        <w:rPr>
          <w:lang w:val="en-GB"/>
        </w:rPr>
      </w:pPr>
      <w:r w:rsidRPr="00FB1A58">
        <w:rPr>
          <w:lang w:val="en-GB"/>
        </w:rPr>
        <w:t xml:space="preserve">We can also infer the posterior probability that a patient does not have a COI given a negative test result (p(COI-|Test-)). In this situation, the prior probability refers to our prior belief that the patient does not have a COI, which is reflected by 1 </w:t>
      </w:r>
      <w:r w:rsidRPr="00FB1A58">
        <w:rPr>
          <w:i/>
          <w:iCs/>
          <w:lang w:val="en-GB"/>
        </w:rPr>
        <w:t xml:space="preserve">minus </w:t>
      </w:r>
      <w:r w:rsidRPr="00FB1A58">
        <w:rPr>
          <w:lang w:val="en-GB"/>
        </w:rPr>
        <w:t xml:space="preserve">the base rate. In the problem stated above, this probability equals 90%. The likelihood refers to the probability of a negative test result given the absence of the COI (p(Test-|COI-)), which is better known as the </w:t>
      </w:r>
      <w:r w:rsidRPr="00FB1A58">
        <w:rPr>
          <w:i/>
          <w:iCs/>
          <w:lang w:val="en-GB"/>
        </w:rPr>
        <w:t>specificity</w:t>
      </w:r>
      <w:r w:rsidRPr="00FB1A58">
        <w:rPr>
          <w:lang w:val="en-GB"/>
        </w:rPr>
        <w:t xml:space="preserve"> of the test instrument </w:t>
      </w:r>
      <w:r w:rsidRPr="00FB1A58">
        <w:rPr>
          <w:lang w:val="en-GB"/>
        </w:rPr>
        <w:fldChar w:fldCharType="begin"/>
      </w:r>
      <w:r w:rsidRPr="00FB1A58">
        <w:rPr>
          <w:lang w:val="en-GB"/>
        </w:rPr>
        <w:instrText xml:space="preserve"> ADDIN ZOTERO_ITEM CSL_CITATION {"citationID":"tBIGcf06","properties":{"formattedCitation":"(Elwood, 1993)","plainCitation":"(Elwood, 1993)","noteIndex":0},"citationItems":[{"id":9740,"uris":["http://zotero.org/users/2737028/items/NEZV9JH8"],"uri":["http://zotero.org/users/2737028/items/NEZV9JH8"],"itemData":{"id":9740,"type":"article-journal","abstract":"Neuropsychological tests are routinely used to make clinical judgements regarding the classification, diagnosis, or prediction of subject variables. The accuracy of those decisions depends on the discriminant validity of the tests used. The traditional method of validating psychological tests by comparing the mean test scores of reference groups is often unrelated to actual clinical discriminations. Alternative measures based on Bayesian probabilities are reviewed, with specific application to neuropsychological assessment.","container-title":"Clinical Neuropsychologist","DOI":"10.1080/13854049308401527","ISSN":"0920-1637","issue":"2","note":"PMID: 29022471","page":"224-233","source":"Taylor and Francis+NEJM","title":"Clinical discriminations and neuropsychological tests: An appeal to bayes' theorem","title-short":"Clinical discriminations and neuropsychological tests","volume":"7","author":[{"family":"Elwood","given":"Richard W."}],"issued":{"date-parts":[["1993",4,1]]}}}],"schema":"https://github.com/citation-style-language/schema/raw/master/csl-citation.json"} </w:instrText>
      </w:r>
      <w:r w:rsidRPr="00FB1A58">
        <w:rPr>
          <w:lang w:val="en-GB"/>
        </w:rPr>
        <w:fldChar w:fldCharType="separate"/>
      </w:r>
      <w:r w:rsidRPr="00FB1A58">
        <w:rPr>
          <w:rFonts w:ascii="Calibri" w:hAnsi="Calibri" w:cs="Calibri"/>
          <w:lang w:val="en-GB"/>
        </w:rPr>
        <w:t>(Elwood, 1993)</w:t>
      </w:r>
      <w:r w:rsidRPr="00FB1A58">
        <w:rPr>
          <w:lang w:val="en-GB"/>
        </w:rPr>
        <w:fldChar w:fldCharType="end"/>
      </w:r>
      <w:r w:rsidRPr="00FB1A58">
        <w:rPr>
          <w:lang w:val="en-GB"/>
        </w:rPr>
        <w:t>. The specificity in the problem above equals 89%, as 32 of the 36 patients without an objective memory impairment have a negative test result (Figure A1). Last, p(D) refers to the probability of a negative test result (p(Test-)), which equals 85% in the problem above, as 2 out of 4 patients with an objective memory impairment obtain a negative test result and 32 out of 36 patients without an objective memory impairment obtain a negative test result. Thus, the posterior probability that a patient does not have an objective memory impairment given a negative test result equals 94%.</w:t>
      </w:r>
    </w:p>
    <w:p w14:paraId="2AD0FE58" w14:textId="4476EC6D" w:rsidR="00B65975" w:rsidRPr="00FB1A58" w:rsidRDefault="00B65975" w:rsidP="009F0B0D">
      <w:pPr>
        <w:rPr>
          <w:lang w:val="en-GB"/>
        </w:rPr>
      </w:pPr>
      <w:r w:rsidRPr="00FB1A58">
        <w:rPr>
          <w:lang w:val="en-GB"/>
        </w:rPr>
        <w:t>Note that in this example we treat the base rate, sensitivity and specificity as known quantities. In reality</w:t>
      </w:r>
      <w:r w:rsidR="00713B7E" w:rsidRPr="00FB1A58">
        <w:rPr>
          <w:lang w:val="en-GB"/>
        </w:rPr>
        <w:t>,</w:t>
      </w:r>
      <w:r w:rsidRPr="00FB1A58">
        <w:rPr>
          <w:lang w:val="en-GB"/>
        </w:rPr>
        <w:t xml:space="preserve"> the uncertainty of these three quantities must be considered. Methods to consider the uncertainties of these quantities have been developed by Crawford et al. (2009).</w:t>
      </w:r>
      <w:r w:rsidR="00713B7E" w:rsidRPr="00FB1A58">
        <w:rPr>
          <w:lang w:val="en-GB"/>
        </w:rPr>
        <w:t xml:space="preserve"> In addition, we assume a perfect gold standard as reference. In reality, one must consider that the accuracy of the gold standard assessment will impact the accuracy of the estimates of the sensitivity, specificity and base rate and consequently impact the accuracy of the  estimates of the post-test probabilities. </w:t>
      </w:r>
    </w:p>
    <w:p w14:paraId="39706A43" w14:textId="337E1C11" w:rsidR="009F0B0D" w:rsidRPr="00FB1A58" w:rsidRDefault="00342ACB" w:rsidP="0009037E">
      <w:pPr>
        <w:jc w:val="center"/>
        <w:rPr>
          <w:lang w:val="en-GB"/>
        </w:rPr>
      </w:pPr>
      <w:r w:rsidRPr="00FB1A58">
        <w:rPr>
          <w:noProof/>
          <w:lang w:val="en-GB"/>
        </w:rPr>
        <w:drawing>
          <wp:inline distT="0" distB="0" distL="0" distR="0" wp14:anchorId="469FDE72" wp14:editId="4429F703">
            <wp:extent cx="5760720" cy="3484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yesTheor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484245"/>
                    </a:xfrm>
                    <a:prstGeom prst="rect">
                      <a:avLst/>
                    </a:prstGeom>
                  </pic:spPr>
                </pic:pic>
              </a:graphicData>
            </a:graphic>
          </wp:inline>
        </w:drawing>
      </w:r>
    </w:p>
    <w:p w14:paraId="02F60497" w14:textId="03891A96" w:rsidR="009F0B0D" w:rsidRPr="00FB1A58" w:rsidRDefault="009F0B0D" w:rsidP="00482622">
      <w:pPr>
        <w:pStyle w:val="Caption"/>
        <w:rPr>
          <w:color w:val="auto"/>
          <w:lang w:val="en-GB" w:eastAsia="en-US"/>
        </w:rPr>
      </w:pPr>
      <w:r w:rsidRPr="00FB1A58">
        <w:rPr>
          <w:color w:val="auto"/>
          <w:lang w:val="en-GB"/>
        </w:rPr>
        <w:t>Figure A1. An illustration and 2x2 table of the problem stated above and the formula used to obtain the correct result. COI = condition of interest.</w:t>
      </w:r>
      <w:r w:rsidRPr="00FB1A58">
        <w:rPr>
          <w:color w:val="auto"/>
          <w:lang w:val="en-GB" w:eastAsia="en-US"/>
        </w:rPr>
        <w:br w:type="page"/>
      </w:r>
    </w:p>
    <w:p w14:paraId="331ABE38" w14:textId="77777777" w:rsidR="009F0B0D" w:rsidRPr="00FB1A58" w:rsidRDefault="009F0B0D" w:rsidP="009F0B0D">
      <w:pPr>
        <w:keepNext/>
      </w:pPr>
      <w:r w:rsidRPr="00FB1A58">
        <w:rPr>
          <w:noProof/>
        </w:rPr>
        <w:lastRenderedPageBreak/>
        <w:drawing>
          <wp:inline distT="0" distB="0" distL="0" distR="0" wp14:anchorId="5DA2BD93" wp14:editId="474F99FA">
            <wp:extent cx="5760720" cy="5432425"/>
            <wp:effectExtent l="0" t="0" r="0" b="0"/>
            <wp:docPr id="6" name="Afbeelding 14" descr="Afbeelding met schermafbeelding, monitor, telefoon, mobiele telef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rmulas.png"/>
                    <pic:cNvPicPr/>
                  </pic:nvPicPr>
                  <pic:blipFill>
                    <a:blip r:embed="rId8">
                      <a:extLst>
                        <a:ext uri="{28A0092B-C50C-407E-A947-70E740481C1C}">
                          <a14:useLocalDpi xmlns:a14="http://schemas.microsoft.com/office/drawing/2010/main" val="0"/>
                        </a:ext>
                      </a:extLst>
                    </a:blip>
                    <a:stretch>
                      <a:fillRect/>
                    </a:stretch>
                  </pic:blipFill>
                  <pic:spPr>
                    <a:xfrm>
                      <a:off x="0" y="0"/>
                      <a:ext cx="5760720" cy="5432425"/>
                    </a:xfrm>
                    <a:prstGeom prst="rect">
                      <a:avLst/>
                    </a:prstGeom>
                  </pic:spPr>
                </pic:pic>
              </a:graphicData>
            </a:graphic>
          </wp:inline>
        </w:drawing>
      </w:r>
    </w:p>
    <w:p w14:paraId="24002804" w14:textId="77777777" w:rsidR="009F0B0D" w:rsidRPr="00FB1A58" w:rsidRDefault="009F0B0D" w:rsidP="009F0B0D">
      <w:pPr>
        <w:pStyle w:val="Caption"/>
        <w:rPr>
          <w:color w:val="auto"/>
          <w:lang w:val="en-GB"/>
        </w:rPr>
      </w:pPr>
      <w:r w:rsidRPr="00FB1A58">
        <w:rPr>
          <w:color w:val="auto"/>
          <w:lang w:val="en-GB"/>
        </w:rPr>
        <w:t>Figure A2. Overview of the main formulas and their relation to the 2x2 table.</w:t>
      </w:r>
    </w:p>
    <w:p w14:paraId="089EDCEA" w14:textId="77777777" w:rsidR="00AB25BC" w:rsidRPr="00FB1A58" w:rsidRDefault="00AB25BC">
      <w:pPr>
        <w:spacing w:before="0" w:after="160" w:line="259" w:lineRule="auto"/>
        <w:jc w:val="left"/>
        <w:rPr>
          <w:rFonts w:asciiTheme="majorHAnsi" w:eastAsiaTheme="majorEastAsia" w:hAnsiTheme="majorHAnsi" w:cstheme="majorBidi"/>
          <w:sz w:val="26"/>
          <w:szCs w:val="26"/>
          <w:u w:val="single"/>
          <w:lang w:val="en-GB"/>
        </w:rPr>
      </w:pPr>
      <w:r w:rsidRPr="00FB1A58">
        <w:rPr>
          <w:lang w:val="en-GB"/>
        </w:rPr>
        <w:br w:type="page"/>
      </w:r>
    </w:p>
    <w:p w14:paraId="32ADF19C" w14:textId="70E74592" w:rsidR="002C64CF" w:rsidRPr="00FB1A58" w:rsidRDefault="00A655A8" w:rsidP="00A655A8">
      <w:pPr>
        <w:pStyle w:val="Heading1"/>
        <w:rPr>
          <w:color w:val="auto"/>
          <w:lang w:val="en-GB"/>
        </w:rPr>
      </w:pPr>
      <w:r w:rsidRPr="00FB1A58">
        <w:rPr>
          <w:color w:val="auto"/>
          <w:lang w:val="en-GB"/>
        </w:rPr>
        <w:lastRenderedPageBreak/>
        <w:t>Appendix B</w:t>
      </w:r>
      <w:r w:rsidR="004010F0" w:rsidRPr="00FB1A58">
        <w:rPr>
          <w:color w:val="auto"/>
          <w:lang w:val="en-GB"/>
        </w:rPr>
        <w:t xml:space="preserve">. </w:t>
      </w:r>
      <w:r w:rsidR="00B91392" w:rsidRPr="00FB1A58">
        <w:rPr>
          <w:color w:val="auto"/>
          <w:lang w:val="en-GB"/>
        </w:rPr>
        <w:t xml:space="preserve">Calculating </w:t>
      </w:r>
      <w:r w:rsidR="00FA6DE1" w:rsidRPr="00FB1A58">
        <w:rPr>
          <w:color w:val="auto"/>
          <w:lang w:val="en-GB"/>
        </w:rPr>
        <w:t>a</w:t>
      </w:r>
      <w:r w:rsidR="00B91392" w:rsidRPr="00FB1A58">
        <w:rPr>
          <w:color w:val="auto"/>
          <w:lang w:val="en-GB"/>
        </w:rPr>
        <w:t xml:space="preserve"> Bayes Factor</w:t>
      </w:r>
      <w:r w:rsidR="00A801A0" w:rsidRPr="00FB1A58">
        <w:rPr>
          <w:color w:val="auto"/>
          <w:lang w:val="en-GB"/>
        </w:rPr>
        <w:t xml:space="preserve"> with known </w:t>
      </w:r>
      <w:r w:rsidR="00FA6DE1" w:rsidRPr="00FB1A58">
        <w:rPr>
          <w:color w:val="auto"/>
          <w:lang w:val="en-GB"/>
        </w:rPr>
        <w:t xml:space="preserve">normal </w:t>
      </w:r>
      <w:r w:rsidR="00A801A0" w:rsidRPr="00FB1A58">
        <w:rPr>
          <w:color w:val="auto"/>
          <w:lang w:val="en-GB"/>
        </w:rPr>
        <w:t>distributions</w:t>
      </w:r>
    </w:p>
    <w:p w14:paraId="7A9CEEF4" w14:textId="64FCC892" w:rsidR="004010F0" w:rsidRPr="00FB1A58" w:rsidRDefault="0084683F" w:rsidP="004010F0">
      <w:pPr>
        <w:rPr>
          <w:lang w:val="en-GB"/>
        </w:rPr>
      </w:pPr>
      <w:r w:rsidRPr="00FB1A58">
        <w:rPr>
          <w:lang w:val="en-GB"/>
        </w:rPr>
        <w:t xml:space="preserve">In the traditional diagnostic approach, </w:t>
      </w:r>
      <w:r w:rsidR="00340EDB" w:rsidRPr="00FB1A58">
        <w:rPr>
          <w:lang w:val="en-GB"/>
        </w:rPr>
        <w:t>neuropsychologists</w:t>
      </w:r>
      <w:r w:rsidRPr="00FB1A58">
        <w:rPr>
          <w:lang w:val="en-GB"/>
        </w:rPr>
        <w:t xml:space="preserve"> evaluate the probability of observing a test score equal or more extreme than </w:t>
      </w:r>
      <w:r w:rsidR="00676470" w:rsidRPr="00FB1A58">
        <w:rPr>
          <w:lang w:val="en-GB"/>
        </w:rPr>
        <w:t>a person</w:t>
      </w:r>
      <w:r w:rsidR="00FB67FF" w:rsidRPr="00FB1A58">
        <w:rPr>
          <w:lang w:val="en-GB"/>
        </w:rPr>
        <w:t>’</w:t>
      </w:r>
      <w:r w:rsidR="003D755D" w:rsidRPr="00FB1A58">
        <w:rPr>
          <w:lang w:val="en-GB"/>
        </w:rPr>
        <w:t>s</w:t>
      </w:r>
      <w:r w:rsidRPr="00FB1A58">
        <w:rPr>
          <w:lang w:val="en-GB"/>
        </w:rPr>
        <w:t xml:space="preserve"> test score relative to a normative group of which it is assumed that they do not have a certain condition of interest (H</w:t>
      </w:r>
      <w:r w:rsidRPr="00FB1A58">
        <w:rPr>
          <w:vertAlign w:val="subscript"/>
          <w:lang w:val="en-GB"/>
        </w:rPr>
        <w:t>0</w:t>
      </w:r>
      <w:r w:rsidRPr="00FB1A58">
        <w:rPr>
          <w:lang w:val="en-GB"/>
        </w:rPr>
        <w:t xml:space="preserve">). However, this approach does not inform us on the extent to which a </w:t>
      </w:r>
      <w:r w:rsidR="00ED50E2" w:rsidRPr="00FB1A58">
        <w:rPr>
          <w:lang w:val="en-GB"/>
        </w:rPr>
        <w:t>person’s</w:t>
      </w:r>
      <w:r w:rsidRPr="00FB1A58">
        <w:rPr>
          <w:lang w:val="en-GB"/>
        </w:rPr>
        <w:t xml:space="preserve"> test score is likely to occur in a patient group. We will illustrate this problem in a hypothetical scenario where we use a test for which we know the distribution of test scores for the normative (H</w:t>
      </w:r>
      <w:r w:rsidRPr="00FB1A58">
        <w:rPr>
          <w:vertAlign w:val="subscript"/>
          <w:lang w:val="en-GB"/>
        </w:rPr>
        <w:t>0</w:t>
      </w:r>
      <w:r w:rsidRPr="00FB1A58">
        <w:rPr>
          <w:lang w:val="en-GB"/>
        </w:rPr>
        <w:t>) and the patient group (H</w:t>
      </w:r>
      <w:r w:rsidRPr="00FB1A58">
        <w:rPr>
          <w:vertAlign w:val="subscript"/>
          <w:lang w:val="en-GB"/>
        </w:rPr>
        <w:t>1</w:t>
      </w:r>
      <w:r w:rsidRPr="00FB1A58">
        <w:rPr>
          <w:lang w:val="en-GB"/>
        </w:rPr>
        <w:t xml:space="preserve">). Note that this scenario does not occur in reality, but it can still provide valuable insight in </w:t>
      </w:r>
      <w:r w:rsidR="00372093" w:rsidRPr="00FB1A58">
        <w:rPr>
          <w:lang w:val="en-GB"/>
        </w:rPr>
        <w:t xml:space="preserve">the limitations of </w:t>
      </w:r>
      <w:r w:rsidRPr="00FB1A58">
        <w:rPr>
          <w:lang w:val="en-GB"/>
        </w:rPr>
        <w:t>z-scores</w:t>
      </w:r>
      <w:r w:rsidR="00FB4699" w:rsidRPr="00FB1A58">
        <w:rPr>
          <w:lang w:val="en-GB"/>
        </w:rPr>
        <w:t xml:space="preserve"> as a means to inform diagnosis</w:t>
      </w:r>
      <w:r w:rsidRPr="00FB1A58">
        <w:rPr>
          <w:lang w:val="en-GB"/>
        </w:rPr>
        <w:t>.</w:t>
      </w:r>
    </w:p>
    <w:p w14:paraId="6C275B6D" w14:textId="4901C326" w:rsidR="00D91997" w:rsidRPr="00FB1A58" w:rsidRDefault="00CF5675" w:rsidP="00D91997">
      <w:pPr>
        <w:pStyle w:val="Heading3"/>
        <w:rPr>
          <w:color w:val="auto"/>
          <w:lang w:val="en-GB"/>
        </w:rPr>
      </w:pPr>
      <w:r w:rsidRPr="00FB1A58">
        <w:rPr>
          <w:color w:val="auto"/>
          <w:lang w:val="en-GB"/>
        </w:rPr>
        <w:t>Calculation</w:t>
      </w:r>
    </w:p>
    <w:p w14:paraId="2B8F9655" w14:textId="50A77C81" w:rsidR="00732301" w:rsidRPr="00FB1A58" w:rsidRDefault="00344F47" w:rsidP="004010F0">
      <w:pPr>
        <w:rPr>
          <w:lang w:val="en-GB"/>
        </w:rPr>
      </w:pPr>
      <w:r w:rsidRPr="00FB1A58">
        <w:rPr>
          <w:lang w:val="en-GB"/>
        </w:rPr>
        <w:t xml:space="preserve">Consider </w:t>
      </w:r>
      <w:r w:rsidR="008E6B38" w:rsidRPr="00FB1A58">
        <w:rPr>
          <w:lang w:val="en-GB"/>
        </w:rPr>
        <w:t xml:space="preserve">that you administer </w:t>
      </w:r>
      <w:r w:rsidRPr="00FB1A58">
        <w:rPr>
          <w:lang w:val="en-GB"/>
        </w:rPr>
        <w:t xml:space="preserve">a test </w:t>
      </w:r>
      <w:r w:rsidR="00FE0078" w:rsidRPr="00FB1A58">
        <w:rPr>
          <w:lang w:val="en-GB"/>
        </w:rPr>
        <w:t>of which we</w:t>
      </w:r>
      <w:r w:rsidRPr="00FB1A58">
        <w:rPr>
          <w:lang w:val="en-GB"/>
        </w:rPr>
        <w:t xml:space="preserve"> </w:t>
      </w:r>
      <w:r w:rsidR="005D2426" w:rsidRPr="00FB1A58">
        <w:rPr>
          <w:lang w:val="en-GB"/>
        </w:rPr>
        <w:t>know</w:t>
      </w:r>
      <w:r w:rsidR="00FE0078" w:rsidRPr="00FB1A58">
        <w:rPr>
          <w:lang w:val="en-GB"/>
        </w:rPr>
        <w:t xml:space="preserve"> the</w:t>
      </w:r>
      <w:r w:rsidR="005D2426" w:rsidRPr="00FB1A58">
        <w:rPr>
          <w:lang w:val="en-GB"/>
        </w:rPr>
        <w:t xml:space="preserve"> </w:t>
      </w:r>
      <w:r w:rsidR="004D10B2" w:rsidRPr="00FB1A58">
        <w:rPr>
          <w:lang w:val="en-GB"/>
        </w:rPr>
        <w:t xml:space="preserve">population </w:t>
      </w:r>
      <w:r w:rsidRPr="00FB1A58">
        <w:rPr>
          <w:lang w:val="en-GB"/>
        </w:rPr>
        <w:t xml:space="preserve">mean and </w:t>
      </w:r>
      <w:r w:rsidR="004D10B2" w:rsidRPr="00FB1A58">
        <w:rPr>
          <w:lang w:val="en-GB"/>
        </w:rPr>
        <w:t xml:space="preserve">population </w:t>
      </w:r>
      <w:r w:rsidRPr="00FB1A58">
        <w:rPr>
          <w:lang w:val="en-GB"/>
        </w:rPr>
        <w:t xml:space="preserve">standard deviation in the normative </w:t>
      </w:r>
      <w:r w:rsidR="00A7692F" w:rsidRPr="00FB1A58">
        <w:rPr>
          <w:lang w:val="en-GB"/>
        </w:rPr>
        <w:t xml:space="preserve">and </w:t>
      </w:r>
      <w:r w:rsidR="00F25FB5" w:rsidRPr="00FB1A58">
        <w:rPr>
          <w:lang w:val="en-GB"/>
        </w:rPr>
        <w:t xml:space="preserve">in the </w:t>
      </w:r>
      <w:r w:rsidR="00A7692F" w:rsidRPr="00FB1A58">
        <w:rPr>
          <w:lang w:val="en-GB"/>
        </w:rPr>
        <w:t xml:space="preserve">patient </w:t>
      </w:r>
      <w:r w:rsidRPr="00FB1A58">
        <w:rPr>
          <w:lang w:val="en-GB"/>
        </w:rPr>
        <w:t>group.</w:t>
      </w:r>
      <w:r w:rsidR="004D10B2" w:rsidRPr="00FB1A58">
        <w:rPr>
          <w:lang w:val="en-GB"/>
        </w:rPr>
        <w:t xml:space="preserve"> </w:t>
      </w:r>
      <w:r w:rsidR="007E38C1" w:rsidRPr="00FB1A58">
        <w:rPr>
          <w:lang w:val="en-GB"/>
        </w:rPr>
        <w:t xml:space="preserve">Consider now that you aim to evaluate whether </w:t>
      </w:r>
      <w:r w:rsidR="00ED50E2" w:rsidRPr="00FB1A58">
        <w:rPr>
          <w:lang w:val="en-GB"/>
        </w:rPr>
        <w:t>a person</w:t>
      </w:r>
      <w:r w:rsidR="007E38C1" w:rsidRPr="00FB1A58">
        <w:rPr>
          <w:lang w:val="en-GB"/>
        </w:rPr>
        <w:t xml:space="preserve"> belongs to a </w:t>
      </w:r>
      <w:r w:rsidR="003A4EEE" w:rsidRPr="00FB1A58">
        <w:rPr>
          <w:lang w:val="en-GB"/>
        </w:rPr>
        <w:t xml:space="preserve">patient </w:t>
      </w:r>
      <w:r w:rsidR="007E38C1" w:rsidRPr="00FB1A58">
        <w:rPr>
          <w:lang w:val="en-GB"/>
        </w:rPr>
        <w:t xml:space="preserve">group </w:t>
      </w:r>
      <w:r w:rsidR="00A835A8" w:rsidRPr="00FB1A58">
        <w:rPr>
          <w:lang w:val="en-GB"/>
        </w:rPr>
        <w:t xml:space="preserve">or </w:t>
      </w:r>
      <w:r w:rsidR="004609BB" w:rsidRPr="00FB1A58">
        <w:rPr>
          <w:lang w:val="en-GB"/>
        </w:rPr>
        <w:t>a</w:t>
      </w:r>
      <w:r w:rsidR="00A835A8" w:rsidRPr="00FB1A58">
        <w:rPr>
          <w:lang w:val="en-GB"/>
        </w:rPr>
        <w:t xml:space="preserve"> normative group</w:t>
      </w:r>
      <w:r w:rsidR="007E38C1" w:rsidRPr="00FB1A58">
        <w:rPr>
          <w:lang w:val="en-GB"/>
        </w:rPr>
        <w:t xml:space="preserve">. </w:t>
      </w:r>
      <w:r w:rsidR="00732301" w:rsidRPr="00FB1A58">
        <w:rPr>
          <w:lang w:val="en-GB"/>
        </w:rPr>
        <w:t xml:space="preserve">We can </w:t>
      </w:r>
      <w:r w:rsidR="00D124BF" w:rsidRPr="00FB1A58">
        <w:rPr>
          <w:lang w:val="en-GB"/>
        </w:rPr>
        <w:t>re</w:t>
      </w:r>
      <w:r w:rsidR="00732301" w:rsidRPr="00FB1A58">
        <w:rPr>
          <w:lang w:val="en-GB"/>
        </w:rPr>
        <w:t xml:space="preserve">formulate </w:t>
      </w:r>
      <w:r w:rsidR="00D124BF" w:rsidRPr="00FB1A58">
        <w:rPr>
          <w:lang w:val="en-GB"/>
        </w:rPr>
        <w:t xml:space="preserve">this question as </w:t>
      </w:r>
      <w:r w:rsidR="00A835A8" w:rsidRPr="00FB1A58">
        <w:rPr>
          <w:lang w:val="en-GB"/>
        </w:rPr>
        <w:t>follows</w:t>
      </w:r>
      <w:r w:rsidR="00732301" w:rsidRPr="00FB1A58">
        <w:rPr>
          <w:lang w:val="en-GB"/>
        </w:rPr>
        <w:t>:</w:t>
      </w:r>
    </w:p>
    <w:p w14:paraId="7632DEEC" w14:textId="3A31C324" w:rsidR="00732301" w:rsidRPr="00FB1A58" w:rsidRDefault="00ED50E2" w:rsidP="00732301">
      <w:pPr>
        <w:pStyle w:val="ListParagraph"/>
        <w:numPr>
          <w:ilvl w:val="0"/>
          <w:numId w:val="1"/>
        </w:numPr>
        <w:rPr>
          <w:lang w:val="en-GB"/>
        </w:rPr>
      </w:pPr>
      <w:r w:rsidRPr="00FB1A58">
        <w:rPr>
          <w:lang w:val="en-GB"/>
        </w:rPr>
        <w:t>A person</w:t>
      </w:r>
      <w:r w:rsidR="00732301" w:rsidRPr="00FB1A58">
        <w:rPr>
          <w:lang w:val="en-GB"/>
        </w:rPr>
        <w:t xml:space="preserve"> belongs to the normative group: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0</m:t>
            </m:r>
          </m:sub>
        </m:sSub>
        <m:r>
          <w:rPr>
            <w:rFonts w:ascii="Cambria Math" w:hAnsi="Cambria Math"/>
            <w:lang w:val="en-US"/>
          </w:rPr>
          <m:t>:x ~ N(</m:t>
        </m:r>
        <m:sSub>
          <m:sSubPr>
            <m:ctrlPr>
              <w:rPr>
                <w:rFonts w:ascii="Cambria Math" w:hAnsi="Cambria Math"/>
                <w:i/>
                <w:iCs/>
                <w:lang w:val="en-US"/>
              </w:rPr>
            </m:ctrlPr>
          </m:sSubPr>
          <m:e>
            <m:r>
              <w:rPr>
                <w:rFonts w:ascii="Cambria Math" w:hAnsi="Cambria Math"/>
                <w:lang w:val="en-US"/>
              </w:rPr>
              <m:t>μ</m:t>
            </m:r>
          </m:e>
          <m:sub>
            <m:r>
              <w:rPr>
                <w:rFonts w:ascii="Cambria Math" w:hAnsi="Cambria Math"/>
                <w:lang w:val="en-US"/>
              </w:rPr>
              <m:t>n</m:t>
            </m:r>
          </m:sub>
        </m:sSub>
        <m:r>
          <w:rPr>
            <w:rFonts w:ascii="Cambria Math" w:hAnsi="Cambria Math"/>
            <w:lang w:val="en-US"/>
          </w:rPr>
          <m:t> , </m:t>
        </m:r>
        <m:sSub>
          <m:sSubPr>
            <m:ctrlPr>
              <w:rPr>
                <w:rFonts w:ascii="Cambria Math" w:hAnsi="Cambria Math"/>
                <w:i/>
                <w:iCs/>
                <w:lang w:val="en-US"/>
              </w:rPr>
            </m:ctrlPr>
          </m:sSubPr>
          <m:e>
            <m:r>
              <w:rPr>
                <w:rFonts w:ascii="Cambria Math" w:hAnsi="Cambria Math"/>
                <w:lang w:val="en-US"/>
              </w:rPr>
              <m:t>σ</m:t>
            </m:r>
          </m:e>
          <m:sub>
            <m:r>
              <w:rPr>
                <w:rFonts w:ascii="Cambria Math" w:hAnsi="Cambria Math"/>
                <w:lang w:val="en-US"/>
              </w:rPr>
              <m:t>n</m:t>
            </m:r>
          </m:sub>
        </m:sSub>
        <m:r>
          <w:rPr>
            <w:rFonts w:ascii="Cambria Math" w:hAnsi="Cambria Math"/>
            <w:lang w:val="en-US"/>
          </w:rPr>
          <m:t>)</m:t>
        </m:r>
      </m:oMath>
      <w:r w:rsidR="007F2C57" w:rsidRPr="00FB1A58">
        <w:rPr>
          <w:iCs/>
          <w:lang w:val="en-US"/>
        </w:rPr>
        <w:t>,</w:t>
      </w:r>
    </w:p>
    <w:p w14:paraId="6AD0DB60" w14:textId="11444797" w:rsidR="003F6DBF" w:rsidRPr="00FB1A58" w:rsidRDefault="00ED50E2" w:rsidP="00732301">
      <w:pPr>
        <w:pStyle w:val="ListParagraph"/>
        <w:numPr>
          <w:ilvl w:val="0"/>
          <w:numId w:val="1"/>
        </w:numPr>
        <w:rPr>
          <w:lang w:val="en-GB"/>
        </w:rPr>
      </w:pPr>
      <w:r w:rsidRPr="00FB1A58">
        <w:rPr>
          <w:lang w:val="en-GB"/>
        </w:rPr>
        <w:t>A person</w:t>
      </w:r>
      <w:r w:rsidR="003F6DBF" w:rsidRPr="00FB1A58">
        <w:rPr>
          <w:lang w:val="en-GB"/>
        </w:rPr>
        <w:t xml:space="preserve"> belongs to the patient group: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:x ~ N(</m:t>
        </m:r>
        <m:sSub>
          <m:sSubPr>
            <m:ctrlPr>
              <w:rPr>
                <w:rFonts w:ascii="Cambria Math" w:hAnsi="Cambria Math"/>
                <w:i/>
                <w:iCs/>
                <w:lang w:val="en-US"/>
              </w:rPr>
            </m:ctrlPr>
          </m:sSubPr>
          <m:e>
            <m:r>
              <w:rPr>
                <w:rFonts w:ascii="Cambria Math" w:hAnsi="Cambria Math"/>
                <w:lang w:val="en-US"/>
              </w:rPr>
              <m:t>μ</m:t>
            </m:r>
          </m:e>
          <m:sub>
            <m:r>
              <w:rPr>
                <w:rFonts w:ascii="Cambria Math" w:hAnsi="Cambria Math"/>
                <w:lang w:val="en-US"/>
              </w:rPr>
              <m:t>p</m:t>
            </m:r>
          </m:sub>
        </m:sSub>
        <m:r>
          <w:rPr>
            <w:rFonts w:ascii="Cambria Math" w:hAnsi="Cambria Math"/>
            <w:lang w:val="en-US"/>
          </w:rPr>
          <m:t>, </m:t>
        </m:r>
        <m:sSub>
          <m:sSubPr>
            <m:ctrlPr>
              <w:rPr>
                <w:rFonts w:ascii="Cambria Math" w:hAnsi="Cambria Math"/>
                <w:i/>
                <w:iCs/>
                <w:lang w:val="en-US"/>
              </w:rPr>
            </m:ctrlPr>
          </m:sSubPr>
          <m:e>
            <m:r>
              <w:rPr>
                <w:rFonts w:ascii="Cambria Math" w:hAnsi="Cambria Math"/>
                <w:lang w:val="en-US"/>
              </w:rPr>
              <m:t>σ</m:t>
            </m:r>
          </m:e>
          <m:sub>
            <m:r>
              <w:rPr>
                <w:rFonts w:ascii="Cambria Math" w:hAnsi="Cambria Math"/>
                <w:lang w:val="en-US"/>
              </w:rPr>
              <m:t>p</m:t>
            </m:r>
          </m:sub>
        </m:sSub>
        <m:r>
          <w:rPr>
            <w:rFonts w:ascii="Cambria Math" w:hAnsi="Cambria Math"/>
            <w:lang w:val="en-US"/>
          </w:rPr>
          <m:t>)</m:t>
        </m:r>
      </m:oMath>
      <w:r w:rsidR="007F2C57" w:rsidRPr="00FB1A58">
        <w:rPr>
          <w:iCs/>
          <w:lang w:val="en-US"/>
        </w:rPr>
        <w:t>,</w:t>
      </w:r>
    </w:p>
    <w:p w14:paraId="25F5A676" w14:textId="037B1D50" w:rsidR="003F6DBF" w:rsidRPr="00FB1A58" w:rsidRDefault="003F6DBF" w:rsidP="003F6DBF">
      <w:pPr>
        <w:rPr>
          <w:iCs/>
          <w:lang w:val="en-US"/>
        </w:rPr>
      </w:pPr>
      <w:r w:rsidRPr="00FB1A58">
        <w:rPr>
          <w:lang w:val="en-GB"/>
        </w:rPr>
        <w:t xml:space="preserve">where </w:t>
      </w:r>
      <m:oMath>
        <m:r>
          <w:rPr>
            <w:rFonts w:ascii="Cambria Math" w:hAnsi="Cambria Math"/>
            <w:lang w:val="en-US"/>
          </w:rPr>
          <m:t>x</m:t>
        </m:r>
      </m:oMath>
      <w:r w:rsidRPr="00FB1A58">
        <w:rPr>
          <w:lang w:val="en-GB"/>
        </w:rPr>
        <w:t xml:space="preserve"> represents the p</w:t>
      </w:r>
      <w:r w:rsidR="00ED50E2" w:rsidRPr="00FB1A58">
        <w:rPr>
          <w:lang w:val="en-GB"/>
        </w:rPr>
        <w:t>erson</w:t>
      </w:r>
      <w:r w:rsidRPr="00FB1A58">
        <w:rPr>
          <w:lang w:val="en-GB"/>
        </w:rPr>
        <w:t xml:space="preserve">’s test score, </w:t>
      </w:r>
      <m:oMath>
        <m:r>
          <w:rPr>
            <w:rFonts w:ascii="Cambria Math" w:hAnsi="Cambria Math"/>
            <w:lang w:val="en-US"/>
          </w:rPr>
          <m:t>N</m:t>
        </m:r>
      </m:oMath>
      <w:r w:rsidRPr="00FB1A58">
        <w:rPr>
          <w:lang w:val="en-GB"/>
        </w:rPr>
        <w:t xml:space="preserve"> represents the normal distribution, </w:t>
      </w:r>
      <m:oMath>
        <m:r>
          <w:rPr>
            <w:rFonts w:ascii="Cambria Math" w:hAnsi="Cambria Math"/>
            <w:lang w:val="en-US"/>
          </w:rPr>
          <m:t>μ</m:t>
        </m:r>
      </m:oMath>
      <w:r w:rsidRPr="00FB1A58">
        <w:rPr>
          <w:iCs/>
          <w:lang w:val="en-US"/>
        </w:rPr>
        <w:t xml:space="preserve"> represents the population mean and </w:t>
      </w:r>
      <m:oMath>
        <m:r>
          <w:rPr>
            <w:rFonts w:ascii="Cambria Math" w:hAnsi="Cambria Math"/>
            <w:lang w:val="en-US"/>
          </w:rPr>
          <m:t>σ</m:t>
        </m:r>
      </m:oMath>
      <w:r w:rsidRPr="00FB1A58">
        <w:rPr>
          <w:iCs/>
          <w:lang w:val="en-US"/>
        </w:rPr>
        <w:t xml:space="preserve"> represents the population standard deviation.</w:t>
      </w:r>
      <w:r w:rsidR="00F15288" w:rsidRPr="00FB1A58">
        <w:rPr>
          <w:iCs/>
          <w:lang w:val="en-US"/>
        </w:rPr>
        <w:t xml:space="preserve"> The subscript </w:t>
      </w:r>
      <w:r w:rsidR="00F15288" w:rsidRPr="00FB1A58">
        <w:rPr>
          <w:i/>
          <w:iCs/>
          <w:lang w:val="en-US"/>
        </w:rPr>
        <w:t>n</w:t>
      </w:r>
      <w:r w:rsidR="00F15288" w:rsidRPr="00FB1A58">
        <w:rPr>
          <w:iCs/>
          <w:lang w:val="en-US"/>
        </w:rPr>
        <w:t xml:space="preserve"> refers to the normative group, and subscript </w:t>
      </w:r>
      <w:r w:rsidR="00F15288" w:rsidRPr="00FB1A58">
        <w:rPr>
          <w:i/>
          <w:iCs/>
          <w:lang w:val="en-US"/>
        </w:rPr>
        <w:t>p</w:t>
      </w:r>
      <w:r w:rsidR="00F15288" w:rsidRPr="00FB1A58">
        <w:rPr>
          <w:iCs/>
          <w:lang w:val="en-US"/>
        </w:rPr>
        <w:t xml:space="preserve"> refers to the patient group.</w:t>
      </w:r>
    </w:p>
    <w:p w14:paraId="2A2FAAF1" w14:textId="3CCFF57F" w:rsidR="007565E8" w:rsidRPr="00FB1A58" w:rsidRDefault="00360F94" w:rsidP="003F6DBF">
      <w:pPr>
        <w:rPr>
          <w:lang w:val="en-GB"/>
        </w:rPr>
      </w:pPr>
      <w:r w:rsidRPr="00FB1A58">
        <w:rPr>
          <w:lang w:val="en-GB"/>
        </w:rPr>
        <w:t>To evaluate the strength of evidence in favour of these two hypotheses, we can calculate the BF</w:t>
      </w:r>
      <w:r w:rsidRPr="00FB1A58">
        <w:rPr>
          <w:vertAlign w:val="subscript"/>
          <w:lang w:val="en-GB"/>
        </w:rPr>
        <w:t>10</w:t>
      </w:r>
      <w:r w:rsidRPr="00FB1A58">
        <w:rPr>
          <w:lang w:val="en-GB"/>
        </w:rPr>
        <w:t xml:space="preserve"> using the </w:t>
      </w:r>
      <w:r w:rsidR="00463B38" w:rsidRPr="00FB1A58">
        <w:rPr>
          <w:lang w:val="en-GB"/>
        </w:rPr>
        <w:t>probability density function</w:t>
      </w:r>
      <w:r w:rsidR="001C0C00" w:rsidRPr="00FB1A58">
        <w:rPr>
          <w:lang w:val="en-GB"/>
        </w:rPr>
        <w:t>s</w:t>
      </w:r>
      <w:r w:rsidR="00463B38" w:rsidRPr="00FB1A58">
        <w:rPr>
          <w:lang w:val="en-GB"/>
        </w:rPr>
        <w:t xml:space="preserve"> of the normal distribution</w:t>
      </w:r>
      <w:r w:rsidR="001C0C00" w:rsidRPr="00FB1A58">
        <w:rPr>
          <w:lang w:val="en-GB"/>
        </w:rPr>
        <w:t>s</w:t>
      </w:r>
      <w:r w:rsidRPr="00FB1A58">
        <w:rPr>
          <w:lang w:val="en-GB"/>
        </w:rPr>
        <w:t>:</w:t>
      </w:r>
    </w:p>
    <w:p w14:paraId="46E7BFF9" w14:textId="4E74470B" w:rsidR="00360F94" w:rsidRPr="00FB1A58" w:rsidRDefault="006D0E38" w:rsidP="003F6DBF">
      <w:pPr>
        <w:rPr>
          <w:lang w:val="en-GB"/>
        </w:rPr>
      </w:pPr>
      <w:r w:rsidRPr="00FB1A58">
        <w:rPr>
          <w:lang w:val="en-GB"/>
        </w:rPr>
        <w:t xml:space="preserve">Equation </w:t>
      </w:r>
      <w:r w:rsidR="00D67AB6" w:rsidRPr="00FB1A58">
        <w:rPr>
          <w:lang w:val="en-GB"/>
        </w:rPr>
        <w:t>B1</w:t>
      </w:r>
      <w:r w:rsidRPr="00FB1A58">
        <w:rPr>
          <w:lang w:val="en-GB"/>
        </w:rPr>
        <w:t>.</w:t>
      </w:r>
      <w:r w:rsidRPr="00FB1A58">
        <w:rPr>
          <w:lang w:val="en-GB"/>
        </w:rPr>
        <w:tab/>
      </w:r>
      <w:r w:rsidRPr="00FB1A58">
        <w:rPr>
          <w:lang w:val="en-GB"/>
        </w:rPr>
        <w:tab/>
      </w:r>
      <w:r w:rsidRPr="00FB1A58">
        <w:rPr>
          <w:lang w:val="en-GB"/>
        </w:rPr>
        <w:tab/>
      </w:r>
      <w:r w:rsidRPr="00FB1A58">
        <w:rPr>
          <w:lang w:val="en-GB"/>
        </w:rPr>
        <w:tab/>
      </w:r>
      <w:r w:rsidR="00E82A80" w:rsidRPr="00FB1A58">
        <w:rPr>
          <w:lang w:val="en-GB"/>
        </w:rPr>
        <w:tab/>
      </w:r>
      <m:oMath>
        <m:sSub>
          <m:sSubPr>
            <m:ctrlPr>
              <w:rPr>
                <w:rFonts w:ascii="Cambria Math" w:hAnsi="Cambria Math"/>
                <w:i/>
                <w:iCs/>
              </w:rPr>
            </m:ctrlPr>
          </m:sSubPr>
          <m:e>
            <m:r>
              <w:rPr>
                <w:rFonts w:ascii="Cambria Math" w:hAnsi="Cambria Math"/>
                <w:lang w:val="en-US"/>
              </w:rPr>
              <m:t>BF</m:t>
            </m:r>
          </m:e>
          <m:sub>
            <m:r>
              <w:rPr>
                <w:rFonts w:ascii="Cambria Math" w:hAnsi="Cambria Math"/>
                <w:lang w:val="en-US"/>
              </w:rPr>
              <m:t>10</m:t>
            </m:r>
          </m:sub>
        </m:sSub>
        <m:r>
          <w:rPr>
            <w:rFonts w:ascii="Cambria Math" w:hAnsi="Cambria Math"/>
            <w:lang w:val="en-US"/>
          </w:rPr>
          <m:t>= </m:t>
        </m:r>
        <m:f>
          <m:fPr>
            <m:ctrlPr>
              <w:rPr>
                <w:rFonts w:ascii="Cambria Math" w:hAnsi="Cambria Math"/>
                <w:i/>
                <w:iCs/>
                <w:lang w:val="en-US"/>
              </w:rPr>
            </m:ctrlPr>
          </m:fPr>
          <m:num>
            <m:r>
              <w:rPr>
                <w:rFonts w:ascii="Cambria Math" w:hAnsi="Cambria Math"/>
                <w:lang w:val="en-US"/>
              </w:rPr>
              <m:t>p(x|</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m:t>
            </m:r>
          </m:num>
          <m:den>
            <m:r>
              <w:rPr>
                <w:rFonts w:ascii="Cambria Math" w:hAnsi="Cambria Math"/>
                <w:lang w:val="en-US"/>
              </w:rPr>
              <m:t>p(x|</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0</m:t>
                </m:r>
              </m:sub>
            </m:sSub>
            <m:r>
              <w:rPr>
                <w:rFonts w:ascii="Cambria Math" w:hAnsi="Cambria Math"/>
                <w:lang w:val="en-US"/>
              </w:rPr>
              <m:t>)</m:t>
            </m:r>
          </m:den>
        </m:f>
      </m:oMath>
    </w:p>
    <w:p w14:paraId="2DE0121A" w14:textId="3719C37C" w:rsidR="0043585C" w:rsidRPr="00FB1A58" w:rsidRDefault="00F47030" w:rsidP="006D0E38">
      <w:pPr>
        <w:jc w:val="center"/>
        <w:rPr>
          <w:i/>
          <w:lang w:val="en-GB"/>
        </w:rPr>
      </w:pPr>
      <w:r w:rsidRPr="00FB1A58">
        <w:rPr>
          <w:i/>
          <w:lang w:val="en-GB"/>
        </w:rPr>
        <w:t>with</w:t>
      </w:r>
    </w:p>
    <w:p w14:paraId="722DB63B" w14:textId="1403A9EA" w:rsidR="00F47030" w:rsidRPr="00FB1A58" w:rsidRDefault="006D0E38" w:rsidP="00F47030">
      <w:pPr>
        <w:rPr>
          <w:lang w:val="en-GB"/>
        </w:rPr>
      </w:pPr>
      <w:r w:rsidRPr="00FB1A58">
        <w:rPr>
          <w:iCs/>
          <w:lang w:val="en-US"/>
        </w:rPr>
        <w:t xml:space="preserve">Equation </w:t>
      </w:r>
      <w:r w:rsidR="00D67AB6" w:rsidRPr="00FB1A58">
        <w:rPr>
          <w:iCs/>
          <w:lang w:val="en-US"/>
        </w:rPr>
        <w:t>B2</w:t>
      </w:r>
      <w:r w:rsidRPr="00FB1A58">
        <w:rPr>
          <w:iCs/>
          <w:lang w:val="en-US"/>
        </w:rPr>
        <w:t>.</w:t>
      </w:r>
      <w:r w:rsidRPr="00FB1A58">
        <w:rPr>
          <w:iCs/>
          <w:lang w:val="en-US"/>
        </w:rPr>
        <w:tab/>
      </w:r>
      <w:r w:rsidRPr="00FB1A58">
        <w:rPr>
          <w:iCs/>
          <w:lang w:val="en-US"/>
        </w:rPr>
        <w:tab/>
      </w:r>
      <w:r w:rsidRPr="00FB1A58">
        <w:rPr>
          <w:iCs/>
          <w:lang w:val="en-US"/>
        </w:rPr>
        <w:tab/>
      </w:r>
      <m:oMath>
        <m:r>
          <w:rPr>
            <w:rFonts w:ascii="Cambria Math" w:hAnsi="Cambria Math"/>
            <w:lang w:val="en-US"/>
          </w:rPr>
          <m:t>p</m:t>
        </m:r>
        <m:d>
          <m:dPr>
            <m:ctrlPr>
              <w:rPr>
                <w:rFonts w:ascii="Cambria Math" w:hAnsi="Cambria Math"/>
                <w:i/>
                <w:iCs/>
                <w:lang w:val="en-US"/>
              </w:rPr>
            </m:ctrlPr>
          </m:dPr>
          <m:e>
            <m:r>
              <w:rPr>
                <w:rFonts w:ascii="Cambria Math" w:hAnsi="Cambria Math"/>
                <w:lang w:val="en-US"/>
              </w:rPr>
              <m:t>x</m:t>
            </m:r>
          </m:e>
          <m:e>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1</m:t>
                </m:r>
              </m:sub>
            </m:sSub>
          </m:e>
        </m:d>
        <m:r>
          <w:rPr>
            <w:rFonts w:ascii="Cambria Math" w:hAnsi="Cambria Math"/>
            <w:lang w:val="en-US"/>
          </w:rPr>
          <m:t>=p</m:t>
        </m:r>
        <m:d>
          <m:dPr>
            <m:ctrlPr>
              <w:rPr>
                <w:rFonts w:ascii="Cambria Math" w:hAnsi="Cambria Math"/>
                <w:i/>
                <w:iCs/>
                <w:lang w:val="en-US"/>
              </w:rPr>
            </m:ctrlPr>
          </m:dPr>
          <m:e>
            <m:r>
              <w:rPr>
                <w:rFonts w:ascii="Cambria Math" w:hAnsi="Cambria Math"/>
                <w:lang w:val="en-US"/>
              </w:rPr>
              <m:t>x</m:t>
            </m:r>
          </m:e>
          <m:e>
            <m:sSub>
              <m:sSubPr>
                <m:ctrlPr>
                  <w:rPr>
                    <w:rFonts w:ascii="Cambria Math" w:hAnsi="Cambria Math"/>
                    <w:i/>
                    <w:iCs/>
                    <w:lang w:val="en-US"/>
                  </w:rPr>
                </m:ctrlPr>
              </m:sSubPr>
              <m:e>
                <m:r>
                  <w:rPr>
                    <w:rFonts w:ascii="Cambria Math" w:hAnsi="Cambria Math"/>
                    <w:lang w:val="en-US"/>
                  </w:rPr>
                  <m:t>μ</m:t>
                </m:r>
              </m:e>
              <m:sub>
                <m:r>
                  <w:rPr>
                    <w:rFonts w:ascii="Cambria Math" w:hAnsi="Cambria Math"/>
                    <w:lang w:val="en-US"/>
                  </w:rPr>
                  <m:t>p</m:t>
                </m:r>
              </m:sub>
            </m:sSub>
            <m:r>
              <w:rPr>
                <w:rFonts w:ascii="Cambria Math" w:hAnsi="Cambria Math"/>
                <w:lang w:val="en-US"/>
              </w:rPr>
              <m:t>, </m:t>
            </m:r>
            <m:sSub>
              <m:sSubPr>
                <m:ctrlPr>
                  <w:rPr>
                    <w:rFonts w:ascii="Cambria Math" w:hAnsi="Cambria Math"/>
                    <w:i/>
                    <w:iCs/>
                    <w:lang w:val="en-US"/>
                  </w:rPr>
                </m:ctrlPr>
              </m:sSubPr>
              <m:e>
                <m:r>
                  <w:rPr>
                    <w:rFonts w:ascii="Cambria Math" w:hAnsi="Cambria Math"/>
                    <w:lang w:val="en-US"/>
                  </w:rPr>
                  <m:t>σ</m:t>
                </m:r>
              </m:e>
              <m:sub>
                <m:r>
                  <w:rPr>
                    <w:rFonts w:ascii="Cambria Math" w:hAnsi="Cambria Math"/>
                    <w:lang w:val="en-US"/>
                  </w:rPr>
                  <m:t>p</m:t>
                </m:r>
              </m:sub>
            </m:sSub>
          </m:e>
        </m:d>
        <m:r>
          <w:rPr>
            <w:rFonts w:ascii="Cambria Math" w:hAnsi="Cambria Math"/>
            <w:lang w:val="en-US"/>
          </w:rPr>
          <m:t>=</m:t>
        </m:r>
        <m:f>
          <m:fPr>
            <m:ctrlPr>
              <w:rPr>
                <w:rFonts w:ascii="Cambria Math" w:hAnsi="Cambria Math"/>
                <w:i/>
                <w:iCs/>
                <w:lang w:val="nl-BE"/>
              </w:rPr>
            </m:ctrlPr>
          </m:fPr>
          <m:num>
            <m:r>
              <w:rPr>
                <w:rFonts w:ascii="Cambria Math" w:hAnsi="Cambria Math"/>
                <w:lang w:val="en-GB"/>
              </w:rPr>
              <m:t>1</m:t>
            </m:r>
          </m:num>
          <m:den>
            <m:sSub>
              <m:sSubPr>
                <m:ctrlPr>
                  <w:rPr>
                    <w:rFonts w:ascii="Cambria Math" w:hAnsi="Cambria Math"/>
                    <w:i/>
                    <w:iCs/>
                    <w:lang w:val="en-GB"/>
                  </w:rPr>
                </m:ctrlPr>
              </m:sSubPr>
              <m:e>
                <m:r>
                  <w:rPr>
                    <w:rFonts w:ascii="Cambria Math" w:hAnsi="Cambria Math"/>
                    <w:lang w:val="en-GB"/>
                  </w:rPr>
                  <m:t>σ</m:t>
                </m:r>
              </m:e>
              <m:sub>
                <m:r>
                  <w:rPr>
                    <w:rFonts w:ascii="Cambria Math" w:hAnsi="Cambria Math"/>
                    <w:lang w:val="en-US"/>
                  </w:rPr>
                  <m:t>p</m:t>
                </m:r>
              </m:sub>
            </m:sSub>
            <m:r>
              <w:rPr>
                <w:rFonts w:ascii="Cambria Math" w:hAnsi="Cambria Math"/>
                <w:lang w:val="en-GB"/>
              </w:rPr>
              <m:t> </m:t>
            </m:r>
            <m:rad>
              <m:radPr>
                <m:degHide m:val="1"/>
                <m:ctrlPr>
                  <w:rPr>
                    <w:rFonts w:ascii="Cambria Math" w:hAnsi="Cambria Math"/>
                    <w:i/>
                    <w:iCs/>
                    <w:lang w:val="nl-BE"/>
                  </w:rPr>
                </m:ctrlPr>
              </m:radPr>
              <m:deg/>
              <m:e>
                <m:r>
                  <w:rPr>
                    <w:rFonts w:ascii="Cambria Math" w:hAnsi="Cambria Math"/>
                    <w:lang w:val="en-GB"/>
                  </w:rPr>
                  <m:t>2π</m:t>
                </m:r>
              </m:e>
            </m:rad>
          </m:den>
        </m:f>
        <m:r>
          <w:rPr>
            <w:rFonts w:ascii="Cambria Math" w:hAnsi="Cambria Math"/>
            <w:lang w:val="en-GB"/>
          </w:rPr>
          <m:t> </m:t>
        </m:r>
        <m:sSup>
          <m:sSupPr>
            <m:ctrlPr>
              <w:rPr>
                <w:rFonts w:ascii="Cambria Math" w:hAnsi="Cambria Math"/>
                <w:i/>
                <w:iCs/>
                <w:lang w:val="nl-BE"/>
              </w:rPr>
            </m:ctrlPr>
          </m:sSupPr>
          <m:e>
            <m:r>
              <w:rPr>
                <w:rFonts w:ascii="Cambria Math" w:hAnsi="Cambria Math"/>
                <w:lang w:val="en-GB"/>
              </w:rPr>
              <m:t>e</m:t>
            </m:r>
          </m:e>
          <m:sup>
            <m:d>
              <m:dPr>
                <m:begChr m:val="["/>
                <m:endChr m:val="]"/>
                <m:ctrlPr>
                  <w:rPr>
                    <w:rFonts w:ascii="Cambria Math" w:hAnsi="Cambria Math"/>
                    <w:i/>
                    <w:iCs/>
                    <w:lang w:val="nl-BE"/>
                  </w:rPr>
                </m:ctrlPr>
              </m:dPr>
              <m:e>
                <m:r>
                  <w:rPr>
                    <w:rFonts w:ascii="Cambria Math" w:hAnsi="Cambria Math"/>
                    <w:lang w:val="en-GB"/>
                  </w:rPr>
                  <m:t>-</m:t>
                </m:r>
                <m:f>
                  <m:fPr>
                    <m:ctrlPr>
                      <w:rPr>
                        <w:rFonts w:ascii="Cambria Math" w:hAnsi="Cambria Math"/>
                        <w:i/>
                        <w:iCs/>
                        <w:lang w:val="nl-BE"/>
                      </w:rPr>
                    </m:ctrlPr>
                  </m:fPr>
                  <m:num>
                    <m:sSup>
                      <m:sSupPr>
                        <m:ctrlPr>
                          <w:rPr>
                            <w:rFonts w:ascii="Cambria Math" w:hAnsi="Cambria Math"/>
                            <w:i/>
                            <w:iCs/>
                            <w:lang w:val="nl-BE"/>
                          </w:rPr>
                        </m:ctrlPr>
                      </m:sSupPr>
                      <m:e>
                        <m:r>
                          <w:rPr>
                            <w:rFonts w:ascii="Cambria Math" w:hAnsi="Cambria Math"/>
                            <w:lang w:val="en-GB"/>
                          </w:rPr>
                          <m:t>(x-</m:t>
                        </m:r>
                        <m:sSub>
                          <m:sSubPr>
                            <m:ctrlPr>
                              <w:rPr>
                                <w:rFonts w:ascii="Cambria Math" w:hAnsi="Cambria Math"/>
                                <w:i/>
                                <w:iCs/>
                                <w:lang w:val="en-GB"/>
                              </w:rPr>
                            </m:ctrlPr>
                          </m:sSubPr>
                          <m:e>
                            <m:r>
                              <w:rPr>
                                <w:rFonts w:ascii="Cambria Math" w:hAnsi="Cambria Math"/>
                                <w:lang w:val="en-GB"/>
                              </w:rPr>
                              <m:t>μ</m:t>
                            </m:r>
                          </m:e>
                          <m:sub>
                            <m:r>
                              <w:rPr>
                                <w:rFonts w:ascii="Cambria Math" w:hAnsi="Cambria Math"/>
                                <w:lang w:val="en-US"/>
                              </w:rPr>
                              <m:t>p</m:t>
                            </m:r>
                          </m:sub>
                        </m:sSub>
                        <m:r>
                          <w:rPr>
                            <w:rFonts w:ascii="Cambria Math" w:hAnsi="Cambria Math"/>
                            <w:lang w:val="en-GB"/>
                          </w:rPr>
                          <m:t>)</m:t>
                        </m:r>
                      </m:e>
                      <m:sup>
                        <m:r>
                          <w:rPr>
                            <w:rFonts w:ascii="Cambria Math" w:hAnsi="Cambria Math"/>
                            <w:lang w:val="en-GB"/>
                          </w:rPr>
                          <m:t>2</m:t>
                        </m:r>
                      </m:sup>
                    </m:sSup>
                  </m:num>
                  <m:den>
                    <m:r>
                      <w:rPr>
                        <w:rFonts w:ascii="Cambria Math" w:hAnsi="Cambria Math"/>
                        <w:lang w:val="en-GB"/>
                      </w:rPr>
                      <m:t>2 </m:t>
                    </m:r>
                    <m:sSup>
                      <m:sSupPr>
                        <m:ctrlPr>
                          <w:rPr>
                            <w:rFonts w:ascii="Cambria Math" w:hAnsi="Cambria Math"/>
                            <w:i/>
                            <w:iCs/>
                            <w:lang w:val="en-GB"/>
                          </w:rPr>
                        </m:ctrlPr>
                      </m:sSupPr>
                      <m:e>
                        <m:r>
                          <w:rPr>
                            <w:rFonts w:ascii="Cambria Math" w:hAnsi="Cambria Math"/>
                            <w:lang w:val="en-US"/>
                          </w:rPr>
                          <m:t>(</m:t>
                        </m:r>
                        <m:sSub>
                          <m:sSubPr>
                            <m:ctrlPr>
                              <w:rPr>
                                <w:rFonts w:ascii="Cambria Math" w:hAnsi="Cambria Math"/>
                                <w:i/>
                                <w:iCs/>
                                <w:lang w:val="en-US"/>
                              </w:rPr>
                            </m:ctrlPr>
                          </m:sSubPr>
                          <m:e>
                            <m:r>
                              <w:rPr>
                                <w:rFonts w:ascii="Cambria Math" w:hAnsi="Cambria Math"/>
                                <w:lang w:val="en-US"/>
                              </w:rPr>
                              <m:t>σ</m:t>
                            </m:r>
                          </m:e>
                          <m:sub>
                            <m:r>
                              <w:rPr>
                                <w:rFonts w:ascii="Cambria Math" w:hAnsi="Cambria Math"/>
                                <w:lang w:val="en-US"/>
                              </w:rPr>
                              <m:t>p</m:t>
                            </m:r>
                          </m:sub>
                        </m:sSub>
                        <m:r>
                          <w:rPr>
                            <w:rFonts w:ascii="Cambria Math" w:hAnsi="Cambria Math"/>
                            <w:lang w:val="en-US"/>
                          </w:rPr>
                          <m:t>)</m:t>
                        </m:r>
                      </m:e>
                      <m:sup>
                        <m:r>
                          <w:rPr>
                            <w:rFonts w:ascii="Cambria Math" w:hAnsi="Cambria Math"/>
                            <w:lang w:val="en-US"/>
                          </w:rPr>
                          <m:t>2</m:t>
                        </m:r>
                      </m:sup>
                    </m:sSup>
                  </m:den>
                </m:f>
              </m:e>
            </m:d>
          </m:sup>
        </m:sSup>
      </m:oMath>
    </w:p>
    <w:p w14:paraId="726D3AB8" w14:textId="2675891A" w:rsidR="00F47030" w:rsidRPr="00FB1A58" w:rsidRDefault="00F47030" w:rsidP="006D0E38">
      <w:pPr>
        <w:jc w:val="center"/>
        <w:rPr>
          <w:i/>
          <w:lang w:val="en-GB"/>
        </w:rPr>
      </w:pPr>
      <w:r w:rsidRPr="00FB1A58">
        <w:rPr>
          <w:i/>
          <w:lang w:val="en-GB"/>
        </w:rPr>
        <w:t>and with</w:t>
      </w:r>
    </w:p>
    <w:p w14:paraId="187C8FE4" w14:textId="4EFC0742" w:rsidR="00F47030" w:rsidRPr="00FB1A58" w:rsidRDefault="006D0E38" w:rsidP="00F47030">
      <w:pPr>
        <w:rPr>
          <w:lang w:val="en-US"/>
        </w:rPr>
      </w:pPr>
      <w:r w:rsidRPr="00FB1A58">
        <w:rPr>
          <w:iCs/>
          <w:lang w:val="en-US"/>
        </w:rPr>
        <w:t xml:space="preserve">Equation </w:t>
      </w:r>
      <w:r w:rsidR="00D67AB6" w:rsidRPr="00FB1A58">
        <w:rPr>
          <w:iCs/>
          <w:lang w:val="en-US"/>
        </w:rPr>
        <w:t>B3</w:t>
      </w:r>
      <w:r w:rsidRPr="00FB1A58">
        <w:rPr>
          <w:iCs/>
          <w:lang w:val="en-US"/>
        </w:rPr>
        <w:t>.</w:t>
      </w:r>
      <w:r w:rsidRPr="00FB1A58">
        <w:rPr>
          <w:iCs/>
          <w:lang w:val="en-US"/>
        </w:rPr>
        <w:tab/>
      </w:r>
      <w:r w:rsidRPr="00FB1A58">
        <w:rPr>
          <w:iCs/>
          <w:lang w:val="en-US"/>
        </w:rPr>
        <w:tab/>
      </w:r>
      <w:r w:rsidRPr="00FB1A58">
        <w:rPr>
          <w:iCs/>
          <w:lang w:val="en-US"/>
        </w:rPr>
        <w:tab/>
      </w:r>
      <m:oMath>
        <m:r>
          <w:rPr>
            <w:rFonts w:ascii="Cambria Math" w:hAnsi="Cambria Math"/>
            <w:lang w:val="en-US"/>
          </w:rPr>
          <m:t>p</m:t>
        </m:r>
        <m:d>
          <m:dPr>
            <m:ctrlPr>
              <w:rPr>
                <w:rFonts w:ascii="Cambria Math" w:hAnsi="Cambria Math"/>
                <w:i/>
                <w:iCs/>
                <w:lang w:val="en-US"/>
              </w:rPr>
            </m:ctrlPr>
          </m:dPr>
          <m:e>
            <m:r>
              <w:rPr>
                <w:rFonts w:ascii="Cambria Math" w:hAnsi="Cambria Math"/>
                <w:lang w:val="en-US"/>
              </w:rPr>
              <m:t>x</m:t>
            </m:r>
          </m:e>
          <m:e>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0</m:t>
                </m:r>
              </m:sub>
            </m:sSub>
          </m:e>
        </m:d>
        <m:r>
          <w:rPr>
            <w:rFonts w:ascii="Cambria Math" w:hAnsi="Cambria Math"/>
            <w:lang w:val="en-US"/>
          </w:rPr>
          <m:t>=p</m:t>
        </m:r>
        <m:d>
          <m:dPr>
            <m:ctrlPr>
              <w:rPr>
                <w:rFonts w:ascii="Cambria Math" w:hAnsi="Cambria Math"/>
                <w:i/>
                <w:iCs/>
                <w:lang w:val="en-US"/>
              </w:rPr>
            </m:ctrlPr>
          </m:dPr>
          <m:e>
            <m:r>
              <w:rPr>
                <w:rFonts w:ascii="Cambria Math" w:hAnsi="Cambria Math"/>
                <w:lang w:val="en-US"/>
              </w:rPr>
              <m:t>x</m:t>
            </m:r>
          </m:e>
          <m:e>
            <m:sSub>
              <m:sSubPr>
                <m:ctrlPr>
                  <w:rPr>
                    <w:rFonts w:ascii="Cambria Math" w:hAnsi="Cambria Math"/>
                    <w:i/>
                    <w:iCs/>
                    <w:lang w:val="en-US"/>
                  </w:rPr>
                </m:ctrlPr>
              </m:sSubPr>
              <m:e>
                <m:r>
                  <w:rPr>
                    <w:rFonts w:ascii="Cambria Math" w:hAnsi="Cambria Math"/>
                    <w:lang w:val="en-US"/>
                  </w:rPr>
                  <m:t>μ</m:t>
                </m:r>
              </m:e>
              <m:sub>
                <m:r>
                  <w:rPr>
                    <w:rFonts w:ascii="Cambria Math" w:hAnsi="Cambria Math"/>
                    <w:lang w:val="en-US"/>
                  </w:rPr>
                  <m:t>n</m:t>
                </m:r>
              </m:sub>
            </m:sSub>
            <m:r>
              <w:rPr>
                <w:rFonts w:ascii="Cambria Math" w:hAnsi="Cambria Math"/>
                <w:lang w:val="en-US"/>
              </w:rPr>
              <m:t>, </m:t>
            </m:r>
            <m:sSub>
              <m:sSubPr>
                <m:ctrlPr>
                  <w:rPr>
                    <w:rFonts w:ascii="Cambria Math" w:hAnsi="Cambria Math"/>
                    <w:i/>
                    <w:iCs/>
                    <w:lang w:val="en-US"/>
                  </w:rPr>
                </m:ctrlPr>
              </m:sSubPr>
              <m:e>
                <m:r>
                  <w:rPr>
                    <w:rFonts w:ascii="Cambria Math" w:hAnsi="Cambria Math"/>
                    <w:lang w:val="en-US"/>
                  </w:rPr>
                  <m:t>σ</m:t>
                </m:r>
              </m:e>
              <m:sub>
                <m:r>
                  <w:rPr>
                    <w:rFonts w:ascii="Cambria Math" w:hAnsi="Cambria Math"/>
                    <w:lang w:val="en-US"/>
                  </w:rPr>
                  <m:t>n</m:t>
                </m:r>
              </m:sub>
            </m:sSub>
          </m:e>
        </m:d>
        <m:r>
          <w:rPr>
            <w:rFonts w:ascii="Cambria Math" w:hAnsi="Cambria Math"/>
            <w:lang w:val="en-US"/>
          </w:rPr>
          <m:t>=</m:t>
        </m:r>
        <m:f>
          <m:fPr>
            <m:ctrlPr>
              <w:rPr>
                <w:rFonts w:ascii="Cambria Math" w:hAnsi="Cambria Math"/>
                <w:i/>
                <w:iCs/>
                <w:lang w:val="nl-BE"/>
              </w:rPr>
            </m:ctrlPr>
          </m:fPr>
          <m:num>
            <m:r>
              <w:rPr>
                <w:rFonts w:ascii="Cambria Math" w:hAnsi="Cambria Math"/>
                <w:lang w:val="en-GB"/>
              </w:rPr>
              <m:t>1</m:t>
            </m:r>
          </m:num>
          <m:den>
            <m:sSub>
              <m:sSubPr>
                <m:ctrlPr>
                  <w:rPr>
                    <w:rFonts w:ascii="Cambria Math" w:hAnsi="Cambria Math"/>
                    <w:i/>
                    <w:iCs/>
                    <w:lang w:val="en-GB"/>
                  </w:rPr>
                </m:ctrlPr>
              </m:sSubPr>
              <m:e>
                <m:r>
                  <w:rPr>
                    <w:rFonts w:ascii="Cambria Math" w:hAnsi="Cambria Math"/>
                    <w:lang w:val="en-GB"/>
                  </w:rPr>
                  <m:t>σ</m:t>
                </m:r>
              </m:e>
              <m:sub>
                <m:r>
                  <w:rPr>
                    <w:rFonts w:ascii="Cambria Math" w:hAnsi="Cambria Math"/>
                    <w:lang w:val="en-US"/>
                  </w:rPr>
                  <m:t>n</m:t>
                </m:r>
              </m:sub>
            </m:sSub>
            <m:r>
              <w:rPr>
                <w:rFonts w:ascii="Cambria Math" w:hAnsi="Cambria Math"/>
                <w:lang w:val="en-GB"/>
              </w:rPr>
              <m:t> </m:t>
            </m:r>
            <m:rad>
              <m:radPr>
                <m:degHide m:val="1"/>
                <m:ctrlPr>
                  <w:rPr>
                    <w:rFonts w:ascii="Cambria Math" w:hAnsi="Cambria Math"/>
                    <w:i/>
                    <w:iCs/>
                    <w:lang w:val="nl-BE"/>
                  </w:rPr>
                </m:ctrlPr>
              </m:radPr>
              <m:deg/>
              <m:e>
                <m:r>
                  <w:rPr>
                    <w:rFonts w:ascii="Cambria Math" w:hAnsi="Cambria Math"/>
                    <w:lang w:val="en-GB"/>
                  </w:rPr>
                  <m:t>2π</m:t>
                </m:r>
              </m:e>
            </m:rad>
          </m:den>
        </m:f>
        <m:r>
          <w:rPr>
            <w:rFonts w:ascii="Cambria Math" w:hAnsi="Cambria Math"/>
            <w:lang w:val="en-GB"/>
          </w:rPr>
          <m:t> </m:t>
        </m:r>
        <m:sSup>
          <m:sSupPr>
            <m:ctrlPr>
              <w:rPr>
                <w:rFonts w:ascii="Cambria Math" w:hAnsi="Cambria Math"/>
                <w:i/>
                <w:iCs/>
                <w:lang w:val="nl-BE"/>
              </w:rPr>
            </m:ctrlPr>
          </m:sSupPr>
          <m:e>
            <m:r>
              <w:rPr>
                <w:rFonts w:ascii="Cambria Math" w:hAnsi="Cambria Math"/>
                <w:lang w:val="en-GB"/>
              </w:rPr>
              <m:t>e</m:t>
            </m:r>
          </m:e>
          <m:sup>
            <m:d>
              <m:dPr>
                <m:begChr m:val="["/>
                <m:endChr m:val="]"/>
                <m:ctrlPr>
                  <w:rPr>
                    <w:rFonts w:ascii="Cambria Math" w:hAnsi="Cambria Math"/>
                    <w:i/>
                    <w:iCs/>
                    <w:lang w:val="nl-BE"/>
                  </w:rPr>
                </m:ctrlPr>
              </m:dPr>
              <m:e>
                <m:r>
                  <w:rPr>
                    <w:rFonts w:ascii="Cambria Math" w:hAnsi="Cambria Math"/>
                    <w:lang w:val="en-GB"/>
                  </w:rPr>
                  <m:t>-</m:t>
                </m:r>
                <m:f>
                  <m:fPr>
                    <m:ctrlPr>
                      <w:rPr>
                        <w:rFonts w:ascii="Cambria Math" w:hAnsi="Cambria Math"/>
                        <w:i/>
                        <w:iCs/>
                        <w:lang w:val="nl-BE"/>
                      </w:rPr>
                    </m:ctrlPr>
                  </m:fPr>
                  <m:num>
                    <m:sSup>
                      <m:sSupPr>
                        <m:ctrlPr>
                          <w:rPr>
                            <w:rFonts w:ascii="Cambria Math" w:hAnsi="Cambria Math"/>
                            <w:i/>
                            <w:iCs/>
                            <w:lang w:val="nl-BE"/>
                          </w:rPr>
                        </m:ctrlPr>
                      </m:sSupPr>
                      <m:e>
                        <m:r>
                          <w:rPr>
                            <w:rFonts w:ascii="Cambria Math" w:hAnsi="Cambria Math"/>
                            <w:lang w:val="en-GB"/>
                          </w:rPr>
                          <m:t>(x-</m:t>
                        </m:r>
                        <m:sSub>
                          <m:sSubPr>
                            <m:ctrlPr>
                              <w:rPr>
                                <w:rFonts w:ascii="Cambria Math" w:hAnsi="Cambria Math"/>
                                <w:i/>
                                <w:iCs/>
                                <w:lang w:val="en-GB"/>
                              </w:rPr>
                            </m:ctrlPr>
                          </m:sSubPr>
                          <m:e>
                            <m:r>
                              <w:rPr>
                                <w:rFonts w:ascii="Cambria Math" w:hAnsi="Cambria Math"/>
                                <w:lang w:val="en-GB"/>
                              </w:rPr>
                              <m:t>μ</m:t>
                            </m:r>
                          </m:e>
                          <m:sub>
                            <m:r>
                              <w:rPr>
                                <w:rFonts w:ascii="Cambria Math" w:hAnsi="Cambria Math"/>
                                <w:lang w:val="en-US"/>
                              </w:rPr>
                              <m:t>n</m:t>
                            </m:r>
                          </m:sub>
                        </m:sSub>
                        <m:r>
                          <w:rPr>
                            <w:rFonts w:ascii="Cambria Math" w:hAnsi="Cambria Math"/>
                            <w:lang w:val="en-GB"/>
                          </w:rPr>
                          <m:t>)</m:t>
                        </m:r>
                      </m:e>
                      <m:sup>
                        <m:r>
                          <w:rPr>
                            <w:rFonts w:ascii="Cambria Math" w:hAnsi="Cambria Math"/>
                            <w:lang w:val="en-GB"/>
                          </w:rPr>
                          <m:t>2</m:t>
                        </m:r>
                      </m:sup>
                    </m:sSup>
                  </m:num>
                  <m:den>
                    <m:r>
                      <w:rPr>
                        <w:rFonts w:ascii="Cambria Math" w:hAnsi="Cambria Math"/>
                        <w:lang w:val="en-GB"/>
                      </w:rPr>
                      <m:t>2 </m:t>
                    </m:r>
                    <m:sSup>
                      <m:sSupPr>
                        <m:ctrlPr>
                          <w:rPr>
                            <w:rFonts w:ascii="Cambria Math" w:hAnsi="Cambria Math"/>
                            <w:i/>
                            <w:iCs/>
                            <w:lang w:val="en-GB"/>
                          </w:rPr>
                        </m:ctrlPr>
                      </m:sSupPr>
                      <m:e>
                        <m:r>
                          <w:rPr>
                            <w:rFonts w:ascii="Cambria Math" w:hAnsi="Cambria Math"/>
                            <w:lang w:val="en-US"/>
                          </w:rPr>
                          <m:t>(</m:t>
                        </m:r>
                        <m:sSub>
                          <m:sSubPr>
                            <m:ctrlPr>
                              <w:rPr>
                                <w:rFonts w:ascii="Cambria Math" w:hAnsi="Cambria Math"/>
                                <w:i/>
                                <w:iCs/>
                                <w:lang w:val="en-US"/>
                              </w:rPr>
                            </m:ctrlPr>
                          </m:sSubPr>
                          <m:e>
                            <m:r>
                              <w:rPr>
                                <w:rFonts w:ascii="Cambria Math" w:hAnsi="Cambria Math"/>
                                <w:lang w:val="en-US"/>
                              </w:rPr>
                              <m:t>σ</m:t>
                            </m:r>
                          </m:e>
                          <m:sub>
                            <m:r>
                              <w:rPr>
                                <w:rFonts w:ascii="Cambria Math" w:hAnsi="Cambria Math"/>
                                <w:lang w:val="en-US"/>
                              </w:rPr>
                              <m:t>n</m:t>
                            </m:r>
                          </m:sub>
                        </m:sSub>
                        <m:r>
                          <w:rPr>
                            <w:rFonts w:ascii="Cambria Math" w:hAnsi="Cambria Math"/>
                            <w:lang w:val="en-US"/>
                          </w:rPr>
                          <m:t>)</m:t>
                        </m:r>
                      </m:e>
                      <m:sup>
                        <m:r>
                          <w:rPr>
                            <w:rFonts w:ascii="Cambria Math" w:hAnsi="Cambria Math"/>
                            <w:lang w:val="en-US"/>
                          </w:rPr>
                          <m:t>2</m:t>
                        </m:r>
                      </m:sup>
                    </m:sSup>
                  </m:den>
                </m:f>
              </m:e>
            </m:d>
          </m:sup>
        </m:sSup>
      </m:oMath>
    </w:p>
    <w:p w14:paraId="06197767" w14:textId="5E0E7507" w:rsidR="00F47030" w:rsidRPr="00FB1A58" w:rsidRDefault="00CF5675" w:rsidP="00F205EB">
      <w:pPr>
        <w:pStyle w:val="Heading3"/>
        <w:rPr>
          <w:color w:val="auto"/>
          <w:lang w:val="en-GB"/>
        </w:rPr>
      </w:pPr>
      <w:r w:rsidRPr="00FB1A58">
        <w:rPr>
          <w:color w:val="auto"/>
          <w:lang w:val="en-GB"/>
        </w:rPr>
        <w:t>Numerical Examples</w:t>
      </w:r>
    </w:p>
    <w:p w14:paraId="1D11DB4F" w14:textId="5F9FBC90" w:rsidR="0018498C" w:rsidRPr="00FB1A58" w:rsidRDefault="00A7692F" w:rsidP="004010F0">
      <w:pPr>
        <w:rPr>
          <w:lang w:val="en-GB"/>
        </w:rPr>
      </w:pPr>
      <w:r w:rsidRPr="00FB1A58">
        <w:rPr>
          <w:lang w:val="en-GB"/>
        </w:rPr>
        <w:t xml:space="preserve">Consider that you </w:t>
      </w:r>
      <w:r w:rsidR="00FC0B3F" w:rsidRPr="00FB1A58">
        <w:rPr>
          <w:lang w:val="en-GB"/>
        </w:rPr>
        <w:t>administer an intelligence test with known population mean of 100 and a known population standard deviation of 15</w:t>
      </w:r>
      <w:r w:rsidR="00300B63" w:rsidRPr="00FB1A58">
        <w:rPr>
          <w:lang w:val="en-GB"/>
        </w:rPr>
        <w:t xml:space="preserve"> in the normative group</w:t>
      </w:r>
      <w:r w:rsidR="00FC0B3F" w:rsidRPr="00FB1A58">
        <w:rPr>
          <w:lang w:val="en-GB"/>
        </w:rPr>
        <w:t>.</w:t>
      </w:r>
      <w:r w:rsidR="00300B63" w:rsidRPr="00FB1A58">
        <w:rPr>
          <w:lang w:val="en-GB"/>
        </w:rPr>
        <w:t xml:space="preserve"> You administer this test to a </w:t>
      </w:r>
      <w:r w:rsidR="00ED50E2" w:rsidRPr="00FB1A58">
        <w:rPr>
          <w:lang w:val="en-GB"/>
        </w:rPr>
        <w:t xml:space="preserve">person </w:t>
      </w:r>
      <w:r w:rsidR="00300B63" w:rsidRPr="00FB1A58">
        <w:rPr>
          <w:lang w:val="en-GB"/>
        </w:rPr>
        <w:t xml:space="preserve">who scores 70. A score of 70 corresponds to a z-score of -2. The latter indicates that this score is unlikely to occur if the </w:t>
      </w:r>
      <w:r w:rsidR="00ED50E2" w:rsidRPr="00FB1A58">
        <w:rPr>
          <w:lang w:val="en-GB"/>
        </w:rPr>
        <w:t xml:space="preserve">person </w:t>
      </w:r>
      <w:r w:rsidR="00300B63" w:rsidRPr="00FB1A58">
        <w:rPr>
          <w:lang w:val="en-GB"/>
        </w:rPr>
        <w:t>would belong to the normative group.</w:t>
      </w:r>
      <w:r w:rsidR="0018498C" w:rsidRPr="00FB1A58">
        <w:rPr>
          <w:lang w:val="en-GB"/>
        </w:rPr>
        <w:t xml:space="preserve"> </w:t>
      </w:r>
    </w:p>
    <w:p w14:paraId="59EA21A3" w14:textId="7E8DBD74" w:rsidR="004F6D95" w:rsidRPr="00FB1A58" w:rsidRDefault="0018498C" w:rsidP="004010F0">
      <w:pPr>
        <w:rPr>
          <w:lang w:val="en-GB"/>
        </w:rPr>
      </w:pPr>
      <w:r w:rsidRPr="00FB1A58">
        <w:rPr>
          <w:lang w:val="en-GB"/>
        </w:rPr>
        <w:t xml:space="preserve">However, you aim to know whether the </w:t>
      </w:r>
      <w:r w:rsidR="00ED50E2" w:rsidRPr="00FB1A58">
        <w:rPr>
          <w:lang w:val="en-GB"/>
        </w:rPr>
        <w:t xml:space="preserve">person’s </w:t>
      </w:r>
      <w:r w:rsidRPr="00FB1A58">
        <w:rPr>
          <w:lang w:val="en-GB"/>
        </w:rPr>
        <w:t xml:space="preserve">test score indicates that the </w:t>
      </w:r>
      <w:r w:rsidR="003D03DF" w:rsidRPr="00FB1A58">
        <w:rPr>
          <w:lang w:val="en-GB"/>
        </w:rPr>
        <w:t xml:space="preserve">person </w:t>
      </w:r>
      <w:r w:rsidRPr="00FB1A58">
        <w:rPr>
          <w:lang w:val="en-GB"/>
        </w:rPr>
        <w:t>either belongs to a specific patient group or the normative group.</w:t>
      </w:r>
      <w:r w:rsidR="000016DA" w:rsidRPr="00FB1A58">
        <w:rPr>
          <w:lang w:val="en-GB"/>
        </w:rPr>
        <w:t xml:space="preserve"> Consider, a</w:t>
      </w:r>
      <w:r w:rsidR="007E38C1" w:rsidRPr="00FB1A58">
        <w:rPr>
          <w:lang w:val="en-GB"/>
        </w:rPr>
        <w:t xml:space="preserve"> first </w:t>
      </w:r>
      <w:r w:rsidR="003A4EEE" w:rsidRPr="00FB1A58">
        <w:rPr>
          <w:lang w:val="en-GB"/>
        </w:rPr>
        <w:t xml:space="preserve">patient </w:t>
      </w:r>
      <w:r w:rsidR="007E38C1" w:rsidRPr="00FB1A58">
        <w:rPr>
          <w:lang w:val="en-GB"/>
        </w:rPr>
        <w:t xml:space="preserve">group </w:t>
      </w:r>
      <w:r w:rsidR="000016DA" w:rsidRPr="00FB1A58">
        <w:rPr>
          <w:lang w:val="en-GB"/>
        </w:rPr>
        <w:t>with</w:t>
      </w:r>
      <w:r w:rsidR="007E38C1" w:rsidRPr="00FB1A58">
        <w:rPr>
          <w:lang w:val="en-GB"/>
        </w:rPr>
        <w:t xml:space="preserve"> a mean of 93 and standard deviation </w:t>
      </w:r>
      <w:r w:rsidR="007E38C1" w:rsidRPr="00FB1A58">
        <w:rPr>
          <w:lang w:val="en-GB"/>
        </w:rPr>
        <w:lastRenderedPageBreak/>
        <w:t>of 15</w:t>
      </w:r>
      <w:r w:rsidR="00784E38" w:rsidRPr="00FB1A58">
        <w:rPr>
          <w:lang w:val="en-GB"/>
        </w:rPr>
        <w:t xml:space="preserve"> (Figure </w:t>
      </w:r>
      <w:r w:rsidR="00630273" w:rsidRPr="00FB1A58">
        <w:rPr>
          <w:lang w:val="en-GB"/>
        </w:rPr>
        <w:t>B1</w:t>
      </w:r>
      <w:r w:rsidR="00983BC7" w:rsidRPr="00FB1A58">
        <w:rPr>
          <w:lang w:val="en-GB"/>
        </w:rPr>
        <w:t>.</w:t>
      </w:r>
      <w:r w:rsidR="00784E38" w:rsidRPr="00FB1A58">
        <w:rPr>
          <w:lang w:val="en-GB"/>
        </w:rPr>
        <w:t>A, left panel)</w:t>
      </w:r>
      <w:r w:rsidR="007E38C1" w:rsidRPr="00FB1A58">
        <w:rPr>
          <w:lang w:val="en-GB"/>
        </w:rPr>
        <w:t xml:space="preserve">. To evaluate to which extent the </w:t>
      </w:r>
      <w:r w:rsidR="00ED50E2" w:rsidRPr="00FB1A58">
        <w:rPr>
          <w:lang w:val="en-GB"/>
        </w:rPr>
        <w:t xml:space="preserve">person’s </w:t>
      </w:r>
      <w:r w:rsidR="007E38C1" w:rsidRPr="00FB1A58">
        <w:rPr>
          <w:lang w:val="en-GB"/>
        </w:rPr>
        <w:t>test score best matches either one of the two groups, we calculate the BF</w:t>
      </w:r>
      <w:r w:rsidR="007E38C1" w:rsidRPr="00FB1A58">
        <w:rPr>
          <w:vertAlign w:val="subscript"/>
          <w:lang w:val="en-GB"/>
        </w:rPr>
        <w:t>10</w:t>
      </w:r>
      <w:r w:rsidR="007E38C1" w:rsidRPr="00FB1A58">
        <w:rPr>
          <w:lang w:val="en-GB"/>
        </w:rPr>
        <w:t xml:space="preserve"> using the probability density functions of the normal distribution</w:t>
      </w:r>
      <w:r w:rsidR="00555036" w:rsidRPr="00FB1A58">
        <w:rPr>
          <w:lang w:val="en-GB"/>
        </w:rPr>
        <w:t>s</w:t>
      </w:r>
      <w:r w:rsidR="007E38C1" w:rsidRPr="00FB1A58">
        <w:rPr>
          <w:lang w:val="en-GB"/>
        </w:rPr>
        <w:t>. For this scenario, the BF</w:t>
      </w:r>
      <w:r w:rsidR="007E38C1" w:rsidRPr="00FB1A58">
        <w:rPr>
          <w:vertAlign w:val="subscript"/>
          <w:lang w:val="en-GB"/>
        </w:rPr>
        <w:t>10</w:t>
      </w:r>
      <w:r w:rsidR="007E38C1" w:rsidRPr="00FB1A58">
        <w:rPr>
          <w:lang w:val="en-GB"/>
        </w:rPr>
        <w:t xml:space="preserve"> equals </w:t>
      </w:r>
      <w:r w:rsidR="0085716E" w:rsidRPr="00FB1A58">
        <w:rPr>
          <w:lang w:val="en-GB"/>
        </w:rPr>
        <w:t>2</w:t>
      </w:r>
      <w:r w:rsidR="00043086" w:rsidRPr="00FB1A58">
        <w:rPr>
          <w:lang w:val="en-GB"/>
        </w:rPr>
        <w:t>.</w:t>
      </w:r>
      <w:r w:rsidR="003D03DF" w:rsidRPr="00FB1A58">
        <w:rPr>
          <w:lang w:val="en-GB"/>
        </w:rPr>
        <w:t>28</w:t>
      </w:r>
      <w:r w:rsidR="0085716E" w:rsidRPr="00FB1A58">
        <w:rPr>
          <w:lang w:val="en-GB"/>
        </w:rPr>
        <w:t xml:space="preserve">. Thus, based on the </w:t>
      </w:r>
      <w:r w:rsidR="00ED50E2" w:rsidRPr="00FB1A58">
        <w:rPr>
          <w:lang w:val="en-GB"/>
        </w:rPr>
        <w:t xml:space="preserve">person’s </w:t>
      </w:r>
      <w:r w:rsidR="0085716E" w:rsidRPr="00FB1A58">
        <w:rPr>
          <w:lang w:val="en-GB"/>
        </w:rPr>
        <w:t xml:space="preserve">test score it is unclear whether the </w:t>
      </w:r>
      <w:r w:rsidR="00ED50E2" w:rsidRPr="00FB1A58">
        <w:rPr>
          <w:lang w:val="en-GB"/>
        </w:rPr>
        <w:t xml:space="preserve">person </w:t>
      </w:r>
      <w:r w:rsidR="0085716E" w:rsidRPr="00FB1A58">
        <w:rPr>
          <w:lang w:val="en-GB"/>
        </w:rPr>
        <w:t xml:space="preserve">belongs either to the </w:t>
      </w:r>
      <w:r w:rsidR="003A4EEE" w:rsidRPr="00FB1A58">
        <w:rPr>
          <w:lang w:val="en-GB"/>
        </w:rPr>
        <w:t xml:space="preserve">patient </w:t>
      </w:r>
      <w:r w:rsidR="0085716E" w:rsidRPr="00FB1A58">
        <w:rPr>
          <w:lang w:val="en-GB"/>
        </w:rPr>
        <w:t>or normative group.</w:t>
      </w:r>
      <w:r w:rsidR="00777836" w:rsidRPr="00FB1A58">
        <w:rPr>
          <w:lang w:val="en-GB"/>
        </w:rPr>
        <w:t xml:space="preserve"> </w:t>
      </w:r>
    </w:p>
    <w:p w14:paraId="6B53B297" w14:textId="1EA9F458" w:rsidR="00C615B5" w:rsidRPr="00FB1A58" w:rsidRDefault="00C615B5" w:rsidP="004010F0">
      <w:pPr>
        <w:rPr>
          <w:lang w:val="nl-BE"/>
        </w:rPr>
      </w:pPr>
      <m:oMathPara>
        <m:oMath>
          <m:r>
            <w:rPr>
              <w:rFonts w:ascii="Cambria Math" w:hAnsi="Cambria Math"/>
              <w:lang w:val="en-US"/>
            </w:rPr>
            <m:t>p</m:t>
          </m:r>
          <m:d>
            <m:dPr>
              <m:ctrlPr>
                <w:rPr>
                  <w:rFonts w:ascii="Cambria Math" w:hAnsi="Cambria Math"/>
                  <w:i/>
                  <w:iCs/>
                  <w:lang w:val="en-US"/>
                </w:rPr>
              </m:ctrlPr>
            </m:dPr>
            <m:e>
              <m:r>
                <w:rPr>
                  <w:rFonts w:ascii="Cambria Math" w:hAnsi="Cambria Math"/>
                  <w:lang w:val="en-US"/>
                </w:rPr>
                <m:t>70</m:t>
              </m:r>
            </m:e>
            <m:e>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0</m:t>
                  </m:r>
                </m:sub>
              </m:sSub>
            </m:e>
          </m:d>
          <m:r>
            <w:rPr>
              <w:rFonts w:ascii="Cambria Math" w:hAnsi="Cambria Math"/>
              <w:lang w:val="en-US"/>
            </w:rPr>
            <m:t>=p</m:t>
          </m:r>
          <m:d>
            <m:dPr>
              <m:ctrlPr>
                <w:rPr>
                  <w:rFonts w:ascii="Cambria Math" w:hAnsi="Cambria Math"/>
                  <w:i/>
                  <w:iCs/>
                  <w:lang w:val="en-US"/>
                </w:rPr>
              </m:ctrlPr>
            </m:dPr>
            <m:e>
              <m:r>
                <w:rPr>
                  <w:rFonts w:ascii="Cambria Math" w:hAnsi="Cambria Math"/>
                  <w:lang w:val="en-US"/>
                </w:rPr>
                <m:t>70</m:t>
              </m:r>
            </m:e>
            <m:e>
              <m:r>
                <w:rPr>
                  <w:rFonts w:ascii="Cambria Math" w:hAnsi="Cambria Math"/>
                  <w:lang w:val="en-US"/>
                </w:rPr>
                <m:t>100, 15</m:t>
              </m:r>
            </m:e>
          </m:d>
          <m:r>
            <w:rPr>
              <w:rFonts w:ascii="Cambria Math" w:hAnsi="Cambria Math"/>
              <w:lang w:val="en-US"/>
            </w:rPr>
            <m:t>=</m:t>
          </m:r>
          <m:f>
            <m:fPr>
              <m:ctrlPr>
                <w:rPr>
                  <w:rFonts w:ascii="Cambria Math" w:hAnsi="Cambria Math"/>
                  <w:i/>
                  <w:iCs/>
                  <w:lang w:val="nl-BE"/>
                </w:rPr>
              </m:ctrlPr>
            </m:fPr>
            <m:num>
              <m:r>
                <w:rPr>
                  <w:rFonts w:ascii="Cambria Math" w:hAnsi="Cambria Math"/>
                  <w:lang w:val="en-GB"/>
                </w:rPr>
                <m:t>1</m:t>
              </m:r>
            </m:num>
            <m:den>
              <m:r>
                <w:rPr>
                  <w:rFonts w:ascii="Cambria Math" w:hAnsi="Cambria Math"/>
                  <w:lang w:val="en-US"/>
                </w:rPr>
                <m:t>15</m:t>
              </m:r>
              <m:rad>
                <m:radPr>
                  <m:degHide m:val="1"/>
                  <m:ctrlPr>
                    <w:rPr>
                      <w:rFonts w:ascii="Cambria Math" w:hAnsi="Cambria Math"/>
                      <w:i/>
                      <w:iCs/>
                      <w:lang w:val="nl-BE"/>
                    </w:rPr>
                  </m:ctrlPr>
                </m:radPr>
                <m:deg/>
                <m:e>
                  <m:r>
                    <w:rPr>
                      <w:rFonts w:ascii="Cambria Math" w:hAnsi="Cambria Math"/>
                      <w:lang w:val="en-GB"/>
                    </w:rPr>
                    <m:t>2π</m:t>
                  </m:r>
                </m:e>
              </m:rad>
            </m:den>
          </m:f>
          <m:r>
            <w:rPr>
              <w:rFonts w:ascii="Cambria Math" w:hAnsi="Cambria Math"/>
              <w:lang w:val="en-GB"/>
            </w:rPr>
            <m:t> </m:t>
          </m:r>
          <m:sSup>
            <m:sSupPr>
              <m:ctrlPr>
                <w:rPr>
                  <w:rFonts w:ascii="Cambria Math" w:hAnsi="Cambria Math"/>
                  <w:i/>
                  <w:iCs/>
                  <w:lang w:val="nl-BE"/>
                </w:rPr>
              </m:ctrlPr>
            </m:sSupPr>
            <m:e>
              <m:r>
                <w:rPr>
                  <w:rFonts w:ascii="Cambria Math" w:hAnsi="Cambria Math"/>
                  <w:lang w:val="en-GB"/>
                </w:rPr>
                <m:t>e</m:t>
              </m:r>
            </m:e>
            <m:sup>
              <m:d>
                <m:dPr>
                  <m:begChr m:val="["/>
                  <m:endChr m:val="]"/>
                  <m:ctrlPr>
                    <w:rPr>
                      <w:rFonts w:ascii="Cambria Math" w:hAnsi="Cambria Math"/>
                      <w:i/>
                      <w:iCs/>
                      <w:lang w:val="nl-BE"/>
                    </w:rPr>
                  </m:ctrlPr>
                </m:dPr>
                <m:e>
                  <m:r>
                    <w:rPr>
                      <w:rFonts w:ascii="Cambria Math" w:hAnsi="Cambria Math"/>
                      <w:lang w:val="en-GB"/>
                    </w:rPr>
                    <m:t>-</m:t>
                  </m:r>
                  <m:f>
                    <m:fPr>
                      <m:ctrlPr>
                        <w:rPr>
                          <w:rFonts w:ascii="Cambria Math" w:hAnsi="Cambria Math"/>
                          <w:i/>
                          <w:iCs/>
                          <w:lang w:val="nl-BE"/>
                        </w:rPr>
                      </m:ctrlPr>
                    </m:fPr>
                    <m:num>
                      <m:sSup>
                        <m:sSupPr>
                          <m:ctrlPr>
                            <w:rPr>
                              <w:rFonts w:ascii="Cambria Math" w:hAnsi="Cambria Math"/>
                              <w:i/>
                              <w:iCs/>
                              <w:lang w:val="nl-BE"/>
                            </w:rPr>
                          </m:ctrlPr>
                        </m:sSupPr>
                        <m:e>
                          <m:r>
                            <w:rPr>
                              <w:rFonts w:ascii="Cambria Math" w:hAnsi="Cambria Math"/>
                              <w:lang w:val="en-GB"/>
                            </w:rPr>
                            <m:t>(</m:t>
                          </m:r>
                          <m:r>
                            <w:rPr>
                              <w:rFonts w:ascii="Cambria Math" w:hAnsi="Cambria Math"/>
                              <w:lang w:val="en-US"/>
                            </w:rPr>
                            <m:t>70</m:t>
                          </m:r>
                          <m:r>
                            <w:rPr>
                              <w:rFonts w:ascii="Cambria Math" w:hAnsi="Cambria Math"/>
                              <w:lang w:val="en-GB"/>
                            </w:rPr>
                            <m:t>-</m:t>
                          </m:r>
                          <m:r>
                            <w:rPr>
                              <w:rFonts w:ascii="Cambria Math" w:hAnsi="Cambria Math"/>
                              <w:lang w:val="en-US"/>
                            </w:rPr>
                            <m:t>100</m:t>
                          </m:r>
                          <m:r>
                            <w:rPr>
                              <w:rFonts w:ascii="Cambria Math" w:hAnsi="Cambria Math"/>
                              <w:lang w:val="en-GB"/>
                            </w:rPr>
                            <m:t>)</m:t>
                          </m:r>
                        </m:e>
                        <m:sup>
                          <m:r>
                            <w:rPr>
                              <w:rFonts w:ascii="Cambria Math" w:hAnsi="Cambria Math"/>
                              <w:lang w:val="en-GB"/>
                            </w:rPr>
                            <m:t>2</m:t>
                          </m:r>
                        </m:sup>
                      </m:sSup>
                    </m:num>
                    <m:den>
                      <m:r>
                        <w:rPr>
                          <w:rFonts w:ascii="Cambria Math" w:hAnsi="Cambria Math"/>
                          <w:lang w:val="en-GB"/>
                        </w:rPr>
                        <m:t>2 </m:t>
                      </m:r>
                      <m:sSup>
                        <m:sSupPr>
                          <m:ctrlPr>
                            <w:rPr>
                              <w:rFonts w:ascii="Cambria Math" w:hAnsi="Cambria Math"/>
                              <w:i/>
                              <w:iCs/>
                              <w:lang w:val="en-GB"/>
                            </w:rPr>
                          </m:ctrlPr>
                        </m:sSupPr>
                        <m:e>
                          <m:r>
                            <w:rPr>
                              <w:rFonts w:ascii="Cambria Math" w:hAnsi="Cambria Math"/>
                              <w:lang w:val="en-US"/>
                            </w:rPr>
                            <m:t>(15)</m:t>
                          </m:r>
                        </m:e>
                        <m:sup>
                          <m:r>
                            <w:rPr>
                              <w:rFonts w:ascii="Cambria Math" w:hAnsi="Cambria Math"/>
                              <w:lang w:val="en-US"/>
                            </w:rPr>
                            <m:t>2</m:t>
                          </m:r>
                        </m:sup>
                      </m:sSup>
                    </m:den>
                  </m:f>
                </m:e>
              </m:d>
            </m:sup>
          </m:sSup>
          <m:r>
            <w:rPr>
              <w:rFonts w:ascii="Cambria Math" w:hAnsi="Cambria Math"/>
              <w:lang w:val="en-US"/>
            </w:rPr>
            <m:t>=0.0036</m:t>
          </m:r>
        </m:oMath>
      </m:oMathPara>
    </w:p>
    <w:p w14:paraId="370DF13F" w14:textId="5B81ADE0" w:rsidR="00C615B5" w:rsidRPr="00FB1A58" w:rsidRDefault="00C615B5" w:rsidP="00C615B5">
      <w:pPr>
        <w:rPr>
          <w:lang w:val="nl-BE"/>
        </w:rPr>
      </w:pPr>
      <m:oMathPara>
        <m:oMathParaPr>
          <m:jc m:val="centerGroup"/>
        </m:oMathParaPr>
        <m:oMath>
          <m:r>
            <w:rPr>
              <w:rFonts w:ascii="Cambria Math" w:hAnsi="Cambria Math"/>
              <w:lang w:val="en-US"/>
            </w:rPr>
            <m:t>p</m:t>
          </m:r>
          <m:d>
            <m:dPr>
              <m:ctrlPr>
                <w:rPr>
                  <w:rFonts w:ascii="Cambria Math" w:hAnsi="Cambria Math"/>
                  <w:i/>
                  <w:iCs/>
                  <w:lang w:val="en-US"/>
                </w:rPr>
              </m:ctrlPr>
            </m:dPr>
            <m:e>
              <m:r>
                <w:rPr>
                  <w:rFonts w:ascii="Cambria Math" w:hAnsi="Cambria Math"/>
                  <w:lang w:val="en-US"/>
                </w:rPr>
                <m:t>70</m:t>
              </m:r>
            </m:e>
            <m:e>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1</m:t>
                  </m:r>
                </m:sub>
              </m:sSub>
            </m:e>
          </m:d>
          <m:r>
            <w:rPr>
              <w:rFonts w:ascii="Cambria Math" w:hAnsi="Cambria Math"/>
              <w:lang w:val="en-US"/>
            </w:rPr>
            <m:t>=p</m:t>
          </m:r>
          <m:d>
            <m:dPr>
              <m:ctrlPr>
                <w:rPr>
                  <w:rFonts w:ascii="Cambria Math" w:hAnsi="Cambria Math"/>
                  <w:i/>
                  <w:iCs/>
                  <w:lang w:val="en-US"/>
                </w:rPr>
              </m:ctrlPr>
            </m:dPr>
            <m:e>
              <m:r>
                <w:rPr>
                  <w:rFonts w:ascii="Cambria Math" w:hAnsi="Cambria Math"/>
                  <w:lang w:val="en-US"/>
                </w:rPr>
                <m:t>70</m:t>
              </m:r>
            </m:e>
            <m:e>
              <m:r>
                <w:rPr>
                  <w:rFonts w:ascii="Cambria Math" w:hAnsi="Cambria Math"/>
                  <w:lang w:val="en-US"/>
                </w:rPr>
                <m:t>93, 15</m:t>
              </m:r>
            </m:e>
          </m:d>
          <m:r>
            <w:rPr>
              <w:rFonts w:ascii="Cambria Math" w:hAnsi="Cambria Math"/>
              <w:lang w:val="en-US"/>
            </w:rPr>
            <m:t>=</m:t>
          </m:r>
          <m:f>
            <m:fPr>
              <m:ctrlPr>
                <w:rPr>
                  <w:rFonts w:ascii="Cambria Math" w:hAnsi="Cambria Math"/>
                  <w:i/>
                  <w:iCs/>
                  <w:lang w:val="nl-BE"/>
                </w:rPr>
              </m:ctrlPr>
            </m:fPr>
            <m:num>
              <m:r>
                <w:rPr>
                  <w:rFonts w:ascii="Cambria Math" w:hAnsi="Cambria Math"/>
                  <w:lang w:val="en-GB"/>
                </w:rPr>
                <m:t>1</m:t>
              </m:r>
            </m:num>
            <m:den>
              <m:r>
                <w:rPr>
                  <w:rFonts w:ascii="Cambria Math" w:hAnsi="Cambria Math"/>
                  <w:lang w:val="en-US"/>
                </w:rPr>
                <m:t>15</m:t>
              </m:r>
              <m:rad>
                <m:radPr>
                  <m:degHide m:val="1"/>
                  <m:ctrlPr>
                    <w:rPr>
                      <w:rFonts w:ascii="Cambria Math" w:hAnsi="Cambria Math"/>
                      <w:i/>
                      <w:iCs/>
                      <w:lang w:val="nl-BE"/>
                    </w:rPr>
                  </m:ctrlPr>
                </m:radPr>
                <m:deg/>
                <m:e>
                  <m:r>
                    <w:rPr>
                      <w:rFonts w:ascii="Cambria Math" w:hAnsi="Cambria Math"/>
                      <w:lang w:val="en-GB"/>
                    </w:rPr>
                    <m:t>2π</m:t>
                  </m:r>
                </m:e>
              </m:rad>
            </m:den>
          </m:f>
          <m:r>
            <w:rPr>
              <w:rFonts w:ascii="Cambria Math" w:hAnsi="Cambria Math"/>
              <w:lang w:val="en-GB"/>
            </w:rPr>
            <m:t> </m:t>
          </m:r>
          <m:sSup>
            <m:sSupPr>
              <m:ctrlPr>
                <w:rPr>
                  <w:rFonts w:ascii="Cambria Math" w:hAnsi="Cambria Math"/>
                  <w:i/>
                  <w:iCs/>
                  <w:lang w:val="nl-BE"/>
                </w:rPr>
              </m:ctrlPr>
            </m:sSupPr>
            <m:e>
              <m:r>
                <w:rPr>
                  <w:rFonts w:ascii="Cambria Math" w:hAnsi="Cambria Math"/>
                  <w:lang w:val="en-GB"/>
                </w:rPr>
                <m:t>e</m:t>
              </m:r>
            </m:e>
            <m:sup>
              <m:d>
                <m:dPr>
                  <m:begChr m:val="["/>
                  <m:endChr m:val="]"/>
                  <m:ctrlPr>
                    <w:rPr>
                      <w:rFonts w:ascii="Cambria Math" w:hAnsi="Cambria Math"/>
                      <w:i/>
                      <w:iCs/>
                      <w:lang w:val="nl-BE"/>
                    </w:rPr>
                  </m:ctrlPr>
                </m:dPr>
                <m:e>
                  <m:r>
                    <w:rPr>
                      <w:rFonts w:ascii="Cambria Math" w:hAnsi="Cambria Math"/>
                      <w:lang w:val="en-GB"/>
                    </w:rPr>
                    <m:t>-</m:t>
                  </m:r>
                  <m:f>
                    <m:fPr>
                      <m:ctrlPr>
                        <w:rPr>
                          <w:rFonts w:ascii="Cambria Math" w:hAnsi="Cambria Math"/>
                          <w:i/>
                          <w:iCs/>
                          <w:lang w:val="nl-BE"/>
                        </w:rPr>
                      </m:ctrlPr>
                    </m:fPr>
                    <m:num>
                      <m:sSup>
                        <m:sSupPr>
                          <m:ctrlPr>
                            <w:rPr>
                              <w:rFonts w:ascii="Cambria Math" w:hAnsi="Cambria Math"/>
                              <w:i/>
                              <w:iCs/>
                              <w:lang w:val="nl-BE"/>
                            </w:rPr>
                          </m:ctrlPr>
                        </m:sSupPr>
                        <m:e>
                          <m:r>
                            <w:rPr>
                              <w:rFonts w:ascii="Cambria Math" w:hAnsi="Cambria Math"/>
                              <w:lang w:val="en-GB"/>
                            </w:rPr>
                            <m:t>(</m:t>
                          </m:r>
                          <m:r>
                            <w:rPr>
                              <w:rFonts w:ascii="Cambria Math" w:hAnsi="Cambria Math"/>
                              <w:lang w:val="en-US"/>
                            </w:rPr>
                            <m:t>70</m:t>
                          </m:r>
                          <m:r>
                            <w:rPr>
                              <w:rFonts w:ascii="Cambria Math" w:hAnsi="Cambria Math"/>
                              <w:lang w:val="en-GB"/>
                            </w:rPr>
                            <m:t>-</m:t>
                          </m:r>
                          <m:r>
                            <w:rPr>
                              <w:rFonts w:ascii="Cambria Math" w:hAnsi="Cambria Math"/>
                              <w:lang w:val="en-US"/>
                            </w:rPr>
                            <m:t>93</m:t>
                          </m:r>
                          <m:r>
                            <w:rPr>
                              <w:rFonts w:ascii="Cambria Math" w:hAnsi="Cambria Math"/>
                              <w:lang w:val="en-GB"/>
                            </w:rPr>
                            <m:t>)</m:t>
                          </m:r>
                        </m:e>
                        <m:sup>
                          <m:r>
                            <w:rPr>
                              <w:rFonts w:ascii="Cambria Math" w:hAnsi="Cambria Math"/>
                              <w:lang w:val="en-GB"/>
                            </w:rPr>
                            <m:t>2</m:t>
                          </m:r>
                        </m:sup>
                      </m:sSup>
                    </m:num>
                    <m:den>
                      <m:r>
                        <w:rPr>
                          <w:rFonts w:ascii="Cambria Math" w:hAnsi="Cambria Math"/>
                          <w:lang w:val="en-GB"/>
                        </w:rPr>
                        <m:t>2 </m:t>
                      </m:r>
                      <m:sSup>
                        <m:sSupPr>
                          <m:ctrlPr>
                            <w:rPr>
                              <w:rFonts w:ascii="Cambria Math" w:hAnsi="Cambria Math"/>
                              <w:i/>
                              <w:iCs/>
                              <w:lang w:val="en-GB"/>
                            </w:rPr>
                          </m:ctrlPr>
                        </m:sSupPr>
                        <m:e>
                          <m:r>
                            <w:rPr>
                              <w:rFonts w:ascii="Cambria Math" w:hAnsi="Cambria Math"/>
                              <w:lang w:val="en-US"/>
                            </w:rPr>
                            <m:t>(15)</m:t>
                          </m:r>
                        </m:e>
                        <m:sup>
                          <m:r>
                            <w:rPr>
                              <w:rFonts w:ascii="Cambria Math" w:hAnsi="Cambria Math"/>
                              <w:lang w:val="en-US"/>
                            </w:rPr>
                            <m:t>2</m:t>
                          </m:r>
                        </m:sup>
                      </m:sSup>
                    </m:den>
                  </m:f>
                </m:e>
              </m:d>
            </m:sup>
          </m:sSup>
          <m:r>
            <w:rPr>
              <w:rFonts w:ascii="Cambria Math" w:hAnsi="Cambria Math"/>
              <w:lang w:val="en-US"/>
            </w:rPr>
            <m:t>=0.0082</m:t>
          </m:r>
        </m:oMath>
      </m:oMathPara>
    </w:p>
    <w:p w14:paraId="5F0C1F26" w14:textId="4D600638" w:rsidR="00A01462" w:rsidRPr="00FB1A58" w:rsidRDefault="00FE4B95" w:rsidP="004010F0">
      <w:pPr>
        <w:rPr>
          <w:lang w:val="en-GB"/>
        </w:rPr>
      </w:pPr>
      <m:oMathPara>
        <m:oMath>
          <m:sSub>
            <m:sSubPr>
              <m:ctrlPr>
                <w:rPr>
                  <w:rFonts w:ascii="Cambria Math" w:hAnsi="Cambria Math"/>
                  <w:i/>
                  <w:iCs/>
                </w:rPr>
              </m:ctrlPr>
            </m:sSubPr>
            <m:e>
              <m:r>
                <w:rPr>
                  <w:rFonts w:ascii="Cambria Math" w:hAnsi="Cambria Math"/>
                  <w:lang w:val="en-US"/>
                </w:rPr>
                <m:t>BF</m:t>
              </m:r>
            </m:e>
            <m:sub>
              <m:r>
                <w:rPr>
                  <w:rFonts w:ascii="Cambria Math" w:hAnsi="Cambria Math"/>
                  <w:lang w:val="en-US"/>
                </w:rPr>
                <m:t>10</m:t>
              </m:r>
            </m:sub>
          </m:sSub>
          <m:r>
            <w:rPr>
              <w:rFonts w:ascii="Cambria Math" w:hAnsi="Cambria Math"/>
              <w:lang w:val="en-US"/>
            </w:rPr>
            <m:t>= </m:t>
          </m:r>
          <m:f>
            <m:fPr>
              <m:ctrlPr>
                <w:rPr>
                  <w:rFonts w:ascii="Cambria Math" w:hAnsi="Cambria Math"/>
                  <w:i/>
                  <w:iCs/>
                  <w:lang w:val="en-US"/>
                </w:rPr>
              </m:ctrlPr>
            </m:fPr>
            <m:num>
              <m:r>
                <w:rPr>
                  <w:rFonts w:ascii="Cambria Math" w:hAnsi="Cambria Math"/>
                  <w:lang w:val="en-US"/>
                </w:rPr>
                <m:t>p</m:t>
              </m:r>
              <m:d>
                <m:dPr>
                  <m:ctrlPr>
                    <w:rPr>
                      <w:rFonts w:ascii="Cambria Math" w:hAnsi="Cambria Math"/>
                      <w:i/>
                      <w:iCs/>
                      <w:lang w:val="en-US"/>
                    </w:rPr>
                  </m:ctrlPr>
                </m:dPr>
                <m:e>
                  <m:r>
                    <w:rPr>
                      <w:rFonts w:ascii="Cambria Math" w:hAnsi="Cambria Math"/>
                      <w:lang w:val="en-US"/>
                    </w:rPr>
                    <m:t>70</m:t>
                  </m:r>
                </m:e>
                <m:e>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1</m:t>
                      </m:r>
                    </m:sub>
                  </m:sSub>
                </m:e>
              </m:d>
            </m:num>
            <m:den>
              <m:r>
                <w:rPr>
                  <w:rFonts w:ascii="Cambria Math" w:hAnsi="Cambria Math"/>
                  <w:lang w:val="en-US"/>
                </w:rPr>
                <m:t>p</m:t>
              </m:r>
              <m:d>
                <m:dPr>
                  <m:ctrlPr>
                    <w:rPr>
                      <w:rFonts w:ascii="Cambria Math" w:hAnsi="Cambria Math"/>
                      <w:i/>
                      <w:iCs/>
                      <w:lang w:val="en-US"/>
                    </w:rPr>
                  </m:ctrlPr>
                </m:dPr>
                <m:e>
                  <m:r>
                    <w:rPr>
                      <w:rFonts w:ascii="Cambria Math" w:hAnsi="Cambria Math"/>
                      <w:lang w:val="en-US"/>
                    </w:rPr>
                    <m:t>70</m:t>
                  </m:r>
                </m:e>
                <m:e>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0</m:t>
                      </m:r>
                    </m:sub>
                  </m:sSub>
                </m:e>
              </m:d>
            </m:den>
          </m:f>
          <m:r>
            <w:rPr>
              <w:rFonts w:ascii="Cambria Math" w:hAnsi="Cambria Math"/>
              <w:lang w:val="en-US"/>
            </w:rPr>
            <m:t>=2.28</m:t>
          </m:r>
        </m:oMath>
      </m:oMathPara>
    </w:p>
    <w:p w14:paraId="6BD4E439" w14:textId="30DCC648" w:rsidR="007E38C1" w:rsidRPr="00FB1A58" w:rsidRDefault="00777836" w:rsidP="004010F0">
      <w:pPr>
        <w:rPr>
          <w:lang w:val="en-GB"/>
        </w:rPr>
      </w:pPr>
      <w:r w:rsidRPr="00FB1A58">
        <w:rPr>
          <w:lang w:val="en-GB"/>
        </w:rPr>
        <w:t xml:space="preserve">In contrast, the second </w:t>
      </w:r>
      <w:r w:rsidR="003A4EEE" w:rsidRPr="00FB1A58">
        <w:rPr>
          <w:lang w:val="en-GB"/>
        </w:rPr>
        <w:t>patient</w:t>
      </w:r>
      <w:r w:rsidRPr="00FB1A58">
        <w:rPr>
          <w:lang w:val="en-GB"/>
        </w:rPr>
        <w:t xml:space="preserve"> group has a population mean of 78 and standard deviation of 15</w:t>
      </w:r>
      <w:r w:rsidR="00784E38" w:rsidRPr="00FB1A58">
        <w:rPr>
          <w:lang w:val="en-GB"/>
        </w:rPr>
        <w:t xml:space="preserve"> (Figure </w:t>
      </w:r>
      <w:r w:rsidR="00140C6E" w:rsidRPr="00FB1A58">
        <w:rPr>
          <w:lang w:val="en-GB"/>
        </w:rPr>
        <w:t>B1</w:t>
      </w:r>
      <w:r w:rsidR="00983BC7" w:rsidRPr="00FB1A58">
        <w:rPr>
          <w:lang w:val="en-GB"/>
        </w:rPr>
        <w:t>.</w:t>
      </w:r>
      <w:r w:rsidR="00784E38" w:rsidRPr="00FB1A58">
        <w:rPr>
          <w:lang w:val="en-GB"/>
        </w:rPr>
        <w:t>A, right panel)</w:t>
      </w:r>
      <w:r w:rsidRPr="00FB1A58">
        <w:rPr>
          <w:lang w:val="en-GB"/>
        </w:rPr>
        <w:t>. In this second scenario, the BF</w:t>
      </w:r>
      <w:r w:rsidRPr="00FB1A58">
        <w:rPr>
          <w:vertAlign w:val="subscript"/>
          <w:lang w:val="en-GB"/>
        </w:rPr>
        <w:t>10</w:t>
      </w:r>
      <w:r w:rsidRPr="00FB1A58">
        <w:rPr>
          <w:lang w:val="en-GB"/>
        </w:rPr>
        <w:t xml:space="preserve"> equals </w:t>
      </w:r>
      <w:r w:rsidR="00043086" w:rsidRPr="00FB1A58">
        <w:rPr>
          <w:lang w:val="en-GB"/>
        </w:rPr>
        <w:t>6.41. The latter</w:t>
      </w:r>
      <w:r w:rsidRPr="00FB1A58">
        <w:rPr>
          <w:lang w:val="en-GB"/>
        </w:rPr>
        <w:t xml:space="preserve"> </w:t>
      </w:r>
      <w:r w:rsidR="00043086" w:rsidRPr="00FB1A58">
        <w:rPr>
          <w:lang w:val="en-GB"/>
        </w:rPr>
        <w:t xml:space="preserve">indicates </w:t>
      </w:r>
      <w:r w:rsidRPr="00FB1A58">
        <w:rPr>
          <w:lang w:val="en-GB"/>
        </w:rPr>
        <w:t xml:space="preserve">that </w:t>
      </w:r>
      <w:r w:rsidR="00043086" w:rsidRPr="00FB1A58">
        <w:rPr>
          <w:lang w:val="en-GB"/>
        </w:rPr>
        <w:t>the person has</w:t>
      </w:r>
      <w:r w:rsidRPr="00FB1A58">
        <w:rPr>
          <w:lang w:val="en-GB"/>
        </w:rPr>
        <w:t xml:space="preserve"> </w:t>
      </w:r>
      <w:r w:rsidR="003D03DF" w:rsidRPr="00FB1A58">
        <w:rPr>
          <w:lang w:val="en-GB"/>
        </w:rPr>
        <w:t>6.41</w:t>
      </w:r>
      <w:r w:rsidRPr="00FB1A58">
        <w:rPr>
          <w:lang w:val="en-GB"/>
        </w:rPr>
        <w:t xml:space="preserve"> times </w:t>
      </w:r>
      <w:r w:rsidR="00043086" w:rsidRPr="00FB1A58">
        <w:rPr>
          <w:lang w:val="en-GB"/>
        </w:rPr>
        <w:t>greater odds as before the test that the person belongs to the patient group</w:t>
      </w:r>
      <w:r w:rsidRPr="00FB1A58">
        <w:rPr>
          <w:lang w:val="en-GB"/>
        </w:rPr>
        <w:t>.</w:t>
      </w:r>
      <w:r w:rsidR="005C4024" w:rsidRPr="00FB1A58">
        <w:rPr>
          <w:lang w:val="en-GB"/>
        </w:rPr>
        <w:t xml:space="preserve"> Thus, although the z-score is exactly the same</w:t>
      </w:r>
      <w:r w:rsidR="000D038C" w:rsidRPr="00FB1A58">
        <w:rPr>
          <w:lang w:val="en-GB"/>
        </w:rPr>
        <w:t xml:space="preserve"> (-2) in both scenarios</w:t>
      </w:r>
      <w:r w:rsidR="005C4024" w:rsidRPr="00FB1A58">
        <w:rPr>
          <w:lang w:val="en-GB"/>
        </w:rPr>
        <w:t xml:space="preserve">, the strength of evidence in favour of the </w:t>
      </w:r>
      <w:r w:rsidR="00ED50E2" w:rsidRPr="00FB1A58">
        <w:rPr>
          <w:lang w:val="en-GB"/>
        </w:rPr>
        <w:t xml:space="preserve">person </w:t>
      </w:r>
      <w:r w:rsidR="005C4024" w:rsidRPr="00FB1A58">
        <w:rPr>
          <w:lang w:val="en-GB"/>
        </w:rPr>
        <w:t xml:space="preserve">belonging to </w:t>
      </w:r>
      <w:r w:rsidR="00381507" w:rsidRPr="00FB1A58">
        <w:rPr>
          <w:lang w:val="en-GB"/>
        </w:rPr>
        <w:t>the</w:t>
      </w:r>
      <w:r w:rsidR="005C4024" w:rsidRPr="00FB1A58">
        <w:rPr>
          <w:lang w:val="en-GB"/>
        </w:rPr>
        <w:t xml:space="preserve"> patient group varies</w:t>
      </w:r>
      <w:r w:rsidR="003412AF" w:rsidRPr="00FB1A58">
        <w:rPr>
          <w:lang w:val="en-GB"/>
        </w:rPr>
        <w:t xml:space="preserve"> considerably</w:t>
      </w:r>
      <w:r w:rsidR="005C4024" w:rsidRPr="00FB1A58">
        <w:rPr>
          <w:lang w:val="en-GB"/>
        </w:rPr>
        <w:t>.</w:t>
      </w:r>
    </w:p>
    <w:p w14:paraId="73B55E47" w14:textId="6C08E161" w:rsidR="00FD5332" w:rsidRPr="00FB1A58" w:rsidRDefault="00FD5332" w:rsidP="00FD5332">
      <w:pPr>
        <w:rPr>
          <w:lang w:val="nl-BE"/>
        </w:rPr>
      </w:pPr>
      <m:oMathPara>
        <m:oMathParaPr>
          <m:jc m:val="centerGroup"/>
        </m:oMathParaPr>
        <m:oMath>
          <m:r>
            <w:rPr>
              <w:rFonts w:ascii="Cambria Math" w:hAnsi="Cambria Math"/>
              <w:lang w:val="en-US"/>
            </w:rPr>
            <m:t>p</m:t>
          </m:r>
          <m:d>
            <m:dPr>
              <m:ctrlPr>
                <w:rPr>
                  <w:rFonts w:ascii="Cambria Math" w:hAnsi="Cambria Math"/>
                  <w:i/>
                  <w:iCs/>
                  <w:lang w:val="en-US"/>
                </w:rPr>
              </m:ctrlPr>
            </m:dPr>
            <m:e>
              <m:r>
                <w:rPr>
                  <w:rFonts w:ascii="Cambria Math" w:hAnsi="Cambria Math"/>
                  <w:lang w:val="en-US"/>
                </w:rPr>
                <m:t>70</m:t>
              </m:r>
            </m:e>
            <m:e>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1</m:t>
                  </m:r>
                </m:sub>
              </m:sSub>
            </m:e>
          </m:d>
          <m:r>
            <w:rPr>
              <w:rFonts w:ascii="Cambria Math" w:hAnsi="Cambria Math"/>
              <w:lang w:val="en-US"/>
            </w:rPr>
            <m:t>=p</m:t>
          </m:r>
          <m:d>
            <m:dPr>
              <m:ctrlPr>
                <w:rPr>
                  <w:rFonts w:ascii="Cambria Math" w:hAnsi="Cambria Math"/>
                  <w:i/>
                  <w:iCs/>
                  <w:lang w:val="en-US"/>
                </w:rPr>
              </m:ctrlPr>
            </m:dPr>
            <m:e>
              <m:r>
                <w:rPr>
                  <w:rFonts w:ascii="Cambria Math" w:hAnsi="Cambria Math"/>
                  <w:lang w:val="en-US"/>
                </w:rPr>
                <m:t>70</m:t>
              </m:r>
            </m:e>
            <m:e>
              <m:r>
                <w:rPr>
                  <w:rFonts w:ascii="Cambria Math" w:hAnsi="Cambria Math"/>
                  <w:lang w:val="en-US"/>
                </w:rPr>
                <m:t>78, 15</m:t>
              </m:r>
            </m:e>
          </m:d>
          <m:r>
            <w:rPr>
              <w:rFonts w:ascii="Cambria Math" w:hAnsi="Cambria Math"/>
              <w:lang w:val="en-US"/>
            </w:rPr>
            <m:t>=</m:t>
          </m:r>
          <m:f>
            <m:fPr>
              <m:ctrlPr>
                <w:rPr>
                  <w:rFonts w:ascii="Cambria Math" w:hAnsi="Cambria Math"/>
                  <w:i/>
                  <w:iCs/>
                  <w:lang w:val="nl-BE"/>
                </w:rPr>
              </m:ctrlPr>
            </m:fPr>
            <m:num>
              <m:r>
                <w:rPr>
                  <w:rFonts w:ascii="Cambria Math" w:hAnsi="Cambria Math"/>
                  <w:lang w:val="en-GB"/>
                </w:rPr>
                <m:t>1</m:t>
              </m:r>
            </m:num>
            <m:den>
              <m:r>
                <w:rPr>
                  <w:rFonts w:ascii="Cambria Math" w:hAnsi="Cambria Math"/>
                  <w:lang w:val="en-US"/>
                </w:rPr>
                <m:t>15</m:t>
              </m:r>
              <m:rad>
                <m:radPr>
                  <m:degHide m:val="1"/>
                  <m:ctrlPr>
                    <w:rPr>
                      <w:rFonts w:ascii="Cambria Math" w:hAnsi="Cambria Math"/>
                      <w:i/>
                      <w:iCs/>
                      <w:lang w:val="nl-BE"/>
                    </w:rPr>
                  </m:ctrlPr>
                </m:radPr>
                <m:deg/>
                <m:e>
                  <m:r>
                    <w:rPr>
                      <w:rFonts w:ascii="Cambria Math" w:hAnsi="Cambria Math"/>
                      <w:lang w:val="en-GB"/>
                    </w:rPr>
                    <m:t>2π</m:t>
                  </m:r>
                </m:e>
              </m:rad>
            </m:den>
          </m:f>
          <m:r>
            <w:rPr>
              <w:rFonts w:ascii="Cambria Math" w:hAnsi="Cambria Math"/>
              <w:lang w:val="en-GB"/>
            </w:rPr>
            <m:t> </m:t>
          </m:r>
          <m:sSup>
            <m:sSupPr>
              <m:ctrlPr>
                <w:rPr>
                  <w:rFonts w:ascii="Cambria Math" w:hAnsi="Cambria Math"/>
                  <w:i/>
                  <w:iCs/>
                  <w:lang w:val="nl-BE"/>
                </w:rPr>
              </m:ctrlPr>
            </m:sSupPr>
            <m:e>
              <m:r>
                <w:rPr>
                  <w:rFonts w:ascii="Cambria Math" w:hAnsi="Cambria Math"/>
                  <w:lang w:val="en-GB"/>
                </w:rPr>
                <m:t>e</m:t>
              </m:r>
            </m:e>
            <m:sup>
              <m:d>
                <m:dPr>
                  <m:begChr m:val="["/>
                  <m:endChr m:val="]"/>
                  <m:ctrlPr>
                    <w:rPr>
                      <w:rFonts w:ascii="Cambria Math" w:hAnsi="Cambria Math"/>
                      <w:i/>
                      <w:iCs/>
                      <w:lang w:val="nl-BE"/>
                    </w:rPr>
                  </m:ctrlPr>
                </m:dPr>
                <m:e>
                  <m:r>
                    <w:rPr>
                      <w:rFonts w:ascii="Cambria Math" w:hAnsi="Cambria Math"/>
                      <w:lang w:val="en-GB"/>
                    </w:rPr>
                    <m:t>-</m:t>
                  </m:r>
                  <m:f>
                    <m:fPr>
                      <m:ctrlPr>
                        <w:rPr>
                          <w:rFonts w:ascii="Cambria Math" w:hAnsi="Cambria Math"/>
                          <w:i/>
                          <w:iCs/>
                          <w:lang w:val="nl-BE"/>
                        </w:rPr>
                      </m:ctrlPr>
                    </m:fPr>
                    <m:num>
                      <m:sSup>
                        <m:sSupPr>
                          <m:ctrlPr>
                            <w:rPr>
                              <w:rFonts w:ascii="Cambria Math" w:hAnsi="Cambria Math"/>
                              <w:i/>
                              <w:iCs/>
                              <w:lang w:val="nl-BE"/>
                            </w:rPr>
                          </m:ctrlPr>
                        </m:sSupPr>
                        <m:e>
                          <m:r>
                            <w:rPr>
                              <w:rFonts w:ascii="Cambria Math" w:hAnsi="Cambria Math"/>
                              <w:lang w:val="en-GB"/>
                            </w:rPr>
                            <m:t>(</m:t>
                          </m:r>
                          <m:r>
                            <w:rPr>
                              <w:rFonts w:ascii="Cambria Math" w:hAnsi="Cambria Math"/>
                              <w:lang w:val="en-US"/>
                            </w:rPr>
                            <m:t>70</m:t>
                          </m:r>
                          <m:r>
                            <w:rPr>
                              <w:rFonts w:ascii="Cambria Math" w:hAnsi="Cambria Math"/>
                              <w:lang w:val="en-GB"/>
                            </w:rPr>
                            <m:t>-</m:t>
                          </m:r>
                          <m:r>
                            <w:rPr>
                              <w:rFonts w:ascii="Cambria Math" w:hAnsi="Cambria Math"/>
                              <w:lang w:val="en-US"/>
                            </w:rPr>
                            <m:t>78</m:t>
                          </m:r>
                          <m:r>
                            <w:rPr>
                              <w:rFonts w:ascii="Cambria Math" w:hAnsi="Cambria Math"/>
                              <w:lang w:val="en-GB"/>
                            </w:rPr>
                            <m:t>)</m:t>
                          </m:r>
                        </m:e>
                        <m:sup>
                          <m:r>
                            <w:rPr>
                              <w:rFonts w:ascii="Cambria Math" w:hAnsi="Cambria Math"/>
                              <w:lang w:val="en-GB"/>
                            </w:rPr>
                            <m:t>2</m:t>
                          </m:r>
                        </m:sup>
                      </m:sSup>
                    </m:num>
                    <m:den>
                      <m:r>
                        <w:rPr>
                          <w:rFonts w:ascii="Cambria Math" w:hAnsi="Cambria Math"/>
                          <w:lang w:val="en-GB"/>
                        </w:rPr>
                        <m:t>2 </m:t>
                      </m:r>
                      <m:sSup>
                        <m:sSupPr>
                          <m:ctrlPr>
                            <w:rPr>
                              <w:rFonts w:ascii="Cambria Math" w:hAnsi="Cambria Math"/>
                              <w:i/>
                              <w:iCs/>
                              <w:lang w:val="en-GB"/>
                            </w:rPr>
                          </m:ctrlPr>
                        </m:sSupPr>
                        <m:e>
                          <m:r>
                            <w:rPr>
                              <w:rFonts w:ascii="Cambria Math" w:hAnsi="Cambria Math"/>
                              <w:lang w:val="en-US"/>
                            </w:rPr>
                            <m:t>(15)</m:t>
                          </m:r>
                        </m:e>
                        <m:sup>
                          <m:r>
                            <w:rPr>
                              <w:rFonts w:ascii="Cambria Math" w:hAnsi="Cambria Math"/>
                              <w:lang w:val="en-US"/>
                            </w:rPr>
                            <m:t>2</m:t>
                          </m:r>
                        </m:sup>
                      </m:sSup>
                    </m:den>
                  </m:f>
                </m:e>
              </m:d>
            </m:sup>
          </m:sSup>
          <m:r>
            <w:rPr>
              <w:rFonts w:ascii="Cambria Math" w:hAnsi="Cambria Math"/>
              <w:lang w:val="en-US"/>
            </w:rPr>
            <m:t>=0.0231</m:t>
          </m:r>
        </m:oMath>
      </m:oMathPara>
    </w:p>
    <w:p w14:paraId="37122B6D" w14:textId="5BF2B28A" w:rsidR="00FD5332" w:rsidRPr="00FB1A58" w:rsidRDefault="00FE4B95" w:rsidP="00FD5332">
      <w:pPr>
        <w:rPr>
          <w:lang w:val="en-GB"/>
        </w:rPr>
      </w:pPr>
      <m:oMathPara>
        <m:oMath>
          <m:sSub>
            <m:sSubPr>
              <m:ctrlPr>
                <w:rPr>
                  <w:rFonts w:ascii="Cambria Math" w:hAnsi="Cambria Math"/>
                  <w:i/>
                  <w:iCs/>
                </w:rPr>
              </m:ctrlPr>
            </m:sSubPr>
            <m:e>
              <m:r>
                <w:rPr>
                  <w:rFonts w:ascii="Cambria Math" w:hAnsi="Cambria Math"/>
                  <w:lang w:val="en-US"/>
                </w:rPr>
                <m:t>BF</m:t>
              </m:r>
            </m:e>
            <m:sub>
              <m:r>
                <w:rPr>
                  <w:rFonts w:ascii="Cambria Math" w:hAnsi="Cambria Math"/>
                  <w:lang w:val="en-US"/>
                </w:rPr>
                <m:t>10</m:t>
              </m:r>
            </m:sub>
          </m:sSub>
          <m:r>
            <w:rPr>
              <w:rFonts w:ascii="Cambria Math" w:hAnsi="Cambria Math"/>
              <w:lang w:val="en-US"/>
            </w:rPr>
            <m:t>= </m:t>
          </m:r>
          <m:f>
            <m:fPr>
              <m:ctrlPr>
                <w:rPr>
                  <w:rFonts w:ascii="Cambria Math" w:hAnsi="Cambria Math"/>
                  <w:i/>
                  <w:iCs/>
                  <w:lang w:val="en-US"/>
                </w:rPr>
              </m:ctrlPr>
            </m:fPr>
            <m:num>
              <m:r>
                <w:rPr>
                  <w:rFonts w:ascii="Cambria Math" w:hAnsi="Cambria Math"/>
                  <w:lang w:val="en-US"/>
                </w:rPr>
                <m:t>p</m:t>
              </m:r>
              <m:d>
                <m:dPr>
                  <m:ctrlPr>
                    <w:rPr>
                      <w:rFonts w:ascii="Cambria Math" w:hAnsi="Cambria Math"/>
                      <w:i/>
                      <w:iCs/>
                      <w:lang w:val="en-US"/>
                    </w:rPr>
                  </m:ctrlPr>
                </m:dPr>
                <m:e>
                  <m:r>
                    <w:rPr>
                      <w:rFonts w:ascii="Cambria Math" w:hAnsi="Cambria Math"/>
                      <w:lang w:val="en-US"/>
                    </w:rPr>
                    <m:t>70</m:t>
                  </m:r>
                </m:e>
                <m:e>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1</m:t>
                      </m:r>
                    </m:sub>
                  </m:sSub>
                </m:e>
              </m:d>
            </m:num>
            <m:den>
              <m:r>
                <w:rPr>
                  <w:rFonts w:ascii="Cambria Math" w:hAnsi="Cambria Math"/>
                  <w:lang w:val="en-US"/>
                </w:rPr>
                <m:t>p</m:t>
              </m:r>
              <m:d>
                <m:dPr>
                  <m:ctrlPr>
                    <w:rPr>
                      <w:rFonts w:ascii="Cambria Math" w:hAnsi="Cambria Math"/>
                      <w:i/>
                      <w:iCs/>
                      <w:lang w:val="en-US"/>
                    </w:rPr>
                  </m:ctrlPr>
                </m:dPr>
                <m:e>
                  <m:r>
                    <w:rPr>
                      <w:rFonts w:ascii="Cambria Math" w:hAnsi="Cambria Math"/>
                      <w:lang w:val="en-US"/>
                    </w:rPr>
                    <m:t>70</m:t>
                  </m:r>
                </m:e>
                <m:e>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0</m:t>
                      </m:r>
                    </m:sub>
                  </m:sSub>
                </m:e>
              </m:d>
            </m:den>
          </m:f>
          <m:r>
            <w:rPr>
              <w:rFonts w:ascii="Cambria Math" w:hAnsi="Cambria Math"/>
              <w:lang w:val="en-US"/>
            </w:rPr>
            <m:t>=6.41</m:t>
          </m:r>
        </m:oMath>
      </m:oMathPara>
    </w:p>
    <w:p w14:paraId="7A6CCBA8" w14:textId="1A6F103C" w:rsidR="005C4024" w:rsidRPr="00FB1A58" w:rsidRDefault="00E709C1" w:rsidP="004010F0">
      <w:pPr>
        <w:rPr>
          <w:lang w:val="en-GB"/>
        </w:rPr>
      </w:pPr>
      <w:r w:rsidRPr="00FB1A58">
        <w:rPr>
          <w:lang w:val="en-GB"/>
        </w:rPr>
        <w:t xml:space="preserve">We have now considered an example where the distributions of the </w:t>
      </w:r>
      <w:r w:rsidR="003A4EEE" w:rsidRPr="00FB1A58">
        <w:rPr>
          <w:lang w:val="en-GB"/>
        </w:rPr>
        <w:t xml:space="preserve">patient </w:t>
      </w:r>
      <w:r w:rsidRPr="00FB1A58">
        <w:rPr>
          <w:lang w:val="en-GB"/>
        </w:rPr>
        <w:t xml:space="preserve">and normative group have equal standard deviations. </w:t>
      </w:r>
      <w:bookmarkStart w:id="0" w:name="_Hlk70490243"/>
      <w:r w:rsidRPr="00FB1A58">
        <w:rPr>
          <w:lang w:val="en-GB"/>
        </w:rPr>
        <w:t xml:space="preserve">The relation of </w:t>
      </w:r>
      <w:r w:rsidR="008920A9" w:rsidRPr="00FB1A58">
        <w:rPr>
          <w:lang w:val="en-GB"/>
        </w:rPr>
        <w:t xml:space="preserve">the </w:t>
      </w:r>
      <w:r w:rsidRPr="00FB1A58">
        <w:rPr>
          <w:lang w:val="en-GB"/>
        </w:rPr>
        <w:t>z-score and BF becomes more complicated when the variances of both groups diffe</w:t>
      </w:r>
      <w:r w:rsidR="00A75B42" w:rsidRPr="00FB1A58">
        <w:rPr>
          <w:lang w:val="en-GB"/>
        </w:rPr>
        <w:t xml:space="preserve">r (Figure </w:t>
      </w:r>
      <w:r w:rsidR="006352E1" w:rsidRPr="00FB1A58">
        <w:rPr>
          <w:lang w:val="en-GB"/>
        </w:rPr>
        <w:t>B1</w:t>
      </w:r>
      <w:r w:rsidR="003B5BE2" w:rsidRPr="00FB1A58">
        <w:rPr>
          <w:lang w:val="en-GB"/>
        </w:rPr>
        <w:t>.</w:t>
      </w:r>
      <w:r w:rsidR="00A75B42" w:rsidRPr="00FB1A58">
        <w:rPr>
          <w:lang w:val="en-GB"/>
        </w:rPr>
        <w:t xml:space="preserve">B and Figure </w:t>
      </w:r>
      <w:r w:rsidR="006352E1" w:rsidRPr="00FB1A58">
        <w:rPr>
          <w:lang w:val="en-GB"/>
        </w:rPr>
        <w:t>B1</w:t>
      </w:r>
      <w:r w:rsidR="003B5BE2" w:rsidRPr="00FB1A58">
        <w:rPr>
          <w:lang w:val="en-GB"/>
        </w:rPr>
        <w:t>.</w:t>
      </w:r>
      <w:r w:rsidR="00A75B42" w:rsidRPr="00FB1A58">
        <w:rPr>
          <w:lang w:val="en-GB"/>
        </w:rPr>
        <w:t>C)</w:t>
      </w:r>
      <w:r w:rsidR="000B63F9" w:rsidRPr="00FB1A58">
        <w:rPr>
          <w:lang w:val="en-GB"/>
        </w:rPr>
        <w:t xml:space="preserve">. </w:t>
      </w:r>
      <w:bookmarkStart w:id="1" w:name="_Hlk70419692"/>
      <w:r w:rsidR="001F34AB" w:rsidRPr="00FB1A58">
        <w:rPr>
          <w:lang w:val="en-GB"/>
        </w:rPr>
        <w:t xml:space="preserve">That is, when the standard deviations differ, the BF </w:t>
      </w:r>
      <w:r w:rsidR="00695739" w:rsidRPr="00FB1A58">
        <w:rPr>
          <w:lang w:val="en-GB"/>
        </w:rPr>
        <w:t xml:space="preserve">does not </w:t>
      </w:r>
      <w:r w:rsidR="000852D6" w:rsidRPr="00FB1A58">
        <w:rPr>
          <w:lang w:val="en-GB"/>
        </w:rPr>
        <w:t>have</w:t>
      </w:r>
      <w:r w:rsidR="00695739" w:rsidRPr="00FB1A58">
        <w:rPr>
          <w:lang w:val="en-GB"/>
        </w:rPr>
        <w:t xml:space="preserve"> a monotonous relation to the </w:t>
      </w:r>
      <w:r w:rsidR="001F34AB" w:rsidRPr="00FB1A58">
        <w:rPr>
          <w:lang w:val="en-GB"/>
        </w:rPr>
        <w:t xml:space="preserve">z-score (Figure </w:t>
      </w:r>
      <w:r w:rsidR="006352E1" w:rsidRPr="00FB1A58">
        <w:rPr>
          <w:lang w:val="en-GB"/>
        </w:rPr>
        <w:t>B2</w:t>
      </w:r>
      <w:r w:rsidR="001F34AB" w:rsidRPr="00FB1A58">
        <w:rPr>
          <w:lang w:val="en-GB"/>
        </w:rPr>
        <w:t>)</w:t>
      </w:r>
      <w:r w:rsidR="006067A6" w:rsidRPr="00FB1A58">
        <w:rPr>
          <w:lang w:val="en-GB"/>
        </w:rPr>
        <w:t xml:space="preserve">. </w:t>
      </w:r>
      <w:bookmarkEnd w:id="0"/>
      <w:bookmarkEnd w:id="1"/>
      <w:r w:rsidR="006067A6" w:rsidRPr="00FB1A58">
        <w:rPr>
          <w:lang w:val="en-GB"/>
        </w:rPr>
        <w:t xml:space="preserve">In these scenarios it is possible that a low z-score </w:t>
      </w:r>
      <w:r w:rsidR="00C25036" w:rsidRPr="00FB1A58">
        <w:rPr>
          <w:lang w:val="en-GB"/>
        </w:rPr>
        <w:t>corresponds to a BF</w:t>
      </w:r>
      <w:r w:rsidR="00C25036" w:rsidRPr="00FB1A58">
        <w:rPr>
          <w:vertAlign w:val="subscript"/>
          <w:lang w:val="en-GB"/>
        </w:rPr>
        <w:t>10</w:t>
      </w:r>
      <w:r w:rsidR="00C25036" w:rsidRPr="00FB1A58">
        <w:rPr>
          <w:lang w:val="en-GB"/>
        </w:rPr>
        <w:t xml:space="preserve"> that is</w:t>
      </w:r>
      <w:r w:rsidR="006067A6" w:rsidRPr="00FB1A58">
        <w:rPr>
          <w:lang w:val="en-GB"/>
        </w:rPr>
        <w:t xml:space="preserve"> more indicative of the normative than patient group (Figure </w:t>
      </w:r>
      <w:r w:rsidR="006352E1" w:rsidRPr="00FB1A58">
        <w:rPr>
          <w:lang w:val="en-GB"/>
        </w:rPr>
        <w:t>B1</w:t>
      </w:r>
      <w:r w:rsidR="003B5BE2" w:rsidRPr="00FB1A58">
        <w:rPr>
          <w:lang w:val="en-GB"/>
        </w:rPr>
        <w:t>.</w:t>
      </w:r>
      <w:r w:rsidR="006067A6" w:rsidRPr="00FB1A58">
        <w:rPr>
          <w:lang w:val="en-GB"/>
        </w:rPr>
        <w:t xml:space="preserve">B, left panel) </w:t>
      </w:r>
      <w:r w:rsidR="00C25036" w:rsidRPr="00FB1A58">
        <w:rPr>
          <w:lang w:val="en-GB"/>
        </w:rPr>
        <w:t>and</w:t>
      </w:r>
      <w:r w:rsidR="006067A6" w:rsidRPr="00FB1A58">
        <w:rPr>
          <w:lang w:val="en-GB"/>
        </w:rPr>
        <w:t xml:space="preserve"> that a high z-score </w:t>
      </w:r>
      <w:r w:rsidR="00C25036" w:rsidRPr="00FB1A58">
        <w:rPr>
          <w:lang w:val="en-GB"/>
        </w:rPr>
        <w:t>corresponds to a BF</w:t>
      </w:r>
      <w:r w:rsidR="00C25036" w:rsidRPr="00FB1A58">
        <w:rPr>
          <w:vertAlign w:val="subscript"/>
          <w:lang w:val="en-GB"/>
        </w:rPr>
        <w:t>10</w:t>
      </w:r>
      <w:r w:rsidR="00C25036" w:rsidRPr="00FB1A58">
        <w:rPr>
          <w:lang w:val="en-GB"/>
        </w:rPr>
        <w:t xml:space="preserve"> that is </w:t>
      </w:r>
      <w:r w:rsidR="006067A6" w:rsidRPr="00FB1A58">
        <w:rPr>
          <w:lang w:val="en-GB"/>
        </w:rPr>
        <w:t xml:space="preserve">more indicative of the patient than normative group (Figure </w:t>
      </w:r>
      <w:r w:rsidR="006352E1" w:rsidRPr="00FB1A58">
        <w:rPr>
          <w:lang w:val="en-GB"/>
        </w:rPr>
        <w:t>B1</w:t>
      </w:r>
      <w:r w:rsidR="003B5BE2" w:rsidRPr="00FB1A58">
        <w:rPr>
          <w:lang w:val="en-GB"/>
        </w:rPr>
        <w:t>.</w:t>
      </w:r>
      <w:r w:rsidR="006067A6" w:rsidRPr="00FB1A58">
        <w:rPr>
          <w:lang w:val="en-GB"/>
        </w:rPr>
        <w:t>C, left panel).</w:t>
      </w:r>
      <w:r w:rsidR="00CE3411" w:rsidRPr="00FB1A58">
        <w:rPr>
          <w:lang w:val="en-GB"/>
        </w:rPr>
        <w:t xml:space="preserve"> </w:t>
      </w:r>
      <w:r w:rsidR="004357A3" w:rsidRPr="00FB1A58">
        <w:rPr>
          <w:lang w:val="en-GB"/>
        </w:rPr>
        <w:t xml:space="preserve">The latter </w:t>
      </w:r>
      <w:r w:rsidR="00502EAD" w:rsidRPr="00FB1A58">
        <w:rPr>
          <w:lang w:val="en-GB"/>
        </w:rPr>
        <w:t>reveal</w:t>
      </w:r>
      <w:r w:rsidR="004357A3" w:rsidRPr="00FB1A58">
        <w:rPr>
          <w:lang w:val="en-GB"/>
        </w:rPr>
        <w:t>s</w:t>
      </w:r>
      <w:r w:rsidR="00502EAD" w:rsidRPr="00FB1A58">
        <w:rPr>
          <w:lang w:val="en-GB"/>
        </w:rPr>
        <w:t xml:space="preserve"> the limitations of using</w:t>
      </w:r>
      <w:bookmarkStart w:id="2" w:name="_GoBack"/>
      <w:bookmarkEnd w:id="2"/>
      <w:r w:rsidR="00502EAD" w:rsidRPr="00FB1A58">
        <w:rPr>
          <w:lang w:val="en-GB"/>
        </w:rPr>
        <w:t xml:space="preserve"> z-scores to inform diagnosis</w:t>
      </w:r>
      <w:r w:rsidR="00E037FD" w:rsidRPr="00FB1A58">
        <w:rPr>
          <w:lang w:val="en-GB"/>
        </w:rPr>
        <w:t>.</w:t>
      </w:r>
    </w:p>
    <w:p w14:paraId="436A023E" w14:textId="31CE91FC" w:rsidR="00FE05C6" w:rsidRPr="00FB1A58" w:rsidRDefault="00D14207" w:rsidP="004010F0">
      <w:pPr>
        <w:rPr>
          <w:lang w:val="en-US"/>
        </w:rPr>
      </w:pPr>
      <w:r w:rsidRPr="00FB1A58">
        <w:rPr>
          <w:lang w:val="en-GB"/>
        </w:rPr>
        <w:t>Note that t</w:t>
      </w:r>
      <w:r w:rsidR="00FE05C6" w:rsidRPr="00FB1A58">
        <w:rPr>
          <w:lang w:val="en-GB"/>
        </w:rPr>
        <w:t xml:space="preserve">his method can be further extended for scenarios where the population parameters </w:t>
      </w:r>
      <w:r w:rsidR="00640100" w:rsidRPr="00FB1A58">
        <w:rPr>
          <w:lang w:val="en-GB"/>
        </w:rPr>
        <w:t>are not known</w:t>
      </w:r>
      <w:r w:rsidR="006D0B07" w:rsidRPr="00FB1A58">
        <w:rPr>
          <w:lang w:val="en-GB"/>
        </w:rPr>
        <w:t xml:space="preserve"> and for non-normal distributions</w:t>
      </w:r>
      <w:r w:rsidR="0081115B" w:rsidRPr="00FB1A58">
        <w:rPr>
          <w:lang w:val="en-GB"/>
        </w:rPr>
        <w:t xml:space="preserve">, but this lies beyond the scope of the current </w:t>
      </w:r>
      <w:r w:rsidR="00A02D6C" w:rsidRPr="00FB1A58">
        <w:rPr>
          <w:lang w:val="en-GB"/>
        </w:rPr>
        <w:t>illustration</w:t>
      </w:r>
      <w:r w:rsidR="006D0B07" w:rsidRPr="00FB1A58">
        <w:rPr>
          <w:lang w:val="en-GB"/>
        </w:rPr>
        <w:t>.</w:t>
      </w:r>
      <w:r w:rsidR="001609CC" w:rsidRPr="00FB1A58">
        <w:rPr>
          <w:lang w:val="en-GB"/>
        </w:rPr>
        <w:t xml:space="preserve"> Scripts for our simulations are available on </w:t>
      </w:r>
      <w:r w:rsidR="00B21703" w:rsidRPr="00FB1A58">
        <w:rPr>
          <w:lang w:val="en-GB"/>
        </w:rPr>
        <w:t>https://doi.org/10.6084/m9.figshare.14500014.</w:t>
      </w:r>
    </w:p>
    <w:p w14:paraId="6E3115C4" w14:textId="5CC32F43" w:rsidR="00EE73EE" w:rsidRPr="00FB1A58" w:rsidRDefault="00823779" w:rsidP="00EE73EE">
      <w:pPr>
        <w:keepNext/>
      </w:pPr>
      <w:r w:rsidRPr="00FB1A58">
        <w:rPr>
          <w:noProof/>
        </w:rPr>
        <w:lastRenderedPageBreak/>
        <w:drawing>
          <wp:inline distT="0" distB="0" distL="0" distR="0" wp14:anchorId="4A7812FA" wp14:editId="0C96F2B9">
            <wp:extent cx="4986960" cy="7285351"/>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_Zscores_v3.png"/>
                    <pic:cNvPicPr/>
                  </pic:nvPicPr>
                  <pic:blipFill>
                    <a:blip r:embed="rId9">
                      <a:extLst>
                        <a:ext uri="{28A0092B-C50C-407E-A947-70E740481C1C}">
                          <a14:useLocalDpi xmlns:a14="http://schemas.microsoft.com/office/drawing/2010/main" val="0"/>
                        </a:ext>
                      </a:extLst>
                    </a:blip>
                    <a:stretch>
                      <a:fillRect/>
                    </a:stretch>
                  </pic:blipFill>
                  <pic:spPr>
                    <a:xfrm>
                      <a:off x="0" y="0"/>
                      <a:ext cx="4986960" cy="7285351"/>
                    </a:xfrm>
                    <a:prstGeom prst="rect">
                      <a:avLst/>
                    </a:prstGeom>
                  </pic:spPr>
                </pic:pic>
              </a:graphicData>
            </a:graphic>
          </wp:inline>
        </w:drawing>
      </w:r>
    </w:p>
    <w:p w14:paraId="20BF727D" w14:textId="3024DE0C" w:rsidR="005C4024" w:rsidRPr="00FB1A58" w:rsidRDefault="00EE73EE" w:rsidP="00EE73EE">
      <w:pPr>
        <w:pStyle w:val="Caption"/>
        <w:rPr>
          <w:color w:val="auto"/>
          <w:lang w:val="en-US"/>
        </w:rPr>
      </w:pPr>
      <w:r w:rsidRPr="00FB1A58">
        <w:rPr>
          <w:color w:val="auto"/>
          <w:lang w:val="en-US"/>
        </w:rPr>
        <w:t>Figure</w:t>
      </w:r>
      <w:r w:rsidR="00963C38" w:rsidRPr="00FB1A58">
        <w:rPr>
          <w:color w:val="auto"/>
          <w:lang w:val="en-US"/>
        </w:rPr>
        <w:t xml:space="preserve"> </w:t>
      </w:r>
      <w:r w:rsidR="00630273" w:rsidRPr="00FB1A58">
        <w:rPr>
          <w:color w:val="auto"/>
          <w:lang w:val="en-US"/>
        </w:rPr>
        <w:t>B1</w:t>
      </w:r>
      <w:r w:rsidRPr="00FB1A58">
        <w:rPr>
          <w:color w:val="auto"/>
          <w:lang w:val="en-US"/>
        </w:rPr>
        <w:t xml:space="preserve">. </w:t>
      </w:r>
      <w:r w:rsidR="00651D1B" w:rsidRPr="00FB1A58">
        <w:rPr>
          <w:color w:val="auto"/>
          <w:lang w:val="en-US"/>
        </w:rPr>
        <w:t>Distributions of test scores for the patient group (purple) and normative group (green). The dashed line represents the test score of 70, corresponding to a z-score of -2. The colored dots represent the BF for each test score. A BF</w:t>
      </w:r>
      <w:r w:rsidR="00651D1B" w:rsidRPr="00FB1A58">
        <w:rPr>
          <w:color w:val="auto"/>
          <w:vertAlign w:val="subscript"/>
          <w:lang w:val="en-US"/>
        </w:rPr>
        <w:t>10</w:t>
      </w:r>
      <w:r w:rsidR="00651D1B" w:rsidRPr="00FB1A58">
        <w:rPr>
          <w:color w:val="auto"/>
          <w:lang w:val="en-US"/>
        </w:rPr>
        <w:t xml:space="preserve"> &gt; 3 = purple dot, BF</w:t>
      </w:r>
      <w:r w:rsidR="00651D1B" w:rsidRPr="00FB1A58">
        <w:rPr>
          <w:color w:val="auto"/>
          <w:vertAlign w:val="subscript"/>
          <w:lang w:val="en-US"/>
        </w:rPr>
        <w:t>10</w:t>
      </w:r>
      <w:r w:rsidR="00651D1B" w:rsidRPr="00FB1A58">
        <w:rPr>
          <w:color w:val="auto"/>
          <w:lang w:val="en-US"/>
        </w:rPr>
        <w:t xml:space="preserve"> &lt; 0.33 = green triangle and BF</w:t>
      </w:r>
      <w:r w:rsidR="00651D1B" w:rsidRPr="00FB1A58">
        <w:rPr>
          <w:color w:val="auto"/>
          <w:vertAlign w:val="subscript"/>
          <w:lang w:val="en-US"/>
        </w:rPr>
        <w:t>10</w:t>
      </w:r>
      <w:r w:rsidR="00651D1B" w:rsidRPr="00FB1A58">
        <w:rPr>
          <w:color w:val="auto"/>
          <w:lang w:val="en-US"/>
        </w:rPr>
        <w:t xml:space="preserve"> in between 0.33 and 3 = </w:t>
      </w:r>
      <w:r w:rsidR="00506E99" w:rsidRPr="00FB1A58">
        <w:rPr>
          <w:color w:val="auto"/>
          <w:lang w:val="en-US"/>
        </w:rPr>
        <w:t xml:space="preserve">grey </w:t>
      </w:r>
      <w:r w:rsidR="00651D1B" w:rsidRPr="00FB1A58">
        <w:rPr>
          <w:color w:val="auto"/>
          <w:lang w:val="en-US"/>
        </w:rPr>
        <w:t>square.</w:t>
      </w:r>
      <w:r w:rsidR="00E90DFD" w:rsidRPr="00FB1A58">
        <w:rPr>
          <w:color w:val="auto"/>
          <w:lang w:val="en-US"/>
        </w:rPr>
        <w:t xml:space="preserve"> Panel A) situation in which the </w:t>
      </w:r>
      <w:r w:rsidR="000A373F" w:rsidRPr="00FB1A58">
        <w:rPr>
          <w:color w:val="auto"/>
          <w:lang w:val="en-US"/>
        </w:rPr>
        <w:t xml:space="preserve">population </w:t>
      </w:r>
      <w:r w:rsidR="00E90DFD" w:rsidRPr="00FB1A58">
        <w:rPr>
          <w:color w:val="auto"/>
          <w:lang w:val="en-US"/>
        </w:rPr>
        <w:t xml:space="preserve">standard deviation of the patient and normative group </w:t>
      </w:r>
      <w:r w:rsidR="00300012" w:rsidRPr="00FB1A58">
        <w:rPr>
          <w:color w:val="auto"/>
          <w:lang w:val="en-US"/>
        </w:rPr>
        <w:t xml:space="preserve">is </w:t>
      </w:r>
      <w:r w:rsidR="00E90DFD" w:rsidRPr="00FB1A58">
        <w:rPr>
          <w:color w:val="auto"/>
          <w:lang w:val="en-US"/>
        </w:rPr>
        <w:t xml:space="preserve">the same, panel B) situation in which the </w:t>
      </w:r>
      <w:r w:rsidR="000A373F" w:rsidRPr="00FB1A58">
        <w:rPr>
          <w:color w:val="auto"/>
          <w:lang w:val="en-US"/>
        </w:rPr>
        <w:t xml:space="preserve">population </w:t>
      </w:r>
      <w:r w:rsidR="00E90DFD" w:rsidRPr="00FB1A58">
        <w:rPr>
          <w:color w:val="auto"/>
          <w:lang w:val="en-US"/>
        </w:rPr>
        <w:t xml:space="preserve">standard deviation of the patient group is smaller than the normative group, panel C) the </w:t>
      </w:r>
      <w:r w:rsidR="000A373F" w:rsidRPr="00FB1A58">
        <w:rPr>
          <w:color w:val="auto"/>
          <w:lang w:val="en-US"/>
        </w:rPr>
        <w:t xml:space="preserve">population </w:t>
      </w:r>
      <w:r w:rsidR="00E90DFD" w:rsidRPr="00FB1A58">
        <w:rPr>
          <w:color w:val="auto"/>
          <w:lang w:val="en-US"/>
        </w:rPr>
        <w:t xml:space="preserve">standard deviation of the patient group is larger than of the normative group. Left panel represents high overlap between patient and clinical group </w:t>
      </w:r>
      <w:r w:rsidR="00283C3A" w:rsidRPr="00FB1A58">
        <w:rPr>
          <w:color w:val="auto"/>
          <w:lang w:val="en-US"/>
        </w:rPr>
        <w:t>(</w:t>
      </w:r>
      <w:r w:rsidR="000A373F" w:rsidRPr="00FB1A58">
        <w:rPr>
          <w:color w:val="auto"/>
          <w:lang w:val="en-US"/>
        </w:rPr>
        <w:t xml:space="preserve">population </w:t>
      </w:r>
      <w:r w:rsidR="00283C3A" w:rsidRPr="00FB1A58">
        <w:rPr>
          <w:color w:val="auto"/>
          <w:lang w:val="en-US"/>
        </w:rPr>
        <w:t>mean of patient group is 0.5 SDs smaller</w:t>
      </w:r>
      <w:r w:rsidR="000A373F" w:rsidRPr="00FB1A58">
        <w:rPr>
          <w:color w:val="auto"/>
          <w:lang w:val="en-US"/>
        </w:rPr>
        <w:t xml:space="preserve"> than population mean of normative group</w:t>
      </w:r>
      <w:r w:rsidR="00E90DFD" w:rsidRPr="00FB1A58">
        <w:rPr>
          <w:color w:val="auto"/>
          <w:lang w:val="en-US"/>
        </w:rPr>
        <w:t xml:space="preserve">) and right panel represents less overlap between both groups </w:t>
      </w:r>
      <w:r w:rsidR="00283C3A" w:rsidRPr="00FB1A58">
        <w:rPr>
          <w:color w:val="auto"/>
          <w:lang w:val="en-US"/>
        </w:rPr>
        <w:t>(</w:t>
      </w:r>
      <w:r w:rsidR="000A373F" w:rsidRPr="00FB1A58">
        <w:rPr>
          <w:color w:val="auto"/>
          <w:lang w:val="en-US"/>
        </w:rPr>
        <w:t xml:space="preserve">population </w:t>
      </w:r>
      <w:r w:rsidR="00283C3A" w:rsidRPr="00FB1A58">
        <w:rPr>
          <w:color w:val="auto"/>
          <w:lang w:val="en-US"/>
        </w:rPr>
        <w:t>mean of patient group is 1.5 SDs smaller</w:t>
      </w:r>
      <w:r w:rsidR="000A373F" w:rsidRPr="00FB1A58">
        <w:rPr>
          <w:color w:val="auto"/>
          <w:lang w:val="en-US"/>
        </w:rPr>
        <w:t xml:space="preserve"> than population mean of patient group</w:t>
      </w:r>
      <w:r w:rsidR="00283C3A" w:rsidRPr="00FB1A58">
        <w:rPr>
          <w:color w:val="auto"/>
          <w:lang w:val="en-US"/>
        </w:rPr>
        <w:t>)</w:t>
      </w:r>
      <w:r w:rsidR="00E90DFD" w:rsidRPr="00FB1A58">
        <w:rPr>
          <w:color w:val="auto"/>
          <w:lang w:val="en-US"/>
        </w:rPr>
        <w:t>.</w:t>
      </w:r>
    </w:p>
    <w:p w14:paraId="71132542" w14:textId="11674CF3" w:rsidR="001F2B51" w:rsidRPr="00FB1A58" w:rsidRDefault="006A4104" w:rsidP="001F2B51">
      <w:pPr>
        <w:keepNext/>
        <w:spacing w:before="0" w:after="160" w:line="259" w:lineRule="auto"/>
        <w:jc w:val="left"/>
      </w:pPr>
      <w:bookmarkStart w:id="3" w:name="_Hlk70419735"/>
      <w:r w:rsidRPr="00FB1A58">
        <w:rPr>
          <w:noProof/>
        </w:rPr>
        <w:lastRenderedPageBreak/>
        <w:drawing>
          <wp:inline distT="0" distB="0" distL="0" distR="0" wp14:anchorId="5D2D5995" wp14:editId="3BF6DEBF">
            <wp:extent cx="5398019" cy="50383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F_Zscores_pl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8019" cy="5038354"/>
                    </a:xfrm>
                    <a:prstGeom prst="rect">
                      <a:avLst/>
                    </a:prstGeom>
                  </pic:spPr>
                </pic:pic>
              </a:graphicData>
            </a:graphic>
          </wp:inline>
        </w:drawing>
      </w:r>
    </w:p>
    <w:p w14:paraId="43C1B507" w14:textId="61A28C39" w:rsidR="00470D3C" w:rsidRPr="00FB1A58" w:rsidRDefault="001F2B51" w:rsidP="00081520">
      <w:pPr>
        <w:pStyle w:val="Caption"/>
        <w:rPr>
          <w:color w:val="auto"/>
          <w:lang w:val="en-US"/>
        </w:rPr>
      </w:pPr>
      <w:r w:rsidRPr="00FB1A58">
        <w:rPr>
          <w:color w:val="auto"/>
          <w:lang w:val="en-US"/>
        </w:rPr>
        <w:t>Figure</w:t>
      </w:r>
      <w:r w:rsidR="00E90B75" w:rsidRPr="00FB1A58">
        <w:rPr>
          <w:color w:val="auto"/>
          <w:lang w:val="en-US"/>
        </w:rPr>
        <w:t xml:space="preserve"> </w:t>
      </w:r>
      <w:r w:rsidR="00122BAC" w:rsidRPr="00FB1A58">
        <w:rPr>
          <w:color w:val="auto"/>
          <w:lang w:val="en-US"/>
        </w:rPr>
        <w:t>B2</w:t>
      </w:r>
      <w:r w:rsidRPr="00FB1A58">
        <w:rPr>
          <w:color w:val="auto"/>
          <w:lang w:val="en-US"/>
        </w:rPr>
        <w:t xml:space="preserve">. Relation between the BF and z-score </w:t>
      </w:r>
      <w:r w:rsidR="006A4104" w:rsidRPr="00FB1A58">
        <w:rPr>
          <w:color w:val="auto"/>
          <w:lang w:val="en-US"/>
        </w:rPr>
        <w:t xml:space="preserve">(A) and log(BF) and z-score (B). Three scenarios are depicted: </w:t>
      </w:r>
      <w:r w:rsidRPr="00FB1A58">
        <w:rPr>
          <w:color w:val="auto"/>
          <w:lang w:val="en-US"/>
        </w:rPr>
        <w:t xml:space="preserve">the patient and normative group have equal </w:t>
      </w:r>
      <w:r w:rsidR="00EC1286" w:rsidRPr="00FB1A58">
        <w:rPr>
          <w:color w:val="auto"/>
          <w:lang w:val="en-US"/>
        </w:rPr>
        <w:t xml:space="preserve">population </w:t>
      </w:r>
      <w:r w:rsidRPr="00FB1A58">
        <w:rPr>
          <w:color w:val="auto"/>
          <w:lang w:val="en-US"/>
        </w:rPr>
        <w:t>standard deviations (left panel), the patient group has a smaller</w:t>
      </w:r>
      <w:r w:rsidR="00EC1286" w:rsidRPr="00FB1A58">
        <w:rPr>
          <w:color w:val="auto"/>
          <w:lang w:val="en-US"/>
        </w:rPr>
        <w:t xml:space="preserve"> population</w:t>
      </w:r>
      <w:r w:rsidRPr="00FB1A58">
        <w:rPr>
          <w:color w:val="auto"/>
          <w:lang w:val="en-US"/>
        </w:rPr>
        <w:t xml:space="preserve"> standard deviation (middle panel) and larger </w:t>
      </w:r>
      <w:r w:rsidR="00EC1286" w:rsidRPr="00FB1A58">
        <w:rPr>
          <w:color w:val="auto"/>
          <w:lang w:val="en-US"/>
        </w:rPr>
        <w:t xml:space="preserve">population </w:t>
      </w:r>
      <w:r w:rsidRPr="00FB1A58">
        <w:rPr>
          <w:color w:val="auto"/>
          <w:lang w:val="en-US"/>
        </w:rPr>
        <w:t>standard deviation (right panel)</w:t>
      </w:r>
      <w:r w:rsidR="00383C51" w:rsidRPr="00FB1A58">
        <w:rPr>
          <w:color w:val="auto"/>
          <w:lang w:val="en-US"/>
        </w:rPr>
        <w:t xml:space="preserve"> than the normative group</w:t>
      </w:r>
      <w:r w:rsidRPr="00FB1A58">
        <w:rPr>
          <w:color w:val="auto"/>
          <w:lang w:val="en-US"/>
        </w:rPr>
        <w:t>. The solid line represents a small difference</w:t>
      </w:r>
      <w:r w:rsidR="00755C31" w:rsidRPr="00FB1A58">
        <w:rPr>
          <w:color w:val="auto"/>
          <w:lang w:val="en-US"/>
        </w:rPr>
        <w:t xml:space="preserve"> </w:t>
      </w:r>
      <w:r w:rsidRPr="00FB1A58">
        <w:rPr>
          <w:color w:val="auto"/>
          <w:lang w:val="en-US"/>
        </w:rPr>
        <w:t>(</w:t>
      </w:r>
      <w:r w:rsidR="00EC1286" w:rsidRPr="00FB1A58">
        <w:rPr>
          <w:color w:val="auto"/>
          <w:lang w:val="en-US"/>
        </w:rPr>
        <w:t xml:space="preserve">population </w:t>
      </w:r>
      <w:r w:rsidR="00755C31" w:rsidRPr="00FB1A58">
        <w:rPr>
          <w:color w:val="auto"/>
          <w:lang w:val="en-US"/>
        </w:rPr>
        <w:t>mean of patient group is</w:t>
      </w:r>
      <w:r w:rsidRPr="00FB1A58">
        <w:rPr>
          <w:color w:val="auto"/>
          <w:lang w:val="en-US"/>
        </w:rPr>
        <w:t xml:space="preserve"> 0.5</w:t>
      </w:r>
      <w:r w:rsidR="00755C31" w:rsidRPr="00FB1A58">
        <w:rPr>
          <w:color w:val="auto"/>
          <w:lang w:val="en-US"/>
        </w:rPr>
        <w:t xml:space="preserve"> SDs smaller</w:t>
      </w:r>
      <w:r w:rsidR="00EC1286" w:rsidRPr="00FB1A58">
        <w:rPr>
          <w:color w:val="auto"/>
          <w:lang w:val="en-US"/>
        </w:rPr>
        <w:t xml:space="preserve"> than the population mean of the normative group</w:t>
      </w:r>
      <w:r w:rsidRPr="00FB1A58">
        <w:rPr>
          <w:color w:val="auto"/>
          <w:lang w:val="en-US"/>
        </w:rPr>
        <w:t>) and dashed line a big difference (</w:t>
      </w:r>
      <w:r w:rsidR="00EC1286" w:rsidRPr="00FB1A58">
        <w:rPr>
          <w:color w:val="auto"/>
          <w:lang w:val="en-US"/>
        </w:rPr>
        <w:t xml:space="preserve">population </w:t>
      </w:r>
      <w:r w:rsidR="00755C31" w:rsidRPr="00FB1A58">
        <w:rPr>
          <w:color w:val="auto"/>
          <w:lang w:val="en-US"/>
        </w:rPr>
        <w:t>mean of patient group is 1.5 SDs smaller</w:t>
      </w:r>
      <w:r w:rsidR="00EC1286" w:rsidRPr="00FB1A58">
        <w:rPr>
          <w:color w:val="auto"/>
          <w:lang w:val="en-US"/>
        </w:rPr>
        <w:t xml:space="preserve"> than the population mean of the normative group</w:t>
      </w:r>
      <w:r w:rsidRPr="00FB1A58">
        <w:rPr>
          <w:color w:val="auto"/>
          <w:lang w:val="en-US"/>
        </w:rPr>
        <w:t>).</w:t>
      </w:r>
      <w:r w:rsidR="00BF5287" w:rsidRPr="00FB1A58">
        <w:rPr>
          <w:color w:val="auto"/>
          <w:lang w:val="en-US"/>
        </w:rPr>
        <w:t xml:space="preserve"> The </w:t>
      </w:r>
      <w:r w:rsidR="00383C51" w:rsidRPr="00FB1A58">
        <w:rPr>
          <w:color w:val="auto"/>
          <w:lang w:val="en-US"/>
        </w:rPr>
        <w:t>solid grey line indicates a BF of 1</w:t>
      </w:r>
      <w:r w:rsidR="00BD2E9F" w:rsidRPr="00FB1A58">
        <w:rPr>
          <w:color w:val="auto"/>
          <w:lang w:val="en-US"/>
        </w:rPr>
        <w:t xml:space="preserve"> (A)</w:t>
      </w:r>
      <w:r w:rsidR="00383C51" w:rsidRPr="00FB1A58">
        <w:rPr>
          <w:color w:val="auto"/>
          <w:lang w:val="en-US"/>
        </w:rPr>
        <w:t xml:space="preserve"> and log(BF) of 0</w:t>
      </w:r>
      <w:r w:rsidR="00BD2E9F" w:rsidRPr="00FB1A58">
        <w:rPr>
          <w:color w:val="auto"/>
          <w:lang w:val="en-US"/>
        </w:rPr>
        <w:t xml:space="preserve"> (B)</w:t>
      </w:r>
      <w:r w:rsidR="00BF5287" w:rsidRPr="00FB1A58">
        <w:rPr>
          <w:color w:val="auto"/>
          <w:lang w:val="en-US"/>
        </w:rPr>
        <w:t>.</w:t>
      </w:r>
    </w:p>
    <w:bookmarkEnd w:id="3"/>
    <w:p w14:paraId="5969D9E5" w14:textId="77777777" w:rsidR="009E0D3D" w:rsidRPr="00FB1A58" w:rsidRDefault="009E0D3D">
      <w:pPr>
        <w:spacing w:before="0" w:after="160" w:line="259" w:lineRule="auto"/>
        <w:jc w:val="left"/>
        <w:rPr>
          <w:rFonts w:asciiTheme="majorHAnsi" w:eastAsiaTheme="majorEastAsia" w:hAnsiTheme="majorHAnsi" w:cstheme="majorBidi"/>
          <w:sz w:val="26"/>
          <w:szCs w:val="26"/>
          <w:u w:val="single"/>
          <w:lang w:val="en-GB"/>
        </w:rPr>
      </w:pPr>
      <w:r w:rsidRPr="00FB1A58">
        <w:rPr>
          <w:lang w:val="en-GB"/>
        </w:rPr>
        <w:br w:type="page"/>
      </w:r>
    </w:p>
    <w:p w14:paraId="42419A87" w14:textId="05166394" w:rsidR="001B201F" w:rsidRPr="00FB1A58" w:rsidRDefault="003A08C0" w:rsidP="003A08C0">
      <w:pPr>
        <w:pStyle w:val="Heading1"/>
        <w:rPr>
          <w:color w:val="auto"/>
          <w:lang w:val="en-GB"/>
        </w:rPr>
      </w:pPr>
      <w:r w:rsidRPr="00FB1A58">
        <w:rPr>
          <w:color w:val="auto"/>
          <w:lang w:val="en-GB"/>
        </w:rPr>
        <w:lastRenderedPageBreak/>
        <w:t>Appendix C</w:t>
      </w:r>
      <w:r w:rsidR="001B201F" w:rsidRPr="00FB1A58">
        <w:rPr>
          <w:color w:val="auto"/>
          <w:lang w:val="en-GB"/>
        </w:rPr>
        <w:t xml:space="preserve">. </w:t>
      </w:r>
      <w:r w:rsidR="007150FA" w:rsidRPr="00FB1A58">
        <w:rPr>
          <w:color w:val="auto"/>
          <w:lang w:val="en-GB"/>
        </w:rPr>
        <w:t xml:space="preserve">Bayes Factor </w:t>
      </w:r>
      <w:r w:rsidR="002A161B" w:rsidRPr="00FB1A58">
        <w:rPr>
          <w:color w:val="auto"/>
          <w:lang w:val="en-GB"/>
        </w:rPr>
        <w:t>c</w:t>
      </w:r>
      <w:r w:rsidR="007150FA" w:rsidRPr="00FB1A58">
        <w:rPr>
          <w:color w:val="auto"/>
          <w:lang w:val="en-GB"/>
        </w:rPr>
        <w:t>alculation for the cancellation test</w:t>
      </w:r>
    </w:p>
    <w:p w14:paraId="29E16657" w14:textId="4E7FB2FF" w:rsidR="00122EB8" w:rsidRPr="00FB1A58" w:rsidRDefault="00122EB8" w:rsidP="004D6240">
      <w:pPr>
        <w:rPr>
          <w:lang w:val="en-GB"/>
        </w:rPr>
      </w:pPr>
      <w:r w:rsidRPr="00FB1A58">
        <w:rPr>
          <w:lang w:val="en-GB"/>
        </w:rPr>
        <w:t>To diagnose hemispatial neglect after stroke, cancellation tests are a popular instrument. In a cancellation test a page with shapes is presented to a patient. The patient is typically asked to mark certain shapes (i.e., targets) and ignore other shapes (i.e., distractors). The target shapes are uniformly distributed across the page.</w:t>
      </w:r>
      <w:r w:rsidR="00C55952" w:rsidRPr="00FB1A58">
        <w:rPr>
          <w:lang w:val="en-GB"/>
        </w:rPr>
        <w:t xml:space="preserve"> </w:t>
      </w:r>
      <w:r w:rsidRPr="00FB1A58">
        <w:rPr>
          <w:lang w:val="en-GB"/>
        </w:rPr>
        <w:t xml:space="preserve">To </w:t>
      </w:r>
      <w:r w:rsidR="00D7115B" w:rsidRPr="00FB1A58">
        <w:rPr>
          <w:lang w:val="en-GB"/>
        </w:rPr>
        <w:t>quantify</w:t>
      </w:r>
      <w:r w:rsidRPr="00FB1A58">
        <w:rPr>
          <w:lang w:val="en-GB"/>
        </w:rPr>
        <w:t xml:space="preserve"> hemispatial neglect</w:t>
      </w:r>
      <w:r w:rsidR="00D7115B" w:rsidRPr="00FB1A58">
        <w:rPr>
          <w:lang w:val="en-GB"/>
        </w:rPr>
        <w:t xml:space="preserve">, performance on a cancellation test is often summarized by calculating the difference between the number of cancelled targets on the left and right side of the page (R-L score). The observed R-L score of the patient is then compared to percentile cut-offs that are based on the R-L score distribution in neurologically healthy individuals. However, previous research indicated that this procedure ignores binomial error variance and that it </w:t>
      </w:r>
      <w:r w:rsidR="00B95B55" w:rsidRPr="00FB1A58">
        <w:rPr>
          <w:lang w:val="en-GB"/>
        </w:rPr>
        <w:t>is</w:t>
      </w:r>
      <w:r w:rsidR="00D7115B" w:rsidRPr="00FB1A58">
        <w:rPr>
          <w:lang w:val="en-GB"/>
        </w:rPr>
        <w:t xml:space="preserve"> </w:t>
      </w:r>
      <w:r w:rsidR="00410730" w:rsidRPr="00FB1A58">
        <w:rPr>
          <w:lang w:val="en-GB"/>
        </w:rPr>
        <w:t xml:space="preserve">potentially </w:t>
      </w:r>
      <w:r w:rsidR="00D7115B" w:rsidRPr="00FB1A58">
        <w:rPr>
          <w:lang w:val="en-GB"/>
        </w:rPr>
        <w:t xml:space="preserve">more accurate to adjust percentile cut-offs for the total performance on the cancellation test or to use a statistical test of proportions </w:t>
      </w:r>
      <w:r w:rsidR="00C55952" w:rsidRPr="00FB1A58">
        <w:rPr>
          <w:lang w:val="en-GB"/>
        </w:rPr>
        <w:fldChar w:fldCharType="begin"/>
      </w:r>
      <w:r w:rsidR="00C55952" w:rsidRPr="00FB1A58">
        <w:rPr>
          <w:lang w:val="en-GB"/>
        </w:rPr>
        <w:instrText xml:space="preserve"> ADDIN ZOTERO_ITEM CSL_CITATION {"citationID":"xwiCnbdr","properties":{"formattedCitation":"(Huygelier et al., 2020)","plainCitation":"(Huygelier et al., 2020)","noteIndex":0},"citationItems":[{"id":9490,"uris":["http://zotero.org/users/2737028/items/A525LTYV"],"uri":["http://zotero.org/users/2737028/items/A525LTYV"],"itemData":{"id":9490,"type":"article-journal","container-title":"Journal of the International Neuropsychological Society","DOI":"https://doi.org/10.1017/S1355617720000041","page":"668-678","title":"Non-spatial impairments affect false positive neglect diagnosis based on cancellation tasks.","volume":"26","author":[{"family":"Huygelier","given":"Hanne"},{"family":"Moore","given":"Margareth Jane"},{"family":"Demeyere","given":"Nele"},{"family":"Gillebert","given":"Céline R."}],"issued":{"date-parts":[["2020"]]}}}],"schema":"https://github.com/citation-style-language/schema/raw/master/csl-citation.json"} </w:instrText>
      </w:r>
      <w:r w:rsidR="00C55952" w:rsidRPr="00FB1A58">
        <w:rPr>
          <w:lang w:val="en-GB"/>
        </w:rPr>
        <w:fldChar w:fldCharType="separate"/>
      </w:r>
      <w:r w:rsidR="00C55952" w:rsidRPr="00FB1A58">
        <w:rPr>
          <w:rFonts w:ascii="Calibri" w:hAnsi="Calibri" w:cs="Calibri"/>
          <w:lang w:val="en-US"/>
        </w:rPr>
        <w:t>(Huygelier et al., 2020)</w:t>
      </w:r>
      <w:r w:rsidR="00C55952" w:rsidRPr="00FB1A58">
        <w:rPr>
          <w:lang w:val="en-GB"/>
        </w:rPr>
        <w:fldChar w:fldCharType="end"/>
      </w:r>
      <w:r w:rsidR="00D7115B" w:rsidRPr="00FB1A58">
        <w:rPr>
          <w:lang w:val="en-GB"/>
        </w:rPr>
        <w:t>.</w:t>
      </w:r>
    </w:p>
    <w:p w14:paraId="10E25D24" w14:textId="77777777" w:rsidR="00B84AEB" w:rsidRPr="00FB1A58" w:rsidRDefault="00B84AEB" w:rsidP="00B84AEB">
      <w:pPr>
        <w:pStyle w:val="Heading3"/>
        <w:rPr>
          <w:color w:val="auto"/>
          <w:lang w:val="en-GB"/>
        </w:rPr>
      </w:pPr>
      <w:r w:rsidRPr="00FB1A58">
        <w:rPr>
          <w:color w:val="auto"/>
          <w:lang w:val="en-GB"/>
        </w:rPr>
        <w:t>Numerical Examples</w:t>
      </w:r>
    </w:p>
    <w:p w14:paraId="50ACCA43" w14:textId="1E6D3355" w:rsidR="0006350D" w:rsidRPr="00FB1A58" w:rsidRDefault="00915049" w:rsidP="0006350D">
      <w:pPr>
        <w:rPr>
          <w:lang w:val="en-US"/>
        </w:rPr>
      </w:pPr>
      <w:r w:rsidRPr="00FB1A58">
        <w:rPr>
          <w:lang w:val="en-US"/>
        </w:rPr>
        <w:t xml:space="preserve">In the following example we assume a known base rate probability of hemispatial neglect of 50%. </w:t>
      </w:r>
      <w:r w:rsidR="00495737" w:rsidRPr="00FB1A58">
        <w:rPr>
          <w:lang w:val="en-US"/>
        </w:rPr>
        <w:t xml:space="preserve">Consider that you administer a cancellation test with 20 targets on each side of the page. You test two patients. The first patient cancels 18 targets on the right side and </w:t>
      </w:r>
      <w:r w:rsidR="004000DE" w:rsidRPr="00FB1A58">
        <w:rPr>
          <w:lang w:val="en-US"/>
        </w:rPr>
        <w:t>8</w:t>
      </w:r>
      <w:r w:rsidR="00495737" w:rsidRPr="00FB1A58">
        <w:rPr>
          <w:lang w:val="en-US"/>
        </w:rPr>
        <w:t xml:space="preserve"> targets on the left side. Thus, the patient has a R-L score of </w:t>
      </w:r>
      <w:r w:rsidR="00510192" w:rsidRPr="00FB1A58">
        <w:rPr>
          <w:lang w:val="en-US"/>
        </w:rPr>
        <w:t>10</w:t>
      </w:r>
      <w:r w:rsidR="00495737" w:rsidRPr="00FB1A58">
        <w:rPr>
          <w:lang w:val="en-US"/>
        </w:rPr>
        <w:t>, which is above the normative percentile cut-off of 2</w:t>
      </w:r>
      <w:r w:rsidR="00BB06EA" w:rsidRPr="00FB1A58">
        <w:rPr>
          <w:lang w:val="en-US"/>
        </w:rPr>
        <w:t xml:space="preserve"> </w:t>
      </w:r>
      <w:r w:rsidR="0055216C" w:rsidRPr="00FB1A58">
        <w:rPr>
          <w:lang w:val="en-US"/>
        </w:rPr>
        <w:fldChar w:fldCharType="begin"/>
      </w:r>
      <w:r w:rsidR="002047E3" w:rsidRPr="00FB1A58">
        <w:rPr>
          <w:lang w:val="en-US"/>
        </w:rPr>
        <w:instrText xml:space="preserve"> ADDIN ZOTERO_ITEM CSL_CITATION {"citationID":"2xq9kZDp","properties":{"formattedCitation":"(Demeyere et al., 2015; Huygelier et al., 2019)","plainCitation":"(Demeyere et al., 2015; Huygelier et al., 2019)","dontUpdate":true,"noteIndex":0},"citationItems":[{"id":4846,"uris":["http://zotero.org/users/2737028/items/Z7URBX7P"],"uri":["http://zotero.org/users/2737028/items/Z7URBX7P"],"itemData":{"id":4846,"type":"article-journal","abstract":"There is currently no existing freely available short screen for cognitive problems that targets stroke survivors specifically. We have developed a short cognitive screen, the Oxford Cognitive Screen (OCS), to be completed in 15–20 min, designed for use with stroke patients. To maximize inclusion, the test is aphasia- and neglect friendly and covers domains of cognition where deficits frequently occur after stroke, including apraxia and unilateral neglect as well as memory, language, executive function, and number abilities. Domain-specific scores are returned to help direct rehabilitation. This article presents the normative data in a large sample of 140 neurologically healthy participants, a report on incidences of impairments in a sample of 208 acute stroke patients (within 3 weeks of stroke onset), measures of test–retest reliability on an alternate form and convergent and divergent validity. In addition, the full test materials are made freely available for clinical use.","container-title":"Psychological Assessment","DOI":"10.1037/pas0000082","ISSN":"1040-3590","issue":"3","language":"ENGLISH","note":"PMID: 00012030-201509000-00013","page":"883-894","source":"insights.ovid.com","title":"The Oxford Cognitive Screen (ocs): Validation of a Stroke-specific Short Cognitive Screening Tool","title-short":"The Oxford Cognitive Screen (ocs)","volume":"27","author":[{"family":"Demeyere","given":"Nele"},{"family":"Riddoch","given":"M. Jane"},{"family":"Slavkova","given":"Elitsa D."},{"family":"Bickerton","given":"Wai-ling"},{"family":"Humphreys","given":"Glyn W."}],"issued":{"date-parts":[["2015",9,1]]}}},{"id":8752,"uris":["http://zotero.org/users/2737028/items/LR3VNIY2"],"uri":["http://zotero.org/users/2737028/items/LR3VNIY2"],"itemData":{"id":8752,"type":"article-journal","abstract":"The Oxford Cognitive Screen (OCS) is a screening tool designed for stroke patients, assessing attention, executive functions, language, praxis, numeric cognition and memory. H</w:instrText>
      </w:r>
      <w:r w:rsidR="002047E3" w:rsidRPr="00FB1A58">
        <w:rPr>
          <w:lang w:val="nl-BE"/>
        </w:rPr>
        <w:instrText xml:space="preserve">ere we present norms for the two parallel versions of the Dutch OCS (OCS-NL, acquired in 246 participants for version A and a subset of 179 participants for version B. We evaluated the association of age and socio-economic status (i.e. education, income, occupation) with OCS-NL performance There were no systematic performance differences between income groups, nor between manual and non-manual workers. There were small differences between education groups. The association of education and performance did not vary across subtests. The association of age and performance varied across subtests, with the strongest associations for the naming, praxis, verbal memory and executive task. Thus, OCS-NL norms do not need to be stratified on income and occupation and age-specific norms are recommended for some subtests.","container-title":"Aging, Neuropsychology, and Cognition","DOI":"10.1080/13825585.2019.1680598","ISSN":"1382-5585","page":"1-22","source":"Taylor and Francis+NEJM","title":"The Dutch version of the Oxford Cognitive Screen (OCS-NL): normative data and their association with age and socio-economic status","title-short":"The Dutch version of the Oxford Cognitive Screen (OCS-NL)","author":[{"family":"Huygelier","given":"Hanne"},{"family":"Schraepen","given":"Brenda"},{"family":"Demeyere","given":"Nele"},{"family":"Gillebert","given":"Céline R."}],"issued":{"date-parts":[["2019"]]}}}],"schema":"https://github.com/citation-style-language/schema/raw/master/csl-citation.json"} </w:instrText>
      </w:r>
      <w:r w:rsidR="0055216C" w:rsidRPr="00FB1A58">
        <w:rPr>
          <w:lang w:val="en-US"/>
        </w:rPr>
        <w:fldChar w:fldCharType="separate"/>
      </w:r>
      <w:r w:rsidR="0055216C" w:rsidRPr="00FB1A58">
        <w:rPr>
          <w:rFonts w:ascii="Calibri" w:hAnsi="Calibri" w:cs="Calibri"/>
          <w:lang w:val="nl-BE"/>
        </w:rPr>
        <w:t>(</w:t>
      </w:r>
      <w:r w:rsidR="005A7565" w:rsidRPr="00FB1A58">
        <w:rPr>
          <w:rFonts w:ascii="Calibri" w:hAnsi="Calibri" w:cs="Calibri"/>
          <w:lang w:val="nl-BE"/>
        </w:rPr>
        <w:t xml:space="preserve">e.g., </w:t>
      </w:r>
      <w:r w:rsidR="0055216C" w:rsidRPr="00FB1A58">
        <w:rPr>
          <w:rFonts w:ascii="Calibri" w:hAnsi="Calibri" w:cs="Calibri"/>
          <w:lang w:val="nl-BE"/>
        </w:rPr>
        <w:t>Demeyere et al., 2015; Huygelier et al., 2019)</w:t>
      </w:r>
      <w:r w:rsidR="0055216C" w:rsidRPr="00FB1A58">
        <w:rPr>
          <w:lang w:val="en-US"/>
        </w:rPr>
        <w:fldChar w:fldCharType="end"/>
      </w:r>
      <w:r w:rsidR="00495737" w:rsidRPr="00FB1A58">
        <w:rPr>
          <w:lang w:val="nl-BE"/>
        </w:rPr>
        <w:t xml:space="preserve">, </w:t>
      </w:r>
      <w:proofErr w:type="spellStart"/>
      <w:r w:rsidR="00495737" w:rsidRPr="00FB1A58">
        <w:rPr>
          <w:lang w:val="nl-BE"/>
        </w:rPr>
        <w:t>indicating</w:t>
      </w:r>
      <w:proofErr w:type="spellEnd"/>
      <w:r w:rsidR="00495737" w:rsidRPr="00FB1A58">
        <w:rPr>
          <w:lang w:val="nl-BE"/>
        </w:rPr>
        <w:t xml:space="preserve"> hemispatial </w:t>
      </w:r>
      <w:proofErr w:type="spellStart"/>
      <w:r w:rsidR="00495737" w:rsidRPr="00FB1A58">
        <w:rPr>
          <w:lang w:val="nl-BE"/>
        </w:rPr>
        <w:t>neglect</w:t>
      </w:r>
      <w:proofErr w:type="spellEnd"/>
      <w:r w:rsidR="00495737" w:rsidRPr="00FB1A58">
        <w:rPr>
          <w:lang w:val="nl-BE"/>
        </w:rPr>
        <w:t>.</w:t>
      </w:r>
      <w:r w:rsidR="00A32B4E" w:rsidRPr="00FB1A58">
        <w:rPr>
          <w:lang w:val="nl-BE"/>
        </w:rPr>
        <w:t xml:space="preserve"> </w:t>
      </w:r>
      <w:r w:rsidR="00A32B4E" w:rsidRPr="00FB1A58">
        <w:rPr>
          <w:lang w:val="en-US"/>
        </w:rPr>
        <w:t>For this patient the BF</w:t>
      </w:r>
      <w:r w:rsidR="00A32B4E" w:rsidRPr="00FB1A58">
        <w:rPr>
          <w:vertAlign w:val="subscript"/>
          <w:lang w:val="en-US"/>
        </w:rPr>
        <w:t>10</w:t>
      </w:r>
      <w:r w:rsidR="00A32B4E" w:rsidRPr="00FB1A58">
        <w:rPr>
          <w:lang w:val="en-US"/>
        </w:rPr>
        <w:t xml:space="preserve"> equals 98, indicating that it is 98 times more likely that performance differed between the left and right side than that it did not differ.</w:t>
      </w:r>
      <w:r w:rsidR="00287B74" w:rsidRPr="00FB1A58">
        <w:rPr>
          <w:lang w:val="en-US"/>
        </w:rPr>
        <w:t xml:space="preserve"> Thus, in this scenario we can be confident that the patient has hemispatial neglect based on the cancellation </w:t>
      </w:r>
      <w:r w:rsidR="00020862" w:rsidRPr="00FB1A58">
        <w:rPr>
          <w:lang w:val="en-US"/>
        </w:rPr>
        <w:t>test</w:t>
      </w:r>
      <w:r w:rsidR="00287B74" w:rsidRPr="00FB1A58">
        <w:rPr>
          <w:lang w:val="en-US"/>
        </w:rPr>
        <w:t>.</w:t>
      </w:r>
      <w:r w:rsidR="00603F90" w:rsidRPr="00FB1A58">
        <w:rPr>
          <w:lang w:val="en-US"/>
        </w:rPr>
        <w:t xml:space="preserve"> </w:t>
      </w:r>
    </w:p>
    <w:p w14:paraId="0D94B31C" w14:textId="6428B969" w:rsidR="00D11180" w:rsidRPr="00FB1A58" w:rsidRDefault="00D11180" w:rsidP="0006350D">
      <w:pPr>
        <w:rPr>
          <w:lang w:val="en-US"/>
        </w:rPr>
      </w:pPr>
      <w:r w:rsidRPr="00FB1A58">
        <w:rPr>
          <w:lang w:val="en-US"/>
        </w:rPr>
        <w:t xml:space="preserve">Now consider </w:t>
      </w:r>
      <w:r w:rsidR="00E67B60" w:rsidRPr="00FB1A58">
        <w:rPr>
          <w:lang w:val="en-US"/>
        </w:rPr>
        <w:t>a second</w:t>
      </w:r>
      <w:r w:rsidRPr="00FB1A58">
        <w:rPr>
          <w:lang w:val="en-US"/>
        </w:rPr>
        <w:t xml:space="preserve"> patient who cancels 18 targets on the right side and </w:t>
      </w:r>
      <w:r w:rsidR="009D31DD" w:rsidRPr="00FB1A58">
        <w:rPr>
          <w:lang w:val="en-US"/>
        </w:rPr>
        <w:t>16</w:t>
      </w:r>
      <w:r w:rsidRPr="00FB1A58">
        <w:rPr>
          <w:lang w:val="en-US"/>
        </w:rPr>
        <w:t xml:space="preserve"> targets on the left side. </w:t>
      </w:r>
      <w:r w:rsidR="00CC567D" w:rsidRPr="00FB1A58">
        <w:rPr>
          <w:lang w:val="en-US"/>
        </w:rPr>
        <w:t xml:space="preserve">The R-L score is </w:t>
      </w:r>
      <w:r w:rsidR="004340C6" w:rsidRPr="00FB1A58">
        <w:rPr>
          <w:lang w:val="en-US"/>
        </w:rPr>
        <w:t>2</w:t>
      </w:r>
      <w:r w:rsidR="00CC567D" w:rsidRPr="00FB1A58">
        <w:rPr>
          <w:lang w:val="en-US"/>
        </w:rPr>
        <w:t xml:space="preserve">, which </w:t>
      </w:r>
      <w:r w:rsidR="004340C6" w:rsidRPr="00FB1A58">
        <w:rPr>
          <w:lang w:val="en-US"/>
        </w:rPr>
        <w:t>does not exceed</w:t>
      </w:r>
      <w:r w:rsidR="00CC567D" w:rsidRPr="00FB1A58">
        <w:rPr>
          <w:lang w:val="en-US"/>
        </w:rPr>
        <w:t xml:space="preserve"> the normative cut-off</w:t>
      </w:r>
      <w:r w:rsidR="009B18EE" w:rsidRPr="00FB1A58">
        <w:rPr>
          <w:lang w:val="en-US"/>
        </w:rPr>
        <w:t xml:space="preserve"> and it would therefore be tempting to conclude that the patient does not have hemispatial neglect. </w:t>
      </w:r>
      <w:r w:rsidR="00E054E2" w:rsidRPr="00FB1A58">
        <w:rPr>
          <w:lang w:val="en-US"/>
        </w:rPr>
        <w:t xml:space="preserve">However, </w:t>
      </w:r>
      <w:r w:rsidR="004340C6" w:rsidRPr="00FB1A58">
        <w:rPr>
          <w:lang w:val="en-US"/>
        </w:rPr>
        <w:t>the BF</w:t>
      </w:r>
      <w:r w:rsidR="004340C6" w:rsidRPr="00FB1A58">
        <w:rPr>
          <w:vertAlign w:val="subscript"/>
          <w:lang w:val="en-US"/>
        </w:rPr>
        <w:t>10</w:t>
      </w:r>
      <w:r w:rsidR="004340C6" w:rsidRPr="00FB1A58">
        <w:rPr>
          <w:lang w:val="en-US"/>
        </w:rPr>
        <w:t xml:space="preserve"> for this scenario equals 0.70, indicating inconclusive evidence</w:t>
      </w:r>
      <w:r w:rsidR="00185EA5" w:rsidRPr="00FB1A58">
        <w:rPr>
          <w:lang w:val="en-US"/>
        </w:rPr>
        <w:t xml:space="preserve"> and a need for further assessment. Consider that we follow-up with a cancellation test with 200 targets on each side of the page. In this follow-up assessment the patient cancels 180 targets on the right side and 160 on the left side. </w:t>
      </w:r>
      <w:r w:rsidR="00BD3AFF" w:rsidRPr="00FB1A58">
        <w:rPr>
          <w:lang w:val="en-US"/>
        </w:rPr>
        <w:t>In this follow-up assessment</w:t>
      </w:r>
      <w:r w:rsidR="00777C78" w:rsidRPr="00FB1A58">
        <w:rPr>
          <w:lang w:val="en-US"/>
        </w:rPr>
        <w:t>,</w:t>
      </w:r>
      <w:r w:rsidR="00BD3AFF" w:rsidRPr="00FB1A58">
        <w:rPr>
          <w:lang w:val="en-US"/>
        </w:rPr>
        <w:t xml:space="preserve"> the BF</w:t>
      </w:r>
      <w:r w:rsidR="00BD3AFF" w:rsidRPr="00FB1A58">
        <w:rPr>
          <w:vertAlign w:val="subscript"/>
          <w:lang w:val="en-US"/>
        </w:rPr>
        <w:t>10</w:t>
      </w:r>
      <w:r w:rsidR="00BD3AFF" w:rsidRPr="00FB1A58">
        <w:rPr>
          <w:lang w:val="en-US"/>
        </w:rPr>
        <w:t xml:space="preserve"> indicates that it is 8.8 times more likely that performance differed between the left and right side than that it did not differ.</w:t>
      </w:r>
      <w:r w:rsidR="00D50590" w:rsidRPr="00FB1A58">
        <w:rPr>
          <w:lang w:val="en-US"/>
        </w:rPr>
        <w:t xml:space="preserve"> Thus, now it has become more clear that the patient has hemispatial neglect.</w:t>
      </w:r>
    </w:p>
    <w:p w14:paraId="770084C5" w14:textId="77777777" w:rsidR="0006350D" w:rsidRPr="00FB1A58" w:rsidRDefault="0006350D" w:rsidP="00D04DE6">
      <w:pPr>
        <w:pStyle w:val="Heading3"/>
        <w:rPr>
          <w:color w:val="auto"/>
          <w:lang w:val="en-GB"/>
        </w:rPr>
      </w:pPr>
      <w:r w:rsidRPr="00FB1A58">
        <w:rPr>
          <w:color w:val="auto"/>
          <w:lang w:val="en-GB"/>
        </w:rPr>
        <w:t>Bayes Factor calculation</w:t>
      </w:r>
    </w:p>
    <w:p w14:paraId="53A12B5D" w14:textId="43ABF163" w:rsidR="00607158" w:rsidRPr="00FB1A58" w:rsidRDefault="00831B25" w:rsidP="006827C3">
      <w:pPr>
        <w:rPr>
          <w:lang w:val="en-US"/>
        </w:rPr>
      </w:pPr>
      <w:r w:rsidRPr="00FB1A58">
        <w:rPr>
          <w:lang w:val="en-US"/>
        </w:rPr>
        <w:t xml:space="preserve">To calculate the </w:t>
      </w:r>
      <w:r w:rsidR="00061C14" w:rsidRPr="00FB1A58">
        <w:rPr>
          <w:lang w:val="en-US"/>
        </w:rPr>
        <w:t>B</w:t>
      </w:r>
      <w:r w:rsidRPr="00FB1A58">
        <w:rPr>
          <w:lang w:val="en-US"/>
        </w:rPr>
        <w:t xml:space="preserve">ayes </w:t>
      </w:r>
      <w:r w:rsidR="00061C14" w:rsidRPr="00FB1A58">
        <w:rPr>
          <w:lang w:val="en-US"/>
        </w:rPr>
        <w:t>F</w:t>
      </w:r>
      <w:r w:rsidRPr="00FB1A58">
        <w:rPr>
          <w:lang w:val="en-US"/>
        </w:rPr>
        <w:t>actors for these examples one first needs to organize t</w:t>
      </w:r>
      <w:r w:rsidR="00101005" w:rsidRPr="00FB1A58">
        <w:rPr>
          <w:lang w:val="en-GB"/>
        </w:rPr>
        <w:t xml:space="preserve">he data of an individual patient on the cancellation test </w:t>
      </w:r>
      <w:r w:rsidR="00302AD6" w:rsidRPr="00FB1A58">
        <w:rPr>
          <w:lang w:val="en-GB"/>
        </w:rPr>
        <w:t>as</w:t>
      </w:r>
      <w:r w:rsidR="00101005" w:rsidRPr="00FB1A58">
        <w:rPr>
          <w:lang w:val="en-GB"/>
        </w:rPr>
        <w:t xml:space="preserve"> a 2x2 table (Figure </w:t>
      </w:r>
      <w:r w:rsidR="00756AA4" w:rsidRPr="00FB1A58">
        <w:rPr>
          <w:lang w:val="en-GB"/>
        </w:rPr>
        <w:t>C1</w:t>
      </w:r>
      <w:r w:rsidR="00101005" w:rsidRPr="00FB1A58">
        <w:rPr>
          <w:lang w:val="en-GB"/>
        </w:rPr>
        <w:t>)</w:t>
      </w:r>
      <w:r w:rsidR="005F3564" w:rsidRPr="00FB1A58">
        <w:rPr>
          <w:lang w:val="en-GB"/>
        </w:rPr>
        <w:t xml:space="preserve">. </w:t>
      </w:r>
    </w:p>
    <w:p w14:paraId="4DF82529" w14:textId="09F28133" w:rsidR="003964DF" w:rsidRPr="00FB1A58" w:rsidRDefault="007C3963" w:rsidP="003964DF">
      <w:pPr>
        <w:keepNext/>
      </w:pPr>
      <w:r w:rsidRPr="00FB1A58">
        <w:rPr>
          <w:noProof/>
        </w:rPr>
        <w:lastRenderedPageBreak/>
        <w:drawing>
          <wp:inline distT="0" distB="0" distL="0" distR="0" wp14:anchorId="37534351" wp14:editId="7036AAFD">
            <wp:extent cx="5760720" cy="21088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resentCancellationDataAs2by2table.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2108835"/>
                    </a:xfrm>
                    <a:prstGeom prst="rect">
                      <a:avLst/>
                    </a:prstGeom>
                  </pic:spPr>
                </pic:pic>
              </a:graphicData>
            </a:graphic>
          </wp:inline>
        </w:drawing>
      </w:r>
    </w:p>
    <w:p w14:paraId="7609238E" w14:textId="6F85D87D" w:rsidR="003964DF" w:rsidRPr="00FB1A58" w:rsidRDefault="003964DF" w:rsidP="003964DF">
      <w:pPr>
        <w:pStyle w:val="Caption"/>
        <w:rPr>
          <w:color w:val="auto"/>
          <w:lang w:val="en-US"/>
        </w:rPr>
      </w:pPr>
      <w:r w:rsidRPr="00FB1A58">
        <w:rPr>
          <w:color w:val="auto"/>
          <w:lang w:val="en-US"/>
        </w:rPr>
        <w:t>Figure</w:t>
      </w:r>
      <w:r w:rsidR="008E6CD3" w:rsidRPr="00FB1A58">
        <w:rPr>
          <w:color w:val="auto"/>
          <w:lang w:val="en-US"/>
        </w:rPr>
        <w:t xml:space="preserve"> </w:t>
      </w:r>
      <w:r w:rsidR="00756AA4" w:rsidRPr="00FB1A58">
        <w:rPr>
          <w:color w:val="auto"/>
          <w:lang w:val="en-US"/>
        </w:rPr>
        <w:t>C1</w:t>
      </w:r>
      <w:r w:rsidRPr="00FB1A58">
        <w:rPr>
          <w:color w:val="auto"/>
          <w:lang w:val="en-US"/>
        </w:rPr>
        <w:t>. Example of performance of one patient on a cancellation test with 40 targets and the corresponding 2x2 table.</w:t>
      </w:r>
      <w:r w:rsidR="0040372E" w:rsidRPr="00FB1A58">
        <w:rPr>
          <w:color w:val="auto"/>
          <w:lang w:val="en-US"/>
        </w:rPr>
        <w:t xml:space="preserve"> L = left, R = right, C = cancelled, NC = not cancelled.</w:t>
      </w:r>
    </w:p>
    <w:p w14:paraId="59D4D2C5" w14:textId="4A385943" w:rsidR="00407CD1" w:rsidRPr="00FB1A58" w:rsidRDefault="005F3564" w:rsidP="00751862">
      <w:pPr>
        <w:rPr>
          <w:lang w:val="en-GB"/>
        </w:rPr>
      </w:pPr>
      <w:r w:rsidRPr="00FB1A58">
        <w:rPr>
          <w:lang w:val="en-GB"/>
        </w:rPr>
        <w:t>Given that the observed cancelled targets are likely binomially distributed, we need a test to compare two proportions (proportion cancelled targets on the left side and proportion cancelled</w:t>
      </w:r>
      <w:r w:rsidR="006126DF" w:rsidRPr="00FB1A58">
        <w:rPr>
          <w:lang w:val="en-GB"/>
        </w:rPr>
        <w:t xml:space="preserve"> targets</w:t>
      </w:r>
      <w:r w:rsidRPr="00FB1A58">
        <w:rPr>
          <w:lang w:val="en-GB"/>
        </w:rPr>
        <w:t xml:space="preserve"> on the right side).</w:t>
      </w:r>
      <w:r w:rsidR="007634BD" w:rsidRPr="00FB1A58">
        <w:rPr>
          <w:lang w:val="en-GB"/>
        </w:rPr>
        <w:t xml:space="preserve"> </w:t>
      </w:r>
      <w:r w:rsidR="008B1900" w:rsidRPr="00FB1A58">
        <w:rPr>
          <w:lang w:val="en-GB"/>
        </w:rPr>
        <w:t xml:space="preserve">To compare these two proportions we need a Bayesian contingency table </w:t>
      </w:r>
      <w:r w:rsidR="00253F9F" w:rsidRPr="00FB1A58">
        <w:rPr>
          <w:lang w:val="en-GB"/>
        </w:rPr>
        <w:t xml:space="preserve">test </w:t>
      </w:r>
      <w:r w:rsidR="00EF5137" w:rsidRPr="00FB1A58">
        <w:rPr>
          <w:lang w:val="en-GB"/>
        </w:rPr>
        <w:fldChar w:fldCharType="begin"/>
      </w:r>
      <w:r w:rsidR="00EF5137" w:rsidRPr="00FB1A58">
        <w:rPr>
          <w:lang w:val="en-GB"/>
        </w:rPr>
        <w:instrText xml:space="preserve"> ADDIN ZOTERO_ITEM CSL_CITATION {"citationID":"gNbHc4V5","properties":{"formattedCitation":"(Jamil et al., 2017)","plainCitation":"(Jamil et al., 2017)","noteIndex":0},"citationItems":[{"id":10584,"uris":["http://zotero.org/users/2737028/items/8HMN9JYZ"],"uri":["http://zotero.org/users/2737028/items/8HMN9JYZ"],"itemData":{"id":10584,"type":"article-journal","abstract":"The analysis of R × C contingency tables usually features a test for independence between row and column counts. Throughout the social sciences, the adequacy of the independence hypothesis is generally evaluated by the outcome of a classical p-value null-hypothesis significance test. Unfortunately, however, the classical p-value comes with a number of well-documented drawbacks. Here we outline an alternative, Bayes factor method to quantify the evidence for and against the hypothesis of independence in R × C contingency tables. First we describe different sampling models for contingency tables and provide the corresponding default Bayes factors as originally developed by Gunel and Dickey (Biometrika, 61(3):545–557 (1974)). We then illustrate the properties and advantages of a Bayes factor analysis of contingency tables through simulations and practical examples. Computer code is available online and has been incorporated in the “BayesFactor” R package and the JASP program (jasp-stats.org).","container-title":"Behavior Research Methods","DOI":"10.3758/s13428-016-0739-8","ISSN":"1554-3528","issue":"2","journalAbbreviation":"Behav Res","language":"en","page":"638-652","source":"DOI.org (Crossref)","title":"Default “Gunel and Dickey” Bayes factors for contingency tables","volume":"49","author":[{"family":"Jamil","given":"Tahira"},{"family":"Ly","given":"Alexander"},{"family":"Morey","given":"Richard D."},{"family":"Love","given":"Jonathon"},{"family":"Marsman","given":"Maarten"},{"family":"Wagenmakers","given":"Eric-Jan"}],"issued":{"date-parts":[["2017",4]]}}}],"schema":"https://github.com/citation-style-language/schema/raw/master/csl-citation.json"} </w:instrText>
      </w:r>
      <w:r w:rsidR="00EF5137" w:rsidRPr="00FB1A58">
        <w:rPr>
          <w:lang w:val="en-GB"/>
        </w:rPr>
        <w:fldChar w:fldCharType="separate"/>
      </w:r>
      <w:r w:rsidR="00EF5137" w:rsidRPr="00FB1A58">
        <w:rPr>
          <w:rFonts w:ascii="Calibri" w:hAnsi="Calibri" w:cs="Calibri"/>
          <w:lang w:val="en-US"/>
        </w:rPr>
        <w:t>(Jamil et al., 2017)</w:t>
      </w:r>
      <w:r w:rsidR="00EF5137" w:rsidRPr="00FB1A58">
        <w:rPr>
          <w:lang w:val="en-GB"/>
        </w:rPr>
        <w:fldChar w:fldCharType="end"/>
      </w:r>
      <w:r w:rsidR="000C4ADA" w:rsidRPr="00FB1A58">
        <w:rPr>
          <w:lang w:val="en-GB"/>
        </w:rPr>
        <w:t xml:space="preserve">. A default Bayes Factor calculation for this test has been developed by </w:t>
      </w:r>
      <w:proofErr w:type="spellStart"/>
      <w:r w:rsidR="000C4ADA" w:rsidRPr="00FB1A58">
        <w:rPr>
          <w:lang w:val="en-GB"/>
        </w:rPr>
        <w:t>Gunel</w:t>
      </w:r>
      <w:proofErr w:type="spellEnd"/>
      <w:r w:rsidR="000C4ADA" w:rsidRPr="00FB1A58">
        <w:rPr>
          <w:lang w:val="en-GB"/>
        </w:rPr>
        <w:t xml:space="preserve"> and Dickey </w:t>
      </w:r>
      <w:r w:rsidR="00C454DB" w:rsidRPr="00FB1A58">
        <w:rPr>
          <w:lang w:val="en-GB"/>
        </w:rPr>
        <w:fldChar w:fldCharType="begin"/>
      </w:r>
      <w:r w:rsidR="00C454DB" w:rsidRPr="00FB1A58">
        <w:rPr>
          <w:lang w:val="en-GB"/>
        </w:rPr>
        <w:instrText xml:space="preserve"> ADDIN ZOTERO_ITEM CSL_CITATION {"citationID":"gbaCGSKb","properties":{"formattedCitation":"(Gunel &amp; Dickey, 1974)","plainCitation":"(Gunel &amp; Dickey, 1974)","noteIndex":0},"citationItems":[{"id":4907,"uris":["http://zotero.org/users/2737028/items/Y43A94N7"],"uri":["http://zotero.org/users/2737028/items/Y43A94N7"],"itemData":{"id":4907,"type":"article-journal","abstract":"The null hypothesis of row-column independence in a two-way contingency table can be expressed as a constraint on the parameters in various standard statistical sampling models. Four sampling models are considered, which are related by nested conditioning. By having the prior distribution in any one model induce the prior distribution in each further conditioned model, it is shown that the Bayes factors for independence will factorize, and there-by expose the evidence residing in the marginal row and column of the table. Bounds on the marginal Bayes factors justify, in a weak sense, Fisher's practice of conditioning. A general theorem is given for factorized Bayes factors from a factorized likelihood function.","container-title":"Biometrika","DOI":"10.2307/2334738","ISSN":"0006-3444","issue":"3","page":"545-557","source":"JSTOR","title":"Bayes Factors for Independence in Contingency Tables","volume":"61","author":[{"family":"Gunel","given":"Erdogan"},{"family":"Dickey","given":"James"}],"issued":{"date-parts":[["1974"]]}}}],"schema":"https://github.com/citation-style-language/schema/raw/master/csl-citation.json"} </w:instrText>
      </w:r>
      <w:r w:rsidR="00C454DB" w:rsidRPr="00FB1A58">
        <w:rPr>
          <w:lang w:val="en-GB"/>
        </w:rPr>
        <w:fldChar w:fldCharType="separate"/>
      </w:r>
      <w:r w:rsidR="00C454DB" w:rsidRPr="00FB1A58">
        <w:rPr>
          <w:rFonts w:ascii="Calibri" w:hAnsi="Calibri" w:cs="Calibri"/>
          <w:lang w:val="en-US"/>
        </w:rPr>
        <w:t>(Gunel &amp; Dickey, 1974)</w:t>
      </w:r>
      <w:r w:rsidR="00C454DB" w:rsidRPr="00FB1A58">
        <w:rPr>
          <w:lang w:val="en-GB"/>
        </w:rPr>
        <w:fldChar w:fldCharType="end"/>
      </w:r>
      <w:r w:rsidR="000C4ADA" w:rsidRPr="00FB1A58">
        <w:rPr>
          <w:lang w:val="en-GB"/>
        </w:rPr>
        <w:t xml:space="preserve"> and implemented in the BayesFactor R package and JASP software </w:t>
      </w:r>
      <w:r w:rsidR="008E73D6" w:rsidRPr="00FB1A58">
        <w:rPr>
          <w:lang w:val="en-GB"/>
        </w:rPr>
        <w:fldChar w:fldCharType="begin"/>
      </w:r>
      <w:r w:rsidR="00062EAF" w:rsidRPr="00FB1A58">
        <w:rPr>
          <w:lang w:val="en-GB"/>
        </w:rPr>
        <w:instrText xml:space="preserve"> ADDIN ZOTERO_ITEM CSL_CITATION {"citationID":"RdNGYLYj","properties":{"formattedCitation":"(Jamil et al., 2017)","plainCitation":"(Jamil et al., 2017)","noteIndex":0},"citationItems":[{"id":10584,"uris":["http://zotero.org/users/2737028/items/8HMN9JYZ"],"uri":["http://zotero.org/users/2737028/items/8HMN9JYZ"],"itemData":{"id":10584,"type":"article-journal","abstract":"The analysis of R × C contingency tables usually features a test for independence between row and column counts. Throughout the social sciences, the adequacy of the independence hypothesis is generally evaluated by the outcome of a classical p-value null-hypothesis significance test. Unfortunately, however, the classical p-value comes with a number of well-documented drawbacks. Here we outline an alternative, Bayes factor method to quantify the evidence for and against the hypothesis of independence in R × C contingency tables. First we describe different sampling models for contingency tables and provide the corresponding default Bayes factors as originally developed by Gunel and Dickey (Biometrika, 61(3):545–557 (1974)). We then illustrate the properties and advantages of a Bayes factor analysis of contingency tables through simulations and practical examples. Computer code is available online and has been incorporated in the “BayesFactor” R package and the JASP program (jasp-stats.org).","container-title":"Behavior Research Methods","DOI":"10.3758/s13428-016-0739-8","ISSN":"1554-3528","issue":"2","journalAbbreviation":"Behav Res","language":"en","page":"638-652","source":"DOI.org (Crossref)","title":"Default “Gunel and Dickey” Bayes factors for contingency tables","volume":"49","author":[{"family":"Jamil","given":"Tahira"},{"family":"Ly","given":"Alexander"},{"family":"Morey","given":"Richard D."},{"family":"Love","given":"Jonathon"},{"family":"Marsman","given":"Maarten"},{"family":"Wagenmakers","given":"Eric-Jan"}],"issued":{"date-parts":[["2017",4]]}}}],"schema":"https://github.com/citation-style-language/schema/raw/master/csl-citation.json"} </w:instrText>
      </w:r>
      <w:r w:rsidR="008E73D6" w:rsidRPr="00FB1A58">
        <w:rPr>
          <w:lang w:val="en-GB"/>
        </w:rPr>
        <w:fldChar w:fldCharType="separate"/>
      </w:r>
      <w:r w:rsidR="008E73D6" w:rsidRPr="00FB1A58">
        <w:rPr>
          <w:rFonts w:ascii="Calibri" w:hAnsi="Calibri" w:cs="Calibri"/>
          <w:lang w:val="en-US"/>
        </w:rPr>
        <w:t>(Jamil et al., 2017)</w:t>
      </w:r>
      <w:r w:rsidR="008E73D6" w:rsidRPr="00FB1A58">
        <w:rPr>
          <w:lang w:val="en-GB"/>
        </w:rPr>
        <w:fldChar w:fldCharType="end"/>
      </w:r>
      <w:r w:rsidR="000C4ADA" w:rsidRPr="00FB1A58">
        <w:rPr>
          <w:lang w:val="en-GB"/>
        </w:rPr>
        <w:t>.</w:t>
      </w:r>
      <w:r w:rsidR="008B1900" w:rsidRPr="00FB1A58">
        <w:rPr>
          <w:lang w:val="en-GB"/>
        </w:rPr>
        <w:t xml:space="preserve"> </w:t>
      </w:r>
      <w:r w:rsidR="00126897" w:rsidRPr="00FB1A58">
        <w:rPr>
          <w:lang w:val="en-GB"/>
        </w:rPr>
        <w:t xml:space="preserve">The Bayes Factor for a 2x2 table can be calculated manually using the formula (Figure C2) derived from </w:t>
      </w:r>
      <w:r w:rsidR="00126897" w:rsidRPr="00FB1A58">
        <w:rPr>
          <w:lang w:val="en-GB"/>
        </w:rPr>
        <w:fldChar w:fldCharType="begin"/>
      </w:r>
      <w:r w:rsidR="00126897" w:rsidRPr="00FB1A58">
        <w:rPr>
          <w:lang w:val="en-GB"/>
        </w:rPr>
        <w:instrText xml:space="preserve"> ADDIN ZOTERO_ITEM CSL_CITATION {"citationID":"rIZtcWeM","properties":{"formattedCitation":"(Jamil et al., 2017)","plainCitation":"(Jamil et al., 2017)","dontUpdate":true,"noteIndex":0},"citationItems":[{"id":10584,"uris":["http://zotero.org/users/2737028/items/8HMN9JYZ"],"uri":["http://zotero.org/users/2737028/items/8HMN9JYZ"],"itemData":{"id":10584,"type":"article-journal","abstract":"The analysis of R × C contingency tables usually features a test for independence between row and column counts. Throughout the social sciences, the adequacy of the independence hypothesis is generally evaluated by the outcome of a classical p-value null-hypothesis significance test. Unfortunately, however, the classical p-value comes with a number of well-documented drawbacks. Here we outline an alternative, Bayes factor method to quantify the evidence for and against the hypothesis of independence in R × C contingency tables. First we describe different sampling models for contingency tables and provide the corresponding default Bayes factors as originally developed by Gunel and Dickey (Biometrika, 61(3):545–557 (1974)). We then illustrate the properties and advantages of a Bayes factor analysis of contingency tables through simulations and practical examples. Computer code is available online and has been incorporated in the “BayesFactor” R package and the JASP program (jasp-stats.org).","container-title":"Behavior Research Methods","DOI":"10.3758/s13428-016-0739-8","ISSN":"1554-3528","issue":"2","journalAbbreviation":"Behav Res","language":"en","page":"638-652","source":"DOI.org (Crossref)","title":"Default “Gunel and Dickey” Bayes factors for contingency tables","volume":"49","author":[{"family":"Jamil","given":"Tahira"},{"family":"Ly","given":"Alexander"},{"family":"Morey","given":"Richard D."},{"family":"Love","given":"Jonathon"},{"family":"Marsman","given":"Maarten"},{"family":"Wagenmakers","given":"Eric-Jan"}],"issued":{"date-parts":[["2017",4]]}}}],"schema":"https://github.com/citation-style-language/schema/raw/master/csl-citation.json"} </w:instrText>
      </w:r>
      <w:r w:rsidR="00126897" w:rsidRPr="00FB1A58">
        <w:rPr>
          <w:lang w:val="en-GB"/>
        </w:rPr>
        <w:fldChar w:fldCharType="separate"/>
      </w:r>
      <w:r w:rsidR="00126897" w:rsidRPr="00FB1A58">
        <w:rPr>
          <w:rFonts w:ascii="Calibri" w:hAnsi="Calibri" w:cs="Calibri"/>
          <w:lang w:val="en-US"/>
        </w:rPr>
        <w:t>Jamil et al. (2017)</w:t>
      </w:r>
      <w:r w:rsidR="00126897" w:rsidRPr="00FB1A58">
        <w:rPr>
          <w:lang w:val="en-GB"/>
        </w:rPr>
        <w:fldChar w:fldCharType="end"/>
      </w:r>
      <w:r w:rsidR="00126897" w:rsidRPr="00FB1A58">
        <w:rPr>
          <w:lang w:val="en-GB"/>
        </w:rPr>
        <w:t xml:space="preserve">. </w:t>
      </w:r>
      <w:r w:rsidR="006827C3" w:rsidRPr="00FB1A58">
        <w:rPr>
          <w:lang w:val="en-GB"/>
        </w:rPr>
        <w:t>Given that there is a fixed number of targets for the left and right side of the test, we must use a test with an independent multinomial sampling plan</w:t>
      </w:r>
      <w:r w:rsidR="008B1900" w:rsidRPr="00FB1A58">
        <w:rPr>
          <w:lang w:val="en-GB"/>
        </w:rPr>
        <w:t xml:space="preserve"> with fixed row margins </w:t>
      </w:r>
      <w:r w:rsidR="008E73D6" w:rsidRPr="00FB1A58">
        <w:rPr>
          <w:lang w:val="en-GB"/>
        </w:rPr>
        <w:fldChar w:fldCharType="begin"/>
      </w:r>
      <w:r w:rsidR="00062EAF" w:rsidRPr="00FB1A58">
        <w:rPr>
          <w:lang w:val="en-GB"/>
        </w:rPr>
        <w:instrText xml:space="preserve"> ADDIN ZOTERO_ITEM CSL_CITATION {"citationID":"YNUMH7dx","properties":{"formattedCitation":"(Jamil et al., 2017)","plainCitation":"(Jamil et al., 2017)","noteIndex":0},"citationItems":[{"id":10584,"uris":["http://zotero.org/users/2737028/items/8HMN9JYZ"],"uri":["http://zotero.org/users/2737028/items/8HMN9JYZ"],"itemData":{"id":10584,"type":"article-journal","abstract":"The analysis of R × C contingency tables usually features a test for independence between row and column counts. Throughout the social sciences, the adequacy of the independence hypothesis is generally evaluated by the outcome of a classical p-value null-hypothesis significance test. Unfortunately, however, the classical p-value comes with a number of well-documented drawbacks. Here we outline an alternative, Bayes factor method to quantify the evidence for and against the hypothesis of independence in R × C contingency tables. First we describe different sampling models for contingency tables and provide the corresponding default Bayes factors as originally developed by Gunel and Dickey (Biometrika, 61(3):545–557 (1974)). We then illustrate the properties and advantages of a Bayes factor analysis of contingency tables through simulations and practical examples. Computer code is available online and has been incorporated in the “BayesFactor” R package and the JASP program (jasp-stats.org).","container-title":"Behavior Research Methods","DOI":"10.3758/s13428-016-0739-8","ISSN":"1554-3528","issue":"2","journalAbbreviation":"Behav Res","language":"en","page":"638-652","source":"DOI.org (Crossref)","title":"Default “Gunel and Dickey” Bayes factors for contingency tables","volume":"49","author":[{"family":"Jamil","given":"Tahira"},{"family":"Ly","given":"Alexander"},{"family":"Morey","given":"Richard D."},{"family":"Love","given":"Jonathon"},{"family":"Marsman","given":"Maarten"},{"family":"Wagenmakers","given":"Eric-Jan"}],"issued":{"date-parts":[["2017",4]]}}}],"schema":"https://github.com/citation-style-language/schema/raw/master/csl-citation.json"} </w:instrText>
      </w:r>
      <w:r w:rsidR="008E73D6" w:rsidRPr="00FB1A58">
        <w:rPr>
          <w:lang w:val="en-GB"/>
        </w:rPr>
        <w:fldChar w:fldCharType="separate"/>
      </w:r>
      <w:r w:rsidR="008E73D6" w:rsidRPr="00FB1A58">
        <w:rPr>
          <w:rFonts w:ascii="Calibri" w:hAnsi="Calibri" w:cs="Calibri"/>
          <w:lang w:val="en-US"/>
        </w:rPr>
        <w:t>(Jamil et al., 2017)</w:t>
      </w:r>
      <w:r w:rsidR="008E73D6" w:rsidRPr="00FB1A58">
        <w:rPr>
          <w:lang w:val="en-GB"/>
        </w:rPr>
        <w:fldChar w:fldCharType="end"/>
      </w:r>
      <w:r w:rsidR="006827C3" w:rsidRPr="00FB1A58">
        <w:rPr>
          <w:lang w:val="en-GB"/>
        </w:rPr>
        <w:t>.</w:t>
      </w:r>
      <w:r w:rsidR="00E32E83" w:rsidRPr="00FB1A58">
        <w:rPr>
          <w:lang w:val="en-GB"/>
        </w:rPr>
        <w:t xml:space="preserve"> The prior distribution </w:t>
      </w:r>
      <w:r w:rsidR="00DC7C8A" w:rsidRPr="00FB1A58">
        <w:rPr>
          <w:lang w:val="en-GB"/>
        </w:rPr>
        <w:t xml:space="preserve">is a Dirichlet function </w:t>
      </w:r>
      <w:r w:rsidR="000C5D8A" w:rsidRPr="00FB1A58">
        <w:rPr>
          <w:lang w:val="en-GB"/>
        </w:rPr>
        <w:t>in which</w:t>
      </w:r>
      <w:r w:rsidR="00DC7C8A" w:rsidRPr="00FB1A58">
        <w:rPr>
          <w:lang w:val="en-GB"/>
        </w:rPr>
        <w:t xml:space="preserve"> all parameter values are equally like</w:t>
      </w:r>
      <w:r w:rsidR="00B64461" w:rsidRPr="00FB1A58">
        <w:rPr>
          <w:lang w:val="en-GB"/>
        </w:rPr>
        <w:t>ly</w:t>
      </w:r>
      <w:r w:rsidR="00E32E83" w:rsidRPr="00FB1A58">
        <w:rPr>
          <w:lang w:val="en-GB"/>
        </w:rPr>
        <w:t xml:space="preserve"> (Jamil et al., 2017).</w:t>
      </w:r>
      <w:r w:rsidR="00126897" w:rsidRPr="00FB1A58">
        <w:rPr>
          <w:lang w:val="en-GB"/>
        </w:rPr>
        <w:t xml:space="preserve"> In the example of the cancellation test, y</w:t>
      </w:r>
      <w:r w:rsidR="00126897" w:rsidRPr="00FB1A58">
        <w:rPr>
          <w:vertAlign w:val="subscript"/>
          <w:lang w:val="en-GB"/>
        </w:rPr>
        <w:t>1.</w:t>
      </w:r>
      <w:r w:rsidR="00126897" w:rsidRPr="00FB1A58">
        <w:rPr>
          <w:lang w:val="en-GB"/>
        </w:rPr>
        <w:t xml:space="preserve"> is the total number of left targets and y</w:t>
      </w:r>
      <w:r w:rsidR="00126897" w:rsidRPr="00FB1A58">
        <w:rPr>
          <w:vertAlign w:val="subscript"/>
          <w:lang w:val="en-GB"/>
        </w:rPr>
        <w:t>2.</w:t>
      </w:r>
      <w:r w:rsidR="00126897" w:rsidRPr="00FB1A58">
        <w:rPr>
          <w:lang w:val="en-GB"/>
        </w:rPr>
        <w:t xml:space="preserve"> is the total number of right targets (Figure C2). Y</w:t>
      </w:r>
      <w:r w:rsidR="00126897" w:rsidRPr="00FB1A58">
        <w:rPr>
          <w:vertAlign w:val="subscript"/>
          <w:lang w:val="en-GB"/>
        </w:rPr>
        <w:t>.1</w:t>
      </w:r>
      <w:r w:rsidR="00126897" w:rsidRPr="00FB1A58">
        <w:rPr>
          <w:lang w:val="en-GB"/>
        </w:rPr>
        <w:t xml:space="preserve"> is the number of cancelled targets and Y</w:t>
      </w:r>
      <w:r w:rsidR="00126897" w:rsidRPr="00FB1A58">
        <w:rPr>
          <w:vertAlign w:val="subscript"/>
          <w:lang w:val="en-GB"/>
        </w:rPr>
        <w:t>.2</w:t>
      </w:r>
      <w:r w:rsidR="00126897" w:rsidRPr="00FB1A58">
        <w:rPr>
          <w:lang w:val="en-GB"/>
        </w:rPr>
        <w:t xml:space="preserve"> is the number of omitted targets.</w:t>
      </w:r>
      <w:r w:rsidR="00D94B66" w:rsidRPr="00FB1A58">
        <w:rPr>
          <w:lang w:val="en-GB"/>
        </w:rPr>
        <w:t xml:space="preserve"> Based on these row-</w:t>
      </w:r>
      <w:r w:rsidR="00F64C81" w:rsidRPr="00FB1A58">
        <w:rPr>
          <w:lang w:val="en-GB"/>
        </w:rPr>
        <w:t xml:space="preserve">, </w:t>
      </w:r>
      <w:r w:rsidR="00D94B66" w:rsidRPr="00FB1A58">
        <w:rPr>
          <w:lang w:val="en-GB"/>
        </w:rPr>
        <w:t>column and cell counts, one can calculate the BF.</w:t>
      </w:r>
    </w:p>
    <w:p w14:paraId="6AFE0693" w14:textId="0011B3CF" w:rsidR="00214362" w:rsidRPr="00FB1A58" w:rsidRDefault="00191503" w:rsidP="004A4EBE">
      <w:pPr>
        <w:keepNext/>
        <w:jc w:val="center"/>
        <w:rPr>
          <w:lang w:val="en-GB"/>
        </w:rPr>
      </w:pPr>
      <w:r w:rsidRPr="00FB1A58">
        <w:rPr>
          <w:noProof/>
          <w:lang w:val="en-GB"/>
        </w:rPr>
        <w:lastRenderedPageBreak/>
        <w:drawing>
          <wp:inline distT="0" distB="0" distL="0" distR="0" wp14:anchorId="2A98A42F" wp14:editId="3631909D">
            <wp:extent cx="5760720" cy="33121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F Calculation for Contingency Table Revision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312160"/>
                    </a:xfrm>
                    <a:prstGeom prst="rect">
                      <a:avLst/>
                    </a:prstGeom>
                  </pic:spPr>
                </pic:pic>
              </a:graphicData>
            </a:graphic>
          </wp:inline>
        </w:drawing>
      </w:r>
    </w:p>
    <w:p w14:paraId="14E543C0" w14:textId="218022D2" w:rsidR="00126897" w:rsidRPr="00FB1A58" w:rsidRDefault="00214362" w:rsidP="00126897">
      <w:pPr>
        <w:pStyle w:val="Caption"/>
        <w:rPr>
          <w:color w:val="auto"/>
          <w:lang w:val="en-US"/>
        </w:rPr>
      </w:pPr>
      <w:r w:rsidRPr="00FB1A58">
        <w:rPr>
          <w:color w:val="auto"/>
          <w:lang w:val="en-US"/>
        </w:rPr>
        <w:t xml:space="preserve">Figure </w:t>
      </w:r>
      <w:r w:rsidR="00756AA4" w:rsidRPr="00FB1A58">
        <w:rPr>
          <w:color w:val="auto"/>
          <w:lang w:val="en-US"/>
        </w:rPr>
        <w:t>C2</w:t>
      </w:r>
      <w:r w:rsidRPr="00FB1A58">
        <w:rPr>
          <w:color w:val="auto"/>
          <w:lang w:val="en-US"/>
        </w:rPr>
        <w:t>. Formula to compute the Bayes Factor for a 2x2 contingency table with a fixed number of observations in the rows.</w:t>
      </w:r>
      <w:r w:rsidR="0097069A" w:rsidRPr="00FB1A58">
        <w:rPr>
          <w:color w:val="auto"/>
          <w:lang w:val="en-US"/>
        </w:rPr>
        <w:t xml:space="preserve"> </w:t>
      </w:r>
      <w:r w:rsidR="00191503" w:rsidRPr="00FB1A58">
        <w:rPr>
          <w:color w:val="auto"/>
          <w:lang w:val="en-US"/>
        </w:rPr>
        <w:t>In panel A, the notation</w:t>
      </w:r>
      <w:r w:rsidR="005E4912" w:rsidRPr="00FB1A58">
        <w:rPr>
          <w:color w:val="auto"/>
          <w:lang w:val="en-US"/>
        </w:rPr>
        <w:t xml:space="preserve"> of cell, row and column counts is visualized in relation to the 2x2 table. In panel B, the formula to calculate the BF is shown. </w:t>
      </w:r>
      <w:r w:rsidR="0097069A" w:rsidRPr="00FB1A58">
        <w:rPr>
          <w:color w:val="auto"/>
          <w:lang w:val="en-US"/>
        </w:rPr>
        <w:t>BF</w:t>
      </w:r>
      <w:r w:rsidR="0097069A" w:rsidRPr="00FB1A58">
        <w:rPr>
          <w:color w:val="auto"/>
          <w:vertAlign w:val="subscript"/>
          <w:lang w:val="en-US"/>
        </w:rPr>
        <w:t>01</w:t>
      </w:r>
      <w:r w:rsidR="0097069A" w:rsidRPr="00FB1A58">
        <w:rPr>
          <w:color w:val="auto"/>
          <w:lang w:val="en-US"/>
        </w:rPr>
        <w:t xml:space="preserve"> = strength of evidence in favor of null hypothesis (performance does not depend on hemifield), BF</w:t>
      </w:r>
      <w:r w:rsidR="0097069A" w:rsidRPr="00FB1A58">
        <w:rPr>
          <w:color w:val="auto"/>
          <w:vertAlign w:val="subscript"/>
          <w:lang w:val="en-US"/>
        </w:rPr>
        <w:t>10</w:t>
      </w:r>
      <w:r w:rsidR="0097069A" w:rsidRPr="00FB1A58">
        <w:rPr>
          <w:color w:val="auto"/>
          <w:lang w:val="en-US"/>
        </w:rPr>
        <w:t xml:space="preserve"> = strength of evidence in favor of alternative hypothesis (performance depends on hemifield).</w:t>
      </w:r>
      <w:r w:rsidR="00126897" w:rsidRPr="00FB1A58">
        <w:rPr>
          <w:color w:val="auto"/>
          <w:lang w:val="en-US"/>
        </w:rPr>
        <w:t xml:space="preserve"> L = left, R = right, C = cancelled, NC = not cancelled.</w:t>
      </w:r>
    </w:p>
    <w:p w14:paraId="1B282CD6" w14:textId="2E412997" w:rsidR="00591A4C" w:rsidRPr="00FB1A58" w:rsidRDefault="00591A4C" w:rsidP="00214362">
      <w:pPr>
        <w:pStyle w:val="Caption"/>
        <w:rPr>
          <w:color w:val="auto"/>
          <w:lang w:val="en-US"/>
        </w:rPr>
      </w:pPr>
    </w:p>
    <w:p w14:paraId="62986704" w14:textId="77777777" w:rsidR="00094E62" w:rsidRPr="00FB1A58" w:rsidRDefault="00094E62">
      <w:pPr>
        <w:spacing w:before="0" w:after="160" w:line="259" w:lineRule="auto"/>
        <w:jc w:val="left"/>
        <w:rPr>
          <w:rFonts w:asciiTheme="majorHAnsi" w:eastAsiaTheme="majorEastAsia" w:hAnsiTheme="majorHAnsi" w:cstheme="majorBidi"/>
          <w:b/>
          <w:sz w:val="28"/>
          <w:szCs w:val="32"/>
          <w:lang w:val="en-GB"/>
        </w:rPr>
      </w:pPr>
      <w:r w:rsidRPr="00FB1A58">
        <w:rPr>
          <w:lang w:val="en-GB"/>
        </w:rPr>
        <w:br w:type="page"/>
      </w:r>
    </w:p>
    <w:p w14:paraId="5BDFFADF" w14:textId="5D56B631" w:rsidR="004010F0" w:rsidRPr="00FB1A58" w:rsidRDefault="00503B05" w:rsidP="00503B05">
      <w:pPr>
        <w:pStyle w:val="Heading1"/>
        <w:rPr>
          <w:color w:val="auto"/>
          <w:lang w:val="en-GB"/>
        </w:rPr>
      </w:pPr>
      <w:r w:rsidRPr="00FB1A58">
        <w:rPr>
          <w:color w:val="auto"/>
          <w:lang w:val="en-GB"/>
        </w:rPr>
        <w:lastRenderedPageBreak/>
        <w:t>Appendix D</w:t>
      </w:r>
      <w:r w:rsidR="004010F0" w:rsidRPr="00FB1A58">
        <w:rPr>
          <w:color w:val="auto"/>
          <w:lang w:val="en-GB"/>
        </w:rPr>
        <w:t xml:space="preserve">. </w:t>
      </w:r>
      <w:r w:rsidR="00BA3EAC" w:rsidRPr="00FB1A58">
        <w:rPr>
          <w:color w:val="auto"/>
          <w:lang w:val="en-GB"/>
        </w:rPr>
        <w:t>Conditional</w:t>
      </w:r>
      <w:r w:rsidR="00A95D42" w:rsidRPr="00FB1A58">
        <w:rPr>
          <w:color w:val="auto"/>
          <w:lang w:val="en-GB"/>
        </w:rPr>
        <w:t xml:space="preserve"> testing</w:t>
      </w:r>
    </w:p>
    <w:p w14:paraId="52BE368C" w14:textId="7C49008F" w:rsidR="00DE2160" w:rsidRPr="00FB1A58" w:rsidRDefault="00C72DA9" w:rsidP="00FA721C">
      <w:pPr>
        <w:rPr>
          <w:lang w:val="en-GB"/>
        </w:rPr>
      </w:pPr>
      <w:r w:rsidRPr="00FB1A58">
        <w:rPr>
          <w:lang w:val="en-GB"/>
        </w:rPr>
        <w:t>W</w:t>
      </w:r>
      <w:r w:rsidR="001C1625" w:rsidRPr="00FB1A58">
        <w:rPr>
          <w:lang w:val="en-GB"/>
        </w:rPr>
        <w:t xml:space="preserve">e simulated data for </w:t>
      </w:r>
      <w:r w:rsidR="00195E65" w:rsidRPr="00FB1A58">
        <w:rPr>
          <w:lang w:val="en-GB"/>
        </w:rPr>
        <w:t>two</w:t>
      </w:r>
      <w:r w:rsidR="001C1625" w:rsidRPr="00FB1A58">
        <w:rPr>
          <w:lang w:val="en-GB"/>
        </w:rPr>
        <w:t xml:space="preserve"> </w:t>
      </w:r>
      <w:r w:rsidR="00195E65" w:rsidRPr="00FB1A58">
        <w:rPr>
          <w:lang w:val="en-GB"/>
        </w:rPr>
        <w:t xml:space="preserve">hypothetical cases. </w:t>
      </w:r>
      <w:r w:rsidR="00DE2160" w:rsidRPr="00FB1A58">
        <w:rPr>
          <w:i/>
          <w:lang w:val="en-GB"/>
        </w:rPr>
        <w:t>Case 1</w:t>
      </w:r>
      <w:r w:rsidR="00195E65" w:rsidRPr="00FB1A58">
        <w:rPr>
          <w:lang w:val="en-GB"/>
        </w:rPr>
        <w:t xml:space="preserve"> </w:t>
      </w:r>
      <w:r w:rsidR="005F2AD9" w:rsidRPr="00FB1A58">
        <w:rPr>
          <w:lang w:val="en-GB"/>
        </w:rPr>
        <w:t>is</w:t>
      </w:r>
      <w:r w:rsidR="00195E65" w:rsidRPr="00FB1A58">
        <w:rPr>
          <w:lang w:val="en-GB"/>
        </w:rPr>
        <w:t xml:space="preserve"> a patient without a spatial bias (H0)</w:t>
      </w:r>
      <w:r w:rsidR="001C1625" w:rsidRPr="00FB1A58">
        <w:rPr>
          <w:lang w:val="en-GB"/>
        </w:rPr>
        <w:t xml:space="preserve"> who has a 50% probability to cancel targets </w:t>
      </w:r>
      <w:r w:rsidR="00277FF0" w:rsidRPr="00FB1A58">
        <w:rPr>
          <w:lang w:val="en-GB"/>
        </w:rPr>
        <w:t>on both sides of the display</w:t>
      </w:r>
      <w:r w:rsidR="00195E65" w:rsidRPr="00FB1A58">
        <w:rPr>
          <w:lang w:val="en-GB"/>
        </w:rPr>
        <w:t xml:space="preserve">. </w:t>
      </w:r>
      <w:r w:rsidR="00DE2160" w:rsidRPr="00FB1A58">
        <w:rPr>
          <w:i/>
          <w:lang w:val="en-GB"/>
        </w:rPr>
        <w:t>Case 2</w:t>
      </w:r>
      <w:r w:rsidR="00195E65" w:rsidRPr="00FB1A58">
        <w:rPr>
          <w:lang w:val="en-GB"/>
        </w:rPr>
        <w:t xml:space="preserve"> </w:t>
      </w:r>
      <w:r w:rsidR="005F2AD9" w:rsidRPr="00FB1A58">
        <w:rPr>
          <w:lang w:val="en-GB"/>
        </w:rPr>
        <w:t xml:space="preserve">is a patient with a spatial bias (H1). The size of the spatial bias </w:t>
      </w:r>
      <w:r w:rsidR="00972D4E" w:rsidRPr="00FB1A58">
        <w:rPr>
          <w:lang w:val="en-GB"/>
        </w:rPr>
        <w:t xml:space="preserve">for Case 2 </w:t>
      </w:r>
      <w:r w:rsidR="00094E62" w:rsidRPr="00FB1A58">
        <w:rPr>
          <w:lang w:val="en-GB"/>
        </w:rPr>
        <w:t xml:space="preserve">varied </w:t>
      </w:r>
      <w:r w:rsidR="005F2AD9" w:rsidRPr="00FB1A58">
        <w:rPr>
          <w:lang w:val="en-GB"/>
        </w:rPr>
        <w:t>from</w:t>
      </w:r>
      <w:r w:rsidR="00094E62" w:rsidRPr="00FB1A58">
        <w:rPr>
          <w:lang w:val="en-GB"/>
        </w:rPr>
        <w:t xml:space="preserve"> </w:t>
      </w:r>
      <w:r w:rsidR="005F2AD9" w:rsidRPr="00FB1A58">
        <w:rPr>
          <w:lang w:val="en-GB"/>
        </w:rPr>
        <w:t>10% to 90%</w:t>
      </w:r>
      <w:r w:rsidR="00094E62" w:rsidRPr="00FB1A58">
        <w:rPr>
          <w:lang w:val="en-GB"/>
        </w:rPr>
        <w:t xml:space="preserve"> in steps of 10%</w:t>
      </w:r>
      <w:r w:rsidR="005F2AD9" w:rsidRPr="00FB1A58">
        <w:rPr>
          <w:lang w:val="en-GB"/>
        </w:rPr>
        <w:t xml:space="preserve"> difference in the probability to detect targets on the left versus right side</w:t>
      </w:r>
      <w:r w:rsidR="001C1625" w:rsidRPr="00FB1A58">
        <w:rPr>
          <w:lang w:val="en-GB"/>
        </w:rPr>
        <w:t>.</w:t>
      </w:r>
      <w:r w:rsidR="00BC2774" w:rsidRPr="00FB1A58">
        <w:rPr>
          <w:lang w:val="en-GB"/>
        </w:rPr>
        <w:t xml:space="preserve"> </w:t>
      </w:r>
      <w:r w:rsidR="00DE2160" w:rsidRPr="00FB1A58">
        <w:rPr>
          <w:lang w:val="en-GB"/>
        </w:rPr>
        <w:t>We simulated performance for two cancellation tests that differ</w:t>
      </w:r>
      <w:r w:rsidR="00510E31" w:rsidRPr="00FB1A58">
        <w:rPr>
          <w:lang w:val="en-GB"/>
        </w:rPr>
        <w:t>ed</w:t>
      </w:r>
      <w:r w:rsidR="00DE2160" w:rsidRPr="00FB1A58">
        <w:rPr>
          <w:lang w:val="en-GB"/>
        </w:rPr>
        <w:t xml:space="preserve"> in the number of targets. </w:t>
      </w:r>
      <w:r w:rsidR="00FD3EF6" w:rsidRPr="00FB1A58">
        <w:rPr>
          <w:i/>
          <w:lang w:val="en-GB"/>
        </w:rPr>
        <w:t>Cancellation Test 1</w:t>
      </w:r>
      <w:r w:rsidR="00FD3EF6" w:rsidRPr="00FB1A58">
        <w:rPr>
          <w:lang w:val="en-GB"/>
        </w:rPr>
        <w:t xml:space="preserve"> (screen)</w:t>
      </w:r>
      <w:r w:rsidR="00DE2160" w:rsidRPr="00FB1A58">
        <w:rPr>
          <w:lang w:val="en-GB"/>
        </w:rPr>
        <w:t xml:space="preserve"> consists of 50 targets in total (25 on the left, 25 on the right).</w:t>
      </w:r>
      <w:r w:rsidR="00FD3EF6" w:rsidRPr="00FB1A58">
        <w:rPr>
          <w:lang w:val="en-GB"/>
        </w:rPr>
        <w:t xml:space="preserve"> </w:t>
      </w:r>
      <w:r w:rsidR="00FD3EF6" w:rsidRPr="00FB1A58">
        <w:rPr>
          <w:i/>
          <w:lang w:val="en-GB"/>
        </w:rPr>
        <w:t>Cancellation Test 2</w:t>
      </w:r>
      <w:r w:rsidR="00FD3EF6" w:rsidRPr="00FB1A58">
        <w:rPr>
          <w:lang w:val="en-GB"/>
        </w:rPr>
        <w:t xml:space="preserve"> (further assessment) consists of </w:t>
      </w:r>
      <w:r w:rsidR="000F711D" w:rsidRPr="00FB1A58">
        <w:rPr>
          <w:lang w:val="en-GB"/>
        </w:rPr>
        <w:t>300</w:t>
      </w:r>
      <w:r w:rsidR="00FD3EF6" w:rsidRPr="00FB1A58">
        <w:rPr>
          <w:lang w:val="en-GB"/>
        </w:rPr>
        <w:t xml:space="preserve"> targets in total (</w:t>
      </w:r>
      <w:r w:rsidR="000F711D" w:rsidRPr="00FB1A58">
        <w:rPr>
          <w:lang w:val="en-GB"/>
        </w:rPr>
        <w:t>1</w:t>
      </w:r>
      <w:r w:rsidR="00FD3EF6" w:rsidRPr="00FB1A58">
        <w:rPr>
          <w:lang w:val="en-GB"/>
        </w:rPr>
        <w:t xml:space="preserve">50 on the left, </w:t>
      </w:r>
      <w:r w:rsidR="00591F8C" w:rsidRPr="00FB1A58">
        <w:rPr>
          <w:lang w:val="en-GB"/>
        </w:rPr>
        <w:t>1</w:t>
      </w:r>
      <w:r w:rsidR="00FD3EF6" w:rsidRPr="00FB1A58">
        <w:rPr>
          <w:lang w:val="en-GB"/>
        </w:rPr>
        <w:t>50 on the right)</w:t>
      </w:r>
      <w:r w:rsidR="00123B66" w:rsidRPr="00FB1A58">
        <w:rPr>
          <w:lang w:val="en-GB"/>
        </w:rPr>
        <w:t>.</w:t>
      </w:r>
      <w:r w:rsidR="00DA43D9" w:rsidRPr="00FB1A58">
        <w:rPr>
          <w:lang w:val="en-GB"/>
        </w:rPr>
        <w:t xml:space="preserve"> </w:t>
      </w:r>
      <w:r w:rsidR="00DA43D9" w:rsidRPr="00FB1A58">
        <w:rPr>
          <w:lang w:val="en-US"/>
        </w:rPr>
        <w:t>In this simulation we assume a known base rate probability of hemispatial neglect of 50%.</w:t>
      </w:r>
      <w:r w:rsidR="00094E62" w:rsidRPr="00FB1A58">
        <w:rPr>
          <w:lang w:val="en-US"/>
        </w:rPr>
        <w:t xml:space="preserve"> </w:t>
      </w:r>
      <w:r w:rsidR="00094E62" w:rsidRPr="00FB1A58">
        <w:rPr>
          <w:lang w:val="en-GB"/>
        </w:rPr>
        <w:t xml:space="preserve">Cancellation data was simulated for each </w:t>
      </w:r>
      <w:r w:rsidR="00E4076C" w:rsidRPr="00FB1A58">
        <w:rPr>
          <w:lang w:val="en-GB"/>
        </w:rPr>
        <w:t xml:space="preserve">scenario (i.e., each </w:t>
      </w:r>
      <w:r w:rsidR="00DD193A" w:rsidRPr="00FB1A58">
        <w:rPr>
          <w:lang w:val="en-GB"/>
        </w:rPr>
        <w:t>combination of a case</w:t>
      </w:r>
      <w:r w:rsidR="00E4076C" w:rsidRPr="00FB1A58">
        <w:rPr>
          <w:lang w:val="en-GB"/>
        </w:rPr>
        <w:t xml:space="preserve"> and cancellation test)</w:t>
      </w:r>
      <w:r w:rsidR="00094E62" w:rsidRPr="00FB1A58">
        <w:rPr>
          <w:lang w:val="en-GB"/>
        </w:rPr>
        <w:t xml:space="preserve">, 5000 times. Cancelled hits for the left and right side were drawn from a binomial distribution </w:t>
      </w:r>
      <w:r w:rsidR="00094E62" w:rsidRPr="00FB1A58">
        <w:rPr>
          <w:lang w:val="en-GB"/>
        </w:rPr>
        <w:fldChar w:fldCharType="begin"/>
      </w:r>
      <w:r w:rsidR="00094E62" w:rsidRPr="00FB1A58">
        <w:rPr>
          <w:lang w:val="en-GB"/>
        </w:rPr>
        <w:instrText xml:space="preserve"> ADDIN ZOTERO_ITEM CSL_CITATION {"citationID":"dgh7pHR4","properties":{"formattedCitation":"(Huygelier et al., 2020)","plainCitation":"(Huygelier et al., 2020)","noteIndex":0},"citationItems":[{"id":9490,"uris":["http://zotero.org/users/2737028/items/A525LTYV"],"uri":["http://zotero.org/users/2737028/items/A525LTYV"],"itemData":{"id":9490,"type":"article-journal","container-title":"Journal of the International Neuropsychological Society","DOI":"https://doi.org/10.1017/S1355617720000041","page":"668-678","title":"Non-spatial impairments affect false positive neglect diagnosis based on cancellation tasks.","volume":"26","author":[{"family":"Huygelier","given":"Hanne"},{"family":"Moore","given":"Margareth Jane"},{"family":"Demeyere","given":"Nele"},{"family":"Gillebert","given":"Céline R."}],"issued":{"date-parts":[["2020"]]}}}],"schema":"https://github.com/citation-style-language/schema/raw/master/csl-citation.json"} </w:instrText>
      </w:r>
      <w:r w:rsidR="00094E62" w:rsidRPr="00FB1A58">
        <w:rPr>
          <w:lang w:val="en-GB"/>
        </w:rPr>
        <w:fldChar w:fldCharType="separate"/>
      </w:r>
      <w:r w:rsidR="00094E62" w:rsidRPr="00FB1A58">
        <w:rPr>
          <w:rFonts w:ascii="Calibri" w:hAnsi="Calibri" w:cs="Calibri"/>
          <w:lang w:val="en-US"/>
        </w:rPr>
        <w:t>(Huygelier et al., 2020)</w:t>
      </w:r>
      <w:r w:rsidR="00094E62" w:rsidRPr="00FB1A58">
        <w:rPr>
          <w:lang w:val="en-GB"/>
        </w:rPr>
        <w:fldChar w:fldCharType="end"/>
      </w:r>
      <w:r w:rsidR="00094E62" w:rsidRPr="00FB1A58">
        <w:rPr>
          <w:lang w:val="en-GB"/>
        </w:rPr>
        <w:t>.</w:t>
      </w:r>
    </w:p>
    <w:p w14:paraId="2B59F6B1" w14:textId="5DD42113" w:rsidR="0045567F" w:rsidRPr="00FB1A58" w:rsidRDefault="008741E1" w:rsidP="00FA721C">
      <w:pPr>
        <w:rPr>
          <w:lang w:val="en-GB"/>
        </w:rPr>
      </w:pPr>
      <w:r w:rsidRPr="00FB1A58">
        <w:rPr>
          <w:lang w:val="en-GB"/>
        </w:rPr>
        <w:t>To evaluate the presence of a spatial bias on the two cancellation tests we used a frequentist test</w:t>
      </w:r>
      <w:r w:rsidR="002917BD" w:rsidRPr="00FB1A58">
        <w:rPr>
          <w:lang w:val="en-GB"/>
        </w:rPr>
        <w:t xml:space="preserve"> of proportions</w:t>
      </w:r>
      <w:r w:rsidRPr="00FB1A58">
        <w:rPr>
          <w:lang w:val="en-GB"/>
        </w:rPr>
        <w:t xml:space="preserve"> and Bayesian contingency table test </w:t>
      </w:r>
      <w:r w:rsidR="002917BD" w:rsidRPr="00FB1A58">
        <w:rPr>
          <w:lang w:val="en-GB"/>
        </w:rPr>
        <w:fldChar w:fldCharType="begin"/>
      </w:r>
      <w:r w:rsidR="002917BD" w:rsidRPr="00FB1A58">
        <w:rPr>
          <w:lang w:val="en-GB"/>
        </w:rPr>
        <w:instrText xml:space="preserve"> ADDIN ZOTERO_ITEM CSL_CITATION {"citationID":"oys8554B","properties":{"formattedCitation":"(Gunel &amp; Dickey, 1974)","plainCitation":"(Gunel &amp; Dickey, 1974)","noteIndex":0},"citationItems":[{"id":4907,"uris":["http://zotero.org/users/2737028/items/Y43A94N7"],"uri":["http://zotero.org/users/2737028/items/Y43A94N7"],"itemData":{"id":4907,"type":"article-journal","abstract":"The null hypothesis of row-column independence in a two-way contingency table can be expressed as a constraint on the parameters in various standard statistical sampling models. Four sampling models are considered, which are related by nested conditioning. By having the prior distribution in any one model induce the prior distribution in each further conditioned model, it is shown that the Bayes factors for independence will factorize, and there-by expose the evidence residing in the marginal row and column of the table. Bounds on the marginal Bayes factors justify, in a weak sense, Fisher's practice of conditioning. A general theorem is given for factorized Bayes factors from a factorized likelihood function.","container-title":"Biometrika","DOI":"10.2307/2334738","ISSN":"0006-3444","issue":"3","page":"545-557","source":"JSTOR","title":"Bayes Factors for Independence in Contingency Tables","volume":"61","author":[{"family":"Gunel","given":"Erdogan"},{"family":"Dickey","given":"James"}],"issued":{"date-parts":[["1974"]]}}}],"schema":"https://github.com/citation-style-language/schema/raw/master/csl-citation.json"} </w:instrText>
      </w:r>
      <w:r w:rsidR="002917BD" w:rsidRPr="00FB1A58">
        <w:rPr>
          <w:lang w:val="en-GB"/>
        </w:rPr>
        <w:fldChar w:fldCharType="separate"/>
      </w:r>
      <w:r w:rsidR="002917BD" w:rsidRPr="00FB1A58">
        <w:rPr>
          <w:rFonts w:ascii="Calibri" w:hAnsi="Calibri" w:cs="Calibri"/>
          <w:lang w:val="en-US"/>
        </w:rPr>
        <w:t>(Gunel &amp; Dickey, 1974)</w:t>
      </w:r>
      <w:r w:rsidR="002917BD" w:rsidRPr="00FB1A58">
        <w:rPr>
          <w:lang w:val="en-GB"/>
        </w:rPr>
        <w:fldChar w:fldCharType="end"/>
      </w:r>
      <w:r w:rsidRPr="00FB1A58">
        <w:rPr>
          <w:lang w:val="en-GB"/>
        </w:rPr>
        <w:t>.</w:t>
      </w:r>
      <w:r w:rsidR="002917BD" w:rsidRPr="00FB1A58">
        <w:rPr>
          <w:lang w:val="en-GB"/>
        </w:rPr>
        <w:t xml:space="preserve"> </w:t>
      </w:r>
      <w:r w:rsidR="00D6101B" w:rsidRPr="00FB1A58">
        <w:rPr>
          <w:lang w:val="en-GB"/>
        </w:rPr>
        <w:t xml:space="preserve">If the frequentist </w:t>
      </w:r>
      <w:r w:rsidR="002917BD" w:rsidRPr="00FB1A58">
        <w:rPr>
          <w:lang w:val="en-GB"/>
        </w:rPr>
        <w:t>test of proportions</w:t>
      </w:r>
      <w:r w:rsidR="00D6101B" w:rsidRPr="00FB1A58">
        <w:rPr>
          <w:lang w:val="en-GB"/>
        </w:rPr>
        <w:t xml:space="preserve"> was statistically significant (p-value &lt; .05), neglect was diagnosed and </w:t>
      </w:r>
      <w:r w:rsidR="00232C5C" w:rsidRPr="00FB1A58">
        <w:rPr>
          <w:lang w:val="en-GB"/>
        </w:rPr>
        <w:t>if it was not statistically significant, neglect was not diagnosed</w:t>
      </w:r>
      <w:r w:rsidR="00D6101B" w:rsidRPr="00FB1A58">
        <w:rPr>
          <w:lang w:val="en-GB"/>
        </w:rPr>
        <w:t>. Note that this reflects an erroneous statistical reasoning (accepting H0 when p-value &gt; 0.05) but resembles current diagnostic reasoning based on normative cut-offs.</w:t>
      </w:r>
      <w:r w:rsidR="00ED01E3" w:rsidRPr="00FB1A58">
        <w:rPr>
          <w:lang w:val="en-GB"/>
        </w:rPr>
        <w:t xml:space="preserve"> </w:t>
      </w:r>
      <w:r w:rsidR="00B819F9" w:rsidRPr="00FB1A58">
        <w:rPr>
          <w:lang w:val="en-GB"/>
        </w:rPr>
        <w:t>If the BF</w:t>
      </w:r>
      <w:r w:rsidR="00B819F9" w:rsidRPr="00FB1A58">
        <w:rPr>
          <w:vertAlign w:val="subscript"/>
          <w:lang w:val="en-GB"/>
        </w:rPr>
        <w:t>10</w:t>
      </w:r>
      <w:r w:rsidR="00B819F9" w:rsidRPr="00FB1A58">
        <w:rPr>
          <w:lang w:val="en-GB"/>
        </w:rPr>
        <w:t xml:space="preserve"> </w:t>
      </w:r>
      <w:r w:rsidR="00090B87" w:rsidRPr="00FB1A58">
        <w:rPr>
          <w:lang w:val="en-GB"/>
        </w:rPr>
        <w:t>was larger than</w:t>
      </w:r>
      <w:r w:rsidR="00B819F9" w:rsidRPr="00FB1A58">
        <w:rPr>
          <w:lang w:val="en-GB"/>
        </w:rPr>
        <w:t xml:space="preserve"> 3, patients were diagnosed with neglect and smaller than 1/3 </w:t>
      </w:r>
      <w:r w:rsidR="00090B87" w:rsidRPr="00FB1A58">
        <w:rPr>
          <w:lang w:val="en-GB"/>
        </w:rPr>
        <w:t>patients were not diagnosed with neglect</w:t>
      </w:r>
      <w:r w:rsidR="00B819F9" w:rsidRPr="00FB1A58">
        <w:rPr>
          <w:lang w:val="en-GB"/>
        </w:rPr>
        <w:t>. If the BF</w:t>
      </w:r>
      <w:r w:rsidR="00B819F9" w:rsidRPr="00FB1A58">
        <w:rPr>
          <w:vertAlign w:val="subscript"/>
          <w:lang w:val="en-GB"/>
        </w:rPr>
        <w:t>10</w:t>
      </w:r>
      <w:r w:rsidR="00B819F9" w:rsidRPr="00FB1A58">
        <w:rPr>
          <w:lang w:val="en-GB"/>
        </w:rPr>
        <w:t xml:space="preserve"> lied between 1/3 and 3, the results were interpreted as </w:t>
      </w:r>
      <w:r w:rsidR="00B819F9" w:rsidRPr="00FB1A58">
        <w:rPr>
          <w:i/>
          <w:lang w:val="en-GB"/>
        </w:rPr>
        <w:t>inconclusive</w:t>
      </w:r>
      <w:r w:rsidR="00EE4980" w:rsidRPr="00FB1A58">
        <w:rPr>
          <w:lang w:val="en-GB"/>
        </w:rPr>
        <w:t>.</w:t>
      </w:r>
    </w:p>
    <w:p w14:paraId="6D4ED020" w14:textId="519E7711" w:rsidR="00457416" w:rsidRPr="00FB1A58" w:rsidRDefault="00855E4B" w:rsidP="00A10D05">
      <w:pPr>
        <w:rPr>
          <w:lang w:val="en-GB"/>
        </w:rPr>
      </w:pPr>
      <w:r w:rsidRPr="00FB1A58">
        <w:rPr>
          <w:lang w:val="en-GB"/>
        </w:rPr>
        <w:t xml:space="preserve">In </w:t>
      </w:r>
      <w:r w:rsidRPr="00FB1A58">
        <w:rPr>
          <w:i/>
          <w:lang w:val="en-GB"/>
        </w:rPr>
        <w:t>scenario 1</w:t>
      </w:r>
      <w:r w:rsidRPr="00FB1A58">
        <w:rPr>
          <w:lang w:val="en-GB"/>
        </w:rPr>
        <w:t>, t</w:t>
      </w:r>
      <w:r w:rsidR="003A2C0D" w:rsidRPr="00FB1A58">
        <w:rPr>
          <w:lang w:val="en-GB"/>
        </w:rPr>
        <w:t>he patients who had a significant spatial bias according to the frequentist chi square test on Cancellation Test 1 (screening) were further assessed with Cancellation Test 2 to confirm the diagnosis.</w:t>
      </w:r>
      <w:r w:rsidR="00861281" w:rsidRPr="00FB1A58">
        <w:rPr>
          <w:lang w:val="en-GB"/>
        </w:rPr>
        <w:t xml:space="preserve"> In </w:t>
      </w:r>
      <w:r w:rsidR="00861281" w:rsidRPr="00FB1A58">
        <w:rPr>
          <w:i/>
          <w:lang w:val="en-GB"/>
        </w:rPr>
        <w:t>scenario 2</w:t>
      </w:r>
      <w:r w:rsidR="00861281" w:rsidRPr="00FB1A58">
        <w:rPr>
          <w:lang w:val="en-GB"/>
        </w:rPr>
        <w:t>, the patients who did not have a significant spatial bias according to the frequentist chi square test on Cancellation Test 1 (screening) were further assessed with Cancellation Test 2 to confirm the diagnosis.</w:t>
      </w:r>
      <w:r w:rsidR="00F811B4" w:rsidRPr="00FB1A58">
        <w:rPr>
          <w:lang w:val="en-GB"/>
        </w:rPr>
        <w:t xml:space="preserve"> The result of Cancellation Test 2 was used as the final diagnosis if it was administered.</w:t>
      </w:r>
      <w:r w:rsidR="00C408E8" w:rsidRPr="00FB1A58">
        <w:rPr>
          <w:lang w:val="en-GB"/>
        </w:rPr>
        <w:t xml:space="preserve"> </w:t>
      </w:r>
      <w:r w:rsidR="00B369F3" w:rsidRPr="00FB1A58">
        <w:rPr>
          <w:lang w:val="en-GB"/>
        </w:rPr>
        <w:t xml:space="preserve">In the </w:t>
      </w:r>
      <w:r w:rsidR="00B369F3" w:rsidRPr="00FB1A58">
        <w:rPr>
          <w:i/>
          <w:lang w:val="en-GB"/>
        </w:rPr>
        <w:t>Bayesian screening scenario</w:t>
      </w:r>
      <w:r w:rsidR="00B369F3" w:rsidRPr="00FB1A58">
        <w:rPr>
          <w:lang w:val="en-GB"/>
        </w:rPr>
        <w:t>, t</w:t>
      </w:r>
      <w:r w:rsidR="003A2C0D" w:rsidRPr="00FB1A58">
        <w:rPr>
          <w:lang w:val="en-GB"/>
        </w:rPr>
        <w:t xml:space="preserve">he patients who had an inconclusive BF on Cancellation Test 1 (screening) were further assessed with Cancellation Test 2 to </w:t>
      </w:r>
      <w:r w:rsidR="00684FB8" w:rsidRPr="00FB1A58">
        <w:rPr>
          <w:lang w:val="en-GB"/>
        </w:rPr>
        <w:t>further evaluate</w:t>
      </w:r>
      <w:r w:rsidR="003A2C0D" w:rsidRPr="00FB1A58">
        <w:rPr>
          <w:lang w:val="en-GB"/>
        </w:rPr>
        <w:t xml:space="preserve"> the diagnosis.</w:t>
      </w:r>
      <w:r w:rsidR="006A0818" w:rsidRPr="00FB1A58">
        <w:rPr>
          <w:lang w:val="en-GB"/>
        </w:rPr>
        <w:t xml:space="preserve"> Patients with a conclusive result on Cancellation Test 1 were not further assessed.</w:t>
      </w:r>
    </w:p>
    <w:p w14:paraId="474A9D91" w14:textId="533A2538" w:rsidR="00651362" w:rsidRPr="00FB1A58" w:rsidRDefault="00651362" w:rsidP="00A10D05">
      <w:pPr>
        <w:rPr>
          <w:lang w:val="en-GB"/>
        </w:rPr>
      </w:pPr>
      <w:r w:rsidRPr="00FB1A58">
        <w:rPr>
          <w:lang w:val="en-GB"/>
        </w:rPr>
        <w:t>Results of this simulation are reported in the main text (Figure 5).</w:t>
      </w:r>
      <w:r w:rsidR="00C843C8" w:rsidRPr="00FB1A58">
        <w:rPr>
          <w:lang w:val="en-GB"/>
        </w:rPr>
        <w:t xml:space="preserve"> Scripts for our simulations are available on (</w:t>
      </w:r>
      <w:r w:rsidR="00FC4961" w:rsidRPr="00FB1A58">
        <w:rPr>
          <w:lang w:val="en-GB"/>
        </w:rPr>
        <w:t>https://doi.org/10.6084/m9.figshare.14500014</w:t>
      </w:r>
      <w:r w:rsidR="00C843C8" w:rsidRPr="00FB1A58">
        <w:rPr>
          <w:lang w:val="en-GB"/>
        </w:rPr>
        <w:t>).</w:t>
      </w:r>
    </w:p>
    <w:p w14:paraId="3FECF450" w14:textId="2BEB6E26" w:rsidR="00002F05" w:rsidRPr="00FB1A58" w:rsidRDefault="00002F05">
      <w:pPr>
        <w:spacing w:before="0" w:after="160" w:line="259" w:lineRule="auto"/>
        <w:jc w:val="left"/>
        <w:rPr>
          <w:rFonts w:asciiTheme="majorHAnsi" w:eastAsiaTheme="majorEastAsia" w:hAnsiTheme="majorHAnsi" w:cstheme="majorBidi"/>
          <w:sz w:val="26"/>
          <w:szCs w:val="26"/>
          <w:lang w:val="en-GB"/>
        </w:rPr>
      </w:pPr>
      <w:r w:rsidRPr="00FB1A58">
        <w:rPr>
          <w:rFonts w:asciiTheme="majorHAnsi" w:eastAsiaTheme="majorEastAsia" w:hAnsiTheme="majorHAnsi" w:cstheme="majorBidi"/>
          <w:sz w:val="26"/>
          <w:szCs w:val="26"/>
          <w:lang w:val="en-GB"/>
        </w:rPr>
        <w:br w:type="page"/>
      </w:r>
    </w:p>
    <w:p w14:paraId="0BD9138E" w14:textId="43E4F29C" w:rsidR="00002F05" w:rsidRPr="00FB1A58" w:rsidRDefault="00002F05" w:rsidP="00002F05">
      <w:pPr>
        <w:pStyle w:val="Heading1"/>
        <w:rPr>
          <w:color w:val="auto"/>
          <w:lang w:val="en-GB"/>
        </w:rPr>
      </w:pPr>
      <w:r w:rsidRPr="00FB1A58">
        <w:rPr>
          <w:color w:val="auto"/>
          <w:lang w:val="en-GB"/>
        </w:rPr>
        <w:lastRenderedPageBreak/>
        <w:t>Appendix E. Sequential testing</w:t>
      </w:r>
    </w:p>
    <w:p w14:paraId="01ED68C6" w14:textId="57D12C11" w:rsidR="00C23EC0" w:rsidRPr="00FB1A58" w:rsidRDefault="00045CBD" w:rsidP="00045CBD">
      <w:pPr>
        <w:rPr>
          <w:lang w:val="en-GB"/>
        </w:rPr>
      </w:pPr>
      <w:r w:rsidRPr="00FB1A58">
        <w:rPr>
          <w:lang w:val="en-GB"/>
        </w:rPr>
        <w:t xml:space="preserve">We simulated data for </w:t>
      </w:r>
      <w:r w:rsidR="006C5464" w:rsidRPr="00FB1A58">
        <w:rPr>
          <w:lang w:val="en-GB"/>
        </w:rPr>
        <w:t>several</w:t>
      </w:r>
      <w:r w:rsidRPr="00FB1A58">
        <w:rPr>
          <w:lang w:val="en-GB"/>
        </w:rPr>
        <w:t xml:space="preserve"> hypothetical cases. </w:t>
      </w:r>
      <w:r w:rsidR="006C5464" w:rsidRPr="00FB1A58">
        <w:rPr>
          <w:i/>
          <w:lang w:val="en-GB"/>
        </w:rPr>
        <w:t>No Neglect cases</w:t>
      </w:r>
      <w:r w:rsidRPr="00FB1A58">
        <w:rPr>
          <w:lang w:val="en-GB"/>
        </w:rPr>
        <w:t xml:space="preserve"> </w:t>
      </w:r>
      <w:r w:rsidR="006C5464" w:rsidRPr="00FB1A58">
        <w:rPr>
          <w:lang w:val="en-GB"/>
        </w:rPr>
        <w:t>are</w:t>
      </w:r>
      <w:r w:rsidRPr="00FB1A58">
        <w:rPr>
          <w:lang w:val="en-GB"/>
        </w:rPr>
        <w:t xml:space="preserve"> patient</w:t>
      </w:r>
      <w:r w:rsidR="006C5464" w:rsidRPr="00FB1A58">
        <w:rPr>
          <w:lang w:val="en-GB"/>
        </w:rPr>
        <w:t>s</w:t>
      </w:r>
      <w:r w:rsidRPr="00FB1A58">
        <w:rPr>
          <w:lang w:val="en-GB"/>
        </w:rPr>
        <w:t xml:space="preserve"> without a spatial bias (H0) who ha</w:t>
      </w:r>
      <w:r w:rsidR="006C5464" w:rsidRPr="00FB1A58">
        <w:rPr>
          <w:lang w:val="en-GB"/>
        </w:rPr>
        <w:t>ve</w:t>
      </w:r>
      <w:r w:rsidRPr="00FB1A58">
        <w:rPr>
          <w:lang w:val="en-GB"/>
        </w:rPr>
        <w:t xml:space="preserve"> a 50% probability to cancel targets on both sides of the display. </w:t>
      </w:r>
      <w:r w:rsidR="006C5464" w:rsidRPr="00FB1A58">
        <w:rPr>
          <w:i/>
          <w:lang w:val="en-GB"/>
        </w:rPr>
        <w:t>Neglect cases</w:t>
      </w:r>
      <w:r w:rsidRPr="00FB1A58">
        <w:rPr>
          <w:lang w:val="en-GB"/>
        </w:rPr>
        <w:t xml:space="preserve"> </w:t>
      </w:r>
      <w:r w:rsidR="006C5464" w:rsidRPr="00FB1A58">
        <w:rPr>
          <w:lang w:val="en-GB"/>
        </w:rPr>
        <w:t>are</w:t>
      </w:r>
      <w:r w:rsidRPr="00FB1A58">
        <w:rPr>
          <w:lang w:val="en-GB"/>
        </w:rPr>
        <w:t xml:space="preserve"> patient</w:t>
      </w:r>
      <w:r w:rsidR="006C5464" w:rsidRPr="00FB1A58">
        <w:rPr>
          <w:lang w:val="en-GB"/>
        </w:rPr>
        <w:t>s</w:t>
      </w:r>
      <w:r w:rsidRPr="00FB1A58">
        <w:rPr>
          <w:lang w:val="en-GB"/>
        </w:rPr>
        <w:t xml:space="preserve"> with a spatial bias (H1). </w:t>
      </w:r>
      <w:r w:rsidR="006C5464" w:rsidRPr="00FB1A58">
        <w:rPr>
          <w:lang w:val="en-GB"/>
        </w:rPr>
        <w:t xml:space="preserve">The size of the spatial bias </w:t>
      </w:r>
      <w:r w:rsidR="00510B3D" w:rsidRPr="00FB1A58">
        <w:rPr>
          <w:lang w:val="en-GB"/>
        </w:rPr>
        <w:t>was either equal to 10%, 20%, 50% or 90%</w:t>
      </w:r>
      <w:r w:rsidR="006C5464" w:rsidRPr="00FB1A58">
        <w:rPr>
          <w:lang w:val="en-GB"/>
        </w:rPr>
        <w:t>.</w:t>
      </w:r>
      <w:r w:rsidR="006C5464" w:rsidRPr="00FB1A58">
        <w:rPr>
          <w:rFonts w:asciiTheme="majorHAnsi" w:eastAsiaTheme="majorEastAsia" w:hAnsiTheme="majorHAnsi" w:cstheme="majorBidi"/>
          <w:sz w:val="26"/>
          <w:szCs w:val="26"/>
          <w:lang w:val="en-GB"/>
        </w:rPr>
        <w:t xml:space="preserve"> </w:t>
      </w:r>
      <w:r w:rsidRPr="00FB1A58">
        <w:rPr>
          <w:lang w:val="en-GB"/>
        </w:rPr>
        <w:t xml:space="preserve">Cancellation data was simulated for </w:t>
      </w:r>
      <w:r w:rsidR="00EA7434" w:rsidRPr="00FB1A58">
        <w:rPr>
          <w:lang w:val="en-GB"/>
        </w:rPr>
        <w:t xml:space="preserve">each of </w:t>
      </w:r>
      <w:r w:rsidRPr="00FB1A58">
        <w:rPr>
          <w:lang w:val="en-GB"/>
        </w:rPr>
        <w:t xml:space="preserve">these </w:t>
      </w:r>
      <w:r w:rsidR="006C5464" w:rsidRPr="00FB1A58">
        <w:rPr>
          <w:lang w:val="en-GB"/>
        </w:rPr>
        <w:t xml:space="preserve">hypothetical </w:t>
      </w:r>
      <w:r w:rsidRPr="00FB1A58">
        <w:rPr>
          <w:lang w:val="en-GB"/>
        </w:rPr>
        <w:t>cases</w:t>
      </w:r>
      <w:r w:rsidR="00E85ABD" w:rsidRPr="00FB1A58">
        <w:rPr>
          <w:lang w:val="en-GB"/>
        </w:rPr>
        <w:t xml:space="preserve"> for different testing scenarios</w:t>
      </w:r>
      <w:r w:rsidRPr="00FB1A58">
        <w:rPr>
          <w:lang w:val="en-GB"/>
        </w:rPr>
        <w:t xml:space="preserve">, 5000 times. Cancelled hits for the left and right side were drawn from a binomial distribution </w:t>
      </w:r>
      <w:r w:rsidRPr="00FB1A58">
        <w:rPr>
          <w:lang w:val="en-GB"/>
        </w:rPr>
        <w:fldChar w:fldCharType="begin"/>
      </w:r>
      <w:r w:rsidR="002047E3" w:rsidRPr="00FB1A58">
        <w:rPr>
          <w:lang w:val="en-GB"/>
        </w:rPr>
        <w:instrText xml:space="preserve"> ADDIN ZOTERO_ITEM CSL_CITATION {"citationID":"4GOrUuE5","properties":{"formattedCitation":"(Huygelier et al., 2020)","plainCitation":"(Huygelier et al., 2020)","noteIndex":0},"citationItems":[{"id":9490,"uris":["http://zotero.org/users/2737028/items/A525LTYV"],"uri":["http://zotero.org/users/2737028/items/A525LTYV"],"itemData":{"id":9490,"type":"article-journal","container-title":"Journal of the International Neuropsychological Society","DOI":"https://doi.org/10.1017/S1355617720000041","page":"668-678","title":"Non-spatial impairments affect false positive neglect diagnosis based on cancellation tasks.","volume":"26","author":[{"family":"Huygelier","given":"Hanne"},{"family":"Moore","given":"Margareth Jane"},{"family":"Demeyere","given":"Nele"},{"family":"Gillebert","given":"Céline R."}],"issued":{"date-parts":[["2020"]]}}}],"schema":"https://github.com/citation-style-language/schema/raw/master/csl-citation.json"} </w:instrText>
      </w:r>
      <w:r w:rsidRPr="00FB1A58">
        <w:rPr>
          <w:lang w:val="en-GB"/>
        </w:rPr>
        <w:fldChar w:fldCharType="separate"/>
      </w:r>
      <w:r w:rsidRPr="00FB1A58">
        <w:rPr>
          <w:rFonts w:ascii="Calibri" w:hAnsi="Calibri" w:cs="Calibri"/>
          <w:lang w:val="en-US"/>
        </w:rPr>
        <w:t>(Huygelier et al., 2020)</w:t>
      </w:r>
      <w:r w:rsidRPr="00FB1A58">
        <w:rPr>
          <w:lang w:val="en-GB"/>
        </w:rPr>
        <w:fldChar w:fldCharType="end"/>
      </w:r>
      <w:r w:rsidRPr="00FB1A58">
        <w:rPr>
          <w:lang w:val="en-GB"/>
        </w:rPr>
        <w:t xml:space="preserve">. </w:t>
      </w:r>
    </w:p>
    <w:p w14:paraId="45DD4670" w14:textId="59C9DC26" w:rsidR="00D2521C" w:rsidRPr="00FB1A58" w:rsidRDefault="00572205" w:rsidP="00D2521C">
      <w:pPr>
        <w:rPr>
          <w:lang w:val="en-GB"/>
        </w:rPr>
      </w:pPr>
      <w:r w:rsidRPr="00FB1A58">
        <w:rPr>
          <w:rFonts w:eastAsiaTheme="majorEastAsia"/>
          <w:lang w:val="en-GB"/>
        </w:rPr>
        <w:t>For each case, a maximum of 12 cancellation tests, each consisting of 50 targets in total (25 left, 25 right) were administered. After each cancellation test, data of all the administered cancellation tests was combined.</w:t>
      </w:r>
      <w:r w:rsidR="00D2521C" w:rsidRPr="00FB1A58">
        <w:rPr>
          <w:rFonts w:eastAsiaTheme="majorEastAsia"/>
          <w:lang w:val="en-GB"/>
        </w:rPr>
        <w:t xml:space="preserve"> </w:t>
      </w:r>
      <w:r w:rsidR="00D2521C" w:rsidRPr="00FB1A58">
        <w:rPr>
          <w:lang w:val="en-GB"/>
        </w:rPr>
        <w:t xml:space="preserve">To evaluate the presence of a spatial bias on the two cancellation tests we used a frequentist test of proportions and Bayesian contingency table test </w:t>
      </w:r>
      <w:r w:rsidR="00D2521C" w:rsidRPr="00FB1A58">
        <w:rPr>
          <w:lang w:val="en-GB"/>
        </w:rPr>
        <w:fldChar w:fldCharType="begin"/>
      </w:r>
      <w:r w:rsidR="002047E3" w:rsidRPr="00FB1A58">
        <w:rPr>
          <w:lang w:val="en-GB"/>
        </w:rPr>
        <w:instrText xml:space="preserve"> ADDIN ZOTERO_ITEM CSL_CITATION {"citationID":"hcZzQkPW","properties":{"formattedCitation":"(Gunel &amp; Dickey, 1974)","plainCitation":"(Gunel &amp; Dickey, 1974)","noteIndex":0},"citationItems":[{"id":4907,"uris":["http://zotero.org/users/2737028/items/Y43A94N7"],"uri":["http://zotero.org/users/2737028/items/Y43A94N7"],"itemData":{"id":4907,"type":"article-journal","abstract":"The null hypothesis of row-column independence in a two-way contingency table can be expressed as a constraint on the parameters in various standard statistical sampling models. Four sampling models are considered, which are related by nested conditioning. By having the prior distribution in any one model induce the prior distribution in each further conditioned model, it is shown that the Bayes factors for independence will factorize, and there-by expose the evidence residing in the marginal row and column of the table. Bounds on the marginal Bayes factors justify, in a weak sense, Fisher's practice of conditioning. A general theorem is given for factorized Bayes factors from a factorized likelihood function.","container-title":"Biometrika","DOI":"10.2307/2334738","ISSN":"0006-3444","issue":"3","page":"545-557","source":"JSTOR","title":"Bayes Factors for Independence in Contingency Tables","volume":"61","author":[{"family":"Gunel","given":"Erdogan"},{"family":"Dickey","given":"James"}],"issued":{"date-parts":[["1974"]]}}}],"schema":"https://github.com/citation-style-language/schema/raw/master/csl-citation.json"} </w:instrText>
      </w:r>
      <w:r w:rsidR="00D2521C" w:rsidRPr="00FB1A58">
        <w:rPr>
          <w:lang w:val="en-GB"/>
        </w:rPr>
        <w:fldChar w:fldCharType="separate"/>
      </w:r>
      <w:r w:rsidR="00D2521C" w:rsidRPr="00FB1A58">
        <w:rPr>
          <w:rFonts w:ascii="Calibri" w:hAnsi="Calibri" w:cs="Calibri"/>
          <w:lang w:val="en-US"/>
        </w:rPr>
        <w:t>(Gunel &amp; Dickey, 1974)</w:t>
      </w:r>
      <w:r w:rsidR="00D2521C" w:rsidRPr="00FB1A58">
        <w:rPr>
          <w:lang w:val="en-GB"/>
        </w:rPr>
        <w:fldChar w:fldCharType="end"/>
      </w:r>
      <w:r w:rsidR="00D2521C" w:rsidRPr="00FB1A58">
        <w:rPr>
          <w:lang w:val="en-GB"/>
        </w:rPr>
        <w:t>. If the frequentist test of proportions was statistically significant, neglect was diagnosed</w:t>
      </w:r>
      <w:r w:rsidR="00C77FE8" w:rsidRPr="00FB1A58">
        <w:rPr>
          <w:lang w:val="en-GB"/>
        </w:rPr>
        <w:t xml:space="preserve"> (i.e., reject H0)</w:t>
      </w:r>
      <w:r w:rsidR="00D2521C" w:rsidRPr="00FB1A58">
        <w:rPr>
          <w:lang w:val="en-GB"/>
        </w:rPr>
        <w:t xml:space="preserve">. </w:t>
      </w:r>
      <w:r w:rsidR="008F54F4" w:rsidRPr="00FB1A58">
        <w:rPr>
          <w:lang w:val="en-GB"/>
        </w:rPr>
        <w:t>Thresholds to determine statistical significance were determined on an a priori power analysis assuming 12 tests</w:t>
      </w:r>
      <w:r w:rsidR="00E4575D" w:rsidRPr="00FB1A58">
        <w:rPr>
          <w:lang w:val="en-GB"/>
        </w:rPr>
        <w:t>,</w:t>
      </w:r>
      <w:r w:rsidR="008F54F4" w:rsidRPr="00FB1A58">
        <w:rPr>
          <w:lang w:val="en-GB"/>
        </w:rPr>
        <w:t xml:space="preserve"> contro</w:t>
      </w:r>
      <w:r w:rsidR="00E4575D" w:rsidRPr="00FB1A58">
        <w:rPr>
          <w:lang w:val="en-GB"/>
        </w:rPr>
        <w:t>l</w:t>
      </w:r>
      <w:r w:rsidR="008F54F4" w:rsidRPr="00FB1A58">
        <w:rPr>
          <w:lang w:val="en-GB"/>
        </w:rPr>
        <w:t>l</w:t>
      </w:r>
      <w:r w:rsidR="00E4575D" w:rsidRPr="00FB1A58">
        <w:rPr>
          <w:lang w:val="en-GB"/>
        </w:rPr>
        <w:t>ing</w:t>
      </w:r>
      <w:r w:rsidR="008F54F4" w:rsidRPr="00FB1A58">
        <w:rPr>
          <w:lang w:val="en-GB"/>
        </w:rPr>
        <w:t xml:space="preserve"> false positives to a maximum of 5% and without futility testing </w:t>
      </w:r>
      <w:r w:rsidR="001A5E82" w:rsidRPr="00FB1A58">
        <w:rPr>
          <w:lang w:val="en-GB"/>
        </w:rPr>
        <w:t xml:space="preserve">(early stopping if study is unlikely to produce significant results) </w:t>
      </w:r>
      <w:r w:rsidR="008F54F4" w:rsidRPr="00FB1A58">
        <w:rPr>
          <w:lang w:val="en-GB"/>
        </w:rPr>
        <w:t xml:space="preserve">using the </w:t>
      </w:r>
      <w:proofErr w:type="spellStart"/>
      <w:r w:rsidR="008F54F4" w:rsidRPr="00FB1A58">
        <w:rPr>
          <w:lang w:val="en-GB"/>
        </w:rPr>
        <w:t>GSDesign</w:t>
      </w:r>
      <w:proofErr w:type="spellEnd"/>
      <w:r w:rsidR="008F54F4" w:rsidRPr="00FB1A58">
        <w:rPr>
          <w:lang w:val="en-GB"/>
        </w:rPr>
        <w:t xml:space="preserve"> package in R </w:t>
      </w:r>
      <w:r w:rsidR="008F54F4" w:rsidRPr="00FB1A58">
        <w:rPr>
          <w:lang w:val="en-GB"/>
        </w:rPr>
        <w:fldChar w:fldCharType="begin"/>
      </w:r>
      <w:r w:rsidR="008F54F4" w:rsidRPr="00FB1A58">
        <w:rPr>
          <w:lang w:val="en-GB"/>
        </w:rPr>
        <w:instrText xml:space="preserve"> ADDIN ZOTERO_ITEM CSL_CITATION {"citationID":"r3DMdhi0","properties":{"formattedCitation":"(Anderson, 2020)","plainCitation":"(Anderson, 2020)","noteIndex":0},"citationItems":[{"id":10658,"uris":["http://zotero.org/users/2737028/items/5NPLRRAK"],"uri":["http://zotero.org/users/2737028/items/5NPLRRAK"],"itemData":{"id":10658,"type":"book","genre":"R","title":"Package 'gsDesign'","URL":"https://cran.r-project.org/web/packages/gsDesign/gsDesign.pdf","version":"3.1.1","author":[{"family":"Anderson","given":"Keaven"}],"accessed":{"date-parts":[["2021",1,8]]},"issued":{"date-parts":[["2020"]]}}}],"schema":"https://github.com/citation-style-language/schema/raw/master/csl-citation.json"} </w:instrText>
      </w:r>
      <w:r w:rsidR="008F54F4" w:rsidRPr="00FB1A58">
        <w:rPr>
          <w:lang w:val="en-GB"/>
        </w:rPr>
        <w:fldChar w:fldCharType="separate"/>
      </w:r>
      <w:r w:rsidR="008F54F4" w:rsidRPr="00FB1A58">
        <w:rPr>
          <w:rFonts w:ascii="Calibri" w:hAnsi="Calibri" w:cs="Calibri"/>
          <w:lang w:val="en-US"/>
        </w:rPr>
        <w:t>(Anderson, 2020)</w:t>
      </w:r>
      <w:r w:rsidR="008F54F4" w:rsidRPr="00FB1A58">
        <w:rPr>
          <w:lang w:val="en-GB"/>
        </w:rPr>
        <w:fldChar w:fldCharType="end"/>
      </w:r>
      <w:r w:rsidR="008F54F4" w:rsidRPr="00FB1A58">
        <w:rPr>
          <w:lang w:val="en-GB"/>
        </w:rPr>
        <w:t xml:space="preserve">. </w:t>
      </w:r>
      <w:r w:rsidR="001D3D44" w:rsidRPr="00FB1A58">
        <w:rPr>
          <w:lang w:val="en-GB"/>
        </w:rPr>
        <w:t xml:space="preserve">The following thresholds for </w:t>
      </w:r>
      <w:r w:rsidR="00421423" w:rsidRPr="00FB1A58">
        <w:rPr>
          <w:lang w:val="en-GB"/>
        </w:rPr>
        <w:t xml:space="preserve">the </w:t>
      </w:r>
      <w:r w:rsidR="001D3D44" w:rsidRPr="00FB1A58">
        <w:rPr>
          <w:lang w:val="en-GB"/>
        </w:rPr>
        <w:t xml:space="preserve">z-score were determined for </w:t>
      </w:r>
      <w:r w:rsidR="00132410" w:rsidRPr="00FB1A58">
        <w:rPr>
          <w:lang w:val="en-GB"/>
        </w:rPr>
        <w:t>the subsequent</w:t>
      </w:r>
      <w:r w:rsidR="001D3D44" w:rsidRPr="00FB1A58">
        <w:rPr>
          <w:lang w:val="en-GB"/>
        </w:rPr>
        <w:t xml:space="preserve"> interim test: </w:t>
      </w:r>
      <w:r w:rsidR="00132410" w:rsidRPr="00FB1A58">
        <w:rPr>
          <w:lang w:val="en-GB"/>
        </w:rPr>
        <w:t xml:space="preserve">3.38 (first interim test), 3.25, 3.11, 2.97, 2.83, 2.69, 2.54, 2.40, 2.24, 2.08, 1.92, 1.75 (last interim test). </w:t>
      </w:r>
      <w:r w:rsidR="00D2521C" w:rsidRPr="00FB1A58">
        <w:rPr>
          <w:lang w:val="en-GB"/>
        </w:rPr>
        <w:t>If the BF</w:t>
      </w:r>
      <w:r w:rsidR="00D2521C" w:rsidRPr="00FB1A58">
        <w:rPr>
          <w:vertAlign w:val="subscript"/>
          <w:lang w:val="en-GB"/>
        </w:rPr>
        <w:t>10</w:t>
      </w:r>
      <w:r w:rsidR="00D2521C" w:rsidRPr="00FB1A58">
        <w:rPr>
          <w:lang w:val="en-GB"/>
        </w:rPr>
        <w:t xml:space="preserve"> was larger than </w:t>
      </w:r>
      <w:r w:rsidR="00C77FE8" w:rsidRPr="00FB1A58">
        <w:rPr>
          <w:lang w:val="en-GB"/>
        </w:rPr>
        <w:t>6</w:t>
      </w:r>
      <w:r w:rsidR="00D2521C" w:rsidRPr="00FB1A58">
        <w:rPr>
          <w:lang w:val="en-GB"/>
        </w:rPr>
        <w:t>, patients were diagnosed with neglect and smaller than 1/</w:t>
      </w:r>
      <w:r w:rsidR="00C77FE8" w:rsidRPr="00FB1A58">
        <w:rPr>
          <w:lang w:val="en-GB"/>
        </w:rPr>
        <w:t>6</w:t>
      </w:r>
      <w:r w:rsidR="00D2521C" w:rsidRPr="00FB1A58">
        <w:rPr>
          <w:lang w:val="en-GB"/>
        </w:rPr>
        <w:t xml:space="preserve"> patients were not diagnosed with neglect. If the BF</w:t>
      </w:r>
      <w:r w:rsidR="00D2521C" w:rsidRPr="00FB1A58">
        <w:rPr>
          <w:vertAlign w:val="subscript"/>
          <w:lang w:val="en-GB"/>
        </w:rPr>
        <w:t>10</w:t>
      </w:r>
      <w:r w:rsidR="00D2521C" w:rsidRPr="00FB1A58">
        <w:rPr>
          <w:lang w:val="en-GB"/>
        </w:rPr>
        <w:t xml:space="preserve"> lied between 1/</w:t>
      </w:r>
      <w:r w:rsidR="00C77FE8" w:rsidRPr="00FB1A58">
        <w:rPr>
          <w:lang w:val="en-GB"/>
        </w:rPr>
        <w:t>6</w:t>
      </w:r>
      <w:r w:rsidR="00D2521C" w:rsidRPr="00FB1A58">
        <w:rPr>
          <w:lang w:val="en-GB"/>
        </w:rPr>
        <w:t xml:space="preserve"> and </w:t>
      </w:r>
      <w:r w:rsidR="00C77FE8" w:rsidRPr="00FB1A58">
        <w:rPr>
          <w:lang w:val="en-GB"/>
        </w:rPr>
        <w:t>6</w:t>
      </w:r>
      <w:r w:rsidR="00D2521C" w:rsidRPr="00FB1A58">
        <w:rPr>
          <w:lang w:val="en-GB"/>
        </w:rPr>
        <w:t xml:space="preserve">, the results were interpreted as </w:t>
      </w:r>
      <w:r w:rsidR="00D2521C" w:rsidRPr="00FB1A58">
        <w:rPr>
          <w:i/>
          <w:lang w:val="en-GB"/>
        </w:rPr>
        <w:t>inconclusive</w:t>
      </w:r>
      <w:r w:rsidR="00D2521C" w:rsidRPr="00FB1A58">
        <w:rPr>
          <w:lang w:val="en-GB"/>
        </w:rPr>
        <w:t>.</w:t>
      </w:r>
      <w:r w:rsidR="00932D3D" w:rsidRPr="00FB1A58">
        <w:rPr>
          <w:lang w:val="en-GB"/>
        </w:rPr>
        <w:t xml:space="preserve"> The BF thresholds for sequential testing were based on</w:t>
      </w:r>
      <w:r w:rsidR="00B500E9" w:rsidRPr="00FB1A58">
        <w:rPr>
          <w:lang w:val="en-GB"/>
        </w:rPr>
        <w:t xml:space="preserve"> </w:t>
      </w:r>
      <w:proofErr w:type="spellStart"/>
      <w:r w:rsidR="00B500E9" w:rsidRPr="00FB1A58">
        <w:rPr>
          <w:lang w:val="en-GB"/>
        </w:rPr>
        <w:t>Schönbrodt</w:t>
      </w:r>
      <w:proofErr w:type="spellEnd"/>
      <w:r w:rsidR="00B500E9" w:rsidRPr="00FB1A58">
        <w:rPr>
          <w:lang w:val="en-GB"/>
        </w:rPr>
        <w:t xml:space="preserve"> and </w:t>
      </w:r>
      <w:proofErr w:type="spellStart"/>
      <w:r w:rsidR="00B500E9" w:rsidRPr="00FB1A58">
        <w:rPr>
          <w:lang w:val="en-GB"/>
        </w:rPr>
        <w:t>Wagenmakers</w:t>
      </w:r>
      <w:proofErr w:type="spellEnd"/>
      <w:r w:rsidR="00B500E9" w:rsidRPr="00FB1A58">
        <w:rPr>
          <w:lang w:val="en-GB"/>
        </w:rPr>
        <w:t xml:space="preserve"> </w:t>
      </w:r>
      <w:r w:rsidR="00B500E9" w:rsidRPr="00FB1A58">
        <w:rPr>
          <w:lang w:val="en-GB"/>
        </w:rPr>
        <w:fldChar w:fldCharType="begin"/>
      </w:r>
      <w:r w:rsidR="00B500E9" w:rsidRPr="00FB1A58">
        <w:rPr>
          <w:lang w:val="en-GB"/>
        </w:rPr>
        <w:instrText xml:space="preserve"> ADDIN ZOTERO_ITEM CSL_CITATION {"citationID":"66mHJPe8","properties":{"formattedCitation":"(Sch\\uc0\\u246{}nbrodt &amp; Wagenmakers, 2018)","plainCitation":"(Schönbrodt &amp; Wagenmakers, 2018)","noteIndex":0},"citationItems":[{"id":9968,"uris":["http://zotero.org/users/2737028/items/245AX4JR"],"uri":["http://zotero.org/users/2737028/items/245AX4JR"],"itemData":{"id":9968,"type":"article-journal","abstract":"A sizeable literature exists on the use of frequentist power analysis in the null-hypothesis significance testing (NHST) paradigm to facilitate the design of informative experiments. In contrast, there is almost no literature that discusses the design of experiments when Bayes factors (BFs) are used as a measure of evidence. Here we explore Bayes Factor Design Analysis (BFDA) as a useful tool to design studies for maximum efficiency and informativeness. We elaborate on three possible BF designs, (a) a fixed-n design, (b) an open-ended Sequential Bayes Factor (SBF) design, where researchers can test after each participant and can stop data collection whenever there is strong evidence for either </w:instrText>
      </w:r>
      <w:r w:rsidR="00B500E9" w:rsidRPr="00FB1A58">
        <w:rPr>
          <w:rFonts w:ascii="Cambria Math" w:hAnsi="Cambria Math" w:cs="Cambria Math"/>
          <w:lang w:val="en-GB"/>
        </w:rPr>
        <w:instrText>ℋ</w:instrText>
      </w:r>
      <w:r w:rsidR="00B500E9" w:rsidRPr="00FB1A58">
        <w:rPr>
          <w:lang w:val="en-GB"/>
        </w:rPr>
        <w:instrText xml:space="preserve">1$\\mathcal {H}_{1}$or </w:instrText>
      </w:r>
      <w:r w:rsidR="00B500E9" w:rsidRPr="00FB1A58">
        <w:rPr>
          <w:rFonts w:ascii="Cambria Math" w:hAnsi="Cambria Math" w:cs="Cambria Math"/>
          <w:lang w:val="en-GB"/>
        </w:rPr>
        <w:instrText>ℋ</w:instrText>
      </w:r>
      <w:r w:rsidR="00B500E9" w:rsidRPr="00FB1A58">
        <w:rPr>
          <w:lang w:val="en-GB"/>
        </w:rPr>
        <w:instrText xml:space="preserve">0$\\mathcal {H}_{0}$, and (c) a modified SBF design that defines a maximal sample size where data collection is stopped regardless of the current state of evidence. We demonstrate how the properties of each design (i.e., expected strength of evidence, expected sample size, expected probability of misleading evidence, expected probability of weak evidence) can be evaluated using Monte Carlo simulations and equip researchers with the necessary information to compute their own Bayesian design analyses.","container-title":"Psychonomic Bulletin &amp; Review","DOI":"10.3758/s13423-017-1230-y","ISSN":"1531-5320","issue":"1","journalAbbreviation":"Psychon Bull Rev","language":"en","page":"128-142","source":"Springer Link","title":"Bayes factor design analysis: Planning for compelling evidence","title-short":"Bayes factor design analysis","volume":"25","author":[{"family":"Schönbrodt","given":"Felix D."},{"family":"Wagenmakers","given":"Eric-Jan"}],"issued":{"date-parts":[["2018",2,1]]}}}],"schema":"https://github.com/citation-style-language/schema/raw/master/csl-citation.json"} </w:instrText>
      </w:r>
      <w:r w:rsidR="00B500E9" w:rsidRPr="00FB1A58">
        <w:rPr>
          <w:lang w:val="en-GB"/>
        </w:rPr>
        <w:fldChar w:fldCharType="separate"/>
      </w:r>
      <w:r w:rsidR="00B500E9" w:rsidRPr="00FB1A58">
        <w:rPr>
          <w:rFonts w:ascii="Calibri" w:hAnsi="Calibri" w:cs="Calibri"/>
          <w:szCs w:val="24"/>
          <w:lang w:val="en-US"/>
        </w:rPr>
        <w:t>(Schönbrodt &amp; Wagenmakers, 2018)</w:t>
      </w:r>
      <w:r w:rsidR="00B500E9" w:rsidRPr="00FB1A58">
        <w:rPr>
          <w:lang w:val="en-GB"/>
        </w:rPr>
        <w:fldChar w:fldCharType="end"/>
      </w:r>
      <w:r w:rsidR="00932D3D" w:rsidRPr="00FB1A58">
        <w:rPr>
          <w:lang w:val="en-GB"/>
        </w:rPr>
        <w:t>.</w:t>
      </w:r>
    </w:p>
    <w:p w14:paraId="30ED152A" w14:textId="79695E1B" w:rsidR="004B6515" w:rsidRPr="00FB1A58" w:rsidRDefault="00A014C3" w:rsidP="00572205">
      <w:pPr>
        <w:rPr>
          <w:rFonts w:eastAsiaTheme="majorEastAsia"/>
          <w:lang w:val="en-GB"/>
        </w:rPr>
      </w:pPr>
      <w:r w:rsidRPr="00FB1A58">
        <w:rPr>
          <w:rFonts w:eastAsiaTheme="majorEastAsia"/>
          <w:lang w:val="en-GB"/>
        </w:rPr>
        <w:t xml:space="preserve">In addition, </w:t>
      </w:r>
      <w:r w:rsidR="00E85ABD" w:rsidRPr="00FB1A58">
        <w:rPr>
          <w:rFonts w:eastAsiaTheme="majorEastAsia"/>
          <w:lang w:val="en-GB"/>
        </w:rPr>
        <w:t>th</w:t>
      </w:r>
      <w:r w:rsidR="00691FF4" w:rsidRPr="00FB1A58">
        <w:rPr>
          <w:rFonts w:eastAsiaTheme="majorEastAsia"/>
          <w:lang w:val="en-GB"/>
        </w:rPr>
        <w:t>e</w:t>
      </w:r>
      <w:r w:rsidR="00E85ABD" w:rsidRPr="00FB1A58">
        <w:rPr>
          <w:rFonts w:eastAsiaTheme="majorEastAsia"/>
          <w:lang w:val="en-GB"/>
        </w:rPr>
        <w:t xml:space="preserve"> sequential testing scenario was simulated under two conditions. A first condition is </w:t>
      </w:r>
      <w:r w:rsidR="00F35A65" w:rsidRPr="00FB1A58">
        <w:rPr>
          <w:rFonts w:eastAsiaTheme="majorEastAsia"/>
          <w:lang w:val="en-GB"/>
        </w:rPr>
        <w:t>one in which</w:t>
      </w:r>
      <w:r w:rsidR="00E85ABD" w:rsidRPr="00FB1A58">
        <w:rPr>
          <w:rFonts w:eastAsiaTheme="majorEastAsia"/>
          <w:lang w:val="en-GB"/>
        </w:rPr>
        <w:t xml:space="preserve"> all patients complete all planned tests. A second condition is </w:t>
      </w:r>
      <w:r w:rsidR="00261651" w:rsidRPr="00FB1A58">
        <w:rPr>
          <w:rFonts w:eastAsiaTheme="majorEastAsia"/>
          <w:lang w:val="en-GB"/>
        </w:rPr>
        <w:t>one in which</w:t>
      </w:r>
      <w:r w:rsidR="00E85ABD" w:rsidRPr="00FB1A58">
        <w:rPr>
          <w:rFonts w:eastAsiaTheme="majorEastAsia"/>
          <w:lang w:val="en-GB"/>
        </w:rPr>
        <w:t xml:space="preserve"> </w:t>
      </w:r>
      <w:r w:rsidRPr="00FB1A58">
        <w:rPr>
          <w:rFonts w:eastAsiaTheme="majorEastAsia"/>
          <w:lang w:val="en-GB"/>
        </w:rPr>
        <w:t xml:space="preserve">patients do not </w:t>
      </w:r>
      <w:r w:rsidR="00E85ABD" w:rsidRPr="00FB1A58">
        <w:rPr>
          <w:rFonts w:eastAsiaTheme="majorEastAsia"/>
          <w:lang w:val="en-GB"/>
        </w:rPr>
        <w:t xml:space="preserve">necessarily </w:t>
      </w:r>
      <w:r w:rsidRPr="00FB1A58">
        <w:rPr>
          <w:rFonts w:eastAsiaTheme="majorEastAsia"/>
          <w:lang w:val="en-GB"/>
        </w:rPr>
        <w:t>complete all planned tests (i.e.</w:t>
      </w:r>
      <w:r w:rsidR="00EA7434" w:rsidRPr="00FB1A58">
        <w:rPr>
          <w:rFonts w:eastAsiaTheme="majorEastAsia"/>
          <w:lang w:val="en-GB"/>
        </w:rPr>
        <w:t xml:space="preserve">, </w:t>
      </w:r>
      <w:r w:rsidR="00BC25D1" w:rsidRPr="00FB1A58">
        <w:rPr>
          <w:rFonts w:eastAsiaTheme="majorEastAsia"/>
          <w:lang w:val="en-GB"/>
        </w:rPr>
        <w:t>early termination</w:t>
      </w:r>
      <w:r w:rsidRPr="00FB1A58">
        <w:rPr>
          <w:rFonts w:eastAsiaTheme="majorEastAsia"/>
          <w:lang w:val="en-GB"/>
        </w:rPr>
        <w:t>).</w:t>
      </w:r>
      <w:r w:rsidR="00BC25D1" w:rsidRPr="00FB1A58">
        <w:rPr>
          <w:rFonts w:eastAsiaTheme="majorEastAsia"/>
          <w:lang w:val="en-GB"/>
        </w:rPr>
        <w:t xml:space="preserve"> </w:t>
      </w:r>
      <w:r w:rsidR="00E85ABD" w:rsidRPr="00FB1A58">
        <w:rPr>
          <w:rFonts w:eastAsiaTheme="majorEastAsia"/>
          <w:lang w:val="en-GB"/>
        </w:rPr>
        <w:t>To simulate early termination, w</w:t>
      </w:r>
      <w:r w:rsidRPr="00FB1A58">
        <w:rPr>
          <w:rFonts w:eastAsiaTheme="majorEastAsia"/>
          <w:lang w:val="en-GB"/>
        </w:rPr>
        <w:t xml:space="preserve">e </w:t>
      </w:r>
      <w:r w:rsidR="00E85ABD" w:rsidRPr="00FB1A58">
        <w:rPr>
          <w:rFonts w:eastAsiaTheme="majorEastAsia"/>
          <w:lang w:val="en-GB"/>
        </w:rPr>
        <w:t>assumed that</w:t>
      </w:r>
      <w:r w:rsidRPr="00FB1A58">
        <w:rPr>
          <w:rFonts w:eastAsiaTheme="majorEastAsia"/>
          <w:lang w:val="en-GB"/>
        </w:rPr>
        <w:t xml:space="preserve"> t</w:t>
      </w:r>
      <w:r w:rsidR="00E82CB6" w:rsidRPr="00FB1A58">
        <w:rPr>
          <w:rFonts w:eastAsiaTheme="majorEastAsia"/>
          <w:lang w:val="en-GB"/>
        </w:rPr>
        <w:t xml:space="preserve">he probability to stop data collection </w:t>
      </w:r>
      <w:r w:rsidR="00E85ABD" w:rsidRPr="00FB1A58">
        <w:rPr>
          <w:rFonts w:eastAsiaTheme="majorEastAsia"/>
          <w:lang w:val="en-GB"/>
        </w:rPr>
        <w:t xml:space="preserve">would increase </w:t>
      </w:r>
      <w:r w:rsidR="00E82CB6" w:rsidRPr="00FB1A58">
        <w:rPr>
          <w:rFonts w:eastAsiaTheme="majorEastAsia"/>
          <w:lang w:val="en-GB"/>
        </w:rPr>
        <w:t>exponentially as the number of tests increased</w:t>
      </w:r>
      <w:r w:rsidR="002206FD" w:rsidRPr="00FB1A58">
        <w:rPr>
          <w:rFonts w:eastAsiaTheme="majorEastAsia"/>
          <w:lang w:val="en-GB"/>
        </w:rPr>
        <w:t xml:space="preserve"> (Figure E1)</w:t>
      </w:r>
      <w:r w:rsidRPr="00FB1A58">
        <w:rPr>
          <w:rFonts w:eastAsiaTheme="majorEastAsia"/>
          <w:lang w:val="en-GB"/>
        </w:rPr>
        <w:t xml:space="preserve">. Thus, we assumed that </w:t>
      </w:r>
      <w:r w:rsidR="0034293C" w:rsidRPr="00FB1A58">
        <w:rPr>
          <w:rFonts w:eastAsiaTheme="majorEastAsia"/>
          <w:lang w:val="en-GB"/>
        </w:rPr>
        <w:t xml:space="preserve">9% </w:t>
      </w:r>
      <w:r w:rsidRPr="00FB1A58">
        <w:rPr>
          <w:rFonts w:eastAsiaTheme="majorEastAsia"/>
          <w:lang w:val="en-GB"/>
        </w:rPr>
        <w:t xml:space="preserve">of patients would stop participation </w:t>
      </w:r>
      <w:r w:rsidR="0034293C" w:rsidRPr="00FB1A58">
        <w:rPr>
          <w:rFonts w:eastAsiaTheme="majorEastAsia"/>
          <w:lang w:val="en-GB"/>
        </w:rPr>
        <w:t>after the first cancellation test</w:t>
      </w:r>
      <w:r w:rsidRPr="00FB1A58">
        <w:rPr>
          <w:rFonts w:eastAsiaTheme="majorEastAsia"/>
          <w:lang w:val="en-GB"/>
        </w:rPr>
        <w:t xml:space="preserve">, while </w:t>
      </w:r>
      <w:r w:rsidR="0034293C" w:rsidRPr="00FB1A58">
        <w:rPr>
          <w:rFonts w:eastAsiaTheme="majorEastAsia"/>
          <w:lang w:val="en-GB"/>
        </w:rPr>
        <w:t xml:space="preserve">67% </w:t>
      </w:r>
      <w:r w:rsidRPr="00FB1A58">
        <w:rPr>
          <w:rFonts w:eastAsiaTheme="majorEastAsia"/>
          <w:lang w:val="en-GB"/>
        </w:rPr>
        <w:t xml:space="preserve">of patients would stop participation </w:t>
      </w:r>
      <w:r w:rsidR="0034293C" w:rsidRPr="00FB1A58">
        <w:rPr>
          <w:rFonts w:eastAsiaTheme="majorEastAsia"/>
          <w:lang w:val="en-GB"/>
        </w:rPr>
        <w:t>after the 12</w:t>
      </w:r>
      <w:r w:rsidR="0034293C" w:rsidRPr="00FB1A58">
        <w:rPr>
          <w:rFonts w:eastAsiaTheme="majorEastAsia"/>
          <w:vertAlign w:val="superscript"/>
          <w:lang w:val="en-GB"/>
        </w:rPr>
        <w:t>th</w:t>
      </w:r>
      <w:r w:rsidR="0034293C" w:rsidRPr="00FB1A58">
        <w:rPr>
          <w:rFonts w:eastAsiaTheme="majorEastAsia"/>
          <w:lang w:val="en-GB"/>
        </w:rPr>
        <w:t xml:space="preserve"> cancellation task</w:t>
      </w:r>
      <w:r w:rsidR="00E82CB6" w:rsidRPr="00FB1A58">
        <w:rPr>
          <w:rFonts w:eastAsiaTheme="majorEastAsia"/>
          <w:lang w:val="en-GB"/>
        </w:rPr>
        <w:t xml:space="preserve">. </w:t>
      </w:r>
    </w:p>
    <w:p w14:paraId="2DB03B43" w14:textId="77777777" w:rsidR="00F82362" w:rsidRPr="00FB1A58" w:rsidRDefault="00F82362" w:rsidP="00F82362">
      <w:pPr>
        <w:keepNext/>
      </w:pPr>
      <w:r w:rsidRPr="00FB1A58">
        <w:rPr>
          <w:rFonts w:eastAsiaTheme="majorEastAsia"/>
          <w:noProof/>
          <w:lang w:val="en-GB"/>
        </w:rPr>
        <w:drawing>
          <wp:inline distT="0" distB="0" distL="0" distR="0" wp14:anchorId="70E959DD" wp14:editId="481FD0ED">
            <wp:extent cx="2998353" cy="19974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babilityOfStoppi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0673" cy="2005699"/>
                    </a:xfrm>
                    <a:prstGeom prst="rect">
                      <a:avLst/>
                    </a:prstGeom>
                  </pic:spPr>
                </pic:pic>
              </a:graphicData>
            </a:graphic>
          </wp:inline>
        </w:drawing>
      </w:r>
    </w:p>
    <w:p w14:paraId="7AD6DBA3" w14:textId="4114210F" w:rsidR="002206FD" w:rsidRPr="00FB1A58" w:rsidRDefault="00F82362" w:rsidP="00F82362">
      <w:pPr>
        <w:pStyle w:val="Caption"/>
        <w:rPr>
          <w:color w:val="auto"/>
          <w:lang w:val="en-US"/>
        </w:rPr>
      </w:pPr>
      <w:r w:rsidRPr="00FB1A58">
        <w:rPr>
          <w:color w:val="auto"/>
          <w:lang w:val="en-US"/>
        </w:rPr>
        <w:t>Figure E1. Percentage of patients who stop a</w:t>
      </w:r>
      <w:r w:rsidR="00F90DAB" w:rsidRPr="00FB1A58">
        <w:rPr>
          <w:color w:val="auto"/>
          <w:lang w:val="en-US"/>
        </w:rPr>
        <w:t>fter</w:t>
      </w:r>
      <w:r w:rsidRPr="00FB1A58">
        <w:rPr>
          <w:color w:val="auto"/>
          <w:lang w:val="en-US"/>
        </w:rPr>
        <w:t xml:space="preserve"> each cancellation task.</w:t>
      </w:r>
    </w:p>
    <w:p w14:paraId="3C451AC9" w14:textId="5D1886E3" w:rsidR="00651362" w:rsidRPr="00FB1A58" w:rsidRDefault="00651362" w:rsidP="00651362">
      <w:pPr>
        <w:rPr>
          <w:rFonts w:eastAsiaTheme="majorEastAsia"/>
          <w:lang w:val="en-US"/>
        </w:rPr>
      </w:pPr>
      <w:r w:rsidRPr="00FB1A58">
        <w:rPr>
          <w:rFonts w:eastAsiaTheme="majorEastAsia"/>
          <w:lang w:val="en-US"/>
        </w:rPr>
        <w:lastRenderedPageBreak/>
        <w:t>Results of this simulation are reported in the main text (Figure 6).</w:t>
      </w:r>
      <w:r w:rsidR="00C843C8" w:rsidRPr="00FB1A58">
        <w:rPr>
          <w:rFonts w:eastAsiaTheme="majorEastAsia"/>
          <w:lang w:val="en-US"/>
        </w:rPr>
        <w:t xml:space="preserve"> </w:t>
      </w:r>
      <w:r w:rsidR="00C843C8" w:rsidRPr="00FB1A58">
        <w:rPr>
          <w:lang w:val="en-GB"/>
        </w:rPr>
        <w:t>Scripts for our simulations are available on (</w:t>
      </w:r>
      <w:r w:rsidR="00CD23BC" w:rsidRPr="00FB1A58">
        <w:rPr>
          <w:lang w:val="en-GB"/>
        </w:rPr>
        <w:t>https://doi.org/10.6084/m9.figshare.14500014</w:t>
      </w:r>
      <w:r w:rsidR="00C843C8" w:rsidRPr="00FB1A58">
        <w:rPr>
          <w:lang w:val="en-GB"/>
        </w:rPr>
        <w:t>).</w:t>
      </w:r>
    </w:p>
    <w:sectPr w:rsidR="00651362" w:rsidRPr="00FB1A58" w:rsidSect="00FE0078">
      <w:headerReference w:type="default" r:id="rId14"/>
      <w:footerReference w:type="default" r:id="rId15"/>
      <w:pgSz w:w="11906" w:h="16838"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98260" w14:textId="77777777" w:rsidR="00FE4B95" w:rsidRDefault="00FE4B95">
      <w:pPr>
        <w:spacing w:before="0" w:after="0" w:line="240" w:lineRule="auto"/>
      </w:pPr>
      <w:r>
        <w:separator/>
      </w:r>
    </w:p>
  </w:endnote>
  <w:endnote w:type="continuationSeparator" w:id="0">
    <w:p w14:paraId="58F346C2" w14:textId="77777777" w:rsidR="00FE4B95" w:rsidRDefault="00FE4B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014689"/>
      <w:docPartObj>
        <w:docPartGallery w:val="Page Numbers (Bottom of Page)"/>
        <w:docPartUnique/>
      </w:docPartObj>
    </w:sdtPr>
    <w:sdtEndPr/>
    <w:sdtContent>
      <w:p w14:paraId="6C6F2964" w14:textId="77777777" w:rsidR="009F71AB" w:rsidRDefault="009F71AB" w:rsidP="00FE0078">
        <w:pPr>
          <w:pStyle w:val="Footer"/>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6745" w14:textId="77777777" w:rsidR="00FE4B95" w:rsidRDefault="00FE4B95">
      <w:pPr>
        <w:spacing w:before="0" w:after="0" w:line="240" w:lineRule="auto"/>
      </w:pPr>
      <w:r>
        <w:separator/>
      </w:r>
    </w:p>
  </w:footnote>
  <w:footnote w:type="continuationSeparator" w:id="0">
    <w:p w14:paraId="57DE6AC1" w14:textId="77777777" w:rsidR="00FE4B95" w:rsidRDefault="00FE4B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E309" w14:textId="67AAF11A" w:rsidR="009F71AB" w:rsidRPr="0084001C" w:rsidRDefault="009F71AB" w:rsidP="00FE0078">
    <w:pPr>
      <w:tabs>
        <w:tab w:val="left" w:pos="2238"/>
      </w:tabs>
      <w:jc w:val="right"/>
      <w:rPr>
        <w:rFonts w:ascii="Calibri" w:hAnsi="Calibri"/>
        <w:sz w:val="22"/>
        <w:szCs w:val="22"/>
        <w:lang w:val="en-GB" w:eastAsia="en-US"/>
      </w:rPr>
    </w:pPr>
    <w:r>
      <w:rPr>
        <w:rFonts w:ascii="Calibri" w:hAnsi="Calibri"/>
        <w:sz w:val="22"/>
        <w:szCs w:val="22"/>
        <w:lang w:val="en-GB" w:eastAsia="en-US"/>
      </w:rPr>
      <w:t xml:space="preserve">Bayesian </w:t>
    </w:r>
    <w:r w:rsidR="008057AA">
      <w:rPr>
        <w:rFonts w:ascii="Calibri" w:hAnsi="Calibri"/>
        <w:sz w:val="22"/>
        <w:szCs w:val="22"/>
        <w:lang w:val="en-GB" w:eastAsia="en-US"/>
      </w:rPr>
      <w:t>hypothesis testing</w:t>
    </w:r>
    <w:r>
      <w:rPr>
        <w:rFonts w:ascii="Calibri" w:hAnsi="Calibri"/>
        <w:sz w:val="22"/>
        <w:szCs w:val="22"/>
        <w:lang w:val="en-GB" w:eastAsia="en-US"/>
      </w:rPr>
      <w:t xml:space="preserve"> in clinical neuropsychology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2182F"/>
    <w:multiLevelType w:val="hybridMultilevel"/>
    <w:tmpl w:val="BE24E0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5B"/>
    <w:rsid w:val="00000C24"/>
    <w:rsid w:val="00001580"/>
    <w:rsid w:val="000016DA"/>
    <w:rsid w:val="00002F05"/>
    <w:rsid w:val="000072F8"/>
    <w:rsid w:val="00017A4A"/>
    <w:rsid w:val="00020862"/>
    <w:rsid w:val="000272D1"/>
    <w:rsid w:val="000329F5"/>
    <w:rsid w:val="0003402F"/>
    <w:rsid w:val="00035B0B"/>
    <w:rsid w:val="00036614"/>
    <w:rsid w:val="00043086"/>
    <w:rsid w:val="00045CBD"/>
    <w:rsid w:val="00061C14"/>
    <w:rsid w:val="00062EAF"/>
    <w:rsid w:val="0006350D"/>
    <w:rsid w:val="00063713"/>
    <w:rsid w:val="000643BC"/>
    <w:rsid w:val="00081520"/>
    <w:rsid w:val="00084740"/>
    <w:rsid w:val="000852D6"/>
    <w:rsid w:val="00087207"/>
    <w:rsid w:val="0009037E"/>
    <w:rsid w:val="00090B87"/>
    <w:rsid w:val="0009364A"/>
    <w:rsid w:val="00094E62"/>
    <w:rsid w:val="00096431"/>
    <w:rsid w:val="000A373F"/>
    <w:rsid w:val="000A3931"/>
    <w:rsid w:val="000A3E60"/>
    <w:rsid w:val="000B1D3B"/>
    <w:rsid w:val="000B3C0B"/>
    <w:rsid w:val="000B63F9"/>
    <w:rsid w:val="000C2D4D"/>
    <w:rsid w:val="000C4ADA"/>
    <w:rsid w:val="000C5D8A"/>
    <w:rsid w:val="000C6D8E"/>
    <w:rsid w:val="000D038C"/>
    <w:rsid w:val="000D0E99"/>
    <w:rsid w:val="000D1343"/>
    <w:rsid w:val="000D2933"/>
    <w:rsid w:val="000D29F1"/>
    <w:rsid w:val="000D465A"/>
    <w:rsid w:val="000D5200"/>
    <w:rsid w:val="000E21B5"/>
    <w:rsid w:val="000E702C"/>
    <w:rsid w:val="000F711D"/>
    <w:rsid w:val="00101005"/>
    <w:rsid w:val="00101AEF"/>
    <w:rsid w:val="001034B9"/>
    <w:rsid w:val="00104E0B"/>
    <w:rsid w:val="001120F8"/>
    <w:rsid w:val="00122BAC"/>
    <w:rsid w:val="00122CE1"/>
    <w:rsid w:val="00122EB8"/>
    <w:rsid w:val="00123B66"/>
    <w:rsid w:val="00126897"/>
    <w:rsid w:val="00132410"/>
    <w:rsid w:val="00134933"/>
    <w:rsid w:val="00134FD5"/>
    <w:rsid w:val="00135EE0"/>
    <w:rsid w:val="00140C6E"/>
    <w:rsid w:val="001436F1"/>
    <w:rsid w:val="00147DC0"/>
    <w:rsid w:val="00150089"/>
    <w:rsid w:val="001542E8"/>
    <w:rsid w:val="001603AF"/>
    <w:rsid w:val="001609CC"/>
    <w:rsid w:val="001625F9"/>
    <w:rsid w:val="001627B4"/>
    <w:rsid w:val="00166518"/>
    <w:rsid w:val="0017016F"/>
    <w:rsid w:val="00172DB3"/>
    <w:rsid w:val="0018498C"/>
    <w:rsid w:val="00185EA5"/>
    <w:rsid w:val="00186BA4"/>
    <w:rsid w:val="00191503"/>
    <w:rsid w:val="00192453"/>
    <w:rsid w:val="00195E65"/>
    <w:rsid w:val="00196B13"/>
    <w:rsid w:val="001A34E2"/>
    <w:rsid w:val="001A3DAD"/>
    <w:rsid w:val="001A595B"/>
    <w:rsid w:val="001A5E82"/>
    <w:rsid w:val="001B1635"/>
    <w:rsid w:val="001B201F"/>
    <w:rsid w:val="001B4974"/>
    <w:rsid w:val="001B7F4B"/>
    <w:rsid w:val="001C068B"/>
    <w:rsid w:val="001C0C00"/>
    <w:rsid w:val="001C1625"/>
    <w:rsid w:val="001C3AB4"/>
    <w:rsid w:val="001C6F4B"/>
    <w:rsid w:val="001D2F0E"/>
    <w:rsid w:val="001D3D44"/>
    <w:rsid w:val="001D4DFB"/>
    <w:rsid w:val="001D7EDA"/>
    <w:rsid w:val="001E22D1"/>
    <w:rsid w:val="001E2BBA"/>
    <w:rsid w:val="001E6BCB"/>
    <w:rsid w:val="001E740E"/>
    <w:rsid w:val="001F119A"/>
    <w:rsid w:val="001F1E94"/>
    <w:rsid w:val="001F2B51"/>
    <w:rsid w:val="001F34AB"/>
    <w:rsid w:val="00201068"/>
    <w:rsid w:val="00203349"/>
    <w:rsid w:val="002047E3"/>
    <w:rsid w:val="00207A17"/>
    <w:rsid w:val="00212B0E"/>
    <w:rsid w:val="00214362"/>
    <w:rsid w:val="0021651C"/>
    <w:rsid w:val="00216640"/>
    <w:rsid w:val="002206FD"/>
    <w:rsid w:val="00220D73"/>
    <w:rsid w:val="0022213A"/>
    <w:rsid w:val="00232791"/>
    <w:rsid w:val="00232C5C"/>
    <w:rsid w:val="00233C3A"/>
    <w:rsid w:val="002426AB"/>
    <w:rsid w:val="00243228"/>
    <w:rsid w:val="002456A6"/>
    <w:rsid w:val="00246BAA"/>
    <w:rsid w:val="00253F9F"/>
    <w:rsid w:val="002554A1"/>
    <w:rsid w:val="00260B84"/>
    <w:rsid w:val="00261651"/>
    <w:rsid w:val="00263B18"/>
    <w:rsid w:val="00273423"/>
    <w:rsid w:val="00275326"/>
    <w:rsid w:val="00277FF0"/>
    <w:rsid w:val="00280968"/>
    <w:rsid w:val="00283C3A"/>
    <w:rsid w:val="0028542C"/>
    <w:rsid w:val="002854B0"/>
    <w:rsid w:val="00287B74"/>
    <w:rsid w:val="002917BD"/>
    <w:rsid w:val="00296BC7"/>
    <w:rsid w:val="002A161B"/>
    <w:rsid w:val="002A4221"/>
    <w:rsid w:val="002A4755"/>
    <w:rsid w:val="002A7703"/>
    <w:rsid w:val="002A7CC2"/>
    <w:rsid w:val="002A7CE0"/>
    <w:rsid w:val="002B062E"/>
    <w:rsid w:val="002C1E10"/>
    <w:rsid w:val="002C47B1"/>
    <w:rsid w:val="002C64CF"/>
    <w:rsid w:val="002D2B7F"/>
    <w:rsid w:val="002D4B3F"/>
    <w:rsid w:val="002F0652"/>
    <w:rsid w:val="002F0824"/>
    <w:rsid w:val="002F0D04"/>
    <w:rsid w:val="002F785E"/>
    <w:rsid w:val="00300012"/>
    <w:rsid w:val="00300B63"/>
    <w:rsid w:val="00301DAC"/>
    <w:rsid w:val="00302AD6"/>
    <w:rsid w:val="00305A89"/>
    <w:rsid w:val="0031164C"/>
    <w:rsid w:val="0031344F"/>
    <w:rsid w:val="00333536"/>
    <w:rsid w:val="003335DC"/>
    <w:rsid w:val="003344EA"/>
    <w:rsid w:val="00334F03"/>
    <w:rsid w:val="00340EDB"/>
    <w:rsid w:val="003412AF"/>
    <w:rsid w:val="0034293C"/>
    <w:rsid w:val="00342ACB"/>
    <w:rsid w:val="00344E68"/>
    <w:rsid w:val="00344F47"/>
    <w:rsid w:val="00350FAA"/>
    <w:rsid w:val="00360F94"/>
    <w:rsid w:val="00372093"/>
    <w:rsid w:val="00374457"/>
    <w:rsid w:val="00375D2C"/>
    <w:rsid w:val="0037689E"/>
    <w:rsid w:val="00376BE9"/>
    <w:rsid w:val="00381507"/>
    <w:rsid w:val="003827D0"/>
    <w:rsid w:val="00383C51"/>
    <w:rsid w:val="0039099C"/>
    <w:rsid w:val="00391E86"/>
    <w:rsid w:val="00392703"/>
    <w:rsid w:val="003964DF"/>
    <w:rsid w:val="003A08C0"/>
    <w:rsid w:val="003A2C0D"/>
    <w:rsid w:val="003A4EEE"/>
    <w:rsid w:val="003A5A3C"/>
    <w:rsid w:val="003B5BE2"/>
    <w:rsid w:val="003C6666"/>
    <w:rsid w:val="003D03DF"/>
    <w:rsid w:val="003D05D3"/>
    <w:rsid w:val="003D2555"/>
    <w:rsid w:val="003D755D"/>
    <w:rsid w:val="003E0EE7"/>
    <w:rsid w:val="003E3288"/>
    <w:rsid w:val="003E451C"/>
    <w:rsid w:val="003F0927"/>
    <w:rsid w:val="003F6DBF"/>
    <w:rsid w:val="003F7F37"/>
    <w:rsid w:val="004000DE"/>
    <w:rsid w:val="004010F0"/>
    <w:rsid w:val="00402DCD"/>
    <w:rsid w:val="0040372E"/>
    <w:rsid w:val="00407CD1"/>
    <w:rsid w:val="00410730"/>
    <w:rsid w:val="00414951"/>
    <w:rsid w:val="00416D5A"/>
    <w:rsid w:val="00421423"/>
    <w:rsid w:val="004340C6"/>
    <w:rsid w:val="00434C01"/>
    <w:rsid w:val="004357A3"/>
    <w:rsid w:val="0043585C"/>
    <w:rsid w:val="004400AB"/>
    <w:rsid w:val="004412F4"/>
    <w:rsid w:val="0044175C"/>
    <w:rsid w:val="004417F0"/>
    <w:rsid w:val="00447AB3"/>
    <w:rsid w:val="0045567F"/>
    <w:rsid w:val="004562B9"/>
    <w:rsid w:val="00457416"/>
    <w:rsid w:val="004609BB"/>
    <w:rsid w:val="00462DD0"/>
    <w:rsid w:val="00463786"/>
    <w:rsid w:val="00463B38"/>
    <w:rsid w:val="00470D3C"/>
    <w:rsid w:val="00477C6E"/>
    <w:rsid w:val="00482622"/>
    <w:rsid w:val="00495737"/>
    <w:rsid w:val="00495FF1"/>
    <w:rsid w:val="004A4EBE"/>
    <w:rsid w:val="004B6515"/>
    <w:rsid w:val="004B7F79"/>
    <w:rsid w:val="004C3B57"/>
    <w:rsid w:val="004C566F"/>
    <w:rsid w:val="004C6ADC"/>
    <w:rsid w:val="004C757E"/>
    <w:rsid w:val="004D10B2"/>
    <w:rsid w:val="004D6240"/>
    <w:rsid w:val="004E2862"/>
    <w:rsid w:val="004E2DB3"/>
    <w:rsid w:val="004E3939"/>
    <w:rsid w:val="004E482B"/>
    <w:rsid w:val="004F02A7"/>
    <w:rsid w:val="004F1428"/>
    <w:rsid w:val="004F4CCA"/>
    <w:rsid w:val="004F6D95"/>
    <w:rsid w:val="00502E13"/>
    <w:rsid w:val="00502EAD"/>
    <w:rsid w:val="00503B05"/>
    <w:rsid w:val="00506E99"/>
    <w:rsid w:val="00510192"/>
    <w:rsid w:val="00510B3D"/>
    <w:rsid w:val="00510E31"/>
    <w:rsid w:val="005115A9"/>
    <w:rsid w:val="0051443A"/>
    <w:rsid w:val="005203C3"/>
    <w:rsid w:val="00521EBB"/>
    <w:rsid w:val="00530651"/>
    <w:rsid w:val="00530F5F"/>
    <w:rsid w:val="00542C15"/>
    <w:rsid w:val="00544176"/>
    <w:rsid w:val="00546DF2"/>
    <w:rsid w:val="0055216C"/>
    <w:rsid w:val="00552A95"/>
    <w:rsid w:val="00555036"/>
    <w:rsid w:val="00557A57"/>
    <w:rsid w:val="00560B8E"/>
    <w:rsid w:val="0056325C"/>
    <w:rsid w:val="0057213B"/>
    <w:rsid w:val="00572205"/>
    <w:rsid w:val="0057221F"/>
    <w:rsid w:val="005762B3"/>
    <w:rsid w:val="00577829"/>
    <w:rsid w:val="005836D7"/>
    <w:rsid w:val="00591A4C"/>
    <w:rsid w:val="00591C6C"/>
    <w:rsid w:val="00591F8C"/>
    <w:rsid w:val="005A7565"/>
    <w:rsid w:val="005B1B9F"/>
    <w:rsid w:val="005C4024"/>
    <w:rsid w:val="005C6F04"/>
    <w:rsid w:val="005D10CD"/>
    <w:rsid w:val="005D1BA7"/>
    <w:rsid w:val="005D2426"/>
    <w:rsid w:val="005D3553"/>
    <w:rsid w:val="005D49CC"/>
    <w:rsid w:val="005E42D2"/>
    <w:rsid w:val="005E4912"/>
    <w:rsid w:val="005F2AD9"/>
    <w:rsid w:val="005F3564"/>
    <w:rsid w:val="005F71B5"/>
    <w:rsid w:val="005F7CEE"/>
    <w:rsid w:val="00603F90"/>
    <w:rsid w:val="00606435"/>
    <w:rsid w:val="006067A6"/>
    <w:rsid w:val="00607158"/>
    <w:rsid w:val="006126DF"/>
    <w:rsid w:val="0061450E"/>
    <w:rsid w:val="00614944"/>
    <w:rsid w:val="006163DA"/>
    <w:rsid w:val="00620434"/>
    <w:rsid w:val="00630273"/>
    <w:rsid w:val="0063123D"/>
    <w:rsid w:val="00634FFB"/>
    <w:rsid w:val="006352E1"/>
    <w:rsid w:val="00640100"/>
    <w:rsid w:val="00642B01"/>
    <w:rsid w:val="00644B2B"/>
    <w:rsid w:val="00651362"/>
    <w:rsid w:val="00651D1B"/>
    <w:rsid w:val="006542CB"/>
    <w:rsid w:val="0065488F"/>
    <w:rsid w:val="00660D0C"/>
    <w:rsid w:val="006645A6"/>
    <w:rsid w:val="00672584"/>
    <w:rsid w:val="0067293B"/>
    <w:rsid w:val="00673138"/>
    <w:rsid w:val="00673E0C"/>
    <w:rsid w:val="00676470"/>
    <w:rsid w:val="00677D6D"/>
    <w:rsid w:val="006827C3"/>
    <w:rsid w:val="00684FB8"/>
    <w:rsid w:val="0068787A"/>
    <w:rsid w:val="00691FF4"/>
    <w:rsid w:val="00693A51"/>
    <w:rsid w:val="006952AE"/>
    <w:rsid w:val="00695739"/>
    <w:rsid w:val="006A0306"/>
    <w:rsid w:val="006A0818"/>
    <w:rsid w:val="006A4104"/>
    <w:rsid w:val="006B48D4"/>
    <w:rsid w:val="006B627C"/>
    <w:rsid w:val="006B6D39"/>
    <w:rsid w:val="006B70D5"/>
    <w:rsid w:val="006C1B9B"/>
    <w:rsid w:val="006C4B0A"/>
    <w:rsid w:val="006C5464"/>
    <w:rsid w:val="006C7A8D"/>
    <w:rsid w:val="006D0B07"/>
    <w:rsid w:val="006D0E38"/>
    <w:rsid w:val="006E6CBC"/>
    <w:rsid w:val="006E6FEA"/>
    <w:rsid w:val="006E71C9"/>
    <w:rsid w:val="006F5039"/>
    <w:rsid w:val="00700100"/>
    <w:rsid w:val="00700D1C"/>
    <w:rsid w:val="00701264"/>
    <w:rsid w:val="0070143D"/>
    <w:rsid w:val="00703F3A"/>
    <w:rsid w:val="00713B7E"/>
    <w:rsid w:val="007150FA"/>
    <w:rsid w:val="007166A0"/>
    <w:rsid w:val="00720AF8"/>
    <w:rsid w:val="00721838"/>
    <w:rsid w:val="00721976"/>
    <w:rsid w:val="007223E7"/>
    <w:rsid w:val="007228E0"/>
    <w:rsid w:val="00724D89"/>
    <w:rsid w:val="00732301"/>
    <w:rsid w:val="00732A96"/>
    <w:rsid w:val="0073477E"/>
    <w:rsid w:val="0074697E"/>
    <w:rsid w:val="00751862"/>
    <w:rsid w:val="00752753"/>
    <w:rsid w:val="00755C31"/>
    <w:rsid w:val="007565E8"/>
    <w:rsid w:val="00756AA4"/>
    <w:rsid w:val="00760620"/>
    <w:rsid w:val="007634BD"/>
    <w:rsid w:val="00767602"/>
    <w:rsid w:val="00767F61"/>
    <w:rsid w:val="00772077"/>
    <w:rsid w:val="00774235"/>
    <w:rsid w:val="00777836"/>
    <w:rsid w:val="0077792C"/>
    <w:rsid w:val="00777C78"/>
    <w:rsid w:val="00784BC6"/>
    <w:rsid w:val="00784E38"/>
    <w:rsid w:val="00793D9D"/>
    <w:rsid w:val="00794785"/>
    <w:rsid w:val="00796974"/>
    <w:rsid w:val="007A4F1D"/>
    <w:rsid w:val="007C3599"/>
    <w:rsid w:val="007C3963"/>
    <w:rsid w:val="007D295A"/>
    <w:rsid w:val="007D4568"/>
    <w:rsid w:val="007E1C56"/>
    <w:rsid w:val="007E38C1"/>
    <w:rsid w:val="007E6E15"/>
    <w:rsid w:val="007F2C57"/>
    <w:rsid w:val="00803FE2"/>
    <w:rsid w:val="008057AA"/>
    <w:rsid w:val="008057B7"/>
    <w:rsid w:val="0081115B"/>
    <w:rsid w:val="008118F5"/>
    <w:rsid w:val="00823779"/>
    <w:rsid w:val="00824C1C"/>
    <w:rsid w:val="008254DC"/>
    <w:rsid w:val="00831B25"/>
    <w:rsid w:val="00833ADB"/>
    <w:rsid w:val="0084683F"/>
    <w:rsid w:val="0085595D"/>
    <w:rsid w:val="00855E4B"/>
    <w:rsid w:val="0085716E"/>
    <w:rsid w:val="00860882"/>
    <w:rsid w:val="00861281"/>
    <w:rsid w:val="00864A96"/>
    <w:rsid w:val="00872576"/>
    <w:rsid w:val="00873BD1"/>
    <w:rsid w:val="008741E1"/>
    <w:rsid w:val="008811BB"/>
    <w:rsid w:val="00884353"/>
    <w:rsid w:val="008860CB"/>
    <w:rsid w:val="008920A9"/>
    <w:rsid w:val="00897BD7"/>
    <w:rsid w:val="008A0E61"/>
    <w:rsid w:val="008A105E"/>
    <w:rsid w:val="008A1D3F"/>
    <w:rsid w:val="008A30A4"/>
    <w:rsid w:val="008B1900"/>
    <w:rsid w:val="008B300B"/>
    <w:rsid w:val="008B39D6"/>
    <w:rsid w:val="008B78CC"/>
    <w:rsid w:val="008B7FAB"/>
    <w:rsid w:val="008C0AB5"/>
    <w:rsid w:val="008C353E"/>
    <w:rsid w:val="008C62D1"/>
    <w:rsid w:val="008D4B24"/>
    <w:rsid w:val="008E18B8"/>
    <w:rsid w:val="008E4ABE"/>
    <w:rsid w:val="008E6B38"/>
    <w:rsid w:val="008E6CD3"/>
    <w:rsid w:val="008E73D6"/>
    <w:rsid w:val="008F33C3"/>
    <w:rsid w:val="008F54F4"/>
    <w:rsid w:val="008F5FB3"/>
    <w:rsid w:val="008F72F6"/>
    <w:rsid w:val="00912032"/>
    <w:rsid w:val="00915049"/>
    <w:rsid w:val="00924485"/>
    <w:rsid w:val="009266E0"/>
    <w:rsid w:val="00926A20"/>
    <w:rsid w:val="00932D3D"/>
    <w:rsid w:val="0093504A"/>
    <w:rsid w:val="00935365"/>
    <w:rsid w:val="009354D9"/>
    <w:rsid w:val="0094748A"/>
    <w:rsid w:val="00961977"/>
    <w:rsid w:val="00961FB1"/>
    <w:rsid w:val="00962012"/>
    <w:rsid w:val="00963C38"/>
    <w:rsid w:val="009645DC"/>
    <w:rsid w:val="0097069A"/>
    <w:rsid w:val="009721A9"/>
    <w:rsid w:val="00972D4E"/>
    <w:rsid w:val="00974816"/>
    <w:rsid w:val="00983BC7"/>
    <w:rsid w:val="009870B9"/>
    <w:rsid w:val="009872EE"/>
    <w:rsid w:val="00991EF7"/>
    <w:rsid w:val="0099356B"/>
    <w:rsid w:val="00997646"/>
    <w:rsid w:val="009A264E"/>
    <w:rsid w:val="009A4A93"/>
    <w:rsid w:val="009B022F"/>
    <w:rsid w:val="009B18EE"/>
    <w:rsid w:val="009B4A0A"/>
    <w:rsid w:val="009B757A"/>
    <w:rsid w:val="009B7ADA"/>
    <w:rsid w:val="009C4F6D"/>
    <w:rsid w:val="009D0951"/>
    <w:rsid w:val="009D31DD"/>
    <w:rsid w:val="009E0177"/>
    <w:rsid w:val="009E04B8"/>
    <w:rsid w:val="009E0D3D"/>
    <w:rsid w:val="009E54A0"/>
    <w:rsid w:val="009F0B0D"/>
    <w:rsid w:val="009F71AB"/>
    <w:rsid w:val="009F7E10"/>
    <w:rsid w:val="00A01462"/>
    <w:rsid w:val="00A014C3"/>
    <w:rsid w:val="00A02D6C"/>
    <w:rsid w:val="00A10D05"/>
    <w:rsid w:val="00A147DE"/>
    <w:rsid w:val="00A239F9"/>
    <w:rsid w:val="00A3223C"/>
    <w:rsid w:val="00A32B4E"/>
    <w:rsid w:val="00A542AD"/>
    <w:rsid w:val="00A546BA"/>
    <w:rsid w:val="00A62A85"/>
    <w:rsid w:val="00A655A8"/>
    <w:rsid w:val="00A667DC"/>
    <w:rsid w:val="00A714F6"/>
    <w:rsid w:val="00A74248"/>
    <w:rsid w:val="00A75B42"/>
    <w:rsid w:val="00A7692F"/>
    <w:rsid w:val="00A801A0"/>
    <w:rsid w:val="00A83235"/>
    <w:rsid w:val="00A835A8"/>
    <w:rsid w:val="00A83D97"/>
    <w:rsid w:val="00A86998"/>
    <w:rsid w:val="00A93B68"/>
    <w:rsid w:val="00A95D42"/>
    <w:rsid w:val="00A96302"/>
    <w:rsid w:val="00A96CC2"/>
    <w:rsid w:val="00A97CF8"/>
    <w:rsid w:val="00AA02CB"/>
    <w:rsid w:val="00AB25BC"/>
    <w:rsid w:val="00AB3E3F"/>
    <w:rsid w:val="00AC3883"/>
    <w:rsid w:val="00AD66EA"/>
    <w:rsid w:val="00AD7BD9"/>
    <w:rsid w:val="00AE0ED8"/>
    <w:rsid w:val="00AE1B8A"/>
    <w:rsid w:val="00B10ABF"/>
    <w:rsid w:val="00B119B8"/>
    <w:rsid w:val="00B14970"/>
    <w:rsid w:val="00B21703"/>
    <w:rsid w:val="00B333AD"/>
    <w:rsid w:val="00B34C1D"/>
    <w:rsid w:val="00B369F3"/>
    <w:rsid w:val="00B4565C"/>
    <w:rsid w:val="00B47263"/>
    <w:rsid w:val="00B500E9"/>
    <w:rsid w:val="00B50E2B"/>
    <w:rsid w:val="00B542DF"/>
    <w:rsid w:val="00B55771"/>
    <w:rsid w:val="00B64461"/>
    <w:rsid w:val="00B64A42"/>
    <w:rsid w:val="00B65975"/>
    <w:rsid w:val="00B71F5E"/>
    <w:rsid w:val="00B72D2E"/>
    <w:rsid w:val="00B76C86"/>
    <w:rsid w:val="00B776B5"/>
    <w:rsid w:val="00B81436"/>
    <w:rsid w:val="00B819F9"/>
    <w:rsid w:val="00B83377"/>
    <w:rsid w:val="00B834DE"/>
    <w:rsid w:val="00B84AEB"/>
    <w:rsid w:val="00B87A81"/>
    <w:rsid w:val="00B91392"/>
    <w:rsid w:val="00B93B5D"/>
    <w:rsid w:val="00B95B55"/>
    <w:rsid w:val="00B96070"/>
    <w:rsid w:val="00BA252E"/>
    <w:rsid w:val="00BA2A8A"/>
    <w:rsid w:val="00BA3EAC"/>
    <w:rsid w:val="00BA42A6"/>
    <w:rsid w:val="00BA42AB"/>
    <w:rsid w:val="00BB066D"/>
    <w:rsid w:val="00BB06EA"/>
    <w:rsid w:val="00BB2B9A"/>
    <w:rsid w:val="00BB5343"/>
    <w:rsid w:val="00BB7DD9"/>
    <w:rsid w:val="00BC0E5E"/>
    <w:rsid w:val="00BC25D1"/>
    <w:rsid w:val="00BC2774"/>
    <w:rsid w:val="00BC3653"/>
    <w:rsid w:val="00BC495C"/>
    <w:rsid w:val="00BC6D68"/>
    <w:rsid w:val="00BC77DE"/>
    <w:rsid w:val="00BD2E9F"/>
    <w:rsid w:val="00BD39AA"/>
    <w:rsid w:val="00BD3AFF"/>
    <w:rsid w:val="00BD4A60"/>
    <w:rsid w:val="00BD5A3F"/>
    <w:rsid w:val="00BF0EC5"/>
    <w:rsid w:val="00BF1EFB"/>
    <w:rsid w:val="00BF4969"/>
    <w:rsid w:val="00BF5287"/>
    <w:rsid w:val="00C129BF"/>
    <w:rsid w:val="00C14F9B"/>
    <w:rsid w:val="00C16264"/>
    <w:rsid w:val="00C2285F"/>
    <w:rsid w:val="00C23EC0"/>
    <w:rsid w:val="00C25036"/>
    <w:rsid w:val="00C313C4"/>
    <w:rsid w:val="00C326FC"/>
    <w:rsid w:val="00C33D53"/>
    <w:rsid w:val="00C408E8"/>
    <w:rsid w:val="00C41508"/>
    <w:rsid w:val="00C4484A"/>
    <w:rsid w:val="00C45258"/>
    <w:rsid w:val="00C454DB"/>
    <w:rsid w:val="00C462C3"/>
    <w:rsid w:val="00C46C4F"/>
    <w:rsid w:val="00C53CF4"/>
    <w:rsid w:val="00C54AC2"/>
    <w:rsid w:val="00C55305"/>
    <w:rsid w:val="00C55952"/>
    <w:rsid w:val="00C56BB1"/>
    <w:rsid w:val="00C615B5"/>
    <w:rsid w:val="00C648A8"/>
    <w:rsid w:val="00C648E8"/>
    <w:rsid w:val="00C72DA9"/>
    <w:rsid w:val="00C76FF6"/>
    <w:rsid w:val="00C77FE8"/>
    <w:rsid w:val="00C843C8"/>
    <w:rsid w:val="00C90526"/>
    <w:rsid w:val="00CA30BE"/>
    <w:rsid w:val="00CA54CB"/>
    <w:rsid w:val="00CA7B9A"/>
    <w:rsid w:val="00CB60F3"/>
    <w:rsid w:val="00CC567D"/>
    <w:rsid w:val="00CD23BC"/>
    <w:rsid w:val="00CD58D8"/>
    <w:rsid w:val="00CE246D"/>
    <w:rsid w:val="00CE31FB"/>
    <w:rsid w:val="00CE3411"/>
    <w:rsid w:val="00CE7236"/>
    <w:rsid w:val="00CF2877"/>
    <w:rsid w:val="00CF37E5"/>
    <w:rsid w:val="00CF3E95"/>
    <w:rsid w:val="00CF5675"/>
    <w:rsid w:val="00CF6396"/>
    <w:rsid w:val="00D04DE6"/>
    <w:rsid w:val="00D058A3"/>
    <w:rsid w:val="00D11180"/>
    <w:rsid w:val="00D124BF"/>
    <w:rsid w:val="00D14207"/>
    <w:rsid w:val="00D2521C"/>
    <w:rsid w:val="00D30AB6"/>
    <w:rsid w:val="00D31E33"/>
    <w:rsid w:val="00D32A39"/>
    <w:rsid w:val="00D33B78"/>
    <w:rsid w:val="00D50590"/>
    <w:rsid w:val="00D50A70"/>
    <w:rsid w:val="00D5193A"/>
    <w:rsid w:val="00D531B1"/>
    <w:rsid w:val="00D5490A"/>
    <w:rsid w:val="00D54E95"/>
    <w:rsid w:val="00D6101B"/>
    <w:rsid w:val="00D67AB6"/>
    <w:rsid w:val="00D70FC9"/>
    <w:rsid w:val="00D7115B"/>
    <w:rsid w:val="00D86559"/>
    <w:rsid w:val="00D8760D"/>
    <w:rsid w:val="00D90BC8"/>
    <w:rsid w:val="00D91997"/>
    <w:rsid w:val="00D9226A"/>
    <w:rsid w:val="00D94B66"/>
    <w:rsid w:val="00D96771"/>
    <w:rsid w:val="00DA083C"/>
    <w:rsid w:val="00DA0CB9"/>
    <w:rsid w:val="00DA43D9"/>
    <w:rsid w:val="00DA5190"/>
    <w:rsid w:val="00DA58D2"/>
    <w:rsid w:val="00DB0BD9"/>
    <w:rsid w:val="00DB2734"/>
    <w:rsid w:val="00DB2E53"/>
    <w:rsid w:val="00DB60A0"/>
    <w:rsid w:val="00DC5CC3"/>
    <w:rsid w:val="00DC7C8A"/>
    <w:rsid w:val="00DD193A"/>
    <w:rsid w:val="00DE1262"/>
    <w:rsid w:val="00DE2160"/>
    <w:rsid w:val="00DE64B1"/>
    <w:rsid w:val="00DF3367"/>
    <w:rsid w:val="00DF45C7"/>
    <w:rsid w:val="00DF6B11"/>
    <w:rsid w:val="00DF7664"/>
    <w:rsid w:val="00E02EDD"/>
    <w:rsid w:val="00E037FD"/>
    <w:rsid w:val="00E040D2"/>
    <w:rsid w:val="00E054E2"/>
    <w:rsid w:val="00E1346B"/>
    <w:rsid w:val="00E1463E"/>
    <w:rsid w:val="00E23A55"/>
    <w:rsid w:val="00E276AD"/>
    <w:rsid w:val="00E32606"/>
    <w:rsid w:val="00E32E83"/>
    <w:rsid w:val="00E32F2F"/>
    <w:rsid w:val="00E33C67"/>
    <w:rsid w:val="00E35644"/>
    <w:rsid w:val="00E36A73"/>
    <w:rsid w:val="00E4076C"/>
    <w:rsid w:val="00E44C8C"/>
    <w:rsid w:val="00E4575D"/>
    <w:rsid w:val="00E56A3C"/>
    <w:rsid w:val="00E67B60"/>
    <w:rsid w:val="00E709C1"/>
    <w:rsid w:val="00E70E82"/>
    <w:rsid w:val="00E737DB"/>
    <w:rsid w:val="00E82A80"/>
    <w:rsid w:val="00E82CB6"/>
    <w:rsid w:val="00E85ABD"/>
    <w:rsid w:val="00E90B75"/>
    <w:rsid w:val="00E90D2B"/>
    <w:rsid w:val="00E90DFD"/>
    <w:rsid w:val="00E93FFF"/>
    <w:rsid w:val="00E96B08"/>
    <w:rsid w:val="00EA2112"/>
    <w:rsid w:val="00EA47AD"/>
    <w:rsid w:val="00EA4B88"/>
    <w:rsid w:val="00EA7434"/>
    <w:rsid w:val="00EB3C26"/>
    <w:rsid w:val="00EB3EF4"/>
    <w:rsid w:val="00EB72DF"/>
    <w:rsid w:val="00EB7D56"/>
    <w:rsid w:val="00EC1286"/>
    <w:rsid w:val="00EC39A2"/>
    <w:rsid w:val="00ED01E3"/>
    <w:rsid w:val="00ED289C"/>
    <w:rsid w:val="00ED4C5D"/>
    <w:rsid w:val="00ED50E2"/>
    <w:rsid w:val="00ED5203"/>
    <w:rsid w:val="00ED6943"/>
    <w:rsid w:val="00ED78D0"/>
    <w:rsid w:val="00EE0B7F"/>
    <w:rsid w:val="00EE1666"/>
    <w:rsid w:val="00EE4980"/>
    <w:rsid w:val="00EE73EE"/>
    <w:rsid w:val="00EF39C5"/>
    <w:rsid w:val="00EF4802"/>
    <w:rsid w:val="00EF4A02"/>
    <w:rsid w:val="00EF5137"/>
    <w:rsid w:val="00F04204"/>
    <w:rsid w:val="00F07A15"/>
    <w:rsid w:val="00F15288"/>
    <w:rsid w:val="00F16759"/>
    <w:rsid w:val="00F205EB"/>
    <w:rsid w:val="00F25E0D"/>
    <w:rsid w:val="00F25FB5"/>
    <w:rsid w:val="00F31BCC"/>
    <w:rsid w:val="00F35A65"/>
    <w:rsid w:val="00F40B46"/>
    <w:rsid w:val="00F41BAD"/>
    <w:rsid w:val="00F452EA"/>
    <w:rsid w:val="00F47030"/>
    <w:rsid w:val="00F64C81"/>
    <w:rsid w:val="00F71409"/>
    <w:rsid w:val="00F811B4"/>
    <w:rsid w:val="00F82362"/>
    <w:rsid w:val="00F90DAB"/>
    <w:rsid w:val="00F92A44"/>
    <w:rsid w:val="00F971DE"/>
    <w:rsid w:val="00FA42CC"/>
    <w:rsid w:val="00FA6DE1"/>
    <w:rsid w:val="00FA721C"/>
    <w:rsid w:val="00FB1A58"/>
    <w:rsid w:val="00FB2D16"/>
    <w:rsid w:val="00FB4699"/>
    <w:rsid w:val="00FB67FF"/>
    <w:rsid w:val="00FC0B3F"/>
    <w:rsid w:val="00FC3EB0"/>
    <w:rsid w:val="00FC4961"/>
    <w:rsid w:val="00FD030A"/>
    <w:rsid w:val="00FD35D8"/>
    <w:rsid w:val="00FD3EF6"/>
    <w:rsid w:val="00FD5332"/>
    <w:rsid w:val="00FE0078"/>
    <w:rsid w:val="00FE05C6"/>
    <w:rsid w:val="00FE0E71"/>
    <w:rsid w:val="00FE4B95"/>
    <w:rsid w:val="00FE5D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0845"/>
  <w15:chartTrackingRefBased/>
  <w15:docId w15:val="{D9B80037-FF23-4504-AA46-38F1A4D4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B0D"/>
    <w:pPr>
      <w:spacing w:before="120" w:after="120" w:line="360" w:lineRule="auto"/>
      <w:jc w:val="both"/>
    </w:pPr>
    <w:rPr>
      <w:rFonts w:eastAsia="Times New Roman" w:cs="Times New Roman"/>
      <w:sz w:val="20"/>
      <w:szCs w:val="20"/>
      <w:lang w:val="nl-NL" w:eastAsia="nl-NL"/>
    </w:rPr>
  </w:style>
  <w:style w:type="paragraph" w:styleId="Heading1">
    <w:name w:val="heading 1"/>
    <w:basedOn w:val="Normal"/>
    <w:next w:val="Normal"/>
    <w:link w:val="Heading1Char"/>
    <w:uiPriority w:val="9"/>
    <w:qFormat/>
    <w:rsid w:val="00CF3E95"/>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A721C"/>
    <w:pPr>
      <w:keepNext/>
      <w:keepLines/>
      <w:spacing w:before="40" w:after="0"/>
      <w:outlineLvl w:val="1"/>
    </w:pPr>
    <w:rPr>
      <w:rFonts w:asciiTheme="majorHAnsi" w:eastAsiaTheme="majorEastAsia" w:hAnsiTheme="majorHAnsi" w:cstheme="majorBidi"/>
      <w:color w:val="4472C4" w:themeColor="accent1"/>
      <w:sz w:val="26"/>
      <w:szCs w:val="26"/>
      <w:u w:val="single"/>
    </w:rPr>
  </w:style>
  <w:style w:type="paragraph" w:styleId="Heading3">
    <w:name w:val="heading 3"/>
    <w:basedOn w:val="Normal"/>
    <w:next w:val="Normal"/>
    <w:link w:val="Heading3Char"/>
    <w:uiPriority w:val="9"/>
    <w:unhideWhenUsed/>
    <w:qFormat/>
    <w:rsid w:val="00BA42AB"/>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D32A39"/>
    <w:pPr>
      <w:keepNext/>
      <w:keepLines/>
      <w:spacing w:before="40" w:after="0"/>
      <w:outlineLvl w:val="3"/>
    </w:pPr>
    <w:rPr>
      <w:rFonts w:asciiTheme="majorHAnsi" w:eastAsiaTheme="majorEastAsia" w:hAnsiTheme="majorHAnsi" w:cstheme="majorBidi"/>
      <w:i/>
      <w:iCs/>
      <w:color w:val="3B3838"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E95"/>
    <w:rPr>
      <w:rFonts w:asciiTheme="majorHAnsi" w:eastAsiaTheme="majorEastAsia" w:hAnsiTheme="majorHAnsi" w:cstheme="majorBidi"/>
      <w:b/>
      <w:color w:val="2F5496" w:themeColor="accent1" w:themeShade="BF"/>
      <w:sz w:val="28"/>
      <w:szCs w:val="32"/>
      <w:lang w:val="nl-NL" w:eastAsia="nl-NL"/>
    </w:rPr>
  </w:style>
  <w:style w:type="paragraph" w:styleId="Footer">
    <w:name w:val="footer"/>
    <w:basedOn w:val="Normal"/>
    <w:link w:val="FooterChar"/>
    <w:uiPriority w:val="99"/>
    <w:unhideWhenUsed/>
    <w:rsid w:val="009F0B0D"/>
    <w:pPr>
      <w:tabs>
        <w:tab w:val="center" w:pos="4536"/>
        <w:tab w:val="right" w:pos="9072"/>
      </w:tabs>
      <w:spacing w:line="240" w:lineRule="auto"/>
    </w:pPr>
  </w:style>
  <w:style w:type="character" w:customStyle="1" w:styleId="FooterChar">
    <w:name w:val="Footer Char"/>
    <w:basedOn w:val="DefaultParagraphFont"/>
    <w:link w:val="Footer"/>
    <w:uiPriority w:val="99"/>
    <w:rsid w:val="009F0B0D"/>
    <w:rPr>
      <w:rFonts w:eastAsia="Times New Roman" w:cs="Times New Roman"/>
      <w:sz w:val="20"/>
      <w:szCs w:val="20"/>
      <w:lang w:val="nl-NL" w:eastAsia="nl-NL"/>
    </w:rPr>
  </w:style>
  <w:style w:type="paragraph" w:styleId="Caption">
    <w:name w:val="caption"/>
    <w:basedOn w:val="Normal"/>
    <w:next w:val="Normal"/>
    <w:uiPriority w:val="35"/>
    <w:unhideWhenUsed/>
    <w:qFormat/>
    <w:rsid w:val="009F0B0D"/>
    <w:pPr>
      <w:spacing w:before="0"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FA721C"/>
    <w:rPr>
      <w:rFonts w:asciiTheme="majorHAnsi" w:eastAsiaTheme="majorEastAsia" w:hAnsiTheme="majorHAnsi" w:cstheme="majorBidi"/>
      <w:color w:val="4472C4" w:themeColor="accent1"/>
      <w:sz w:val="26"/>
      <w:szCs w:val="26"/>
      <w:u w:val="single"/>
      <w:lang w:val="nl-NL" w:eastAsia="nl-NL"/>
    </w:rPr>
  </w:style>
  <w:style w:type="character" w:customStyle="1" w:styleId="Heading3Char">
    <w:name w:val="Heading 3 Char"/>
    <w:basedOn w:val="DefaultParagraphFont"/>
    <w:link w:val="Heading3"/>
    <w:uiPriority w:val="9"/>
    <w:rsid w:val="00BA42AB"/>
    <w:rPr>
      <w:rFonts w:asciiTheme="majorHAnsi" w:eastAsiaTheme="majorEastAsia" w:hAnsiTheme="majorHAnsi" w:cstheme="majorBidi"/>
      <w:b/>
      <w:color w:val="1F3763" w:themeColor="accent1" w:themeShade="7F"/>
      <w:sz w:val="24"/>
      <w:szCs w:val="24"/>
      <w:lang w:val="nl-NL" w:eastAsia="nl-NL"/>
    </w:rPr>
  </w:style>
  <w:style w:type="character" w:styleId="CommentReference">
    <w:name w:val="annotation reference"/>
    <w:basedOn w:val="DefaultParagraphFont"/>
    <w:uiPriority w:val="99"/>
    <w:semiHidden/>
    <w:unhideWhenUsed/>
    <w:rsid w:val="00A83D97"/>
    <w:rPr>
      <w:sz w:val="16"/>
      <w:szCs w:val="16"/>
    </w:rPr>
  </w:style>
  <w:style w:type="paragraph" w:styleId="CommentText">
    <w:name w:val="annotation text"/>
    <w:basedOn w:val="Normal"/>
    <w:link w:val="CommentTextChar"/>
    <w:uiPriority w:val="99"/>
    <w:semiHidden/>
    <w:unhideWhenUsed/>
    <w:rsid w:val="00A83D97"/>
    <w:pPr>
      <w:spacing w:line="240" w:lineRule="auto"/>
    </w:pPr>
  </w:style>
  <w:style w:type="character" w:customStyle="1" w:styleId="CommentTextChar">
    <w:name w:val="Comment Text Char"/>
    <w:basedOn w:val="DefaultParagraphFont"/>
    <w:link w:val="CommentText"/>
    <w:uiPriority w:val="99"/>
    <w:semiHidden/>
    <w:rsid w:val="00A83D97"/>
    <w:rPr>
      <w:rFonts w:eastAsia="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A83D97"/>
    <w:rPr>
      <w:b/>
      <w:bCs/>
    </w:rPr>
  </w:style>
  <w:style w:type="character" w:customStyle="1" w:styleId="CommentSubjectChar">
    <w:name w:val="Comment Subject Char"/>
    <w:basedOn w:val="CommentTextChar"/>
    <w:link w:val="CommentSubject"/>
    <w:uiPriority w:val="99"/>
    <w:semiHidden/>
    <w:rsid w:val="00A83D97"/>
    <w:rPr>
      <w:rFonts w:eastAsia="Times New Roman" w:cs="Times New Roman"/>
      <w:b/>
      <w:bCs/>
      <w:sz w:val="20"/>
      <w:szCs w:val="20"/>
      <w:lang w:val="nl-NL" w:eastAsia="nl-NL"/>
    </w:rPr>
  </w:style>
  <w:style w:type="paragraph" w:styleId="BalloonText">
    <w:name w:val="Balloon Text"/>
    <w:basedOn w:val="Normal"/>
    <w:link w:val="BalloonTextChar"/>
    <w:uiPriority w:val="99"/>
    <w:semiHidden/>
    <w:unhideWhenUsed/>
    <w:rsid w:val="00A83D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D97"/>
    <w:rPr>
      <w:rFonts w:ascii="Segoe UI" w:eastAsia="Times New Roman" w:hAnsi="Segoe UI" w:cs="Segoe UI"/>
      <w:sz w:val="18"/>
      <w:szCs w:val="18"/>
      <w:lang w:val="nl-NL" w:eastAsia="nl-NL"/>
    </w:rPr>
  </w:style>
  <w:style w:type="character" w:customStyle="1" w:styleId="Heading4Char">
    <w:name w:val="Heading 4 Char"/>
    <w:basedOn w:val="DefaultParagraphFont"/>
    <w:link w:val="Heading4"/>
    <w:uiPriority w:val="9"/>
    <w:rsid w:val="00D32A39"/>
    <w:rPr>
      <w:rFonts w:asciiTheme="majorHAnsi" w:eastAsiaTheme="majorEastAsia" w:hAnsiTheme="majorHAnsi" w:cstheme="majorBidi"/>
      <w:i/>
      <w:iCs/>
      <w:color w:val="3B3838" w:themeColor="background2" w:themeShade="40"/>
      <w:sz w:val="20"/>
      <w:szCs w:val="20"/>
      <w:lang w:val="nl-NL" w:eastAsia="nl-NL"/>
    </w:rPr>
  </w:style>
  <w:style w:type="paragraph" w:styleId="ListParagraph">
    <w:name w:val="List Paragraph"/>
    <w:basedOn w:val="Normal"/>
    <w:uiPriority w:val="34"/>
    <w:qFormat/>
    <w:rsid w:val="00732301"/>
    <w:pPr>
      <w:ind w:left="720"/>
      <w:contextualSpacing/>
    </w:pPr>
  </w:style>
  <w:style w:type="paragraph" w:styleId="NormalWeb">
    <w:name w:val="Normal (Web)"/>
    <w:basedOn w:val="Normal"/>
    <w:uiPriority w:val="99"/>
    <w:semiHidden/>
    <w:unhideWhenUsed/>
    <w:rsid w:val="00C615B5"/>
    <w:pPr>
      <w:spacing w:before="100" w:beforeAutospacing="1" w:after="100" w:afterAutospacing="1" w:line="240" w:lineRule="auto"/>
      <w:jc w:val="left"/>
    </w:pPr>
    <w:rPr>
      <w:rFonts w:ascii="Times New Roman" w:eastAsiaTheme="minorEastAsia" w:hAnsi="Times New Roman"/>
      <w:sz w:val="24"/>
      <w:szCs w:val="24"/>
      <w:lang w:val="nl-BE" w:eastAsia="nl-BE"/>
    </w:rPr>
  </w:style>
  <w:style w:type="table" w:styleId="GridTable1Light-Accent1">
    <w:name w:val="Grid Table 1 Light Accent 1"/>
    <w:basedOn w:val="TableNormal"/>
    <w:uiPriority w:val="46"/>
    <w:rsid w:val="00C16264"/>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F4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B60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06E99"/>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506E99"/>
    <w:rPr>
      <w:rFonts w:eastAsia="Times New Roman" w:cs="Times New Roman"/>
      <w:sz w:val="20"/>
      <w:szCs w:val="20"/>
      <w:lang w:val="nl-NL" w:eastAsia="nl-NL"/>
    </w:rPr>
  </w:style>
  <w:style w:type="paragraph" w:styleId="Revision">
    <w:name w:val="Revision"/>
    <w:hidden/>
    <w:uiPriority w:val="99"/>
    <w:semiHidden/>
    <w:rsid w:val="00997646"/>
    <w:pPr>
      <w:spacing w:after="0" w:line="240" w:lineRule="auto"/>
    </w:pPr>
    <w:rPr>
      <w:rFonts w:eastAsia="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29774">
      <w:bodyDiv w:val="1"/>
      <w:marLeft w:val="0"/>
      <w:marRight w:val="0"/>
      <w:marTop w:val="0"/>
      <w:marBottom w:val="0"/>
      <w:divBdr>
        <w:top w:val="none" w:sz="0" w:space="0" w:color="auto"/>
        <w:left w:val="none" w:sz="0" w:space="0" w:color="auto"/>
        <w:bottom w:val="none" w:sz="0" w:space="0" w:color="auto"/>
        <w:right w:val="none" w:sz="0" w:space="0" w:color="auto"/>
      </w:divBdr>
    </w:div>
    <w:div w:id="953829089">
      <w:bodyDiv w:val="1"/>
      <w:marLeft w:val="0"/>
      <w:marRight w:val="0"/>
      <w:marTop w:val="0"/>
      <w:marBottom w:val="0"/>
      <w:divBdr>
        <w:top w:val="none" w:sz="0" w:space="0" w:color="auto"/>
        <w:left w:val="none" w:sz="0" w:space="0" w:color="auto"/>
        <w:bottom w:val="none" w:sz="0" w:space="0" w:color="auto"/>
        <w:right w:val="none" w:sz="0" w:space="0" w:color="auto"/>
      </w:divBdr>
    </w:div>
    <w:div w:id="1087850007">
      <w:bodyDiv w:val="1"/>
      <w:marLeft w:val="0"/>
      <w:marRight w:val="0"/>
      <w:marTop w:val="0"/>
      <w:marBottom w:val="0"/>
      <w:divBdr>
        <w:top w:val="none" w:sz="0" w:space="0" w:color="auto"/>
        <w:left w:val="none" w:sz="0" w:space="0" w:color="auto"/>
        <w:bottom w:val="none" w:sz="0" w:space="0" w:color="auto"/>
        <w:right w:val="none" w:sz="0" w:space="0" w:color="auto"/>
      </w:divBdr>
    </w:div>
    <w:div w:id="1288585604">
      <w:bodyDiv w:val="1"/>
      <w:marLeft w:val="0"/>
      <w:marRight w:val="0"/>
      <w:marTop w:val="0"/>
      <w:marBottom w:val="0"/>
      <w:divBdr>
        <w:top w:val="none" w:sz="0" w:space="0" w:color="auto"/>
        <w:left w:val="none" w:sz="0" w:space="0" w:color="auto"/>
        <w:bottom w:val="none" w:sz="0" w:space="0" w:color="auto"/>
        <w:right w:val="none" w:sz="0" w:space="0" w:color="auto"/>
      </w:divBdr>
    </w:div>
    <w:div w:id="1331981552">
      <w:bodyDiv w:val="1"/>
      <w:marLeft w:val="0"/>
      <w:marRight w:val="0"/>
      <w:marTop w:val="0"/>
      <w:marBottom w:val="0"/>
      <w:divBdr>
        <w:top w:val="none" w:sz="0" w:space="0" w:color="auto"/>
        <w:left w:val="none" w:sz="0" w:space="0" w:color="auto"/>
        <w:bottom w:val="none" w:sz="0" w:space="0" w:color="auto"/>
        <w:right w:val="none" w:sz="0" w:space="0" w:color="auto"/>
      </w:divBdr>
      <w:divsChild>
        <w:div w:id="1493519407">
          <w:marLeft w:val="0"/>
          <w:marRight w:val="0"/>
          <w:marTop w:val="0"/>
          <w:marBottom w:val="0"/>
          <w:divBdr>
            <w:top w:val="none" w:sz="0" w:space="0" w:color="auto"/>
            <w:left w:val="none" w:sz="0" w:space="0" w:color="auto"/>
            <w:bottom w:val="none" w:sz="0" w:space="0" w:color="auto"/>
            <w:right w:val="none" w:sz="0" w:space="0" w:color="auto"/>
          </w:divBdr>
        </w:div>
      </w:divsChild>
    </w:div>
    <w:div w:id="1909222161">
      <w:bodyDiv w:val="1"/>
      <w:marLeft w:val="0"/>
      <w:marRight w:val="0"/>
      <w:marTop w:val="0"/>
      <w:marBottom w:val="0"/>
      <w:divBdr>
        <w:top w:val="none" w:sz="0" w:space="0" w:color="auto"/>
        <w:left w:val="none" w:sz="0" w:space="0" w:color="auto"/>
        <w:bottom w:val="none" w:sz="0" w:space="0" w:color="auto"/>
        <w:right w:val="none" w:sz="0" w:space="0" w:color="auto"/>
      </w:divBdr>
      <w:divsChild>
        <w:div w:id="409691459">
          <w:marLeft w:val="0"/>
          <w:marRight w:val="0"/>
          <w:marTop w:val="0"/>
          <w:marBottom w:val="0"/>
          <w:divBdr>
            <w:top w:val="none" w:sz="0" w:space="0" w:color="auto"/>
            <w:left w:val="none" w:sz="0" w:space="0" w:color="auto"/>
            <w:bottom w:val="none" w:sz="0" w:space="0" w:color="auto"/>
            <w:right w:val="none" w:sz="0" w:space="0" w:color="auto"/>
          </w:divBdr>
        </w:div>
      </w:divsChild>
    </w:div>
    <w:div w:id="20608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13</Pages>
  <Words>8158</Words>
  <Characters>46507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54556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Huygelier</dc:creator>
  <cp:keywords/>
  <dc:description/>
  <cp:lastModifiedBy>Hanne Huygelier</cp:lastModifiedBy>
  <cp:revision>85</cp:revision>
  <cp:lastPrinted>2021-02-23T08:03:00Z</cp:lastPrinted>
  <dcterms:created xsi:type="dcterms:W3CDTF">2021-02-19T06:44:00Z</dcterms:created>
  <dcterms:modified xsi:type="dcterms:W3CDTF">2021-08-05T08:09:00Z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id="gV8JJbK9"/&gt;&lt;style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