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63" w:rsidRPr="00C92D9F" w:rsidRDefault="00806363" w:rsidP="00806363">
      <w:pPr>
        <w:pStyle w:val="berschrift1"/>
        <w:jc w:val="both"/>
        <w:rPr>
          <w:rFonts w:ascii="Times New Roman" w:hAnsi="Times New Roman" w:cs="Times New Roman"/>
          <w:b w:val="0"/>
          <w:lang w:val="en-GB"/>
        </w:rPr>
      </w:pPr>
      <w:r w:rsidRPr="00C92D9F">
        <w:rPr>
          <w:rFonts w:ascii="Times New Roman" w:hAnsi="Times New Roman" w:cs="Times New Roman"/>
          <w:lang w:val="en-GB"/>
        </w:rPr>
        <w:t>Supplementary Material</w:t>
      </w:r>
    </w:p>
    <w:p w:rsidR="00806363" w:rsidRPr="00C92D9F" w:rsidRDefault="00806363" w:rsidP="00806363">
      <w:pPr>
        <w:pStyle w:val="berschrift2"/>
        <w:jc w:val="both"/>
        <w:rPr>
          <w:rFonts w:ascii="Times New Roman" w:hAnsi="Times New Roman" w:cs="Times New Roman"/>
          <w:b w:val="0"/>
          <w:lang w:val="en-GB"/>
        </w:rPr>
      </w:pPr>
      <w:r w:rsidRPr="00C92D9F">
        <w:rPr>
          <w:rFonts w:ascii="Times New Roman" w:hAnsi="Times New Roman" w:cs="Times New Roman"/>
          <w:lang w:val="en-GB"/>
        </w:rPr>
        <w:t>Methods</w:t>
      </w:r>
    </w:p>
    <w:p w:rsidR="00806363" w:rsidRPr="00C92D9F" w:rsidRDefault="00806363" w:rsidP="00806363">
      <w:pPr>
        <w:ind w:firstLine="0"/>
        <w:jc w:val="both"/>
        <w:rPr>
          <w:rFonts w:ascii="Times New Roman" w:hAnsi="Times New Roman" w:cs="Times New Roman"/>
          <w:i/>
          <w:lang w:val="en-GB"/>
        </w:rPr>
      </w:pPr>
      <w:r w:rsidRPr="00C92D9F">
        <w:rPr>
          <w:rFonts w:ascii="Times New Roman" w:hAnsi="Times New Roman" w:cs="Times New Roman"/>
          <w:i/>
          <w:lang w:val="en-GB"/>
        </w:rPr>
        <w:t xml:space="preserve">Mean Temporal Cluster Size and Number of Temporal Switches. </w:t>
      </w:r>
    </w:p>
    <w:p w:rsidR="00806363" w:rsidRPr="00C92D9F" w:rsidRDefault="00806363" w:rsidP="00806363">
      <w:pPr>
        <w:jc w:val="both"/>
        <w:rPr>
          <w:rFonts w:ascii="Times New Roman" w:hAnsi="Times New Roman" w:cs="Times New Roman"/>
        </w:rPr>
      </w:pPr>
      <w:r w:rsidRPr="00C92D9F">
        <w:rPr>
          <w:rFonts w:ascii="Times New Roman" w:hAnsi="Times New Roman" w:cs="Times New Roman"/>
          <w:lang w:val="en-GB"/>
        </w:rPr>
        <w:t>Comparable to our previous work (Tröger et al., 2019), we computed clusters and switches temporally. A</w:t>
      </w:r>
      <w:r w:rsidRPr="00C92D9F">
        <w:rPr>
          <w:rFonts w:ascii="Times New Roman" w:hAnsi="Times New Roman" w:cs="Times New Roman"/>
        </w:rPr>
        <w:t xml:space="preserve"> cluster consisted of a minimum of two words belonging to the same cluster as defined by a temporal threshold. In order to determine </w:t>
      </w:r>
      <w:r w:rsidRPr="00C92D9F">
        <w:rPr>
          <w:rFonts w:ascii="Times New Roman" w:hAnsi="Times New Roman" w:cs="Times New Roman"/>
          <w:i/>
        </w:rPr>
        <w:t>temporal clusters</w:t>
      </w:r>
      <w:r w:rsidRPr="00C92D9F">
        <w:rPr>
          <w:rFonts w:ascii="Times New Roman" w:hAnsi="Times New Roman" w:cs="Times New Roman"/>
        </w:rPr>
        <w:t xml:space="preserve">, each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sidRPr="00C92D9F">
        <w:rPr>
          <w:rFonts w:ascii="Times New Roman" w:hAnsi="Times New Roman" w:cs="Times New Roman"/>
        </w:rPr>
        <w:t xml:space="preserve"> was assigned a start time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oMath>
      <w:r w:rsidRPr="00C92D9F">
        <w:rPr>
          <w:rFonts w:ascii="Times New Roman" w:hAnsi="Times New Roman" w:cs="Times New Roman"/>
        </w:rPr>
        <w:t xml:space="preserve"> and an end time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Pr="00C92D9F">
        <w:rPr>
          <w:rFonts w:ascii="Times New Roman" w:hAnsi="Times New Roman" w:cs="Times New Roman"/>
        </w:rPr>
        <w:t xml:space="preserve"> according to its position in the speech recording. Clusters were then determined iteratively. The first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0</m:t>
            </m:r>
          </m:sub>
        </m:sSub>
      </m:oMath>
      <w:r w:rsidRPr="00C92D9F">
        <w:rPr>
          <w:rFonts w:ascii="Times New Roman" w:hAnsi="Times New Roman" w:cs="Times New Roman"/>
        </w:rPr>
        <w:t xml:space="preserve"> started a new cluster. The next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C92D9F">
        <w:rPr>
          <w:rFonts w:ascii="Times New Roman" w:hAnsi="Times New Roman" w:cs="Times New Roman"/>
        </w:rPr>
        <w:t xml:space="preserve"> was part of the cluster, if the distance between its start time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Pr="00C92D9F">
        <w:rPr>
          <w:rFonts w:ascii="Times New Roman" w:hAnsi="Times New Roman" w:cs="Times New Roman"/>
        </w:rPr>
        <w:t xml:space="preserve"> and the previous words’ end time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j-1</m:t>
            </m:r>
          </m:sub>
        </m:sSub>
      </m:oMath>
      <w:r w:rsidRPr="00C92D9F">
        <w:rPr>
          <w:rFonts w:ascii="Times New Roman" w:hAnsi="Times New Roman" w:cs="Times New Roman"/>
        </w:rPr>
        <w:t xml:space="preserve"> was below a threshold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j</m:t>
            </m:r>
          </m:sub>
        </m:sSub>
      </m:oMath>
      <w:r w:rsidRPr="00C92D9F">
        <w:rPr>
          <w:rFonts w:ascii="Times New Roman" w:hAnsi="Times New Roman" w:cs="Times New Roman"/>
        </w:rPr>
        <w:t xml:space="preserve"> (i.e.,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j-1</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j</m:t>
            </m:r>
          </m:sub>
        </m:sSub>
      </m:oMath>
      <w:r w:rsidRPr="00C92D9F">
        <w:rPr>
          <w:rFonts w:ascii="Times New Roman" w:hAnsi="Times New Roman" w:cs="Times New Roman"/>
        </w:rPr>
        <w:t xml:space="preserve">). A base threshold </w:t>
      </w:r>
      <m:oMath>
        <m:r>
          <w:rPr>
            <w:rFonts w:ascii="Cambria Math" w:hAnsi="Cambria Math" w:cs="Times New Roman"/>
          </w:rPr>
          <m:t>t</m:t>
        </m:r>
      </m:oMath>
      <w:r w:rsidRPr="00C92D9F">
        <w:rPr>
          <w:rFonts w:ascii="Times New Roman" w:hAnsi="Times New Roman" w:cs="Times New Roman"/>
        </w:rPr>
        <w:t xml:space="preserve"> was determined for a speaker as the mean distance between any consecutive words produced by the speaker. To account for a decrease in word production towards the end of the task, this base threshold was linearly scaled by a maximum factor of two, based on the start of the current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C92D9F">
        <w:rPr>
          <w:rFonts w:ascii="Times New Roman" w:hAnsi="Times New Roman" w:cs="Times New Roman"/>
        </w:rPr>
        <w:t xml:space="preserve"> (i.e.,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j</m:t>
            </m:r>
          </m:sub>
        </m:sSub>
        <m:r>
          <w:rPr>
            <w:rFonts w:ascii="Cambria Math" w:hAnsi="Cambria Math" w:cs="Times New Roman"/>
          </w:rPr>
          <m:t>=t*(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num>
          <m:den>
            <m:r>
              <w:rPr>
                <w:rFonts w:ascii="Cambria Math" w:hAnsi="Cambria Math" w:cs="Times New Roman"/>
              </w:rPr>
              <m:t>60</m:t>
            </m:r>
          </m:den>
        </m:f>
        <m:r>
          <w:rPr>
            <w:rFonts w:ascii="Cambria Math" w:hAnsi="Cambria Math" w:cs="Times New Roman"/>
          </w:rPr>
          <m:t>+1)</m:t>
        </m:r>
      </m:oMath>
      <w:r w:rsidRPr="00C92D9F">
        <w:rPr>
          <w:rFonts w:ascii="Times New Roman" w:hAnsi="Times New Roman" w:cs="Times New Roman"/>
        </w:rPr>
        <w:t xml:space="preserve">). This approach automatically accounts for inter-personal differences in terms of production speed and reaction time. The </w:t>
      </w:r>
      <w:r w:rsidRPr="00C92D9F">
        <w:rPr>
          <w:rFonts w:ascii="Times New Roman" w:hAnsi="Times New Roman" w:cs="Times New Roman"/>
          <w:i/>
        </w:rPr>
        <w:t xml:space="preserve">mean cluster size </w:t>
      </w:r>
      <w:r w:rsidRPr="00C92D9F">
        <w:rPr>
          <w:rFonts w:ascii="Times New Roman" w:hAnsi="Times New Roman" w:cs="Times New Roman"/>
        </w:rPr>
        <w:t xml:space="preserve">was calculated as the sum of cluster sizes divided by the number of clusters.  Finally, the </w:t>
      </w:r>
      <w:r w:rsidRPr="00C92D9F">
        <w:rPr>
          <w:rFonts w:ascii="Times New Roman" w:hAnsi="Times New Roman" w:cs="Times New Roman"/>
          <w:i/>
        </w:rPr>
        <w:t xml:space="preserve">number of switching clusters </w:t>
      </w:r>
      <w:r w:rsidRPr="00C92D9F">
        <w:rPr>
          <w:rFonts w:ascii="Times New Roman" w:hAnsi="Times New Roman" w:cs="Times New Roman"/>
        </w:rPr>
        <w:t>was defined as the total number of switches between clusters, including single word clusters.</w:t>
      </w:r>
    </w:p>
    <w:p w:rsidR="00806363" w:rsidRPr="00C92D9F" w:rsidRDefault="00806363" w:rsidP="00806363">
      <w:pPr>
        <w:jc w:val="both"/>
        <w:rPr>
          <w:rFonts w:ascii="Times New Roman" w:hAnsi="Times New Roman" w:cs="Times New Roman"/>
        </w:rPr>
      </w:pPr>
    </w:p>
    <w:p w:rsidR="00806363" w:rsidRPr="00C92D9F" w:rsidRDefault="00806363" w:rsidP="00806363">
      <w:pPr>
        <w:pStyle w:val="berschrift2"/>
        <w:jc w:val="both"/>
        <w:rPr>
          <w:rFonts w:ascii="Times New Roman" w:hAnsi="Times New Roman" w:cs="Times New Roman"/>
          <w:lang w:val="en-GB"/>
        </w:rPr>
      </w:pPr>
      <w:r w:rsidRPr="00C92D9F">
        <w:rPr>
          <w:rFonts w:ascii="Times New Roman" w:hAnsi="Times New Roman" w:cs="Times New Roman"/>
          <w:lang w:val="en-GB"/>
        </w:rPr>
        <w:t xml:space="preserve">Statistical Analysis </w:t>
      </w:r>
    </w:p>
    <w:p w:rsidR="00806363" w:rsidRPr="00C92D9F" w:rsidRDefault="00806363" w:rsidP="00806363">
      <w:pPr>
        <w:jc w:val="both"/>
        <w:rPr>
          <w:rFonts w:ascii="Times New Roman" w:hAnsi="Times New Roman" w:cs="Times New Roman"/>
          <w:lang w:val="en-GB"/>
        </w:rPr>
      </w:pPr>
      <w:r w:rsidRPr="00C92D9F">
        <w:rPr>
          <w:rFonts w:ascii="Times New Roman" w:hAnsi="Times New Roman" w:cs="Times New Roman"/>
          <w:lang w:val="en-GB"/>
        </w:rPr>
        <w:t>For the analysis of main effects and interactions, we used analysis of variance. For the analysis of repeated assessment effects, we used two planned contrasts (t1, t2, t3 [1, -1, 0] and t1, t2, t3 [0, 1, -1]). Statistical significance levels were set to p &lt; 0.05 and we corrected for multiple testing with the Bonferroni-Holm procedure.</w:t>
      </w:r>
    </w:p>
    <w:p w:rsidR="00806363" w:rsidRPr="00C92D9F" w:rsidRDefault="00806363" w:rsidP="00806363">
      <w:pPr>
        <w:pStyle w:val="berschrift2"/>
        <w:jc w:val="both"/>
        <w:rPr>
          <w:rFonts w:ascii="Times New Roman" w:hAnsi="Times New Roman" w:cs="Times New Roman"/>
          <w:b w:val="0"/>
          <w:lang w:val="en-GB"/>
        </w:rPr>
      </w:pPr>
      <w:r w:rsidRPr="00C92D9F">
        <w:rPr>
          <w:rFonts w:ascii="Times New Roman" w:hAnsi="Times New Roman" w:cs="Times New Roman"/>
          <w:lang w:val="en-GB"/>
        </w:rPr>
        <w:lastRenderedPageBreak/>
        <w:t xml:space="preserve">Results </w:t>
      </w:r>
    </w:p>
    <w:p w:rsidR="00806363" w:rsidRPr="00C92D9F" w:rsidRDefault="00806363" w:rsidP="00806363">
      <w:pPr>
        <w:jc w:val="both"/>
        <w:rPr>
          <w:rFonts w:ascii="Times New Roman" w:hAnsi="Times New Roman" w:cs="Times New Roman"/>
          <w:lang w:val="en-GB"/>
        </w:rPr>
      </w:pPr>
      <w:r w:rsidRPr="00C92D9F">
        <w:rPr>
          <w:rFonts w:ascii="Times New Roman" w:hAnsi="Times New Roman" w:cs="Times New Roman"/>
          <w:lang w:val="en-GB"/>
        </w:rPr>
        <w:t>We found a significant main effect of diagnosis for both mean cluster size [</w:t>
      </w:r>
      <w:r w:rsidRPr="00C92D9F">
        <w:rPr>
          <w:rFonts w:ascii="Times New Roman" w:hAnsi="Times New Roman" w:cs="Times New Roman"/>
          <w:i/>
          <w:lang w:val="en-GB"/>
        </w:rPr>
        <w:t>F</w:t>
      </w:r>
      <w:r w:rsidRPr="00C92D9F">
        <w:rPr>
          <w:rFonts w:ascii="Times New Roman" w:hAnsi="Times New Roman" w:cs="Times New Roman"/>
          <w:lang w:val="en-GB"/>
        </w:rPr>
        <w:t xml:space="preserve"> </w:t>
      </w:r>
      <w:r w:rsidRPr="00C92D9F">
        <w:rPr>
          <w:rFonts w:ascii="Times New Roman" w:hAnsi="Times New Roman" w:cs="Times New Roman"/>
          <w:vertAlign w:val="subscript"/>
          <w:lang w:val="en-GB"/>
        </w:rPr>
        <w:t>(1,56)</w:t>
      </w:r>
      <w:r w:rsidRPr="00C92D9F">
        <w:rPr>
          <w:rFonts w:ascii="Times New Roman" w:hAnsi="Times New Roman" w:cs="Times New Roman"/>
          <w:lang w:val="en-GB"/>
        </w:rPr>
        <w:t xml:space="preserve"> = 8.26, </w:t>
      </w:r>
      <w:r w:rsidRPr="00C92D9F">
        <w:rPr>
          <w:rFonts w:ascii="Times New Roman" w:hAnsi="Times New Roman" w:cs="Times New Roman"/>
          <w:i/>
          <w:lang w:val="en-GB"/>
        </w:rPr>
        <w:t>p</w:t>
      </w:r>
      <w:r w:rsidRPr="00C92D9F">
        <w:rPr>
          <w:rFonts w:ascii="Times New Roman" w:hAnsi="Times New Roman" w:cs="Times New Roman"/>
          <w:lang w:val="en-GB"/>
        </w:rPr>
        <w:t xml:space="preserve"> &lt; .01] and number of switches [</w:t>
      </w:r>
      <w:r w:rsidRPr="00C92D9F">
        <w:rPr>
          <w:rFonts w:ascii="Times New Roman" w:hAnsi="Times New Roman" w:cs="Times New Roman"/>
          <w:i/>
          <w:lang w:val="en-GB"/>
        </w:rPr>
        <w:t>F</w:t>
      </w:r>
      <w:r w:rsidRPr="00C92D9F">
        <w:rPr>
          <w:rFonts w:ascii="Times New Roman" w:hAnsi="Times New Roman" w:cs="Times New Roman"/>
          <w:lang w:val="en-GB"/>
        </w:rPr>
        <w:t xml:space="preserve"> </w:t>
      </w:r>
      <w:r w:rsidRPr="00C92D9F">
        <w:rPr>
          <w:rFonts w:ascii="Times New Roman" w:hAnsi="Times New Roman" w:cs="Times New Roman"/>
          <w:vertAlign w:val="subscript"/>
          <w:lang w:val="en-GB"/>
        </w:rPr>
        <w:t>(1,56)</w:t>
      </w:r>
      <w:r w:rsidRPr="00C92D9F">
        <w:rPr>
          <w:rFonts w:ascii="Times New Roman" w:hAnsi="Times New Roman" w:cs="Times New Roman"/>
          <w:lang w:val="en-GB"/>
        </w:rPr>
        <w:t xml:space="preserve"> = 8.92, </w:t>
      </w:r>
      <w:r w:rsidRPr="00C92D9F">
        <w:rPr>
          <w:rFonts w:ascii="Times New Roman" w:hAnsi="Times New Roman" w:cs="Times New Roman"/>
          <w:i/>
          <w:lang w:val="en-GB"/>
        </w:rPr>
        <w:t>p</w:t>
      </w:r>
      <w:r w:rsidRPr="00C92D9F">
        <w:rPr>
          <w:rFonts w:ascii="Times New Roman" w:hAnsi="Times New Roman" w:cs="Times New Roman"/>
          <w:lang w:val="en-GB"/>
        </w:rPr>
        <w:t xml:space="preserve"> &lt; .01]. Patients with MCI showed significantly smaller clusters and less frequent switches than healthy volunteers (Figure S1; Table S1). </w:t>
      </w:r>
    </w:p>
    <w:p w:rsidR="00806363" w:rsidRPr="00C92D9F" w:rsidRDefault="00806363" w:rsidP="00806363">
      <w:pPr>
        <w:jc w:val="both"/>
        <w:rPr>
          <w:rFonts w:ascii="Times New Roman" w:hAnsi="Times New Roman" w:cs="Times New Roman"/>
          <w:lang w:val="en-GB"/>
        </w:rPr>
      </w:pPr>
      <w:r w:rsidRPr="00C92D9F">
        <w:rPr>
          <w:rFonts w:ascii="Times New Roman" w:hAnsi="Times New Roman" w:cs="Times New Roman"/>
          <w:lang w:val="en-GB"/>
        </w:rPr>
        <w:t>For the number of switches, we additionally found a statistical trend for an interaction between diagnosis*assessment [</w:t>
      </w:r>
      <w:r w:rsidRPr="00C92D9F">
        <w:rPr>
          <w:rFonts w:ascii="Times New Roman" w:hAnsi="Times New Roman" w:cs="Times New Roman"/>
          <w:i/>
          <w:lang w:val="en-GB"/>
        </w:rPr>
        <w:t>F</w:t>
      </w:r>
      <w:r w:rsidRPr="00C92D9F">
        <w:rPr>
          <w:rFonts w:ascii="Times New Roman" w:hAnsi="Times New Roman" w:cs="Times New Roman"/>
          <w:lang w:val="en-GB"/>
        </w:rPr>
        <w:t xml:space="preserve"> </w:t>
      </w:r>
      <w:r w:rsidRPr="00C92D9F">
        <w:rPr>
          <w:rFonts w:ascii="Times New Roman" w:hAnsi="Times New Roman" w:cs="Times New Roman"/>
          <w:vertAlign w:val="subscript"/>
          <w:lang w:val="en-GB"/>
        </w:rPr>
        <w:t>(2, 112)</w:t>
      </w:r>
      <w:r w:rsidRPr="00C92D9F">
        <w:rPr>
          <w:rFonts w:ascii="Times New Roman" w:hAnsi="Times New Roman" w:cs="Times New Roman"/>
          <w:lang w:val="en-GB"/>
        </w:rPr>
        <w:t xml:space="preserve"> = 2.62, </w:t>
      </w:r>
      <w:r w:rsidRPr="00C92D9F">
        <w:rPr>
          <w:rFonts w:ascii="Times New Roman" w:hAnsi="Times New Roman" w:cs="Times New Roman"/>
          <w:i/>
          <w:lang w:val="en-GB"/>
        </w:rPr>
        <w:t xml:space="preserve">p </w:t>
      </w:r>
      <w:r w:rsidRPr="00C92D9F">
        <w:rPr>
          <w:rFonts w:ascii="Times New Roman" w:hAnsi="Times New Roman" w:cs="Times New Roman"/>
          <w:lang w:val="en-GB"/>
        </w:rPr>
        <w:t>= .07]. With repeated assessment, healthy volunteers showed more frequent switches, while patients with MCI did not (Figure S1; Table S1).</w:t>
      </w:r>
    </w:p>
    <w:p w:rsidR="00806363" w:rsidRPr="00C92D9F" w:rsidRDefault="00806363" w:rsidP="00806363">
      <w:pPr>
        <w:jc w:val="both"/>
        <w:rPr>
          <w:rFonts w:ascii="Times New Roman" w:hAnsi="Times New Roman" w:cs="Times New Roman"/>
          <w:lang w:val="en-GB"/>
        </w:rPr>
      </w:pPr>
    </w:p>
    <w:p w:rsidR="00806363" w:rsidRPr="00C92D9F" w:rsidRDefault="00806363" w:rsidP="00806363">
      <w:pPr>
        <w:pStyle w:val="berschrift2"/>
        <w:jc w:val="both"/>
        <w:rPr>
          <w:rFonts w:ascii="Times New Roman" w:hAnsi="Times New Roman" w:cs="Times New Roman"/>
          <w:b w:val="0"/>
          <w:lang w:val="en-GB"/>
        </w:rPr>
      </w:pPr>
      <w:r w:rsidRPr="00C92D9F">
        <w:rPr>
          <w:rFonts w:ascii="Times New Roman" w:hAnsi="Times New Roman" w:cs="Times New Roman"/>
          <w:lang w:val="en-GB"/>
        </w:rPr>
        <w:t>Discussion</w:t>
      </w:r>
    </w:p>
    <w:p w:rsidR="00806363" w:rsidRPr="00C92D9F" w:rsidRDefault="00806363" w:rsidP="00806363">
      <w:pPr>
        <w:jc w:val="both"/>
        <w:rPr>
          <w:rFonts w:ascii="Times New Roman" w:hAnsi="Times New Roman" w:cs="Times New Roman"/>
        </w:rPr>
      </w:pPr>
      <w:r w:rsidRPr="00C92D9F">
        <w:rPr>
          <w:rFonts w:ascii="Times New Roman" w:hAnsi="Times New Roman" w:cs="Times New Roman"/>
          <w:lang w:val="en-GB"/>
        </w:rPr>
        <w:t xml:space="preserve">The results of our additional analysis support our main findings as they also indicate a structural and a procedural deficit. When doing the task for the first time, patients with aMCI produce smaller clusters. Clustering is supposed to reflect semantic retrieval processes and therefore, smaller clusters point to a structural deficit. When doing the task repeatedly, only healthy volunteers were able to change their switching behaviour. Switching is supposed to reflect strategic search processes and thus, a change in switching behaviour points to an effective adaptation of executive control processes. </w:t>
      </w:r>
    </w:p>
    <w:p w:rsidR="00806363" w:rsidRPr="00C92D9F" w:rsidRDefault="00806363" w:rsidP="00806363">
      <w:pPr>
        <w:jc w:val="both"/>
        <w:rPr>
          <w:rFonts w:ascii="Times New Roman" w:hAnsi="Times New Roman" w:cs="Times New Roman"/>
        </w:rPr>
      </w:pPr>
    </w:p>
    <w:p w:rsidR="00806363" w:rsidRPr="00C92D9F" w:rsidRDefault="00806363" w:rsidP="00806363">
      <w:pPr>
        <w:pStyle w:val="berschrift2"/>
        <w:jc w:val="both"/>
        <w:rPr>
          <w:rFonts w:ascii="Times New Roman" w:hAnsi="Times New Roman" w:cs="Times New Roman"/>
          <w:b w:val="0"/>
          <w:lang w:val="de-CH"/>
        </w:rPr>
      </w:pPr>
      <w:r w:rsidRPr="00C92D9F">
        <w:rPr>
          <w:rFonts w:ascii="Times New Roman" w:hAnsi="Times New Roman" w:cs="Times New Roman"/>
          <w:lang w:val="de-CH"/>
        </w:rPr>
        <w:t>References</w:t>
      </w:r>
    </w:p>
    <w:p w:rsidR="00806363" w:rsidRPr="00C92D9F" w:rsidRDefault="00806363" w:rsidP="00806363">
      <w:pPr>
        <w:ind w:firstLine="0"/>
        <w:jc w:val="both"/>
        <w:rPr>
          <w:rFonts w:ascii="Times New Roman" w:hAnsi="Times New Roman" w:cs="Times New Roman"/>
          <w:lang w:val="en-GB"/>
        </w:rPr>
      </w:pPr>
      <w:r w:rsidRPr="00C92D9F">
        <w:rPr>
          <w:rFonts w:ascii="Times New Roman" w:hAnsi="Times New Roman" w:cs="Times New Roman"/>
          <w:lang w:val="de-CH"/>
        </w:rPr>
        <w:t xml:space="preserve">Tröger, J., Linz, N., König, A., Robert, P., Alexandersson, J., Peter, J., &amp; Kray, J. (2019). </w:t>
      </w:r>
      <w:r w:rsidRPr="00C92D9F">
        <w:rPr>
          <w:rFonts w:ascii="Times New Roman" w:hAnsi="Times New Roman" w:cs="Times New Roman"/>
          <w:lang w:val="en-GB"/>
        </w:rPr>
        <w:t>Exploitation vs. exploration—computational temporal and semantic analysis explains semantic verbal fluency impairment in Alzheimer's disease. Neuropsychologia, 131, 53-61.</w:t>
      </w:r>
    </w:p>
    <w:p w:rsidR="00806363" w:rsidRPr="00C92D9F" w:rsidRDefault="00806363" w:rsidP="00806363">
      <w:pPr>
        <w:jc w:val="both"/>
        <w:rPr>
          <w:rFonts w:ascii="Times New Roman" w:hAnsi="Times New Roman" w:cs="Times New Roman"/>
          <w:lang w:val="en-GB"/>
        </w:rPr>
      </w:pPr>
    </w:p>
    <w:p w:rsidR="00806363" w:rsidRPr="00C92D9F" w:rsidRDefault="00806363" w:rsidP="00806363">
      <w:pPr>
        <w:rPr>
          <w:rFonts w:ascii="Times New Roman" w:eastAsiaTheme="majorEastAsia" w:hAnsi="Times New Roman" w:cs="Times New Roman"/>
          <w:b/>
          <w:lang w:val="en-GB"/>
        </w:rPr>
      </w:pPr>
      <w:r w:rsidRPr="00C92D9F">
        <w:rPr>
          <w:rFonts w:ascii="Times New Roman" w:hAnsi="Times New Roman" w:cs="Times New Roman"/>
          <w:b/>
          <w:lang w:val="en-GB"/>
        </w:rPr>
        <w:br w:type="page"/>
      </w:r>
    </w:p>
    <w:p w:rsidR="00806363" w:rsidRPr="00C92D9F" w:rsidRDefault="00806363" w:rsidP="00806363">
      <w:pPr>
        <w:pStyle w:val="berschrift2"/>
        <w:jc w:val="both"/>
        <w:rPr>
          <w:rFonts w:ascii="Times New Roman" w:hAnsi="Times New Roman" w:cs="Times New Roman"/>
          <w:b w:val="0"/>
          <w:lang w:val="en-GB"/>
        </w:rPr>
        <w:sectPr w:rsidR="00806363" w:rsidRPr="00C92D9F" w:rsidSect="002D1B77">
          <w:pgSz w:w="11906" w:h="16838"/>
          <w:pgMar w:top="1418" w:right="1418" w:bottom="1134" w:left="1418" w:header="709" w:footer="709" w:gutter="0"/>
          <w:cols w:space="708"/>
          <w:docGrid w:linePitch="360"/>
        </w:sectPr>
      </w:pPr>
    </w:p>
    <w:p w:rsidR="00806363" w:rsidRPr="00C92D9F" w:rsidRDefault="00806363" w:rsidP="00806363">
      <w:pPr>
        <w:pStyle w:val="berschrift2"/>
        <w:jc w:val="both"/>
        <w:rPr>
          <w:rFonts w:ascii="Times New Roman" w:hAnsi="Times New Roman" w:cs="Times New Roman"/>
          <w:b w:val="0"/>
          <w:lang w:val="en-GB"/>
        </w:rPr>
      </w:pPr>
      <w:r w:rsidRPr="00C92D9F">
        <w:rPr>
          <w:rFonts w:ascii="Times New Roman" w:hAnsi="Times New Roman" w:cs="Times New Roman"/>
          <w:lang w:val="en-GB"/>
        </w:rPr>
        <w:lastRenderedPageBreak/>
        <w:t>Figures</w:t>
      </w:r>
    </w:p>
    <w:p w:rsidR="00806363" w:rsidRPr="00C92D9F" w:rsidRDefault="00806363" w:rsidP="00806363">
      <w:pPr>
        <w:ind w:firstLine="0"/>
        <w:rPr>
          <w:rFonts w:ascii="Times New Roman" w:hAnsi="Times New Roman" w:cs="Times New Roman"/>
          <w:lang w:val="en-GB"/>
        </w:rPr>
      </w:pPr>
      <w:r w:rsidRPr="00C92D9F">
        <w:rPr>
          <w:rFonts w:ascii="Times New Roman" w:hAnsi="Times New Roman" w:cs="Times New Roman"/>
          <w:b/>
          <w:lang w:val="en-GB"/>
        </w:rPr>
        <w:t xml:space="preserve">Figure S1. </w:t>
      </w:r>
      <w:r w:rsidRPr="00C92D9F">
        <w:rPr>
          <w:rFonts w:ascii="Times New Roman" w:hAnsi="Times New Roman" w:cs="Times New Roman"/>
          <w:lang w:val="en-GB"/>
        </w:rPr>
        <w:t xml:space="preserve">Mean cluster size (left) and number of switches (right) with repeated assessment of semantic verbal fluency in healthy volunteers (HC) and patients with amnestic Mild Cognitive Impairment (aMCI). Error bars represent the standard error of the mean. </w:t>
      </w:r>
    </w:p>
    <w:p w:rsidR="00806363" w:rsidRPr="0052515D" w:rsidRDefault="00806363" w:rsidP="00806363">
      <w:pPr>
        <w:ind w:firstLine="0"/>
        <w:rPr>
          <w:lang w:val="en-GB"/>
        </w:rPr>
      </w:pPr>
      <w:r w:rsidRPr="00C92D9F">
        <w:rPr>
          <w:noProof/>
          <w:lang w:val="de-CH" w:eastAsia="de-CH"/>
        </w:rPr>
        <w:drawing>
          <wp:inline distT="0" distB="0" distL="0" distR="0" wp14:anchorId="6431FA07" wp14:editId="6C51BE39">
            <wp:extent cx="9071610" cy="3070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071610" cy="3070860"/>
                    </a:xfrm>
                    <a:prstGeom prst="rect">
                      <a:avLst/>
                    </a:prstGeom>
                  </pic:spPr>
                </pic:pic>
              </a:graphicData>
            </a:graphic>
          </wp:inline>
        </w:drawing>
      </w:r>
    </w:p>
    <w:p w:rsidR="00806363" w:rsidRPr="0052515D" w:rsidRDefault="00806363" w:rsidP="00806363">
      <w:pPr>
        <w:ind w:firstLine="0"/>
        <w:rPr>
          <w:lang w:val="en-GB"/>
        </w:rPr>
      </w:pPr>
    </w:p>
    <w:p w:rsidR="003518D4" w:rsidRDefault="003518D4">
      <w:bookmarkStart w:id="0" w:name="_GoBack"/>
      <w:bookmarkEnd w:id="0"/>
    </w:p>
    <w:sectPr w:rsidR="003518D4" w:rsidSect="002D1B77">
      <w:footnotePr>
        <w:pos w:val="beneathText"/>
      </w:footnotePr>
      <w:pgSz w:w="16838" w:h="11906" w:orient="landscape"/>
      <w:pgMar w:top="1418" w:right="1418" w:bottom="1418"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63"/>
    <w:rsid w:val="003518D4"/>
    <w:rsid w:val="008063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7D91-BD64-42C7-BD22-7AEAC63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6363"/>
    <w:pPr>
      <w:spacing w:after="0" w:line="480" w:lineRule="auto"/>
      <w:ind w:firstLine="720"/>
    </w:pPr>
    <w:rPr>
      <w:rFonts w:eastAsiaTheme="minorEastAsia"/>
      <w:kern w:val="24"/>
      <w:sz w:val="24"/>
      <w:szCs w:val="24"/>
      <w:lang w:val="en-US" w:eastAsia="ja-JP"/>
    </w:rPr>
  </w:style>
  <w:style w:type="paragraph" w:styleId="berschrift1">
    <w:name w:val="heading 1"/>
    <w:basedOn w:val="Standard"/>
    <w:next w:val="Standard"/>
    <w:link w:val="berschrift1Zchn"/>
    <w:uiPriority w:val="9"/>
    <w:qFormat/>
    <w:rsid w:val="00806363"/>
    <w:pPr>
      <w:keepNext/>
      <w:keepLines/>
      <w:ind w:firstLine="0"/>
      <w:jc w:val="center"/>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4"/>
    <w:unhideWhenUsed/>
    <w:qFormat/>
    <w:rsid w:val="00806363"/>
    <w:pPr>
      <w:keepNext/>
      <w:keepLines/>
      <w:ind w:firstLine="0"/>
      <w:outlineLvl w:val="1"/>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6363"/>
    <w:rPr>
      <w:rFonts w:asciiTheme="majorHAnsi" w:eastAsiaTheme="majorEastAsia" w:hAnsiTheme="majorHAnsi" w:cstheme="majorBidi"/>
      <w:b/>
      <w:bCs/>
      <w:kern w:val="24"/>
      <w:sz w:val="24"/>
      <w:szCs w:val="24"/>
      <w:lang w:val="en-US" w:eastAsia="ja-JP"/>
    </w:rPr>
  </w:style>
  <w:style w:type="character" w:customStyle="1" w:styleId="berschrift2Zchn">
    <w:name w:val="Überschrift 2 Zchn"/>
    <w:basedOn w:val="Absatz-Standardschriftart"/>
    <w:link w:val="berschrift2"/>
    <w:uiPriority w:val="4"/>
    <w:rsid w:val="00806363"/>
    <w:rPr>
      <w:rFonts w:asciiTheme="majorHAnsi" w:eastAsiaTheme="majorEastAsia" w:hAnsiTheme="majorHAnsi" w:cstheme="majorBidi"/>
      <w:b/>
      <w:bCs/>
      <w:kern w:val="24"/>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Jessica (UPD)</dc:creator>
  <cp:keywords/>
  <dc:description/>
  <cp:lastModifiedBy>Peter, Jessica (UPD)</cp:lastModifiedBy>
  <cp:revision>1</cp:revision>
  <dcterms:created xsi:type="dcterms:W3CDTF">2021-05-11T14:40:00Z</dcterms:created>
  <dcterms:modified xsi:type="dcterms:W3CDTF">2021-05-11T14:41:00Z</dcterms:modified>
</cp:coreProperties>
</file>