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7022A" w14:textId="671B3397" w:rsidR="00FE324D" w:rsidRDefault="00FE324D" w:rsidP="00FE324D">
      <w:pPr>
        <w:rPr>
          <w:i/>
          <w:color w:val="000000" w:themeColor="text1"/>
        </w:rPr>
      </w:pPr>
      <w:r w:rsidRPr="00060FEB">
        <w:rPr>
          <w:b/>
          <w:color w:val="000000" w:themeColor="text1"/>
        </w:rPr>
        <w:t xml:space="preserve">Table </w:t>
      </w:r>
      <w:r>
        <w:rPr>
          <w:b/>
          <w:color w:val="000000" w:themeColor="text1"/>
        </w:rPr>
        <w:t>S</w:t>
      </w:r>
      <w:r w:rsidR="00313FE4">
        <w:rPr>
          <w:b/>
          <w:color w:val="000000" w:themeColor="text1"/>
        </w:rPr>
        <w:t>6</w:t>
      </w:r>
      <w:r w:rsidRPr="00060FEB">
        <w:rPr>
          <w:b/>
          <w:color w:val="000000" w:themeColor="text1"/>
        </w:rPr>
        <w:t>.</w:t>
      </w:r>
      <w:r w:rsidRPr="00060FEB">
        <w:rPr>
          <w:color w:val="000000" w:themeColor="text1"/>
        </w:rPr>
        <w:t xml:space="preserve"> </w:t>
      </w:r>
      <w:r w:rsidRPr="00060FEB">
        <w:rPr>
          <w:i/>
          <w:color w:val="000000" w:themeColor="text1"/>
        </w:rPr>
        <w:t xml:space="preserve">Differential </w:t>
      </w:r>
      <w:r w:rsidR="003205F0">
        <w:rPr>
          <w:i/>
          <w:color w:val="000000" w:themeColor="text1"/>
        </w:rPr>
        <w:t>E</w:t>
      </w:r>
      <w:r w:rsidRPr="00060FEB">
        <w:rPr>
          <w:i/>
          <w:color w:val="000000" w:themeColor="text1"/>
        </w:rPr>
        <w:t xml:space="preserve">ffects of the </w:t>
      </w:r>
      <w:r w:rsidR="003205F0">
        <w:rPr>
          <w:i/>
          <w:color w:val="000000" w:themeColor="text1"/>
        </w:rPr>
        <w:t>R</w:t>
      </w:r>
      <w:r w:rsidRPr="00060FEB">
        <w:rPr>
          <w:i/>
          <w:color w:val="000000" w:themeColor="text1"/>
        </w:rPr>
        <w:t xml:space="preserve">elationship </w:t>
      </w:r>
      <w:r w:rsidR="003205F0">
        <w:rPr>
          <w:i/>
          <w:color w:val="000000" w:themeColor="text1"/>
        </w:rPr>
        <w:t>B</w:t>
      </w:r>
      <w:r w:rsidRPr="00060FEB">
        <w:rPr>
          <w:i/>
          <w:color w:val="000000" w:themeColor="text1"/>
        </w:rPr>
        <w:t xml:space="preserve">etween </w:t>
      </w:r>
      <w:r w:rsidR="003205F0">
        <w:rPr>
          <w:i/>
          <w:color w:val="000000" w:themeColor="text1"/>
        </w:rPr>
        <w:t>N</w:t>
      </w:r>
      <w:r w:rsidRPr="00060FEB">
        <w:rPr>
          <w:i/>
          <w:color w:val="000000" w:themeColor="text1"/>
        </w:rPr>
        <w:t>eurotrauma (</w:t>
      </w:r>
      <w:r w:rsidR="00E27675">
        <w:rPr>
          <w:i/>
          <w:color w:val="000000" w:themeColor="text1"/>
        </w:rPr>
        <w:t xml:space="preserve">Close-range Blast Exposure, </w:t>
      </w:r>
      <w:r w:rsidRPr="00060FEB">
        <w:rPr>
          <w:i/>
          <w:color w:val="000000" w:themeColor="text1"/>
        </w:rPr>
        <w:t xml:space="preserve">Lifetime </w:t>
      </w:r>
      <w:proofErr w:type="spellStart"/>
      <w:r w:rsidRPr="00060FEB">
        <w:rPr>
          <w:i/>
          <w:color w:val="000000" w:themeColor="text1"/>
        </w:rPr>
        <w:t>mTBI</w:t>
      </w:r>
      <w:proofErr w:type="spellEnd"/>
      <w:r w:rsidRPr="00060FEB">
        <w:rPr>
          <w:i/>
          <w:color w:val="000000" w:themeColor="text1"/>
        </w:rPr>
        <w:t xml:space="preserve">, Military </w:t>
      </w:r>
      <w:proofErr w:type="spellStart"/>
      <w:r w:rsidRPr="00060FEB">
        <w:rPr>
          <w:i/>
          <w:color w:val="000000" w:themeColor="text1"/>
        </w:rPr>
        <w:t>mTBI</w:t>
      </w:r>
      <w:proofErr w:type="spellEnd"/>
      <w:r w:rsidRPr="00060FEB">
        <w:rPr>
          <w:i/>
          <w:color w:val="000000" w:themeColor="text1"/>
        </w:rPr>
        <w:t xml:space="preserve">, and Distant Blast Exposure) and </w:t>
      </w:r>
      <w:r>
        <w:rPr>
          <w:i/>
          <w:color w:val="000000" w:themeColor="text1"/>
        </w:rPr>
        <w:t>WTAR</w:t>
      </w:r>
      <w:r w:rsidRPr="00060FEB">
        <w:rPr>
          <w:i/>
          <w:color w:val="000000" w:themeColor="text1"/>
        </w:rPr>
        <w:t xml:space="preserve"> as a </w:t>
      </w:r>
      <w:r w:rsidR="003205F0">
        <w:rPr>
          <w:i/>
          <w:color w:val="000000" w:themeColor="text1"/>
        </w:rPr>
        <w:t>F</w:t>
      </w:r>
      <w:r w:rsidRPr="00060FEB">
        <w:rPr>
          <w:i/>
          <w:color w:val="000000" w:themeColor="text1"/>
        </w:rPr>
        <w:t xml:space="preserve">unction of </w:t>
      </w:r>
      <w:r w:rsidRPr="00060FEB">
        <w:rPr>
          <w:rFonts w:eastAsia="Times New Roman"/>
          <w:i/>
          <w:color w:val="000000" w:themeColor="text1"/>
        </w:rPr>
        <w:t xml:space="preserve">APOE </w:t>
      </w:r>
      <w:r w:rsidRPr="00060FEB">
        <w:rPr>
          <w:i/>
          <w:color w:val="000000" w:themeColor="text1"/>
        </w:rPr>
        <w:t xml:space="preserve">ε4 </w:t>
      </w:r>
      <w:r w:rsidR="003205F0">
        <w:rPr>
          <w:i/>
          <w:color w:val="000000" w:themeColor="text1"/>
        </w:rPr>
        <w:t>C</w:t>
      </w:r>
      <w:r w:rsidRPr="00060FEB">
        <w:rPr>
          <w:i/>
          <w:color w:val="000000" w:themeColor="text1"/>
        </w:rPr>
        <w:t xml:space="preserve">arrier </w:t>
      </w:r>
      <w:r w:rsidR="003205F0">
        <w:rPr>
          <w:i/>
          <w:color w:val="000000" w:themeColor="text1"/>
        </w:rPr>
        <w:t>S</w:t>
      </w:r>
      <w:r w:rsidRPr="00060FEB">
        <w:rPr>
          <w:i/>
          <w:color w:val="000000" w:themeColor="text1"/>
        </w:rPr>
        <w:t>tatus</w:t>
      </w:r>
    </w:p>
    <w:p w14:paraId="0C0B0B88" w14:textId="77777777" w:rsidR="00FE324D" w:rsidRPr="00060FEB" w:rsidRDefault="00FE324D" w:rsidP="00FE324D">
      <w:pPr>
        <w:rPr>
          <w:i/>
          <w:color w:val="000000" w:themeColor="text1"/>
        </w:rPr>
      </w:pPr>
    </w:p>
    <w:tbl>
      <w:tblPr>
        <w:tblStyle w:val="TableGrid"/>
        <w:tblW w:w="9756" w:type="dxa"/>
        <w:tblLook w:val="04A0" w:firstRow="1" w:lastRow="0" w:firstColumn="1" w:lastColumn="0" w:noHBand="0" w:noVBand="1"/>
      </w:tblPr>
      <w:tblGrid>
        <w:gridCol w:w="5514"/>
        <w:gridCol w:w="4242"/>
      </w:tblGrid>
      <w:tr w:rsidR="00FE324D" w:rsidRPr="00060FEB" w14:paraId="420FE754" w14:textId="77777777" w:rsidTr="00CB7BEE">
        <w:trPr>
          <w:trHeight w:val="503"/>
        </w:trPr>
        <w:tc>
          <w:tcPr>
            <w:tcW w:w="975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2D575AB" w14:textId="01C4D2F7" w:rsidR="00FE324D" w:rsidRPr="00060FEB" w:rsidRDefault="00FE324D" w:rsidP="00FE324D">
            <w:pPr>
              <w:tabs>
                <w:tab w:val="left" w:pos="381"/>
                <w:tab w:val="left" w:pos="4310"/>
                <w:tab w:val="center" w:pos="4662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FE324D">
              <w:rPr>
                <w:color w:val="000000" w:themeColor="text1"/>
                <w:sz w:val="24"/>
                <w:szCs w:val="24"/>
              </w:rPr>
              <w:t>Interaction</w:t>
            </w:r>
            <w:r>
              <w:rPr>
                <w:color w:val="000000" w:themeColor="text1"/>
                <w:sz w:val="24"/>
                <w:szCs w:val="24"/>
              </w:rPr>
              <w:t xml:space="preserve"> term predicting WTAR</w:t>
            </w:r>
            <w:r w:rsidRPr="00FE324D">
              <w:rPr>
                <w:color w:val="000000" w:themeColor="text1"/>
                <w:sz w:val="24"/>
                <w:szCs w:val="24"/>
              </w:rPr>
              <w:tab/>
            </w:r>
            <w:r>
              <w:rPr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FE324D">
              <w:rPr>
                <w:color w:val="000000" w:themeColor="text1"/>
                <w:sz w:val="24"/>
                <w:szCs w:val="24"/>
              </w:rPr>
              <w:t>Moderation analyses</w:t>
            </w:r>
          </w:p>
        </w:tc>
      </w:tr>
      <w:tr w:rsidR="00FE324D" w:rsidRPr="00060FEB" w14:paraId="58B03D02" w14:textId="77777777" w:rsidTr="00CB7BEE">
        <w:trPr>
          <w:trHeight w:val="333"/>
        </w:trPr>
        <w:tc>
          <w:tcPr>
            <w:tcW w:w="55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81202" w14:textId="6152D463" w:rsidR="00FE324D" w:rsidRPr="00060FEB" w:rsidRDefault="00FE324D" w:rsidP="00FE324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C</w:t>
            </w:r>
            <w:r w:rsidR="00CB7BEE">
              <w:rPr>
                <w:color w:val="000000" w:themeColor="text1"/>
                <w:sz w:val="24"/>
                <w:szCs w:val="24"/>
              </w:rPr>
              <w:t>lose-range bl</w:t>
            </w:r>
            <w:r w:rsidR="00EB5919">
              <w:rPr>
                <w:color w:val="000000" w:themeColor="text1"/>
                <w:sz w:val="24"/>
                <w:szCs w:val="24"/>
              </w:rPr>
              <w:t>as</w:t>
            </w:r>
            <w:r w:rsidR="00CB7BEE">
              <w:rPr>
                <w:color w:val="000000" w:themeColor="text1"/>
                <w:sz w:val="24"/>
                <w:szCs w:val="24"/>
              </w:rPr>
              <w:t>t exposure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60FEB">
              <w:rPr>
                <w:color w:val="000000" w:themeColor="text1"/>
                <w:sz w:val="24"/>
                <w:szCs w:val="24"/>
              </w:rPr>
              <w:t xml:space="preserve">x </w:t>
            </w:r>
            <w:r w:rsidRPr="00060FEB">
              <w:rPr>
                <w:i/>
                <w:color w:val="000000" w:themeColor="text1"/>
                <w:sz w:val="24"/>
                <w:szCs w:val="24"/>
              </w:rPr>
              <w:t xml:space="preserve">APOE </w:t>
            </w:r>
            <w:r w:rsidRPr="00060FEB">
              <w:rPr>
                <w:color w:val="000000" w:themeColor="text1"/>
                <w:sz w:val="24"/>
                <w:szCs w:val="24"/>
              </w:rPr>
              <w:t>ε</w:t>
            </w:r>
            <w:r>
              <w:rPr>
                <w:color w:val="000000" w:themeColor="text1"/>
                <w:sz w:val="24"/>
                <w:szCs w:val="24"/>
              </w:rPr>
              <w:t xml:space="preserve">4 </w:t>
            </w:r>
            <w:r w:rsidRPr="00060FEB">
              <w:rPr>
                <w:color w:val="000000" w:themeColor="text1"/>
                <w:sz w:val="24"/>
                <w:szCs w:val="24"/>
              </w:rPr>
              <w:t>status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78B1A" w14:textId="22017103" w:rsidR="00FE324D" w:rsidRPr="00060FEB" w:rsidRDefault="00FE324D" w:rsidP="00FE324D">
            <w:pPr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ΔR2 = .000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1,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340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) = 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026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87</w:t>
            </w:r>
          </w:p>
        </w:tc>
      </w:tr>
      <w:tr w:rsidR="00FE324D" w:rsidRPr="00060FEB" w14:paraId="49A363E4" w14:textId="77777777" w:rsidTr="00CB7BEE">
        <w:trPr>
          <w:trHeight w:val="368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 w14:paraId="4D8D109B" w14:textId="2A8315A3" w:rsidR="00FE324D" w:rsidRPr="00060FEB" w:rsidRDefault="00FE324D" w:rsidP="00FE324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Lifetime</w:t>
            </w:r>
            <w:r w:rsidRPr="00060FE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60FEB">
              <w:rPr>
                <w:color w:val="000000" w:themeColor="text1"/>
                <w:sz w:val="24"/>
                <w:szCs w:val="24"/>
              </w:rPr>
              <w:t>mTBI</w:t>
            </w:r>
            <w:proofErr w:type="spellEnd"/>
            <w:r w:rsidRPr="00060FEB">
              <w:rPr>
                <w:color w:val="000000" w:themeColor="text1"/>
                <w:sz w:val="24"/>
                <w:szCs w:val="24"/>
              </w:rPr>
              <w:t xml:space="preserve"> x </w:t>
            </w:r>
            <w:r w:rsidRPr="00060FEB">
              <w:rPr>
                <w:i/>
                <w:color w:val="000000" w:themeColor="text1"/>
                <w:sz w:val="24"/>
                <w:szCs w:val="24"/>
              </w:rPr>
              <w:t xml:space="preserve">APOE </w:t>
            </w:r>
            <w:r w:rsidRPr="00060FEB">
              <w:rPr>
                <w:color w:val="000000" w:themeColor="text1"/>
                <w:sz w:val="24"/>
                <w:szCs w:val="24"/>
              </w:rPr>
              <w:t>ε4 status</w:t>
            </w:r>
          </w:p>
        </w:tc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14:paraId="37C2DCF5" w14:textId="3B86EA7F" w:rsidR="00FE324D" w:rsidRPr="00060FEB" w:rsidRDefault="00FE324D" w:rsidP="00FE324D">
            <w:pPr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ΔR2 = .00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03,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1, 3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41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) =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.117,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73</w:t>
            </w:r>
          </w:p>
        </w:tc>
      </w:tr>
      <w:tr w:rsidR="00FE324D" w:rsidRPr="00060FEB" w14:paraId="716B506E" w14:textId="77777777" w:rsidTr="00CB7BEE">
        <w:trPr>
          <w:trHeight w:val="368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</w:tcPr>
          <w:p w14:paraId="35744B3B" w14:textId="0C73E496" w:rsidR="00FE324D" w:rsidRPr="00FE324D" w:rsidRDefault="00FE324D" w:rsidP="00FE324D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Military </w:t>
            </w:r>
            <w:proofErr w:type="spellStart"/>
            <w:r w:rsidRPr="00060FEB">
              <w:rPr>
                <w:color w:val="000000" w:themeColor="text1"/>
                <w:sz w:val="24"/>
                <w:szCs w:val="24"/>
              </w:rPr>
              <w:t>mTBI</w:t>
            </w:r>
            <w:proofErr w:type="spellEnd"/>
            <w:r w:rsidRPr="00060FEB">
              <w:rPr>
                <w:color w:val="000000" w:themeColor="text1"/>
                <w:sz w:val="24"/>
                <w:szCs w:val="24"/>
              </w:rPr>
              <w:t xml:space="preserve"> x </w:t>
            </w:r>
            <w:r w:rsidRPr="00060FEB">
              <w:rPr>
                <w:i/>
                <w:color w:val="000000" w:themeColor="text1"/>
                <w:sz w:val="24"/>
                <w:szCs w:val="24"/>
              </w:rPr>
              <w:t xml:space="preserve">APOE </w:t>
            </w:r>
            <w:r w:rsidRPr="00060FEB">
              <w:rPr>
                <w:color w:val="000000" w:themeColor="text1"/>
                <w:sz w:val="24"/>
                <w:szCs w:val="24"/>
              </w:rPr>
              <w:t>ε4 status</w:t>
            </w:r>
          </w:p>
        </w:tc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14:paraId="4976E63B" w14:textId="6BFA0369" w:rsidR="00FE324D" w:rsidRPr="00060FEB" w:rsidRDefault="00FE324D" w:rsidP="00FE324D">
            <w:pPr>
              <w:rPr>
                <w:color w:val="000000" w:themeColor="text1"/>
                <w:sz w:val="24"/>
                <w:szCs w:val="24"/>
              </w:rPr>
            </w:pP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ΔR2 = .0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000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F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1,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341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) =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.009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r w:rsidRPr="00060FEB">
              <w:rPr>
                <w:rFonts w:eastAsia="Times New Roman"/>
                <w:i/>
                <w:color w:val="000000" w:themeColor="text1"/>
                <w:sz w:val="24"/>
                <w:szCs w:val="24"/>
              </w:rPr>
              <w:t>p</w:t>
            </w:r>
            <w:r w:rsidRPr="00060FE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= 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92</w:t>
            </w:r>
          </w:p>
        </w:tc>
      </w:tr>
      <w:tr w:rsidR="00FE324D" w:rsidRPr="00060FEB" w14:paraId="79448C11" w14:textId="77777777" w:rsidTr="00CB7BEE">
        <w:trPr>
          <w:trHeight w:val="206"/>
        </w:trPr>
        <w:tc>
          <w:tcPr>
            <w:tcW w:w="97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Style w:val="TableGrid"/>
              <w:tblW w:w="95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00"/>
              <w:gridCol w:w="4140"/>
            </w:tblGrid>
            <w:tr w:rsidR="00FE324D" w:rsidRPr="00060FEB" w14:paraId="0C2693E1" w14:textId="77777777" w:rsidTr="00CB7BEE">
              <w:trPr>
                <w:trHeight w:val="368"/>
              </w:trPr>
              <w:tc>
                <w:tcPr>
                  <w:tcW w:w="5400" w:type="dxa"/>
                </w:tcPr>
                <w:p w14:paraId="39637C35" w14:textId="249AF7A8" w:rsidR="00FE324D" w:rsidRPr="00FE324D" w:rsidRDefault="00CB7BEE" w:rsidP="00FE324D">
                  <w:pPr>
                    <w:rPr>
                      <w:i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</w:rPr>
                    <w:t>Distant blast exposure</w:t>
                  </w:r>
                  <w:r w:rsidR="00FE324D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FE324D" w:rsidRPr="00060FEB">
                    <w:rPr>
                      <w:color w:val="000000" w:themeColor="text1"/>
                      <w:sz w:val="24"/>
                      <w:szCs w:val="24"/>
                    </w:rPr>
                    <w:t xml:space="preserve">x </w:t>
                  </w:r>
                  <w:r w:rsidR="00FE324D" w:rsidRPr="00060FEB">
                    <w:rPr>
                      <w:i/>
                      <w:color w:val="000000" w:themeColor="text1"/>
                      <w:sz w:val="24"/>
                      <w:szCs w:val="24"/>
                    </w:rPr>
                    <w:t xml:space="preserve">APOE </w:t>
                  </w:r>
                  <w:r w:rsidR="00FE324D" w:rsidRPr="00060FEB">
                    <w:rPr>
                      <w:color w:val="000000" w:themeColor="text1"/>
                      <w:sz w:val="24"/>
                      <w:szCs w:val="24"/>
                    </w:rPr>
                    <w:t>ε4 status</w:t>
                  </w:r>
                </w:p>
              </w:tc>
              <w:tc>
                <w:tcPr>
                  <w:tcW w:w="4140" w:type="dxa"/>
                </w:tcPr>
                <w:p w14:paraId="38A0CEB4" w14:textId="1D5D238B" w:rsidR="00FE324D" w:rsidRPr="00060FEB" w:rsidRDefault="00FE324D" w:rsidP="00FE324D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060FEB"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>ΔR2 = .0</w:t>
                  </w:r>
                  <w:r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>000</w:t>
                  </w:r>
                  <w:r w:rsidRPr="00060FEB"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proofErr w:type="gramStart"/>
                  <w:r w:rsidRPr="00060FEB">
                    <w:rPr>
                      <w:rFonts w:eastAsia="Times New Roman"/>
                      <w:i/>
                      <w:color w:val="000000" w:themeColor="text1"/>
                      <w:sz w:val="24"/>
                      <w:szCs w:val="24"/>
                    </w:rPr>
                    <w:t>F</w:t>
                  </w:r>
                  <w:r w:rsidRPr="00060FEB"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>(</w:t>
                  </w:r>
                  <w:proofErr w:type="gramEnd"/>
                  <w:r w:rsidRPr="00060FEB"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 xml:space="preserve">1, </w:t>
                  </w:r>
                  <w:r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>192</w:t>
                  </w:r>
                  <w:r w:rsidRPr="00060FEB"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 xml:space="preserve">) = </w:t>
                  </w:r>
                  <w:r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>.057</w:t>
                  </w:r>
                  <w:r w:rsidRPr="00060FEB"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 w:rsidRPr="00060FEB">
                    <w:rPr>
                      <w:rFonts w:eastAsia="Times New Roman"/>
                      <w:i/>
                      <w:color w:val="000000" w:themeColor="text1"/>
                      <w:sz w:val="24"/>
                      <w:szCs w:val="24"/>
                    </w:rPr>
                    <w:t>p</w:t>
                  </w:r>
                  <w:r w:rsidRPr="00060FEB"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 xml:space="preserve"> = .</w:t>
                  </w:r>
                  <w:r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>81</w:t>
                  </w:r>
                </w:p>
              </w:tc>
            </w:tr>
          </w:tbl>
          <w:p w14:paraId="14F0E9C3" w14:textId="750AC639" w:rsidR="00FE324D" w:rsidRPr="00060FEB" w:rsidRDefault="00FE324D" w:rsidP="00FE324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091861A" w14:textId="77777777" w:rsidR="00CB7BEE" w:rsidRDefault="00CB7BEE" w:rsidP="00FE324D">
      <w:pPr>
        <w:rPr>
          <w:iCs/>
          <w:color w:val="000000" w:themeColor="text1"/>
        </w:rPr>
      </w:pPr>
    </w:p>
    <w:p w14:paraId="2D2DD93B" w14:textId="13E98D71" w:rsidR="00FE324D" w:rsidRPr="00E27675" w:rsidRDefault="00FE324D" w:rsidP="00FE324D">
      <w:pPr>
        <w:rPr>
          <w:iCs/>
          <w:color w:val="000000" w:themeColor="text1"/>
        </w:rPr>
      </w:pPr>
      <w:r w:rsidRPr="00E27675">
        <w:rPr>
          <w:iCs/>
          <w:color w:val="000000" w:themeColor="text1"/>
        </w:rPr>
        <w:t>Note. * denotes p &lt; .05, **denotes p &lt; .01. WTAR</w:t>
      </w:r>
      <w:r w:rsidR="00DC7761">
        <w:rPr>
          <w:iCs/>
          <w:color w:val="000000" w:themeColor="text1"/>
        </w:rPr>
        <w:t xml:space="preserve"> </w:t>
      </w:r>
      <w:r w:rsidRPr="00E27675">
        <w:rPr>
          <w:iCs/>
          <w:color w:val="000000" w:themeColor="text1"/>
        </w:rPr>
        <w:t xml:space="preserve">= Weschler Test of Adult Reading scaled score, </w:t>
      </w:r>
      <w:proofErr w:type="spellStart"/>
      <w:r w:rsidRPr="00E27675">
        <w:rPr>
          <w:iCs/>
          <w:color w:val="000000" w:themeColor="text1"/>
        </w:rPr>
        <w:t>mTBI</w:t>
      </w:r>
      <w:proofErr w:type="spellEnd"/>
      <w:r w:rsidR="00DC7761">
        <w:rPr>
          <w:iCs/>
          <w:color w:val="000000" w:themeColor="text1"/>
        </w:rPr>
        <w:t xml:space="preserve"> </w:t>
      </w:r>
      <w:r w:rsidRPr="00E27675">
        <w:rPr>
          <w:iCs/>
          <w:color w:val="000000" w:themeColor="text1"/>
        </w:rPr>
        <w:t>= mild traumatic brain injury, APOE = apolipoprotein</w:t>
      </w:r>
      <w:r w:rsidR="00CB7BEE">
        <w:rPr>
          <w:iCs/>
          <w:color w:val="000000" w:themeColor="text1"/>
        </w:rPr>
        <w:t xml:space="preserve">. </w:t>
      </w:r>
      <w:r w:rsidRPr="00E27675">
        <w:rPr>
          <w:rFonts w:eastAsia="Times New Roman"/>
          <w:iCs/>
          <w:color w:val="000000" w:themeColor="text1"/>
        </w:rPr>
        <w:t xml:space="preserve">Bootstrapped regression analyses were used to assess moderation effects of APOE </w:t>
      </w:r>
      <w:r w:rsidRPr="00E27675">
        <w:rPr>
          <w:iCs/>
          <w:color w:val="000000" w:themeColor="text1"/>
        </w:rPr>
        <w:t>ε4 status on close</w:t>
      </w:r>
      <w:r w:rsidR="005160F8">
        <w:rPr>
          <w:iCs/>
          <w:color w:val="000000" w:themeColor="text1"/>
        </w:rPr>
        <w:t>-range</w:t>
      </w:r>
      <w:r w:rsidRPr="00E27675">
        <w:rPr>
          <w:iCs/>
          <w:color w:val="000000" w:themeColor="text1"/>
        </w:rPr>
        <w:t xml:space="preserve"> blast exposure (CBE)</w:t>
      </w:r>
      <w:r w:rsidRPr="00E27675">
        <w:rPr>
          <w:rFonts w:eastAsia="Times New Roman"/>
          <w:iCs/>
          <w:color w:val="000000" w:themeColor="text1"/>
        </w:rPr>
        <w:t xml:space="preserve">. Significant differential effects were further probed based on </w:t>
      </w:r>
      <w:r w:rsidRPr="00E27675">
        <w:rPr>
          <w:iCs/>
          <w:color w:val="000000" w:themeColor="text1"/>
        </w:rPr>
        <w:t xml:space="preserve">APOE ε4 status. </w:t>
      </w:r>
    </w:p>
    <w:p w14:paraId="52F37809" w14:textId="0D3EC8B8" w:rsidR="00846D16" w:rsidRDefault="003205F0" w:rsidP="00FE324D"/>
    <w:p w14:paraId="752FFD43" w14:textId="7197A909" w:rsidR="00FE324D" w:rsidRPr="00FE324D" w:rsidRDefault="00FE324D" w:rsidP="00FE324D"/>
    <w:sectPr w:rsidR="00FE324D" w:rsidRPr="00FE324D" w:rsidSect="001F0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24D"/>
    <w:rsid w:val="001F06BD"/>
    <w:rsid w:val="002911CC"/>
    <w:rsid w:val="00313FE4"/>
    <w:rsid w:val="003205F0"/>
    <w:rsid w:val="005160F8"/>
    <w:rsid w:val="00CB7BEE"/>
    <w:rsid w:val="00D13284"/>
    <w:rsid w:val="00DC7761"/>
    <w:rsid w:val="00E22697"/>
    <w:rsid w:val="00E27675"/>
    <w:rsid w:val="00EB5919"/>
    <w:rsid w:val="00FE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59ACEC"/>
  <w15:chartTrackingRefBased/>
  <w15:docId w15:val="{B75FFA7F-B2AE-414F-BAD1-6186B4C2F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24D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324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3FE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FE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Wooten, Thomas</dc:creator>
  <cp:keywords/>
  <dc:description/>
  <cp:lastModifiedBy>Wooten, Thomas</cp:lastModifiedBy>
  <cp:revision>8</cp:revision>
  <dcterms:created xsi:type="dcterms:W3CDTF">2020-06-11T19:06:00Z</dcterms:created>
  <dcterms:modified xsi:type="dcterms:W3CDTF">2020-07-01T15:09:00Z</dcterms:modified>
</cp:coreProperties>
</file>