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C965F" w14:textId="0B245D89" w:rsidR="0005349E" w:rsidRPr="0005349E" w:rsidRDefault="0005349E" w:rsidP="0005349E">
      <w:pPr>
        <w:spacing w:line="480" w:lineRule="auto"/>
        <w:jc w:val="center"/>
        <w:rPr>
          <w:rFonts w:ascii="Arial" w:hAnsi="Arial" w:cs="Arial"/>
          <w:b/>
          <w:i/>
          <w:iCs/>
        </w:rPr>
      </w:pPr>
      <w:bookmarkStart w:id="0" w:name="_GoBack"/>
      <w:bookmarkEnd w:id="0"/>
      <w:r>
        <w:rPr>
          <w:rFonts w:ascii="Arial" w:hAnsi="Arial" w:cs="Arial"/>
          <w:i/>
          <w:iCs/>
          <w:color w:val="222222"/>
          <w:shd w:val="clear" w:color="auto" w:fill="FFFFFF"/>
        </w:rPr>
        <w:t>S</w:t>
      </w:r>
      <w:r w:rsidRPr="0005349E">
        <w:rPr>
          <w:rFonts w:ascii="Arial" w:hAnsi="Arial" w:cs="Arial"/>
          <w:i/>
          <w:iCs/>
          <w:color w:val="222222"/>
          <w:shd w:val="clear" w:color="auto" w:fill="FFFFFF"/>
        </w:rPr>
        <w:t>upplemental material for online production only</w:t>
      </w:r>
    </w:p>
    <w:p w14:paraId="5C3A50EC" w14:textId="09077628" w:rsidR="0005349E" w:rsidRPr="009C7E89" w:rsidRDefault="0005349E" w:rsidP="0005349E">
      <w:pPr>
        <w:spacing w:line="480" w:lineRule="auto"/>
        <w:jc w:val="center"/>
        <w:rPr>
          <w:rFonts w:ascii="Arial" w:hAnsi="Arial" w:cs="Arial"/>
          <w:b/>
        </w:rPr>
      </w:pPr>
      <w:r w:rsidRPr="008C0A41">
        <w:rPr>
          <w:rFonts w:ascii="Arial" w:hAnsi="Arial" w:cs="Arial"/>
          <w:b/>
        </w:rPr>
        <w:t>APPENDIX</w:t>
      </w:r>
    </w:p>
    <w:p w14:paraId="443F5716" w14:textId="77777777" w:rsidR="0005349E" w:rsidRPr="009C7E89" w:rsidRDefault="0005349E" w:rsidP="0005349E">
      <w:pPr>
        <w:pStyle w:val="Heading3"/>
        <w:numPr>
          <w:ilvl w:val="0"/>
          <w:numId w:val="0"/>
        </w:numPr>
        <w:ind w:left="720" w:hanging="720"/>
        <w:rPr>
          <w:b w:val="0"/>
          <w:sz w:val="22"/>
        </w:rPr>
      </w:pPr>
      <w:r w:rsidRPr="009C7E89">
        <w:rPr>
          <w:b w:val="0"/>
          <w:sz w:val="22"/>
        </w:rPr>
        <w:t>ROI Procedures</w:t>
      </w:r>
    </w:p>
    <w:p w14:paraId="4CFCB4C4" w14:textId="77777777" w:rsidR="0005349E" w:rsidRPr="00F94448" w:rsidRDefault="0005349E" w:rsidP="0005349E">
      <w:pPr>
        <w:pStyle w:val="Heading3"/>
        <w:numPr>
          <w:ilvl w:val="0"/>
          <w:numId w:val="0"/>
        </w:numPr>
        <w:ind w:left="720" w:hanging="720"/>
        <w:rPr>
          <w:b w:val="0"/>
          <w:i w:val="0"/>
          <w:sz w:val="22"/>
        </w:rPr>
      </w:pPr>
      <w:r w:rsidRPr="00F94448">
        <w:rPr>
          <w:b w:val="0"/>
          <w:i w:val="0"/>
          <w:sz w:val="22"/>
        </w:rPr>
        <w:t>Right Cerebellum</w:t>
      </w:r>
    </w:p>
    <w:p w14:paraId="15AFB1E0" w14:textId="77777777" w:rsidR="0005349E" w:rsidRPr="00F94448" w:rsidRDefault="0005349E" w:rsidP="0005349E">
      <w:pPr>
        <w:spacing w:line="480" w:lineRule="auto"/>
        <w:ind w:firstLine="720"/>
        <w:rPr>
          <w:rFonts w:ascii="Arial" w:hAnsi="Arial" w:cs="Arial"/>
        </w:rPr>
      </w:pPr>
      <w:r w:rsidRPr="00F94448">
        <w:rPr>
          <w:rFonts w:ascii="Arial" w:hAnsi="Arial" w:cs="Arial"/>
        </w:rPr>
        <w:t xml:space="preserve">The </w:t>
      </w:r>
      <w:r>
        <w:rPr>
          <w:rFonts w:ascii="Arial" w:hAnsi="Arial" w:cs="Arial"/>
        </w:rPr>
        <w:t xml:space="preserve">right </w:t>
      </w:r>
      <w:r w:rsidRPr="00F94448">
        <w:rPr>
          <w:rFonts w:ascii="Arial" w:hAnsi="Arial" w:cs="Arial"/>
        </w:rPr>
        <w:t xml:space="preserve">cerebellum </w:t>
      </w:r>
      <w:r w:rsidRPr="00F94448">
        <w:rPr>
          <w:rFonts w:ascii="Arial" w:hAnsi="Arial" w:cs="Arial"/>
          <w:noProof/>
        </w:rPr>
        <w:t>was drawn</w:t>
      </w:r>
      <w:r w:rsidRPr="00F94448">
        <w:rPr>
          <w:rFonts w:ascii="Arial" w:hAnsi="Arial" w:cs="Arial"/>
        </w:rPr>
        <w:t xml:space="preserve"> beginning with the </w:t>
      </w:r>
      <w:r>
        <w:rPr>
          <w:rFonts w:ascii="Arial" w:hAnsi="Arial" w:cs="Arial"/>
        </w:rPr>
        <w:t>lateral</w:t>
      </w:r>
      <w:r w:rsidRPr="00F94448">
        <w:rPr>
          <w:rFonts w:ascii="Arial" w:hAnsi="Arial" w:cs="Arial"/>
        </w:rPr>
        <w:t xml:space="preserve">-most coronal slice where the cerebellum could </w:t>
      </w:r>
      <w:r w:rsidRPr="00F94448">
        <w:rPr>
          <w:rFonts w:ascii="Arial" w:hAnsi="Arial" w:cs="Arial"/>
          <w:noProof/>
        </w:rPr>
        <w:t>be identified</w:t>
      </w:r>
      <w:r w:rsidRPr="00F94448">
        <w:rPr>
          <w:rFonts w:ascii="Arial" w:hAnsi="Arial" w:cs="Arial"/>
        </w:rPr>
        <w:t xml:space="preserve">. The superior portion of the cerebellum was defined using the cerebellar tentorium as a guide. The </w:t>
      </w:r>
      <w:r w:rsidRPr="00F94448">
        <w:rPr>
          <w:rFonts w:ascii="Arial" w:hAnsi="Arial" w:cs="Arial"/>
          <w:noProof/>
        </w:rPr>
        <w:t>pons</w:t>
      </w:r>
      <w:r w:rsidRPr="00F94448">
        <w:rPr>
          <w:rFonts w:ascii="Arial" w:hAnsi="Arial" w:cs="Arial"/>
        </w:rPr>
        <w:t xml:space="preserve"> </w:t>
      </w:r>
      <w:r w:rsidRPr="00F94448">
        <w:rPr>
          <w:rFonts w:ascii="Arial" w:hAnsi="Arial" w:cs="Arial"/>
          <w:noProof/>
        </w:rPr>
        <w:t>was used</w:t>
      </w:r>
      <w:r w:rsidRPr="00F94448">
        <w:rPr>
          <w:rFonts w:ascii="Arial" w:hAnsi="Arial" w:cs="Arial"/>
        </w:rPr>
        <w:t xml:space="preserve"> as the anterior boundary, and the midline of the cerebellar vermis was </w:t>
      </w:r>
      <w:r w:rsidRPr="00F94448">
        <w:rPr>
          <w:rFonts w:ascii="Arial" w:hAnsi="Arial" w:cs="Arial"/>
          <w:noProof/>
        </w:rPr>
        <w:t>used</w:t>
      </w:r>
      <w:r w:rsidRPr="00F94448">
        <w:rPr>
          <w:rFonts w:ascii="Arial" w:hAnsi="Arial" w:cs="Arial"/>
        </w:rPr>
        <w:t xml:space="preserve"> to delineate the left </w:t>
      </w:r>
      <w:r w:rsidRPr="00F94448">
        <w:rPr>
          <w:rFonts w:ascii="Arial" w:hAnsi="Arial" w:cs="Arial"/>
          <w:noProof/>
        </w:rPr>
        <w:t>boundary</w:t>
      </w:r>
      <w:r w:rsidRPr="00F94448">
        <w:rPr>
          <w:rFonts w:ascii="Arial" w:hAnsi="Arial" w:cs="Arial"/>
        </w:rPr>
        <w:t xml:space="preserve"> of the ROI. </w:t>
      </w:r>
    </w:p>
    <w:p w14:paraId="10479CB8" w14:textId="77777777" w:rsidR="0005349E" w:rsidRDefault="0005349E" w:rsidP="0005349E">
      <w:pPr>
        <w:pStyle w:val="Heading3"/>
        <w:numPr>
          <w:ilvl w:val="0"/>
          <w:numId w:val="0"/>
        </w:numPr>
        <w:ind w:left="720" w:hanging="720"/>
        <w:rPr>
          <w:b w:val="0"/>
          <w:i w:val="0"/>
          <w:sz w:val="22"/>
        </w:rPr>
      </w:pPr>
    </w:p>
    <w:p w14:paraId="2653F71E" w14:textId="77777777" w:rsidR="0005349E" w:rsidRPr="00F94448" w:rsidRDefault="0005349E" w:rsidP="0005349E">
      <w:pPr>
        <w:pStyle w:val="Heading3"/>
        <w:numPr>
          <w:ilvl w:val="0"/>
          <w:numId w:val="0"/>
        </w:numPr>
        <w:ind w:left="720" w:hanging="720"/>
        <w:rPr>
          <w:b w:val="0"/>
          <w:i w:val="0"/>
          <w:sz w:val="22"/>
        </w:rPr>
      </w:pPr>
      <w:r w:rsidRPr="00F94448">
        <w:rPr>
          <w:b w:val="0"/>
          <w:i w:val="0"/>
          <w:sz w:val="22"/>
        </w:rPr>
        <w:t>Right Dentate</w:t>
      </w:r>
    </w:p>
    <w:p w14:paraId="7E3BFD2E" w14:textId="77777777" w:rsidR="0005349E" w:rsidRDefault="0005349E" w:rsidP="0005349E">
      <w:pPr>
        <w:spacing w:line="480" w:lineRule="auto"/>
        <w:ind w:firstLine="720"/>
        <w:rPr>
          <w:rFonts w:ascii="Arial" w:hAnsi="Arial" w:cs="Arial"/>
        </w:rPr>
      </w:pPr>
      <w:r w:rsidRPr="00F94448">
        <w:rPr>
          <w:rFonts w:ascii="Arial" w:hAnsi="Arial" w:cs="Arial"/>
        </w:rPr>
        <w:t xml:space="preserve">The dentate was </w:t>
      </w:r>
      <w:r>
        <w:rPr>
          <w:rFonts w:ascii="Arial" w:hAnsi="Arial" w:cs="Arial"/>
        </w:rPr>
        <w:t>identified</w:t>
      </w:r>
      <w:r w:rsidRPr="00F94448">
        <w:rPr>
          <w:rFonts w:ascii="Arial" w:hAnsi="Arial" w:cs="Arial"/>
        </w:rPr>
        <w:t xml:space="preserve"> as a </w:t>
      </w:r>
      <w:r w:rsidRPr="00F94448">
        <w:rPr>
          <w:rFonts w:ascii="Arial" w:hAnsi="Arial" w:cs="Arial"/>
          <w:noProof/>
        </w:rPr>
        <w:t>grey</w:t>
      </w:r>
      <w:r w:rsidRPr="00F94448">
        <w:rPr>
          <w:rFonts w:ascii="Arial" w:hAnsi="Arial" w:cs="Arial"/>
        </w:rPr>
        <w:t xml:space="preserve"> matter structure that was surrounded by white matter. The dentate </w:t>
      </w:r>
      <w:r w:rsidRPr="00F94448">
        <w:rPr>
          <w:rFonts w:ascii="Arial" w:hAnsi="Arial" w:cs="Arial"/>
          <w:noProof/>
        </w:rPr>
        <w:t>was drawn</w:t>
      </w:r>
      <w:r w:rsidRPr="00F94448">
        <w:rPr>
          <w:rFonts w:ascii="Arial" w:hAnsi="Arial" w:cs="Arial"/>
        </w:rPr>
        <w:t xml:space="preserve"> beginning with the brainstem in the axial view, and the midline of the cerebellum in the sagittal and coronal view. The ROI mask </w:t>
      </w:r>
      <w:r w:rsidRPr="00F94448">
        <w:rPr>
          <w:rFonts w:ascii="Arial" w:hAnsi="Arial" w:cs="Arial"/>
          <w:noProof/>
        </w:rPr>
        <w:t>was placed</w:t>
      </w:r>
      <w:r w:rsidRPr="00F94448">
        <w:rPr>
          <w:rFonts w:ascii="Arial" w:hAnsi="Arial" w:cs="Arial"/>
        </w:rPr>
        <w:t xml:space="preserve"> over the </w:t>
      </w:r>
      <w:r w:rsidRPr="00F94448">
        <w:rPr>
          <w:rFonts w:ascii="Arial" w:hAnsi="Arial" w:cs="Arial"/>
          <w:noProof/>
        </w:rPr>
        <w:t>crescent-shaped</w:t>
      </w:r>
      <w:r w:rsidRPr="00F94448">
        <w:rPr>
          <w:rFonts w:ascii="Arial" w:hAnsi="Arial" w:cs="Arial"/>
        </w:rPr>
        <w:t xml:space="preserve"> figure in the middle of the cerebellar white matter in the right hemisphere. This </w:t>
      </w:r>
      <w:r w:rsidRPr="00F94448">
        <w:rPr>
          <w:rFonts w:ascii="Arial" w:hAnsi="Arial" w:cs="Arial"/>
          <w:noProof/>
        </w:rPr>
        <w:t>mask</w:t>
      </w:r>
      <w:r w:rsidRPr="00F94448">
        <w:rPr>
          <w:rFonts w:ascii="Arial" w:hAnsi="Arial" w:cs="Arial"/>
        </w:rPr>
        <w:t xml:space="preserve"> was drawn to include 1-2 voxel</w:t>
      </w:r>
      <w:r>
        <w:rPr>
          <w:rFonts w:ascii="Arial" w:hAnsi="Arial" w:cs="Arial"/>
        </w:rPr>
        <w:t xml:space="preserve">s of </w:t>
      </w:r>
      <w:r w:rsidRPr="00F94448">
        <w:rPr>
          <w:rFonts w:ascii="Arial" w:hAnsi="Arial" w:cs="Arial"/>
        </w:rPr>
        <w:t xml:space="preserve">white matter </w:t>
      </w:r>
      <w:r>
        <w:rPr>
          <w:rFonts w:ascii="Arial" w:hAnsi="Arial" w:cs="Arial"/>
        </w:rPr>
        <w:t xml:space="preserve">along the grey matter borders, </w:t>
      </w:r>
      <w:r w:rsidRPr="00F94448">
        <w:rPr>
          <w:rFonts w:ascii="Arial" w:hAnsi="Arial" w:cs="Arial"/>
        </w:rPr>
        <w:t xml:space="preserve">to ensure the mask would capture the dentate connections to white matter pathways that </w:t>
      </w:r>
      <w:r w:rsidRPr="00F94448">
        <w:rPr>
          <w:rFonts w:ascii="Arial" w:hAnsi="Arial" w:cs="Arial"/>
          <w:noProof/>
        </w:rPr>
        <w:t>continue</w:t>
      </w:r>
      <w:r w:rsidRPr="00F94448">
        <w:rPr>
          <w:rFonts w:ascii="Arial" w:hAnsi="Arial" w:cs="Arial"/>
        </w:rPr>
        <w:t xml:space="preserve"> to the cortex.   </w:t>
      </w:r>
    </w:p>
    <w:p w14:paraId="5E6CD242" w14:textId="77777777" w:rsidR="0005349E" w:rsidRDefault="0005349E" w:rsidP="0005349E">
      <w:pPr>
        <w:pStyle w:val="Heading3"/>
        <w:numPr>
          <w:ilvl w:val="0"/>
          <w:numId w:val="0"/>
        </w:numPr>
        <w:rPr>
          <w:b w:val="0"/>
          <w:i w:val="0"/>
          <w:sz w:val="22"/>
        </w:rPr>
      </w:pPr>
    </w:p>
    <w:p w14:paraId="0FCB1442" w14:textId="77777777" w:rsidR="0005349E" w:rsidRPr="00F94448" w:rsidRDefault="0005349E" w:rsidP="0005349E">
      <w:pPr>
        <w:pStyle w:val="Heading3"/>
        <w:numPr>
          <w:ilvl w:val="0"/>
          <w:numId w:val="0"/>
        </w:numPr>
        <w:rPr>
          <w:b w:val="0"/>
          <w:i w:val="0"/>
          <w:sz w:val="22"/>
        </w:rPr>
      </w:pPr>
      <w:r w:rsidRPr="00F94448">
        <w:rPr>
          <w:b w:val="0"/>
          <w:i w:val="0"/>
          <w:sz w:val="22"/>
        </w:rPr>
        <w:t>Left Red Nucleus</w:t>
      </w:r>
    </w:p>
    <w:p w14:paraId="7CD4D920" w14:textId="77777777" w:rsidR="0005349E" w:rsidRDefault="0005349E" w:rsidP="0005349E">
      <w:pPr>
        <w:spacing w:line="480" w:lineRule="auto"/>
        <w:ind w:firstLine="720"/>
        <w:rPr>
          <w:rFonts w:ascii="Arial" w:hAnsi="Arial" w:cs="Arial"/>
        </w:rPr>
      </w:pPr>
      <w:r w:rsidRPr="00F94448">
        <w:rPr>
          <w:rFonts w:ascii="Arial" w:hAnsi="Arial" w:cs="Arial"/>
        </w:rPr>
        <w:t xml:space="preserve">The </w:t>
      </w:r>
      <w:r>
        <w:rPr>
          <w:rFonts w:ascii="Arial" w:hAnsi="Arial" w:cs="Arial"/>
        </w:rPr>
        <w:t xml:space="preserve">left </w:t>
      </w:r>
      <w:r w:rsidRPr="00F94448">
        <w:rPr>
          <w:rFonts w:ascii="Arial" w:hAnsi="Arial" w:cs="Arial"/>
        </w:rPr>
        <w:t xml:space="preserve">red nucleus </w:t>
      </w:r>
      <w:r w:rsidRPr="00F94448">
        <w:rPr>
          <w:rFonts w:ascii="Arial" w:hAnsi="Arial" w:cs="Arial"/>
          <w:noProof/>
        </w:rPr>
        <w:t>was identified</w:t>
      </w:r>
      <w:r w:rsidRPr="00F94448">
        <w:rPr>
          <w:rFonts w:ascii="Arial" w:hAnsi="Arial" w:cs="Arial"/>
        </w:rPr>
        <w:t xml:space="preserve"> by selecting the </w:t>
      </w:r>
      <w:r>
        <w:rPr>
          <w:rFonts w:ascii="Arial" w:hAnsi="Arial" w:cs="Arial"/>
        </w:rPr>
        <w:t>anterior-most</w:t>
      </w:r>
      <w:r w:rsidRPr="00F94448">
        <w:rPr>
          <w:rFonts w:ascii="Arial" w:hAnsi="Arial" w:cs="Arial"/>
        </w:rPr>
        <w:t xml:space="preserve"> midbrain slice in which it becomes visible in the axial view, using the cerebral peduncles and substantia </w:t>
      </w:r>
      <w:proofErr w:type="spellStart"/>
      <w:r w:rsidRPr="00F94448">
        <w:rPr>
          <w:rFonts w:ascii="Arial" w:hAnsi="Arial" w:cs="Arial"/>
        </w:rPr>
        <w:t>nigra</w:t>
      </w:r>
      <w:proofErr w:type="spellEnd"/>
      <w:r w:rsidRPr="00F94448">
        <w:rPr>
          <w:rFonts w:ascii="Arial" w:hAnsi="Arial" w:cs="Arial"/>
        </w:rPr>
        <w:t xml:space="preserve"> as anterior and posterior reference points, respectively. For this structure the T2 image was also used as a guide, </w:t>
      </w:r>
      <w:r>
        <w:rPr>
          <w:rFonts w:ascii="Arial" w:hAnsi="Arial" w:cs="Arial"/>
        </w:rPr>
        <w:t>as</w:t>
      </w:r>
      <w:r w:rsidRPr="00F94448">
        <w:rPr>
          <w:rFonts w:ascii="Arial" w:hAnsi="Arial" w:cs="Arial"/>
        </w:rPr>
        <w:t xml:space="preserve"> </w:t>
      </w:r>
      <w:r>
        <w:rPr>
          <w:rFonts w:ascii="Arial" w:hAnsi="Arial" w:cs="Arial"/>
        </w:rPr>
        <w:t xml:space="preserve">the red nucleus </w:t>
      </w:r>
      <w:r w:rsidRPr="00F94448">
        <w:rPr>
          <w:rFonts w:ascii="Arial" w:hAnsi="Arial" w:cs="Arial"/>
        </w:rPr>
        <w:t>appear</w:t>
      </w:r>
      <w:r>
        <w:rPr>
          <w:rFonts w:ascii="Arial" w:hAnsi="Arial" w:cs="Arial"/>
        </w:rPr>
        <w:t>s</w:t>
      </w:r>
      <w:r w:rsidRPr="00F94448">
        <w:rPr>
          <w:rFonts w:ascii="Arial" w:hAnsi="Arial" w:cs="Arial"/>
        </w:rPr>
        <w:t xml:space="preserve"> </w:t>
      </w:r>
      <w:r w:rsidRPr="00F94448">
        <w:rPr>
          <w:rFonts w:ascii="Arial" w:hAnsi="Arial" w:cs="Arial"/>
          <w:noProof/>
        </w:rPr>
        <w:t>grey</w:t>
      </w:r>
      <w:r w:rsidRPr="00F94448">
        <w:rPr>
          <w:rFonts w:ascii="Arial" w:hAnsi="Arial" w:cs="Arial"/>
        </w:rPr>
        <w:t xml:space="preserve"> on T2 image</w:t>
      </w:r>
      <w:r>
        <w:rPr>
          <w:rFonts w:ascii="Arial" w:hAnsi="Arial" w:cs="Arial"/>
        </w:rPr>
        <w:t>s due to iron composition</w:t>
      </w:r>
      <w:r w:rsidRPr="00F94448">
        <w:rPr>
          <w:rFonts w:ascii="Arial" w:hAnsi="Arial" w:cs="Arial"/>
        </w:rPr>
        <w:t xml:space="preserve">. Similar </w:t>
      </w:r>
      <w:r w:rsidRPr="00F94448">
        <w:rPr>
          <w:rFonts w:ascii="Arial" w:hAnsi="Arial" w:cs="Arial"/>
        </w:rPr>
        <w:lastRenderedPageBreak/>
        <w:t>to the dentate</w:t>
      </w:r>
      <w:r>
        <w:rPr>
          <w:rFonts w:ascii="Arial" w:hAnsi="Arial" w:cs="Arial"/>
        </w:rPr>
        <w:t xml:space="preserve"> mask</w:t>
      </w:r>
      <w:r w:rsidRPr="00F94448">
        <w:rPr>
          <w:rFonts w:ascii="Arial" w:hAnsi="Arial" w:cs="Arial"/>
        </w:rPr>
        <w:t xml:space="preserve">, this mask was drawn to include a 1-2 voxel border into the white matter. For neuroanatomical reference, see page Figure 6.10B on page 234 of Blumenfeld (2010). </w:t>
      </w:r>
    </w:p>
    <w:p w14:paraId="0C9AA6D3" w14:textId="77777777" w:rsidR="0005349E" w:rsidRDefault="0005349E" w:rsidP="0005349E">
      <w:pPr>
        <w:pStyle w:val="Heading3"/>
        <w:numPr>
          <w:ilvl w:val="0"/>
          <w:numId w:val="0"/>
        </w:numPr>
        <w:ind w:left="720" w:hanging="720"/>
        <w:rPr>
          <w:b w:val="0"/>
          <w:i w:val="0"/>
          <w:sz w:val="22"/>
        </w:rPr>
      </w:pPr>
    </w:p>
    <w:p w14:paraId="23FEAC6B" w14:textId="77777777" w:rsidR="0005349E" w:rsidRPr="00F94448" w:rsidRDefault="0005349E" w:rsidP="0005349E">
      <w:pPr>
        <w:pStyle w:val="Heading3"/>
        <w:numPr>
          <w:ilvl w:val="0"/>
          <w:numId w:val="0"/>
        </w:numPr>
        <w:ind w:left="720" w:hanging="720"/>
        <w:rPr>
          <w:b w:val="0"/>
          <w:i w:val="0"/>
          <w:sz w:val="22"/>
        </w:rPr>
      </w:pPr>
      <w:r w:rsidRPr="00F94448">
        <w:rPr>
          <w:b w:val="0"/>
          <w:i w:val="0"/>
          <w:sz w:val="22"/>
        </w:rPr>
        <w:t>Left Thalamus</w:t>
      </w:r>
    </w:p>
    <w:p w14:paraId="7C294E73" w14:textId="77777777" w:rsidR="0005349E" w:rsidRPr="00F94448" w:rsidRDefault="0005349E" w:rsidP="0005349E">
      <w:pPr>
        <w:spacing w:line="480" w:lineRule="auto"/>
        <w:ind w:firstLine="720"/>
        <w:rPr>
          <w:rFonts w:ascii="Arial" w:hAnsi="Arial" w:cs="Arial"/>
        </w:rPr>
      </w:pPr>
      <w:r>
        <w:rPr>
          <w:rFonts w:ascii="Arial" w:hAnsi="Arial" w:cs="Arial"/>
          <w:noProof/>
        </w:rPr>
        <w:t>The massa intermedia</w:t>
      </w:r>
      <w:r w:rsidRPr="00F94448">
        <w:rPr>
          <w:rFonts w:ascii="Arial" w:hAnsi="Arial" w:cs="Arial"/>
          <w:noProof/>
        </w:rPr>
        <w:t xml:space="preserve"> </w:t>
      </w:r>
      <w:r>
        <w:rPr>
          <w:rFonts w:ascii="Arial" w:hAnsi="Arial" w:cs="Arial"/>
          <w:noProof/>
        </w:rPr>
        <w:t xml:space="preserve">or lateral ventricles as relevant </w:t>
      </w:r>
      <w:r w:rsidRPr="00F94448">
        <w:rPr>
          <w:rFonts w:ascii="Arial" w:hAnsi="Arial" w:cs="Arial"/>
          <w:noProof/>
        </w:rPr>
        <w:t>defined the right boundary of the thalamus</w:t>
      </w:r>
      <w:r w:rsidRPr="00F94448">
        <w:rPr>
          <w:rFonts w:ascii="Arial" w:hAnsi="Arial" w:cs="Arial"/>
        </w:rPr>
        <w:t xml:space="preserve">. </w:t>
      </w:r>
      <w:r w:rsidRPr="00F94448">
        <w:rPr>
          <w:rFonts w:ascii="Arial" w:hAnsi="Arial" w:cs="Arial"/>
          <w:noProof/>
        </w:rPr>
        <w:t xml:space="preserve">The </w:t>
      </w:r>
      <w:r>
        <w:rPr>
          <w:rFonts w:ascii="Arial" w:hAnsi="Arial" w:cs="Arial"/>
          <w:noProof/>
        </w:rPr>
        <w:t>posterior</w:t>
      </w:r>
      <w:r w:rsidRPr="00F94448">
        <w:rPr>
          <w:rFonts w:ascii="Arial" w:hAnsi="Arial" w:cs="Arial"/>
          <w:noProof/>
        </w:rPr>
        <w:t xml:space="preserve"> internal capsule defined the left boundary of the thalamus</w:t>
      </w:r>
      <w:r w:rsidRPr="00F94448">
        <w:rPr>
          <w:rFonts w:ascii="Arial" w:hAnsi="Arial" w:cs="Arial"/>
        </w:rPr>
        <w:t xml:space="preserve">. The anterior boundary was defined using the differentiation between the </w:t>
      </w:r>
      <w:r w:rsidRPr="00F94448">
        <w:rPr>
          <w:rFonts w:ascii="Arial" w:hAnsi="Arial" w:cs="Arial"/>
          <w:noProof/>
        </w:rPr>
        <w:t>grey</w:t>
      </w:r>
      <w:r w:rsidRPr="00F94448">
        <w:rPr>
          <w:rFonts w:ascii="Arial" w:hAnsi="Arial" w:cs="Arial"/>
        </w:rPr>
        <w:t xml:space="preserve"> matter of the thalamus and surrounding white matter of the internal capsule. Dorsal and ventral boundaries </w:t>
      </w:r>
      <w:r w:rsidRPr="00F94448">
        <w:rPr>
          <w:rFonts w:ascii="Arial" w:hAnsi="Arial" w:cs="Arial"/>
          <w:noProof/>
        </w:rPr>
        <w:t>were based</w:t>
      </w:r>
      <w:r w:rsidRPr="00F94448">
        <w:rPr>
          <w:rFonts w:ascii="Arial" w:hAnsi="Arial" w:cs="Arial"/>
        </w:rPr>
        <w:t xml:space="preserve"> on continuous slices of the </w:t>
      </w:r>
      <w:r w:rsidRPr="00F94448">
        <w:rPr>
          <w:rFonts w:ascii="Arial" w:hAnsi="Arial" w:cs="Arial"/>
          <w:noProof/>
        </w:rPr>
        <w:t>differentiation</w:t>
      </w:r>
      <w:r w:rsidRPr="00F94448">
        <w:rPr>
          <w:rFonts w:ascii="Arial" w:hAnsi="Arial" w:cs="Arial"/>
        </w:rPr>
        <w:t xml:space="preserve"> between the </w:t>
      </w:r>
      <w:r w:rsidRPr="00F94448">
        <w:rPr>
          <w:rFonts w:ascii="Arial" w:hAnsi="Arial" w:cs="Arial"/>
          <w:noProof/>
        </w:rPr>
        <w:t>grey</w:t>
      </w:r>
      <w:r w:rsidRPr="00F94448">
        <w:rPr>
          <w:rFonts w:ascii="Arial" w:hAnsi="Arial" w:cs="Arial"/>
        </w:rPr>
        <w:t xml:space="preserve"> and white matter boundaries on the T1 images, with the posterior commissure as another reference point for the ventral boundary. For neuroanatomical reference points, please see Figure 10-19B on page 144 of Waxman et al. (2009). </w:t>
      </w:r>
    </w:p>
    <w:p w14:paraId="57B379DA" w14:textId="77777777" w:rsidR="0005349E" w:rsidRPr="00F94448" w:rsidRDefault="0005349E" w:rsidP="0005349E">
      <w:pPr>
        <w:spacing w:line="480" w:lineRule="auto"/>
        <w:rPr>
          <w:rFonts w:ascii="Arial" w:hAnsi="Arial" w:cs="Arial"/>
          <w:u w:val="single"/>
        </w:rPr>
      </w:pPr>
    </w:p>
    <w:p w14:paraId="1B568593" w14:textId="77777777" w:rsidR="0005349E" w:rsidRPr="00F94448" w:rsidRDefault="0005349E" w:rsidP="0005349E">
      <w:pPr>
        <w:pStyle w:val="Heading3"/>
        <w:numPr>
          <w:ilvl w:val="0"/>
          <w:numId w:val="0"/>
        </w:numPr>
        <w:ind w:left="720" w:hanging="720"/>
        <w:rPr>
          <w:b w:val="0"/>
          <w:i w:val="0"/>
          <w:sz w:val="22"/>
        </w:rPr>
      </w:pPr>
      <w:r w:rsidRPr="00F94448">
        <w:rPr>
          <w:b w:val="0"/>
          <w:i w:val="0"/>
          <w:sz w:val="22"/>
        </w:rPr>
        <w:t xml:space="preserve">Left Middle Frontal Gyrus </w:t>
      </w:r>
      <w:r>
        <w:rPr>
          <w:b w:val="0"/>
          <w:i w:val="0"/>
          <w:sz w:val="22"/>
        </w:rPr>
        <w:t>(MFG)</w:t>
      </w:r>
      <w:r w:rsidRPr="00F94448">
        <w:rPr>
          <w:b w:val="0"/>
          <w:i w:val="0"/>
          <w:sz w:val="22"/>
        </w:rPr>
        <w:t xml:space="preserve">  </w:t>
      </w:r>
    </w:p>
    <w:p w14:paraId="614F2906" w14:textId="77777777" w:rsidR="0005349E" w:rsidRDefault="0005349E" w:rsidP="0005349E">
      <w:pPr>
        <w:spacing w:line="480" w:lineRule="auto"/>
        <w:ind w:firstLine="720"/>
        <w:rPr>
          <w:rFonts w:ascii="Arial" w:hAnsi="Arial" w:cs="Arial"/>
        </w:rPr>
      </w:pPr>
      <w:r>
        <w:rPr>
          <w:rFonts w:ascii="Arial" w:hAnsi="Arial" w:cs="Arial"/>
        </w:rPr>
        <w:t>The</w:t>
      </w:r>
      <w:r w:rsidRPr="00F94448">
        <w:rPr>
          <w:rFonts w:ascii="Arial" w:hAnsi="Arial" w:cs="Arial"/>
        </w:rPr>
        <w:t xml:space="preserve"> anterior boundary </w:t>
      </w:r>
      <w:r>
        <w:rPr>
          <w:rFonts w:ascii="Arial" w:hAnsi="Arial" w:cs="Arial"/>
        </w:rPr>
        <w:t xml:space="preserve">of the left MFG </w:t>
      </w:r>
      <w:r w:rsidRPr="00F94448">
        <w:rPr>
          <w:rFonts w:ascii="Arial" w:hAnsi="Arial" w:cs="Arial"/>
          <w:noProof/>
        </w:rPr>
        <w:t>was defined</w:t>
      </w:r>
      <w:r w:rsidRPr="00F94448">
        <w:rPr>
          <w:rFonts w:ascii="Arial" w:hAnsi="Arial" w:cs="Arial"/>
        </w:rPr>
        <w:t xml:space="preserve"> as the </w:t>
      </w:r>
      <w:r>
        <w:rPr>
          <w:rFonts w:ascii="Arial" w:hAnsi="Arial" w:cs="Arial"/>
        </w:rPr>
        <w:t>anterior</w:t>
      </w:r>
      <w:r w:rsidRPr="00F94448">
        <w:rPr>
          <w:rFonts w:ascii="Arial" w:hAnsi="Arial" w:cs="Arial"/>
        </w:rPr>
        <w:t xml:space="preserve"> portion of the superior frontal sulcus</w:t>
      </w:r>
      <w:r>
        <w:rPr>
          <w:rFonts w:ascii="Arial" w:hAnsi="Arial" w:cs="Arial"/>
        </w:rPr>
        <w:t>, and</w:t>
      </w:r>
      <w:r w:rsidRPr="00F94448">
        <w:rPr>
          <w:rFonts w:ascii="Arial" w:hAnsi="Arial" w:cs="Arial"/>
        </w:rPr>
        <w:t xml:space="preserve"> the posterior portion </w:t>
      </w:r>
      <w:r w:rsidRPr="00F94448">
        <w:rPr>
          <w:rFonts w:ascii="Arial" w:hAnsi="Arial" w:cs="Arial"/>
          <w:noProof/>
        </w:rPr>
        <w:t>was defined</w:t>
      </w:r>
      <w:r w:rsidRPr="00F94448">
        <w:rPr>
          <w:rFonts w:ascii="Arial" w:hAnsi="Arial" w:cs="Arial"/>
        </w:rPr>
        <w:t xml:space="preserve"> by the caudal </w:t>
      </w:r>
      <w:r w:rsidRPr="00F94448">
        <w:rPr>
          <w:rFonts w:ascii="Arial" w:hAnsi="Arial" w:cs="Arial"/>
          <w:noProof/>
        </w:rPr>
        <w:t>part</w:t>
      </w:r>
      <w:r w:rsidRPr="00F94448">
        <w:rPr>
          <w:rFonts w:ascii="Arial" w:hAnsi="Arial" w:cs="Arial"/>
        </w:rPr>
        <w:t xml:space="preserve"> of the middle </w:t>
      </w:r>
      <w:r w:rsidRPr="00F94448">
        <w:rPr>
          <w:rFonts w:ascii="Arial" w:hAnsi="Arial" w:cs="Arial"/>
          <w:noProof/>
        </w:rPr>
        <w:t>frontal</w:t>
      </w:r>
      <w:r w:rsidRPr="00F94448">
        <w:rPr>
          <w:rFonts w:ascii="Arial" w:hAnsi="Arial" w:cs="Arial"/>
        </w:rPr>
        <w:t xml:space="preserve"> gyrus</w:t>
      </w:r>
      <w:r>
        <w:rPr>
          <w:rFonts w:ascii="Arial" w:hAnsi="Arial" w:cs="Arial"/>
          <w:noProof/>
        </w:rPr>
        <w:t>.  T</w:t>
      </w:r>
      <w:r w:rsidRPr="00F94448">
        <w:rPr>
          <w:rFonts w:ascii="Arial" w:hAnsi="Arial" w:cs="Arial"/>
          <w:noProof/>
        </w:rPr>
        <w:t xml:space="preserve">he superior frontal sulcus </w:t>
      </w:r>
      <w:r>
        <w:rPr>
          <w:rFonts w:ascii="Arial" w:hAnsi="Arial" w:cs="Arial"/>
          <w:noProof/>
        </w:rPr>
        <w:t xml:space="preserve">was </w:t>
      </w:r>
      <w:r w:rsidRPr="00F94448">
        <w:rPr>
          <w:rFonts w:ascii="Arial" w:hAnsi="Arial" w:cs="Arial"/>
          <w:noProof/>
        </w:rPr>
        <w:t xml:space="preserve">defined </w:t>
      </w:r>
      <w:r>
        <w:rPr>
          <w:rFonts w:ascii="Arial" w:hAnsi="Arial" w:cs="Arial"/>
          <w:noProof/>
        </w:rPr>
        <w:t xml:space="preserve">by </w:t>
      </w:r>
      <w:r w:rsidRPr="00F94448">
        <w:rPr>
          <w:rFonts w:ascii="Arial" w:hAnsi="Arial" w:cs="Arial"/>
          <w:noProof/>
        </w:rPr>
        <w:t>the dorsal boundary</w:t>
      </w:r>
      <w:r w:rsidRPr="00F94448">
        <w:rPr>
          <w:rFonts w:ascii="Arial" w:hAnsi="Arial" w:cs="Arial"/>
        </w:rPr>
        <w:t xml:space="preserve">, and the ventral boundary </w:t>
      </w:r>
      <w:r>
        <w:rPr>
          <w:rFonts w:ascii="Arial" w:hAnsi="Arial" w:cs="Arial"/>
        </w:rPr>
        <w:t xml:space="preserve">of the MFG </w:t>
      </w:r>
      <w:r w:rsidRPr="00F94448">
        <w:rPr>
          <w:rFonts w:ascii="Arial" w:hAnsi="Arial" w:cs="Arial"/>
          <w:noProof/>
        </w:rPr>
        <w:t>was defined</w:t>
      </w:r>
      <w:r w:rsidRPr="00F94448">
        <w:rPr>
          <w:rFonts w:ascii="Arial" w:hAnsi="Arial" w:cs="Arial"/>
        </w:rPr>
        <w:t xml:space="preserve"> as the inferior frontal sulcus.  </w:t>
      </w:r>
    </w:p>
    <w:p w14:paraId="34E5B61A" w14:textId="77777777" w:rsidR="0005349E" w:rsidRPr="00F94448" w:rsidRDefault="0005349E" w:rsidP="0005349E">
      <w:pPr>
        <w:spacing w:line="480" w:lineRule="auto"/>
        <w:rPr>
          <w:rFonts w:ascii="Arial" w:hAnsi="Arial" w:cs="Arial"/>
        </w:rPr>
      </w:pPr>
    </w:p>
    <w:p w14:paraId="6B87E500" w14:textId="77777777" w:rsidR="0005349E" w:rsidRPr="00F94448" w:rsidRDefault="0005349E" w:rsidP="0005349E">
      <w:pPr>
        <w:pStyle w:val="Heading3"/>
        <w:numPr>
          <w:ilvl w:val="0"/>
          <w:numId w:val="0"/>
        </w:numPr>
        <w:ind w:left="720" w:hanging="720"/>
        <w:rPr>
          <w:b w:val="0"/>
          <w:i w:val="0"/>
          <w:sz w:val="22"/>
        </w:rPr>
      </w:pPr>
      <w:r w:rsidRPr="00F94448">
        <w:rPr>
          <w:b w:val="0"/>
          <w:i w:val="0"/>
          <w:sz w:val="22"/>
        </w:rPr>
        <w:t>Reduced size MFG</w:t>
      </w:r>
    </w:p>
    <w:p w14:paraId="57691DDF" w14:textId="77777777" w:rsidR="0005349E" w:rsidRDefault="0005349E" w:rsidP="0005349E">
      <w:pPr>
        <w:spacing w:line="480" w:lineRule="auto"/>
        <w:ind w:firstLine="720"/>
        <w:rPr>
          <w:rFonts w:ascii="Arial" w:hAnsi="Arial" w:cs="Arial"/>
        </w:rPr>
      </w:pPr>
      <w:r>
        <w:rPr>
          <w:rFonts w:ascii="Arial" w:hAnsi="Arial" w:cs="Arial"/>
        </w:rPr>
        <w:t>The left MFG was reduced in size, after delineation,</w:t>
      </w:r>
      <w:r w:rsidRPr="00F94448">
        <w:rPr>
          <w:rFonts w:ascii="Arial" w:hAnsi="Arial" w:cs="Arial"/>
        </w:rPr>
        <w:t xml:space="preserve"> for </w:t>
      </w:r>
      <w:r>
        <w:rPr>
          <w:rFonts w:ascii="Arial" w:hAnsi="Arial" w:cs="Arial"/>
        </w:rPr>
        <w:t>efficient network</w:t>
      </w:r>
      <w:r w:rsidRPr="00F94448">
        <w:rPr>
          <w:rFonts w:ascii="Arial" w:hAnsi="Arial" w:cs="Arial"/>
        </w:rPr>
        <w:t xml:space="preserve"> processing. </w:t>
      </w:r>
      <w:r>
        <w:rPr>
          <w:rFonts w:ascii="Arial" w:hAnsi="Arial" w:cs="Arial"/>
        </w:rPr>
        <w:t xml:space="preserve">Specifically, the masks used for processing included </w:t>
      </w:r>
      <w:r w:rsidRPr="00F94448">
        <w:rPr>
          <w:rFonts w:ascii="Arial" w:hAnsi="Arial" w:cs="Arial"/>
          <w:noProof/>
        </w:rPr>
        <w:t>the</w:t>
      </w:r>
      <w:r w:rsidRPr="00F94448">
        <w:rPr>
          <w:rFonts w:ascii="Arial" w:hAnsi="Arial" w:cs="Arial"/>
        </w:rPr>
        <w:t xml:space="preserve"> first 10-slices of the anterior portion of the</w:t>
      </w:r>
      <w:r w:rsidRPr="00F94448">
        <w:rPr>
          <w:rFonts w:ascii="Arial" w:hAnsi="Arial" w:cs="Arial"/>
          <w:noProof/>
        </w:rPr>
        <w:t xml:space="preserve"> </w:t>
      </w:r>
      <w:r>
        <w:rPr>
          <w:rFonts w:ascii="Arial" w:hAnsi="Arial" w:cs="Arial"/>
          <w:noProof/>
        </w:rPr>
        <w:t>MFG</w:t>
      </w:r>
      <w:r w:rsidRPr="00F94448">
        <w:rPr>
          <w:rFonts w:ascii="Arial" w:hAnsi="Arial" w:cs="Arial"/>
        </w:rPr>
        <w:t xml:space="preserve">. The reduction of the size of the MFG was </w:t>
      </w:r>
      <w:r w:rsidRPr="00F94448">
        <w:rPr>
          <w:rFonts w:ascii="Arial" w:hAnsi="Arial" w:cs="Arial"/>
          <w:noProof/>
        </w:rPr>
        <w:t>modeled</w:t>
      </w:r>
      <w:r w:rsidRPr="00F94448">
        <w:rPr>
          <w:rFonts w:ascii="Arial" w:hAnsi="Arial" w:cs="Arial"/>
        </w:rPr>
        <w:t xml:space="preserve"> after the ROI slice procedure described by Ford et al. (2013). While one could argue that a larger ROI is more precise and </w:t>
      </w:r>
      <w:r w:rsidRPr="00F94448">
        <w:rPr>
          <w:rFonts w:ascii="Arial" w:hAnsi="Arial" w:cs="Arial"/>
        </w:rPr>
        <w:lastRenderedPageBreak/>
        <w:t>includes more fiber</w:t>
      </w:r>
      <w:r>
        <w:rPr>
          <w:rFonts w:ascii="Arial" w:hAnsi="Arial" w:cs="Arial"/>
        </w:rPr>
        <w:t xml:space="preserve"> estimations</w:t>
      </w:r>
      <w:r w:rsidRPr="00F94448">
        <w:rPr>
          <w:rFonts w:ascii="Arial" w:hAnsi="Arial" w:cs="Arial"/>
        </w:rPr>
        <w:t xml:space="preserve">, it could also </w:t>
      </w:r>
      <w:r w:rsidRPr="00F94448">
        <w:rPr>
          <w:rFonts w:ascii="Arial" w:hAnsi="Arial" w:cs="Arial"/>
          <w:noProof/>
        </w:rPr>
        <w:t>be argued</w:t>
      </w:r>
      <w:r w:rsidRPr="00F94448">
        <w:rPr>
          <w:rFonts w:ascii="Arial" w:hAnsi="Arial" w:cs="Arial"/>
        </w:rPr>
        <w:t xml:space="preserve"> that smaller</w:t>
      </w:r>
      <w:r>
        <w:rPr>
          <w:rFonts w:ascii="Arial" w:hAnsi="Arial" w:cs="Arial"/>
        </w:rPr>
        <w:t>,</w:t>
      </w:r>
      <w:r w:rsidRPr="00F94448">
        <w:rPr>
          <w:rFonts w:ascii="Arial" w:hAnsi="Arial" w:cs="Arial"/>
        </w:rPr>
        <w:t xml:space="preserve"> more </w:t>
      </w:r>
      <w:r w:rsidRPr="00F94448">
        <w:rPr>
          <w:rFonts w:ascii="Arial" w:hAnsi="Arial" w:cs="Arial"/>
          <w:noProof/>
        </w:rPr>
        <w:t>precise</w:t>
      </w:r>
      <w:r w:rsidRPr="00F94448">
        <w:rPr>
          <w:rFonts w:ascii="Arial" w:hAnsi="Arial" w:cs="Arial"/>
        </w:rPr>
        <w:t xml:space="preserve"> ROI boundaries </w:t>
      </w:r>
      <w:r w:rsidRPr="00F94448">
        <w:rPr>
          <w:rFonts w:ascii="Arial" w:hAnsi="Arial" w:cs="Arial"/>
          <w:noProof/>
        </w:rPr>
        <w:t>increase</w:t>
      </w:r>
      <w:r w:rsidRPr="00F94448">
        <w:rPr>
          <w:rFonts w:ascii="Arial" w:hAnsi="Arial" w:cs="Arial"/>
        </w:rPr>
        <w:t xml:space="preserve"> neuroanatomical specificity. The use of </w:t>
      </w:r>
      <w:proofErr w:type="spellStart"/>
      <w:r w:rsidRPr="00F94448">
        <w:rPr>
          <w:rFonts w:ascii="Arial" w:hAnsi="Arial" w:cs="Arial"/>
        </w:rPr>
        <w:t>PanTrack</w:t>
      </w:r>
      <w:proofErr w:type="spellEnd"/>
      <w:r w:rsidRPr="00F94448">
        <w:rPr>
          <w:rFonts w:ascii="Arial" w:hAnsi="Arial" w:cs="Arial"/>
        </w:rPr>
        <w:t xml:space="preserve"> for network </w:t>
      </w:r>
      <w:proofErr w:type="spellStart"/>
      <w:r w:rsidRPr="00F94448">
        <w:rPr>
          <w:rFonts w:ascii="Arial" w:hAnsi="Arial" w:cs="Arial"/>
        </w:rPr>
        <w:t>tractography</w:t>
      </w:r>
      <w:proofErr w:type="spellEnd"/>
      <w:r w:rsidRPr="00F94448">
        <w:rPr>
          <w:rFonts w:ascii="Arial" w:hAnsi="Arial" w:cs="Arial"/>
        </w:rPr>
        <w:t xml:space="preserve"> </w:t>
      </w:r>
      <w:r>
        <w:rPr>
          <w:rFonts w:ascii="Arial" w:hAnsi="Arial" w:cs="Arial"/>
        </w:rPr>
        <w:t>both between and within structures</w:t>
      </w:r>
      <w:r w:rsidRPr="00F94448">
        <w:rPr>
          <w:rFonts w:ascii="Arial" w:hAnsi="Arial" w:cs="Arial"/>
        </w:rPr>
        <w:t xml:space="preserve"> addresses some of these concerns</w:t>
      </w:r>
      <w:r>
        <w:rPr>
          <w:rFonts w:ascii="Arial" w:hAnsi="Arial" w:cs="Arial"/>
        </w:rPr>
        <w:t xml:space="preserve"> by decreasing</w:t>
      </w:r>
      <w:r w:rsidRPr="00F94448">
        <w:rPr>
          <w:rFonts w:ascii="Arial" w:hAnsi="Arial" w:cs="Arial"/>
        </w:rPr>
        <w:t xml:space="preserve"> reliance on ROI boundaries</w:t>
      </w:r>
      <w:r>
        <w:rPr>
          <w:rFonts w:ascii="Arial" w:hAnsi="Arial" w:cs="Arial"/>
        </w:rPr>
        <w:t xml:space="preserve"> while maintaining the specificity of between-structure networking methods</w:t>
      </w:r>
      <w:r w:rsidRPr="00F94448">
        <w:rPr>
          <w:rFonts w:ascii="Arial" w:hAnsi="Arial" w:cs="Arial"/>
        </w:rPr>
        <w:t xml:space="preserve">. To date, all prior studies </w:t>
      </w:r>
      <w:r>
        <w:rPr>
          <w:rFonts w:ascii="Arial" w:hAnsi="Arial" w:cs="Arial"/>
        </w:rPr>
        <w:t>using MOW reconstruction and direct structural networking</w:t>
      </w:r>
      <w:r w:rsidRPr="00F94448">
        <w:rPr>
          <w:rFonts w:ascii="Arial" w:hAnsi="Arial" w:cs="Arial"/>
        </w:rPr>
        <w:t xml:space="preserve"> have only used </w:t>
      </w:r>
      <w:r>
        <w:rPr>
          <w:rFonts w:ascii="Arial" w:hAnsi="Arial" w:cs="Arial"/>
        </w:rPr>
        <w:t>between-structure networking</w:t>
      </w:r>
      <w:r w:rsidRPr="00F94448">
        <w:rPr>
          <w:rFonts w:ascii="Arial" w:hAnsi="Arial" w:cs="Arial"/>
        </w:rPr>
        <w:t xml:space="preserve">. </w:t>
      </w:r>
      <w:r w:rsidRPr="00F94448">
        <w:rPr>
          <w:rFonts w:ascii="Arial" w:hAnsi="Arial" w:cs="Arial"/>
          <w:noProof/>
        </w:rPr>
        <w:t>Even with a reduced size ROI for the MFG, this method is far superior to prior studies that have used a single slice estimate of ROIs (Jissendi et al., 2008), or defined the frontal ROI too broadly as the dorsal anterior half of the cortex (Law et al., 2015a).</w:t>
      </w:r>
      <w:r w:rsidRPr="00F94448">
        <w:rPr>
          <w:rFonts w:ascii="Arial" w:hAnsi="Arial" w:cs="Arial"/>
        </w:rPr>
        <w:t xml:space="preserve"> </w:t>
      </w:r>
    </w:p>
    <w:p w14:paraId="76ABCB00" w14:textId="77777777" w:rsidR="0005349E" w:rsidRDefault="0005349E" w:rsidP="0005349E">
      <w:pPr>
        <w:spacing w:line="480" w:lineRule="auto"/>
        <w:ind w:firstLine="720"/>
        <w:rPr>
          <w:rFonts w:ascii="Arial" w:hAnsi="Arial" w:cs="Arial"/>
        </w:rPr>
      </w:pPr>
    </w:p>
    <w:p w14:paraId="3797BAC8" w14:textId="77777777" w:rsidR="0005349E" w:rsidRPr="00F94448" w:rsidRDefault="0005349E" w:rsidP="0005349E">
      <w:pPr>
        <w:pStyle w:val="Heading3"/>
        <w:numPr>
          <w:ilvl w:val="0"/>
          <w:numId w:val="0"/>
        </w:numPr>
        <w:ind w:left="720" w:hanging="720"/>
        <w:rPr>
          <w:b w:val="0"/>
          <w:i w:val="0"/>
          <w:sz w:val="22"/>
        </w:rPr>
      </w:pPr>
      <w:r w:rsidRPr="00F94448">
        <w:rPr>
          <w:b w:val="0"/>
          <w:i w:val="0"/>
          <w:sz w:val="22"/>
        </w:rPr>
        <w:t xml:space="preserve">Right </w:t>
      </w:r>
      <w:r>
        <w:rPr>
          <w:b w:val="0"/>
          <w:i w:val="0"/>
          <w:sz w:val="22"/>
        </w:rPr>
        <w:t>MFG</w:t>
      </w:r>
    </w:p>
    <w:p w14:paraId="52E56731" w14:textId="77777777" w:rsidR="0005349E" w:rsidRPr="00F94448" w:rsidRDefault="0005349E" w:rsidP="0005349E">
      <w:pPr>
        <w:spacing w:line="480" w:lineRule="auto"/>
        <w:ind w:firstLine="720"/>
        <w:rPr>
          <w:rFonts w:ascii="Arial" w:hAnsi="Arial" w:cs="Arial"/>
        </w:rPr>
      </w:pPr>
      <w:r w:rsidRPr="00F94448">
        <w:rPr>
          <w:rFonts w:ascii="Arial" w:hAnsi="Arial" w:cs="Arial"/>
        </w:rPr>
        <w:t xml:space="preserve">The same parameters described for the left MFG </w:t>
      </w:r>
      <w:r w:rsidRPr="00F94448">
        <w:rPr>
          <w:rFonts w:ascii="Arial" w:hAnsi="Arial" w:cs="Arial"/>
          <w:noProof/>
        </w:rPr>
        <w:t>were used</w:t>
      </w:r>
      <w:r w:rsidRPr="00F94448">
        <w:rPr>
          <w:rFonts w:ascii="Arial" w:hAnsi="Arial" w:cs="Arial"/>
        </w:rPr>
        <w:t xml:space="preserve"> in the contralateral </w:t>
      </w:r>
      <w:r>
        <w:rPr>
          <w:rFonts w:ascii="Arial" w:hAnsi="Arial" w:cs="Arial"/>
        </w:rPr>
        <w:t>hemisphere</w:t>
      </w:r>
      <w:r w:rsidRPr="00F94448">
        <w:rPr>
          <w:rFonts w:ascii="Arial" w:hAnsi="Arial" w:cs="Arial"/>
        </w:rPr>
        <w:t xml:space="preserve">. </w:t>
      </w:r>
    </w:p>
    <w:p w14:paraId="45B4A927" w14:textId="77777777" w:rsidR="0005349E" w:rsidRPr="00F94448" w:rsidRDefault="0005349E" w:rsidP="0005349E">
      <w:pPr>
        <w:spacing w:line="480" w:lineRule="auto"/>
        <w:rPr>
          <w:rFonts w:ascii="Arial" w:hAnsi="Arial" w:cs="Arial"/>
        </w:rPr>
      </w:pPr>
    </w:p>
    <w:p w14:paraId="3ECA1BA7" w14:textId="77777777" w:rsidR="0005349E" w:rsidRPr="002D3810" w:rsidRDefault="0005349E" w:rsidP="0005349E">
      <w:pPr>
        <w:pStyle w:val="Heading3"/>
        <w:numPr>
          <w:ilvl w:val="0"/>
          <w:numId w:val="0"/>
        </w:numPr>
        <w:ind w:left="720" w:hanging="720"/>
        <w:rPr>
          <w:rStyle w:val="Teletype"/>
          <w:b w:val="0"/>
          <w:bCs w:val="0"/>
          <w:i w:val="0"/>
          <w:sz w:val="22"/>
        </w:rPr>
      </w:pPr>
      <w:r w:rsidRPr="002D3810">
        <w:rPr>
          <w:rStyle w:val="Teletype"/>
          <w:b w:val="0"/>
          <w:i w:val="0"/>
          <w:sz w:val="22"/>
        </w:rPr>
        <w:t>Right parietal lobe white matter</w:t>
      </w:r>
    </w:p>
    <w:p w14:paraId="6A93B161" w14:textId="77777777" w:rsidR="0005349E" w:rsidRPr="00F94448" w:rsidRDefault="0005349E" w:rsidP="0005349E">
      <w:pPr>
        <w:pStyle w:val="Textbody"/>
        <w:spacing w:line="480" w:lineRule="auto"/>
        <w:ind w:firstLine="720"/>
        <w:rPr>
          <w:rStyle w:val="Teletype"/>
          <w:rFonts w:ascii="Arial" w:hAnsi="Arial" w:cs="Arial"/>
          <w:color w:val="222222"/>
          <w:sz w:val="22"/>
          <w:szCs w:val="22"/>
        </w:rPr>
      </w:pPr>
      <w:r w:rsidRPr="00F94448">
        <w:rPr>
          <w:rStyle w:val="Teletype"/>
          <w:rFonts w:ascii="Arial" w:hAnsi="Arial" w:cs="Arial"/>
          <w:color w:val="222222"/>
          <w:sz w:val="22"/>
          <w:szCs w:val="22"/>
        </w:rPr>
        <w:t xml:space="preserve">The right parietal lobe white matter </w:t>
      </w:r>
      <w:r>
        <w:rPr>
          <w:rStyle w:val="Teletype"/>
          <w:rFonts w:ascii="Arial" w:hAnsi="Arial" w:cs="Arial"/>
          <w:color w:val="222222"/>
          <w:sz w:val="22"/>
          <w:szCs w:val="22"/>
        </w:rPr>
        <w:t>delineations</w:t>
      </w:r>
      <w:r w:rsidRPr="00F94448">
        <w:rPr>
          <w:rStyle w:val="Teletype"/>
          <w:rFonts w:ascii="Arial" w:hAnsi="Arial" w:cs="Arial"/>
          <w:color w:val="222222"/>
          <w:sz w:val="22"/>
          <w:szCs w:val="22"/>
        </w:rPr>
        <w:t xml:space="preserve"> were based on the anatomical guidelines described by </w:t>
      </w:r>
      <w:proofErr w:type="spellStart"/>
      <w:r w:rsidRPr="00F94448">
        <w:rPr>
          <w:rStyle w:val="Teletype"/>
          <w:rFonts w:ascii="Arial" w:hAnsi="Arial" w:cs="Arial"/>
          <w:color w:val="222222"/>
          <w:sz w:val="22"/>
          <w:szCs w:val="22"/>
        </w:rPr>
        <w:t>Thiebaut</w:t>
      </w:r>
      <w:proofErr w:type="spellEnd"/>
      <w:r w:rsidRPr="00F94448">
        <w:rPr>
          <w:rStyle w:val="Teletype"/>
          <w:rFonts w:ascii="Arial" w:hAnsi="Arial" w:cs="Arial"/>
          <w:color w:val="222222"/>
          <w:sz w:val="22"/>
          <w:szCs w:val="22"/>
        </w:rPr>
        <w:t xml:space="preserve"> de </w:t>
      </w:r>
      <w:proofErr w:type="spellStart"/>
      <w:r w:rsidRPr="00F94448">
        <w:rPr>
          <w:rStyle w:val="Teletype"/>
          <w:rFonts w:ascii="Arial" w:hAnsi="Arial" w:cs="Arial"/>
          <w:color w:val="222222"/>
          <w:sz w:val="22"/>
          <w:szCs w:val="22"/>
        </w:rPr>
        <w:t>Schotten</w:t>
      </w:r>
      <w:proofErr w:type="spellEnd"/>
      <w:r w:rsidRPr="00F94448">
        <w:rPr>
          <w:rStyle w:val="Teletype"/>
          <w:rFonts w:ascii="Arial" w:hAnsi="Arial" w:cs="Arial"/>
          <w:color w:val="222222"/>
          <w:sz w:val="22"/>
          <w:szCs w:val="22"/>
        </w:rPr>
        <w:t xml:space="preserve"> et al. (2011), and </w:t>
      </w:r>
      <w:proofErr w:type="spellStart"/>
      <w:r w:rsidRPr="00F94448">
        <w:rPr>
          <w:rStyle w:val="Teletype"/>
          <w:rFonts w:ascii="Arial" w:hAnsi="Arial" w:cs="Arial"/>
          <w:color w:val="222222"/>
          <w:sz w:val="22"/>
          <w:szCs w:val="22"/>
        </w:rPr>
        <w:t>Kamali</w:t>
      </w:r>
      <w:proofErr w:type="spellEnd"/>
      <w:r w:rsidRPr="00F94448">
        <w:rPr>
          <w:rStyle w:val="Teletype"/>
          <w:rFonts w:ascii="Arial" w:hAnsi="Arial" w:cs="Arial"/>
          <w:color w:val="222222"/>
          <w:sz w:val="22"/>
          <w:szCs w:val="22"/>
        </w:rPr>
        <w:t xml:space="preserve"> et al. (2014). The</w:t>
      </w:r>
      <w:r w:rsidRPr="00F94448">
        <w:rPr>
          <w:rStyle w:val="Teletype"/>
          <w:rFonts w:ascii="Arial" w:hAnsi="Arial" w:cs="Arial"/>
          <w:noProof/>
          <w:color w:val="222222"/>
          <w:sz w:val="22"/>
          <w:szCs w:val="22"/>
        </w:rPr>
        <w:t xml:space="preserve"> middle</w:t>
      </w:r>
      <w:r w:rsidRPr="00F94448">
        <w:rPr>
          <w:rStyle w:val="Teletype"/>
          <w:rFonts w:ascii="Arial" w:hAnsi="Arial" w:cs="Arial"/>
          <w:color w:val="222222"/>
          <w:sz w:val="22"/>
          <w:szCs w:val="22"/>
        </w:rPr>
        <w:t xml:space="preserve"> of the </w:t>
      </w:r>
      <w:r w:rsidRPr="00F94448">
        <w:rPr>
          <w:rStyle w:val="Teletype"/>
          <w:rFonts w:ascii="Arial" w:hAnsi="Arial" w:cs="Arial"/>
          <w:noProof/>
          <w:color w:val="222222"/>
          <w:sz w:val="22"/>
          <w:szCs w:val="22"/>
        </w:rPr>
        <w:t>splenium</w:t>
      </w:r>
      <w:r w:rsidRPr="00F94448">
        <w:rPr>
          <w:rStyle w:val="Teletype"/>
          <w:rFonts w:ascii="Arial" w:hAnsi="Arial" w:cs="Arial"/>
          <w:color w:val="222222"/>
          <w:sz w:val="22"/>
          <w:szCs w:val="22"/>
        </w:rPr>
        <w:t xml:space="preserve"> of the corpus callosum </w:t>
      </w:r>
      <w:r w:rsidRPr="00F94448">
        <w:rPr>
          <w:rStyle w:val="Teletype"/>
          <w:rFonts w:ascii="Arial" w:hAnsi="Arial" w:cs="Arial"/>
          <w:noProof/>
          <w:color w:val="222222"/>
          <w:sz w:val="22"/>
          <w:szCs w:val="22"/>
        </w:rPr>
        <w:t>was used</w:t>
      </w:r>
      <w:r w:rsidRPr="00F94448">
        <w:rPr>
          <w:rStyle w:val="Teletype"/>
          <w:rFonts w:ascii="Arial" w:hAnsi="Arial" w:cs="Arial"/>
          <w:color w:val="222222"/>
          <w:sz w:val="22"/>
          <w:szCs w:val="22"/>
        </w:rPr>
        <w:t xml:space="preserve"> as a starting reference point. The triangle shaped fiber pathway at the inferior portion of the top right bundle of fibers in the parietal lobe </w:t>
      </w:r>
      <w:r w:rsidRPr="00F94448">
        <w:rPr>
          <w:rStyle w:val="Teletype"/>
          <w:rFonts w:ascii="Arial" w:hAnsi="Arial" w:cs="Arial"/>
          <w:noProof/>
          <w:color w:val="222222"/>
          <w:sz w:val="22"/>
          <w:szCs w:val="22"/>
        </w:rPr>
        <w:t>was defined</w:t>
      </w:r>
      <w:r>
        <w:rPr>
          <w:rStyle w:val="Teletype"/>
          <w:rFonts w:ascii="Arial" w:hAnsi="Arial" w:cs="Arial"/>
          <w:color w:val="222222"/>
          <w:sz w:val="22"/>
          <w:szCs w:val="22"/>
        </w:rPr>
        <w:t xml:space="preserve"> as the angular gyrus</w:t>
      </w:r>
      <w:r w:rsidRPr="00F94448">
        <w:rPr>
          <w:rStyle w:val="Teletype"/>
          <w:rFonts w:ascii="Arial" w:hAnsi="Arial" w:cs="Arial"/>
          <w:color w:val="222222"/>
          <w:sz w:val="22"/>
          <w:szCs w:val="22"/>
        </w:rPr>
        <w:t xml:space="preserve">. This fiber bundle </w:t>
      </w:r>
      <w:r w:rsidRPr="00F94448">
        <w:rPr>
          <w:rStyle w:val="Teletype"/>
          <w:rFonts w:ascii="Arial" w:hAnsi="Arial" w:cs="Arial"/>
          <w:noProof/>
          <w:color w:val="222222"/>
          <w:sz w:val="22"/>
          <w:szCs w:val="22"/>
        </w:rPr>
        <w:t>was followed</w:t>
      </w:r>
      <w:r w:rsidRPr="00F94448">
        <w:rPr>
          <w:rStyle w:val="Teletype"/>
          <w:rFonts w:ascii="Arial" w:hAnsi="Arial" w:cs="Arial"/>
          <w:color w:val="222222"/>
          <w:sz w:val="22"/>
          <w:szCs w:val="22"/>
        </w:rPr>
        <w:t xml:space="preserve"> </w:t>
      </w:r>
      <w:r w:rsidRPr="00F94448">
        <w:rPr>
          <w:rStyle w:val="Teletype"/>
          <w:rFonts w:ascii="Arial" w:hAnsi="Arial" w:cs="Arial"/>
          <w:noProof/>
          <w:color w:val="222222"/>
          <w:sz w:val="22"/>
          <w:szCs w:val="22"/>
        </w:rPr>
        <w:t>on</w:t>
      </w:r>
      <w:r w:rsidRPr="00F94448">
        <w:rPr>
          <w:rStyle w:val="Teletype"/>
          <w:rFonts w:ascii="Arial" w:hAnsi="Arial" w:cs="Arial"/>
          <w:color w:val="222222"/>
          <w:sz w:val="22"/>
          <w:szCs w:val="22"/>
        </w:rPr>
        <w:t xml:space="preserve"> </w:t>
      </w:r>
      <w:r w:rsidRPr="00F94448">
        <w:rPr>
          <w:rStyle w:val="Teletype"/>
          <w:rFonts w:ascii="Arial" w:hAnsi="Arial" w:cs="Arial"/>
          <w:noProof/>
          <w:color w:val="222222"/>
          <w:sz w:val="22"/>
          <w:szCs w:val="22"/>
        </w:rPr>
        <w:t>10</w:t>
      </w:r>
      <w:r w:rsidRPr="00F94448">
        <w:rPr>
          <w:rStyle w:val="Teletype"/>
          <w:rFonts w:ascii="Arial" w:hAnsi="Arial" w:cs="Arial"/>
          <w:color w:val="222222"/>
          <w:sz w:val="22"/>
          <w:szCs w:val="22"/>
        </w:rPr>
        <w:t xml:space="preserve"> contiguous slices toward the anterior portion of the brain in the coronal view. </w:t>
      </w:r>
    </w:p>
    <w:p w14:paraId="3F08BCAA" w14:textId="77777777" w:rsidR="0005349E" w:rsidRPr="00F94448" w:rsidRDefault="0005349E" w:rsidP="0005349E">
      <w:pPr>
        <w:spacing w:line="480" w:lineRule="auto"/>
        <w:rPr>
          <w:rFonts w:ascii="Arial" w:hAnsi="Arial" w:cs="Arial"/>
        </w:rPr>
      </w:pPr>
    </w:p>
    <w:p w14:paraId="4D3AAB36" w14:textId="77777777" w:rsidR="0005349E" w:rsidRPr="00F94448" w:rsidRDefault="0005349E" w:rsidP="0005349E">
      <w:pPr>
        <w:pStyle w:val="Heading3"/>
        <w:numPr>
          <w:ilvl w:val="0"/>
          <w:numId w:val="0"/>
        </w:numPr>
        <w:ind w:left="720" w:hanging="720"/>
        <w:rPr>
          <w:b w:val="0"/>
          <w:i w:val="0"/>
          <w:sz w:val="22"/>
        </w:rPr>
      </w:pPr>
      <w:r w:rsidRPr="00F94448">
        <w:rPr>
          <w:b w:val="0"/>
          <w:i w:val="0"/>
          <w:sz w:val="22"/>
        </w:rPr>
        <w:lastRenderedPageBreak/>
        <w:t>Right temporal lobe</w:t>
      </w:r>
    </w:p>
    <w:p w14:paraId="5EC70E35" w14:textId="77777777" w:rsidR="0005349E" w:rsidRDefault="0005349E" w:rsidP="0005349E">
      <w:pPr>
        <w:spacing w:line="480" w:lineRule="auto"/>
        <w:ind w:firstLine="720"/>
        <w:rPr>
          <w:rFonts w:ascii="Arial" w:hAnsi="Arial" w:cs="Arial"/>
        </w:rPr>
      </w:pPr>
      <w:r w:rsidRPr="00F94448">
        <w:rPr>
          <w:rFonts w:ascii="Arial" w:hAnsi="Arial" w:cs="Arial"/>
        </w:rPr>
        <w:t xml:space="preserve">The first coronal slice where the temporal pole could be </w:t>
      </w:r>
      <w:r w:rsidRPr="00F94448">
        <w:rPr>
          <w:rFonts w:ascii="Arial" w:hAnsi="Arial" w:cs="Arial"/>
          <w:noProof/>
        </w:rPr>
        <w:t>defined</w:t>
      </w:r>
      <w:r w:rsidRPr="00F94448">
        <w:rPr>
          <w:rFonts w:ascii="Arial" w:hAnsi="Arial" w:cs="Arial"/>
        </w:rPr>
        <w:t xml:space="preserve"> </w:t>
      </w:r>
      <w:r w:rsidRPr="00F94448">
        <w:rPr>
          <w:rFonts w:ascii="Arial" w:hAnsi="Arial" w:cs="Arial"/>
          <w:noProof/>
        </w:rPr>
        <w:t>was used</w:t>
      </w:r>
      <w:r w:rsidRPr="00F94448">
        <w:rPr>
          <w:rFonts w:ascii="Arial" w:hAnsi="Arial" w:cs="Arial"/>
        </w:rPr>
        <w:t xml:space="preserve"> as a starting point and the anterior boundary. The dorsal boundary </w:t>
      </w:r>
      <w:r w:rsidRPr="00F94448">
        <w:rPr>
          <w:rFonts w:ascii="Arial" w:hAnsi="Arial" w:cs="Arial"/>
          <w:noProof/>
        </w:rPr>
        <w:t>was defined</w:t>
      </w:r>
      <w:r w:rsidRPr="00F94448">
        <w:rPr>
          <w:rFonts w:ascii="Arial" w:hAnsi="Arial" w:cs="Arial"/>
        </w:rPr>
        <w:t xml:space="preserve"> as the superior temporal gyrus.  The posterior boundary </w:t>
      </w:r>
      <w:r w:rsidRPr="00F94448">
        <w:rPr>
          <w:rFonts w:ascii="Arial" w:hAnsi="Arial" w:cs="Arial"/>
          <w:noProof/>
        </w:rPr>
        <w:t>was defined</w:t>
      </w:r>
      <w:r w:rsidRPr="00F94448">
        <w:rPr>
          <w:rFonts w:ascii="Arial" w:hAnsi="Arial" w:cs="Arial"/>
        </w:rPr>
        <w:t xml:space="preserve"> as the parieto-occipital sulcus. The left boundary </w:t>
      </w:r>
      <w:r w:rsidRPr="00F94448">
        <w:rPr>
          <w:rFonts w:ascii="Arial" w:hAnsi="Arial" w:cs="Arial"/>
          <w:noProof/>
        </w:rPr>
        <w:t>was defined</w:t>
      </w:r>
      <w:r w:rsidRPr="00F94448">
        <w:rPr>
          <w:rFonts w:ascii="Arial" w:hAnsi="Arial" w:cs="Arial"/>
        </w:rPr>
        <w:t xml:space="preserve"> as the first sagittal slice where the corpus callosum became </w:t>
      </w:r>
      <w:r w:rsidRPr="00F94448">
        <w:rPr>
          <w:rFonts w:ascii="Arial" w:hAnsi="Arial" w:cs="Arial"/>
          <w:noProof/>
        </w:rPr>
        <w:t>visible</w:t>
      </w:r>
      <w:r w:rsidRPr="00F94448">
        <w:rPr>
          <w:rFonts w:ascii="Arial" w:hAnsi="Arial" w:cs="Arial"/>
        </w:rPr>
        <w:t xml:space="preserve">. </w:t>
      </w:r>
    </w:p>
    <w:p w14:paraId="1578EE0F" w14:textId="77777777" w:rsidR="0005349E" w:rsidRPr="00F94448" w:rsidRDefault="0005349E" w:rsidP="0005349E">
      <w:pPr>
        <w:spacing w:line="480" w:lineRule="auto"/>
        <w:rPr>
          <w:rFonts w:ascii="Arial" w:hAnsi="Arial" w:cs="Arial"/>
        </w:rPr>
      </w:pPr>
    </w:p>
    <w:p w14:paraId="5B517104" w14:textId="77777777" w:rsidR="0005349E" w:rsidRPr="00F94448" w:rsidRDefault="0005349E" w:rsidP="0005349E">
      <w:pPr>
        <w:pStyle w:val="Heading3"/>
        <w:numPr>
          <w:ilvl w:val="0"/>
          <w:numId w:val="0"/>
        </w:numPr>
        <w:ind w:left="720" w:hanging="720"/>
        <w:rPr>
          <w:b w:val="0"/>
          <w:i w:val="0"/>
          <w:sz w:val="22"/>
        </w:rPr>
      </w:pPr>
      <w:r w:rsidRPr="00F94448">
        <w:rPr>
          <w:b w:val="0"/>
          <w:i w:val="0"/>
          <w:sz w:val="22"/>
        </w:rPr>
        <w:t xml:space="preserve"> ROI Template Method</w:t>
      </w:r>
    </w:p>
    <w:p w14:paraId="5E698FCD" w14:textId="77777777" w:rsidR="0005349E" w:rsidRPr="00F94448" w:rsidRDefault="0005349E" w:rsidP="0005349E">
      <w:pPr>
        <w:spacing w:line="480" w:lineRule="auto"/>
        <w:rPr>
          <w:rFonts w:ascii="Arial" w:hAnsi="Arial" w:cs="Arial"/>
        </w:rPr>
      </w:pPr>
      <w:r w:rsidRPr="00F94448">
        <w:rPr>
          <w:rFonts w:ascii="Arial" w:hAnsi="Arial" w:cs="Arial"/>
        </w:rPr>
        <w:tab/>
      </w:r>
      <w:r w:rsidRPr="00F94448">
        <w:rPr>
          <w:rFonts w:ascii="Arial" w:hAnsi="Arial" w:cs="Arial"/>
          <w:noProof/>
        </w:rPr>
        <w:t>The method of ROI template generation was based on Law et al. (2015a), which involved manually drawing the ROIs on 10 healthy controls, registering the ROIs to the standard MNI</w:t>
      </w:r>
      <w:r>
        <w:rPr>
          <w:rFonts w:ascii="Arial" w:hAnsi="Arial" w:cs="Arial"/>
          <w:noProof/>
        </w:rPr>
        <w:t xml:space="preserve"> (</w:t>
      </w:r>
      <w:r w:rsidRPr="00D205C0">
        <w:rPr>
          <w:rFonts w:ascii="Arial" w:hAnsi="Arial" w:cs="Arial"/>
          <w:noProof/>
        </w:rPr>
        <w:t>Montreal Neurological Institute</w:t>
      </w:r>
      <w:r>
        <w:rPr>
          <w:rFonts w:ascii="Arial" w:hAnsi="Arial" w:cs="Arial"/>
          <w:noProof/>
        </w:rPr>
        <w:t xml:space="preserve">) </w:t>
      </w:r>
      <w:r w:rsidRPr="00D205C0">
        <w:rPr>
          <w:rFonts w:ascii="Arial" w:hAnsi="Arial" w:cs="Arial"/>
          <w:noProof/>
        </w:rPr>
        <w:t xml:space="preserve">ICBM152 </w:t>
      </w:r>
      <w:r w:rsidRPr="00F94448">
        <w:rPr>
          <w:rFonts w:ascii="Arial" w:hAnsi="Arial" w:cs="Arial"/>
          <w:noProof/>
        </w:rPr>
        <w:t>brain to create an ROI template, then registering the template to each participant’s native space, and manually editing when necessary (Woods et al., 1998; http://bishopw.loni.ucla.edu/air5).</w:t>
      </w:r>
      <w:r w:rsidRPr="00F94448">
        <w:rPr>
          <w:rFonts w:ascii="Arial" w:hAnsi="Arial" w:cs="Arial"/>
        </w:rPr>
        <w:t xml:space="preserve"> </w:t>
      </w:r>
      <w:r w:rsidRPr="00F94448">
        <w:rPr>
          <w:rFonts w:ascii="Arial" w:hAnsi="Arial" w:cs="Arial"/>
          <w:noProof/>
        </w:rPr>
        <w:t>While this technique was successful in a brain tumor population in one prior study (Law et al., 2015a), one possible limitation of this approach was the potential inaccuracies when converting the template image from standard MNI</w:t>
      </w:r>
      <w:r w:rsidRPr="00D205C0">
        <w:rPr>
          <w:rFonts w:ascii="Arial" w:hAnsi="Arial" w:cs="Arial"/>
          <w:noProof/>
        </w:rPr>
        <w:t>152</w:t>
      </w:r>
      <w:r>
        <w:rPr>
          <w:rFonts w:ascii="Arial" w:hAnsi="Arial" w:cs="Arial"/>
          <w:noProof/>
        </w:rPr>
        <w:t xml:space="preserve"> space</w:t>
      </w:r>
      <w:r w:rsidRPr="00F94448">
        <w:rPr>
          <w:rFonts w:ascii="Arial" w:hAnsi="Arial" w:cs="Arial"/>
          <w:noProof/>
        </w:rPr>
        <w:t xml:space="preserve"> to native space, due to structural brain abnormalities (e.g., lesions from surgical resection, inter-individuals in sulcal anatomy; Ono et al., 1990).</w:t>
      </w:r>
      <w:r w:rsidRPr="00F94448">
        <w:rPr>
          <w:rFonts w:ascii="Arial" w:hAnsi="Arial" w:cs="Arial"/>
        </w:rPr>
        <w:t xml:space="preserve"> However, a systematic semi-automated approach to ROI reduces the time intensive nature of manual ROI drawings and provides a more objective and standardized approach to ROI generation. </w:t>
      </w:r>
    </w:p>
    <w:p w14:paraId="12BE9427" w14:textId="77777777" w:rsidR="0005349E" w:rsidRPr="00F94448" w:rsidRDefault="0005349E" w:rsidP="0005349E">
      <w:pPr>
        <w:spacing w:line="480" w:lineRule="auto"/>
        <w:ind w:firstLine="720"/>
        <w:rPr>
          <w:rFonts w:ascii="Arial" w:hAnsi="Arial" w:cs="Arial"/>
        </w:rPr>
      </w:pPr>
      <w:r w:rsidRPr="00F94448">
        <w:rPr>
          <w:rFonts w:ascii="Arial" w:hAnsi="Arial" w:cs="Arial"/>
          <w:noProof/>
        </w:rPr>
        <w:t>Ten</w:t>
      </w:r>
      <w:r w:rsidRPr="00F94448">
        <w:rPr>
          <w:rFonts w:ascii="Arial" w:hAnsi="Arial" w:cs="Arial"/>
        </w:rPr>
        <w:t xml:space="preserve"> </w:t>
      </w:r>
      <w:r>
        <w:rPr>
          <w:rFonts w:ascii="Arial" w:hAnsi="Arial" w:cs="Arial"/>
        </w:rPr>
        <w:t>(10)</w:t>
      </w:r>
      <w:r w:rsidRPr="00F94448">
        <w:rPr>
          <w:rFonts w:ascii="Arial" w:hAnsi="Arial" w:cs="Arial"/>
        </w:rPr>
        <w:t xml:space="preserve"> healthy controls were randomly selected</w:t>
      </w:r>
      <w:r w:rsidRPr="00F94448">
        <w:rPr>
          <w:rFonts w:ascii="Arial" w:hAnsi="Arial" w:cs="Arial"/>
          <w:noProof/>
        </w:rPr>
        <w:t xml:space="preserve"> to develop the ROI templates</w:t>
      </w:r>
      <w:r w:rsidRPr="00F94448">
        <w:rPr>
          <w:rFonts w:ascii="Arial" w:hAnsi="Arial" w:cs="Arial"/>
        </w:rPr>
        <w:t xml:space="preserve">. The regions of interest </w:t>
      </w:r>
      <w:r w:rsidRPr="00F94448">
        <w:rPr>
          <w:rFonts w:ascii="Arial" w:hAnsi="Arial" w:cs="Arial"/>
          <w:noProof/>
        </w:rPr>
        <w:t>were drawn</w:t>
      </w:r>
      <w:r w:rsidRPr="00F94448">
        <w:rPr>
          <w:rFonts w:ascii="Arial" w:hAnsi="Arial" w:cs="Arial"/>
        </w:rPr>
        <w:t xml:space="preserve"> on the FA image for each control, and co-registered T1 images </w:t>
      </w:r>
      <w:r w:rsidRPr="00F94448">
        <w:rPr>
          <w:rFonts w:ascii="Arial" w:hAnsi="Arial" w:cs="Arial"/>
          <w:noProof/>
        </w:rPr>
        <w:t>were used</w:t>
      </w:r>
      <w:r w:rsidRPr="00F94448">
        <w:rPr>
          <w:rFonts w:ascii="Arial" w:hAnsi="Arial" w:cs="Arial"/>
        </w:rPr>
        <w:t xml:space="preserve"> as an anatomical guide. All ROIs were delineated by referencing anatomical guidelines provided by neuroanatomical atlases (e.g., </w:t>
      </w:r>
      <w:proofErr w:type="spellStart"/>
      <w:r w:rsidRPr="00F94448">
        <w:rPr>
          <w:rFonts w:ascii="Arial" w:hAnsi="Arial" w:cs="Arial"/>
        </w:rPr>
        <w:t>Naidich</w:t>
      </w:r>
      <w:proofErr w:type="spellEnd"/>
      <w:r w:rsidRPr="00F94448">
        <w:rPr>
          <w:rFonts w:ascii="Arial" w:hAnsi="Arial" w:cs="Arial"/>
        </w:rPr>
        <w:t xml:space="preserve"> et al., 2008). Then, all images and ROIs were co-registered to the MNI</w:t>
      </w:r>
      <w:r>
        <w:rPr>
          <w:rFonts w:ascii="Arial" w:hAnsi="Arial" w:cs="Arial"/>
        </w:rPr>
        <w:t>152</w:t>
      </w:r>
      <w:r w:rsidRPr="00F94448">
        <w:rPr>
          <w:rFonts w:ascii="Arial" w:hAnsi="Arial" w:cs="Arial"/>
        </w:rPr>
        <w:t xml:space="preserve"> brain template. Once all images were in MNI</w:t>
      </w:r>
      <w:r>
        <w:rPr>
          <w:rFonts w:ascii="Arial" w:hAnsi="Arial" w:cs="Arial"/>
        </w:rPr>
        <w:t xml:space="preserve"> </w:t>
      </w:r>
      <w:r w:rsidRPr="00F94448">
        <w:rPr>
          <w:rFonts w:ascii="Arial" w:hAnsi="Arial" w:cs="Arial"/>
        </w:rPr>
        <w:t xml:space="preserve">space, each of the ROIs </w:t>
      </w:r>
      <w:r w:rsidRPr="00F94448">
        <w:rPr>
          <w:rFonts w:ascii="Arial" w:hAnsi="Arial" w:cs="Arial"/>
          <w:noProof/>
        </w:rPr>
        <w:t>was</w:t>
      </w:r>
      <w:r w:rsidRPr="00F94448">
        <w:rPr>
          <w:rFonts w:ascii="Arial" w:hAnsi="Arial" w:cs="Arial"/>
        </w:rPr>
        <w:t xml:space="preserve"> combined across participants to obtain an average ROI </w:t>
      </w:r>
      <w:r w:rsidRPr="00F94448">
        <w:rPr>
          <w:rFonts w:ascii="Arial" w:hAnsi="Arial" w:cs="Arial"/>
          <w:noProof/>
        </w:rPr>
        <w:t>template</w:t>
      </w:r>
      <w:r w:rsidRPr="00F94448">
        <w:rPr>
          <w:rFonts w:ascii="Arial" w:hAnsi="Arial" w:cs="Arial"/>
        </w:rPr>
        <w:t xml:space="preserve"> across the </w:t>
      </w:r>
      <w:r w:rsidRPr="00F94448">
        <w:rPr>
          <w:rFonts w:ascii="Arial" w:hAnsi="Arial" w:cs="Arial"/>
          <w:noProof/>
        </w:rPr>
        <w:t>10</w:t>
      </w:r>
      <w:r w:rsidRPr="00F94448">
        <w:rPr>
          <w:rFonts w:ascii="Arial" w:hAnsi="Arial" w:cs="Arial"/>
        </w:rPr>
        <w:t xml:space="preserve"> randomly selected controls. Each of these ROI </w:t>
      </w:r>
      <w:r w:rsidRPr="00F94448">
        <w:rPr>
          <w:rFonts w:ascii="Arial" w:hAnsi="Arial" w:cs="Arial"/>
          <w:noProof/>
        </w:rPr>
        <w:t>templates</w:t>
      </w:r>
      <w:r w:rsidRPr="00F94448">
        <w:rPr>
          <w:rFonts w:ascii="Arial" w:hAnsi="Arial" w:cs="Arial"/>
        </w:rPr>
        <w:t xml:space="preserve"> </w:t>
      </w:r>
      <w:r w:rsidRPr="00F94448">
        <w:rPr>
          <w:rFonts w:ascii="Arial" w:hAnsi="Arial" w:cs="Arial"/>
          <w:noProof/>
        </w:rPr>
        <w:t>was</w:t>
      </w:r>
      <w:r w:rsidRPr="00F94448">
        <w:rPr>
          <w:rFonts w:ascii="Arial" w:hAnsi="Arial" w:cs="Arial"/>
        </w:rPr>
        <w:t xml:space="preserve"> then visually </w:t>
      </w:r>
      <w:r w:rsidRPr="00F94448">
        <w:rPr>
          <w:rFonts w:ascii="Arial" w:hAnsi="Arial" w:cs="Arial"/>
          <w:noProof/>
        </w:rPr>
        <w:t>verified</w:t>
      </w:r>
      <w:r w:rsidRPr="00F94448">
        <w:rPr>
          <w:rFonts w:ascii="Arial" w:hAnsi="Arial" w:cs="Arial"/>
        </w:rPr>
        <w:t xml:space="preserve"> and </w:t>
      </w:r>
      <w:r w:rsidRPr="00F94448">
        <w:rPr>
          <w:rFonts w:ascii="Arial" w:hAnsi="Arial" w:cs="Arial"/>
          <w:noProof/>
        </w:rPr>
        <w:lastRenderedPageBreak/>
        <w:t>manually</w:t>
      </w:r>
      <w:r w:rsidRPr="00F94448">
        <w:rPr>
          <w:rFonts w:ascii="Arial" w:hAnsi="Arial" w:cs="Arial"/>
        </w:rPr>
        <w:t xml:space="preserve"> edited when necessary to be consistent with the </w:t>
      </w:r>
      <w:r w:rsidRPr="00F94448">
        <w:rPr>
          <w:rFonts w:ascii="Arial" w:hAnsi="Arial" w:cs="Arial"/>
          <w:noProof/>
        </w:rPr>
        <w:t>aforementioned ROI</w:t>
      </w:r>
      <w:r w:rsidRPr="00F94448">
        <w:rPr>
          <w:rFonts w:ascii="Arial" w:hAnsi="Arial" w:cs="Arial"/>
        </w:rPr>
        <w:t xml:space="preserve"> boundaries on the </w:t>
      </w:r>
      <w:r>
        <w:rPr>
          <w:rFonts w:ascii="Arial" w:hAnsi="Arial" w:cs="Arial"/>
        </w:rPr>
        <w:t>MNI</w:t>
      </w:r>
      <w:r w:rsidRPr="00CA3C7F">
        <w:rPr>
          <w:rFonts w:ascii="Arial" w:hAnsi="Arial" w:cs="Arial"/>
        </w:rPr>
        <w:t xml:space="preserve">152 </w:t>
      </w:r>
      <w:r w:rsidRPr="00F94448">
        <w:rPr>
          <w:rFonts w:ascii="Arial" w:hAnsi="Arial" w:cs="Arial"/>
        </w:rPr>
        <w:t xml:space="preserve">brain to create the template ROIs. </w:t>
      </w:r>
    </w:p>
    <w:p w14:paraId="34464621" w14:textId="77777777" w:rsidR="0005349E" w:rsidRDefault="0005349E" w:rsidP="0005349E">
      <w:pPr>
        <w:spacing w:line="480" w:lineRule="auto"/>
        <w:ind w:firstLine="360"/>
        <w:rPr>
          <w:rFonts w:ascii="Arial" w:hAnsi="Arial" w:cs="Arial"/>
        </w:rPr>
      </w:pPr>
      <w:r w:rsidRPr="00F94448">
        <w:rPr>
          <w:rFonts w:ascii="Arial" w:hAnsi="Arial" w:cs="Arial"/>
        </w:rPr>
        <w:t>Next, AFNI</w:t>
      </w:r>
      <w:r>
        <w:rPr>
          <w:rFonts w:ascii="Arial" w:hAnsi="Arial" w:cs="Arial"/>
        </w:rPr>
        <w:t>’s</w:t>
      </w:r>
      <w:r w:rsidRPr="00F94448">
        <w:rPr>
          <w:rFonts w:ascii="Arial" w:hAnsi="Arial" w:cs="Arial"/>
        </w:rPr>
        <w:t xml:space="preserve"> </w:t>
      </w:r>
      <w:r w:rsidRPr="00F94448">
        <w:rPr>
          <w:rFonts w:ascii="Arial" w:hAnsi="Arial" w:cs="Arial"/>
          <w:noProof/>
        </w:rPr>
        <w:t>non-linear</w:t>
      </w:r>
      <w:r w:rsidRPr="00F94448">
        <w:rPr>
          <w:rFonts w:ascii="Arial" w:hAnsi="Arial" w:cs="Arial"/>
        </w:rPr>
        <w:t xml:space="preserve"> registration program was used (Cox, 1996; Cox and </w:t>
      </w:r>
      <w:proofErr w:type="spellStart"/>
      <w:r w:rsidRPr="00F94448">
        <w:rPr>
          <w:rFonts w:ascii="Arial" w:hAnsi="Arial" w:cs="Arial"/>
        </w:rPr>
        <w:t>Jesmanowicz</w:t>
      </w:r>
      <w:proofErr w:type="spellEnd"/>
      <w:r w:rsidRPr="00F94448">
        <w:rPr>
          <w:rFonts w:ascii="Arial" w:hAnsi="Arial" w:cs="Arial"/>
        </w:rPr>
        <w:t>, 1999) to register each participant’s FA image to the standard MNI</w:t>
      </w:r>
      <w:r w:rsidRPr="00CA3C7F">
        <w:rPr>
          <w:rFonts w:ascii="Arial" w:hAnsi="Arial" w:cs="Arial"/>
        </w:rPr>
        <w:t xml:space="preserve">152 </w:t>
      </w:r>
      <w:r w:rsidRPr="00F94448">
        <w:rPr>
          <w:rFonts w:ascii="Arial" w:hAnsi="Arial" w:cs="Arial"/>
        </w:rPr>
        <w:t xml:space="preserve">FA image (1x1x1mm). Following registration, AFNI was used to calculate the inverse normalization warp matrix from </w:t>
      </w:r>
      <w:r>
        <w:rPr>
          <w:rFonts w:ascii="Arial" w:hAnsi="Arial" w:cs="Arial"/>
        </w:rPr>
        <w:t>MNI</w:t>
      </w:r>
      <w:r w:rsidRPr="00CA3C7F">
        <w:rPr>
          <w:rFonts w:ascii="Arial" w:hAnsi="Arial" w:cs="Arial"/>
        </w:rPr>
        <w:t xml:space="preserve">152 </w:t>
      </w:r>
      <w:r w:rsidRPr="00F94448">
        <w:rPr>
          <w:rFonts w:ascii="Arial" w:hAnsi="Arial" w:cs="Arial"/>
        </w:rPr>
        <w:t xml:space="preserve">space to native space. The inverse matrix was then applied to the template ROIs to bring the template ROIs into native space for each participant. Once the ROIs were in native space, each ROI </w:t>
      </w:r>
      <w:r w:rsidRPr="00F94448">
        <w:rPr>
          <w:rFonts w:ascii="Arial" w:hAnsi="Arial" w:cs="Arial"/>
          <w:noProof/>
        </w:rPr>
        <w:t>was checked</w:t>
      </w:r>
      <w:r w:rsidRPr="00F94448">
        <w:rPr>
          <w:rFonts w:ascii="Arial" w:hAnsi="Arial" w:cs="Arial"/>
        </w:rPr>
        <w:t xml:space="preserve"> for accuracy. This method </w:t>
      </w:r>
      <w:r w:rsidRPr="00F94448">
        <w:rPr>
          <w:rFonts w:ascii="Arial" w:hAnsi="Arial" w:cs="Arial"/>
          <w:noProof/>
        </w:rPr>
        <w:t>was used</w:t>
      </w:r>
      <w:r w:rsidRPr="00F94448">
        <w:rPr>
          <w:rFonts w:ascii="Arial" w:hAnsi="Arial" w:cs="Arial"/>
        </w:rPr>
        <w:t xml:space="preserve"> for all the ROI templates. In general, the template ROIs registered accurately to the participants’ native space based on a visual investigation of the images, and ROIs were manually corrected when necessary. All ROIs </w:t>
      </w:r>
      <w:r w:rsidRPr="00F94448">
        <w:rPr>
          <w:rFonts w:ascii="Arial" w:hAnsi="Arial" w:cs="Arial"/>
          <w:noProof/>
        </w:rPr>
        <w:t>were carefully checked</w:t>
      </w:r>
      <w:r w:rsidRPr="00F94448">
        <w:rPr>
          <w:rFonts w:ascii="Arial" w:hAnsi="Arial" w:cs="Arial"/>
        </w:rPr>
        <w:t xml:space="preserve"> and edited after each transformation. </w:t>
      </w:r>
    </w:p>
    <w:p w14:paraId="466B7A41" w14:textId="77777777" w:rsidR="00A82DE4" w:rsidRDefault="00DA02E0"/>
    <w:sectPr w:rsidR="00A82D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B807E" w14:textId="77777777" w:rsidR="00DA02E0" w:rsidRDefault="00DA02E0" w:rsidP="0005349E">
      <w:pPr>
        <w:spacing w:after="0" w:line="240" w:lineRule="auto"/>
      </w:pPr>
      <w:r>
        <w:separator/>
      </w:r>
    </w:p>
  </w:endnote>
  <w:endnote w:type="continuationSeparator" w:id="0">
    <w:p w14:paraId="31CB4A4B" w14:textId="77777777" w:rsidR="00DA02E0" w:rsidRDefault="00DA02E0" w:rsidP="0005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font>
  <w:font w:name="DejaVu Sans">
    <w:charset w:val="00"/>
    <w:family w:val="auto"/>
    <w:pitch w:val="variable"/>
  </w:font>
  <w:font w:name="Lohit Devanagari">
    <w:altName w:val="Times New Roman"/>
    <w:charset w:val="00"/>
    <w:family w:val="auto"/>
    <w:pitch w:val="default"/>
  </w:font>
  <w:font w:name="DejaVu Sans Mono">
    <w:altName w:val="MS Gothic"/>
    <w:charset w:val="00"/>
    <w:family w:val="modern"/>
    <w:pitch w:val="fixed"/>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7D4EC" w14:textId="77777777" w:rsidR="0005349E" w:rsidRDefault="00053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2144B" w14:textId="77777777" w:rsidR="0005349E" w:rsidRDefault="000534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D8514" w14:textId="77777777" w:rsidR="0005349E" w:rsidRDefault="00053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33D66" w14:textId="77777777" w:rsidR="00DA02E0" w:rsidRDefault="00DA02E0" w:rsidP="0005349E">
      <w:pPr>
        <w:spacing w:after="0" w:line="240" w:lineRule="auto"/>
      </w:pPr>
      <w:r>
        <w:separator/>
      </w:r>
    </w:p>
  </w:footnote>
  <w:footnote w:type="continuationSeparator" w:id="0">
    <w:p w14:paraId="7C37AA84" w14:textId="77777777" w:rsidR="00DA02E0" w:rsidRDefault="00DA02E0" w:rsidP="00053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CC9A0" w14:textId="77777777" w:rsidR="0005349E" w:rsidRDefault="000534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C5EFD" w14:textId="77777777" w:rsidR="0005349E" w:rsidRDefault="000534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E2C7F" w14:textId="77777777" w:rsidR="0005349E" w:rsidRDefault="000534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D240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9E"/>
    <w:rsid w:val="0005349E"/>
    <w:rsid w:val="00062D66"/>
    <w:rsid w:val="0080595C"/>
    <w:rsid w:val="00932297"/>
    <w:rsid w:val="00BD51D5"/>
    <w:rsid w:val="00DA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0A87"/>
  <w15:chartTrackingRefBased/>
  <w15:docId w15:val="{A9056B09-B278-4B0B-8411-DB38139B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9E"/>
  </w:style>
  <w:style w:type="paragraph" w:styleId="Heading1">
    <w:name w:val="heading 1"/>
    <w:basedOn w:val="Normal"/>
    <w:next w:val="Normal"/>
    <w:link w:val="Heading1Char"/>
    <w:uiPriority w:val="9"/>
    <w:qFormat/>
    <w:rsid w:val="0005349E"/>
    <w:pPr>
      <w:keepNext/>
      <w:keepLines/>
      <w:numPr>
        <w:numId w:val="1"/>
      </w:numPr>
      <w:spacing w:before="120" w:after="120" w:line="480" w:lineRule="auto"/>
      <w:jc w:val="center"/>
      <w:outlineLvl w:val="0"/>
    </w:pPr>
    <w:rPr>
      <w:rFonts w:ascii="Arial" w:eastAsia="Times New Roman" w:hAnsi="Arial" w:cs="Arial"/>
      <w:b/>
      <w:bCs/>
      <w:sz w:val="24"/>
    </w:rPr>
  </w:style>
  <w:style w:type="paragraph" w:styleId="Heading2">
    <w:name w:val="heading 2"/>
    <w:basedOn w:val="Normal"/>
    <w:next w:val="Normal"/>
    <w:link w:val="Heading2Char"/>
    <w:uiPriority w:val="9"/>
    <w:unhideWhenUsed/>
    <w:qFormat/>
    <w:rsid w:val="0005349E"/>
    <w:pPr>
      <w:keepNext/>
      <w:keepLines/>
      <w:numPr>
        <w:ilvl w:val="1"/>
        <w:numId w:val="1"/>
      </w:numPr>
      <w:spacing w:before="120" w:after="0" w:line="480" w:lineRule="auto"/>
      <w:outlineLvl w:val="1"/>
    </w:pPr>
    <w:rPr>
      <w:rFonts w:ascii="Arial" w:eastAsia="Times New Roman" w:hAnsi="Arial" w:cs="Arial"/>
      <w:b/>
      <w:bCs/>
      <w:sz w:val="24"/>
      <w:szCs w:val="26"/>
    </w:rPr>
  </w:style>
  <w:style w:type="paragraph" w:styleId="Heading3">
    <w:name w:val="heading 3"/>
    <w:basedOn w:val="Normal"/>
    <w:next w:val="Normal"/>
    <w:link w:val="Heading3Char"/>
    <w:uiPriority w:val="9"/>
    <w:unhideWhenUsed/>
    <w:qFormat/>
    <w:rsid w:val="0005349E"/>
    <w:pPr>
      <w:keepNext/>
      <w:keepLines/>
      <w:numPr>
        <w:ilvl w:val="2"/>
        <w:numId w:val="1"/>
      </w:numPr>
      <w:spacing w:before="120" w:after="0" w:line="480" w:lineRule="auto"/>
      <w:outlineLvl w:val="2"/>
    </w:pPr>
    <w:rPr>
      <w:rFonts w:ascii="Arial" w:eastAsia="Times New Roman" w:hAnsi="Arial" w:cs="Arial"/>
      <w:b/>
      <w:bCs/>
      <w:i/>
      <w:sz w:val="24"/>
    </w:rPr>
  </w:style>
  <w:style w:type="paragraph" w:styleId="Heading4">
    <w:name w:val="heading 4"/>
    <w:basedOn w:val="Normal"/>
    <w:next w:val="Normal"/>
    <w:link w:val="Heading4Char"/>
    <w:uiPriority w:val="9"/>
    <w:unhideWhenUsed/>
    <w:qFormat/>
    <w:rsid w:val="0005349E"/>
    <w:pPr>
      <w:keepNext/>
      <w:keepLines/>
      <w:numPr>
        <w:ilvl w:val="3"/>
        <w:numId w:val="1"/>
      </w:numPr>
      <w:spacing w:before="120" w:after="0" w:line="480" w:lineRule="auto"/>
      <w:outlineLvl w:val="3"/>
    </w:pPr>
    <w:rPr>
      <w:rFonts w:ascii="Times New Roman" w:eastAsia="Times New Roman" w:hAnsi="Times New Roman" w:cs="Times New Roman"/>
      <w:b/>
      <w:bCs/>
      <w:i/>
      <w:iCs/>
      <w:sz w:val="24"/>
    </w:rPr>
  </w:style>
  <w:style w:type="paragraph" w:styleId="Heading5">
    <w:name w:val="heading 5"/>
    <w:basedOn w:val="Normal"/>
    <w:next w:val="Normal"/>
    <w:link w:val="Heading5Char"/>
    <w:uiPriority w:val="9"/>
    <w:unhideWhenUsed/>
    <w:qFormat/>
    <w:rsid w:val="0005349E"/>
    <w:pPr>
      <w:keepNext/>
      <w:keepLines/>
      <w:numPr>
        <w:ilvl w:val="4"/>
        <w:numId w:val="1"/>
      </w:numPr>
      <w:spacing w:before="120" w:after="0" w:line="480" w:lineRule="auto"/>
      <w:outlineLvl w:val="4"/>
    </w:pPr>
    <w:rPr>
      <w:rFonts w:ascii="Times New Roman" w:eastAsia="Times New Roman" w:hAnsi="Times New Roman" w:cs="Times New Roman"/>
      <w:sz w:val="24"/>
    </w:rPr>
  </w:style>
  <w:style w:type="paragraph" w:styleId="Heading6">
    <w:name w:val="heading 6"/>
    <w:basedOn w:val="Normal"/>
    <w:next w:val="Normal"/>
    <w:link w:val="Heading6Char"/>
    <w:uiPriority w:val="9"/>
    <w:semiHidden/>
    <w:unhideWhenUsed/>
    <w:qFormat/>
    <w:rsid w:val="0005349E"/>
    <w:pPr>
      <w:keepNext/>
      <w:keepLines/>
      <w:numPr>
        <w:ilvl w:val="5"/>
        <w:numId w:val="1"/>
      </w:numPr>
      <w:spacing w:before="200" w:after="0" w:line="480" w:lineRule="auto"/>
      <w:outlineLvl w:val="5"/>
    </w:pPr>
    <w:rPr>
      <w:rFonts w:ascii="Cambria" w:eastAsia="Times New Roman" w:hAnsi="Cambria" w:cs="Times New Roman"/>
      <w:i/>
      <w:iCs/>
      <w:color w:val="6E6E6E"/>
      <w:sz w:val="24"/>
    </w:rPr>
  </w:style>
  <w:style w:type="paragraph" w:styleId="Heading7">
    <w:name w:val="heading 7"/>
    <w:basedOn w:val="Normal"/>
    <w:next w:val="Normal"/>
    <w:link w:val="Heading7Char"/>
    <w:uiPriority w:val="9"/>
    <w:semiHidden/>
    <w:unhideWhenUsed/>
    <w:qFormat/>
    <w:rsid w:val="0005349E"/>
    <w:pPr>
      <w:keepNext/>
      <w:keepLines/>
      <w:numPr>
        <w:ilvl w:val="6"/>
        <w:numId w:val="1"/>
      </w:numPr>
      <w:spacing w:before="200" w:after="0" w:line="480" w:lineRule="auto"/>
      <w:outlineLvl w:val="6"/>
    </w:pPr>
    <w:rPr>
      <w:rFonts w:ascii="Cambria" w:eastAsia="Times New Roman" w:hAnsi="Cambria" w:cs="Times New Roman"/>
      <w:i/>
      <w:iCs/>
      <w:color w:val="404040"/>
      <w:sz w:val="24"/>
    </w:rPr>
  </w:style>
  <w:style w:type="paragraph" w:styleId="Heading8">
    <w:name w:val="heading 8"/>
    <w:basedOn w:val="Normal"/>
    <w:next w:val="Normal"/>
    <w:link w:val="Heading8Char"/>
    <w:uiPriority w:val="9"/>
    <w:semiHidden/>
    <w:unhideWhenUsed/>
    <w:qFormat/>
    <w:rsid w:val="0005349E"/>
    <w:pPr>
      <w:keepNext/>
      <w:keepLines/>
      <w:numPr>
        <w:ilvl w:val="7"/>
        <w:numId w:val="1"/>
      </w:numPr>
      <w:spacing w:before="200" w:after="0" w:line="48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05349E"/>
    <w:pPr>
      <w:keepNext/>
      <w:keepLines/>
      <w:numPr>
        <w:ilvl w:val="8"/>
        <w:numId w:val="1"/>
      </w:numPr>
      <w:spacing w:before="200" w:after="0" w:line="48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49E"/>
    <w:rPr>
      <w:rFonts w:ascii="Arial" w:eastAsia="Times New Roman" w:hAnsi="Arial" w:cs="Arial"/>
      <w:b/>
      <w:bCs/>
      <w:sz w:val="24"/>
    </w:rPr>
  </w:style>
  <w:style w:type="character" w:customStyle="1" w:styleId="Heading2Char">
    <w:name w:val="Heading 2 Char"/>
    <w:basedOn w:val="DefaultParagraphFont"/>
    <w:link w:val="Heading2"/>
    <w:uiPriority w:val="9"/>
    <w:rsid w:val="0005349E"/>
    <w:rPr>
      <w:rFonts w:ascii="Arial" w:eastAsia="Times New Roman" w:hAnsi="Arial" w:cs="Arial"/>
      <w:b/>
      <w:bCs/>
      <w:sz w:val="24"/>
      <w:szCs w:val="26"/>
    </w:rPr>
  </w:style>
  <w:style w:type="character" w:customStyle="1" w:styleId="Heading3Char">
    <w:name w:val="Heading 3 Char"/>
    <w:basedOn w:val="DefaultParagraphFont"/>
    <w:link w:val="Heading3"/>
    <w:uiPriority w:val="9"/>
    <w:rsid w:val="0005349E"/>
    <w:rPr>
      <w:rFonts w:ascii="Arial" w:eastAsia="Times New Roman" w:hAnsi="Arial" w:cs="Arial"/>
      <w:b/>
      <w:bCs/>
      <w:i/>
      <w:sz w:val="24"/>
    </w:rPr>
  </w:style>
  <w:style w:type="character" w:customStyle="1" w:styleId="Heading4Char">
    <w:name w:val="Heading 4 Char"/>
    <w:basedOn w:val="DefaultParagraphFont"/>
    <w:link w:val="Heading4"/>
    <w:uiPriority w:val="9"/>
    <w:rsid w:val="0005349E"/>
    <w:rPr>
      <w:rFonts w:ascii="Times New Roman" w:eastAsia="Times New Roman" w:hAnsi="Times New Roman" w:cs="Times New Roman"/>
      <w:b/>
      <w:bCs/>
      <w:i/>
      <w:iCs/>
      <w:sz w:val="24"/>
    </w:rPr>
  </w:style>
  <w:style w:type="character" w:customStyle="1" w:styleId="Heading5Char">
    <w:name w:val="Heading 5 Char"/>
    <w:basedOn w:val="DefaultParagraphFont"/>
    <w:link w:val="Heading5"/>
    <w:uiPriority w:val="9"/>
    <w:rsid w:val="0005349E"/>
    <w:rPr>
      <w:rFonts w:ascii="Times New Roman" w:eastAsia="Times New Roman" w:hAnsi="Times New Roman" w:cs="Times New Roman"/>
      <w:sz w:val="24"/>
    </w:rPr>
  </w:style>
  <w:style w:type="character" w:customStyle="1" w:styleId="Heading6Char">
    <w:name w:val="Heading 6 Char"/>
    <w:basedOn w:val="DefaultParagraphFont"/>
    <w:link w:val="Heading6"/>
    <w:uiPriority w:val="9"/>
    <w:semiHidden/>
    <w:rsid w:val="0005349E"/>
    <w:rPr>
      <w:rFonts w:ascii="Cambria" w:eastAsia="Times New Roman" w:hAnsi="Cambria" w:cs="Times New Roman"/>
      <w:i/>
      <w:iCs/>
      <w:color w:val="6E6E6E"/>
      <w:sz w:val="24"/>
    </w:rPr>
  </w:style>
  <w:style w:type="character" w:customStyle="1" w:styleId="Heading7Char">
    <w:name w:val="Heading 7 Char"/>
    <w:basedOn w:val="DefaultParagraphFont"/>
    <w:link w:val="Heading7"/>
    <w:uiPriority w:val="9"/>
    <w:semiHidden/>
    <w:rsid w:val="0005349E"/>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
    <w:semiHidden/>
    <w:rsid w:val="0005349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05349E"/>
    <w:rPr>
      <w:rFonts w:ascii="Cambria" w:eastAsia="Times New Roman" w:hAnsi="Cambria" w:cs="Times New Roman"/>
      <w:i/>
      <w:iCs/>
      <w:color w:val="404040"/>
      <w:sz w:val="20"/>
      <w:szCs w:val="20"/>
    </w:rPr>
  </w:style>
  <w:style w:type="paragraph" w:customStyle="1" w:styleId="Textbody">
    <w:name w:val="Text body"/>
    <w:basedOn w:val="Normal"/>
    <w:rsid w:val="0005349E"/>
    <w:pPr>
      <w:widowControl w:val="0"/>
      <w:suppressAutoHyphens/>
      <w:autoSpaceDN w:val="0"/>
      <w:spacing w:after="120" w:line="240" w:lineRule="auto"/>
      <w:textAlignment w:val="baseline"/>
    </w:pPr>
    <w:rPr>
      <w:rFonts w:ascii="Liberation Serif" w:eastAsia="DejaVu Sans" w:hAnsi="Liberation Serif" w:cs="Lohit Devanagari"/>
      <w:kern w:val="3"/>
      <w:sz w:val="24"/>
      <w:szCs w:val="24"/>
      <w:lang w:eastAsia="zh-CN" w:bidi="hi-IN"/>
    </w:rPr>
  </w:style>
  <w:style w:type="character" w:customStyle="1" w:styleId="Teletype">
    <w:name w:val="Teletype"/>
    <w:rsid w:val="0005349E"/>
    <w:rPr>
      <w:rFonts w:ascii="DejaVu Sans Mono" w:eastAsia="DejaVu Sans" w:hAnsi="DejaVu Sans Mono" w:cs="DejaVu Sans Mono"/>
    </w:rPr>
  </w:style>
  <w:style w:type="paragraph" w:styleId="Header">
    <w:name w:val="header"/>
    <w:basedOn w:val="Normal"/>
    <w:link w:val="HeaderChar"/>
    <w:uiPriority w:val="99"/>
    <w:unhideWhenUsed/>
    <w:rsid w:val="00053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49E"/>
  </w:style>
  <w:style w:type="paragraph" w:styleId="Footer">
    <w:name w:val="footer"/>
    <w:basedOn w:val="Normal"/>
    <w:link w:val="FooterChar"/>
    <w:uiPriority w:val="99"/>
    <w:unhideWhenUsed/>
    <w:rsid w:val="00053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AILION BRUCE</dc:creator>
  <cp:keywords/>
  <dc:description/>
  <cp:lastModifiedBy>FMRI-King</cp:lastModifiedBy>
  <cp:revision>2</cp:revision>
  <dcterms:created xsi:type="dcterms:W3CDTF">2019-10-16T22:39:00Z</dcterms:created>
  <dcterms:modified xsi:type="dcterms:W3CDTF">2019-10-16T22:39:00Z</dcterms:modified>
</cp:coreProperties>
</file>