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12" w:rsidRDefault="00A60112">
      <w:pPr>
        <w:rPr>
          <w:b/>
        </w:rPr>
      </w:pPr>
      <w:r>
        <w:rPr>
          <w:noProof/>
        </w:rPr>
        <w:drawing>
          <wp:inline distT="0" distB="0" distL="0" distR="0" wp14:anchorId="664AC1CB" wp14:editId="5CF987E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0112" w:rsidRDefault="00A60112">
      <w:pPr>
        <w:rPr>
          <w:b/>
        </w:rPr>
      </w:pPr>
      <w:r>
        <w:rPr>
          <w:b/>
        </w:rPr>
        <w:br w:type="page"/>
      </w:r>
    </w:p>
    <w:p w:rsidR="00A60112" w:rsidRDefault="00A60112" w:rsidP="00A60112">
      <w:pPr>
        <w:spacing w:after="0" w:line="240" w:lineRule="auto"/>
        <w:jc w:val="center"/>
        <w:rPr>
          <w:b/>
        </w:rPr>
      </w:pPr>
      <w:r>
        <w:rPr>
          <w:b/>
        </w:rPr>
        <w:lastRenderedPageBreak/>
        <w:t>Figure S2: MCI</w:t>
      </w:r>
      <w:r w:rsidRPr="00AA1DAC">
        <w:rPr>
          <w:b/>
        </w:rPr>
        <w:t xml:space="preserve"> Risk </w:t>
      </w:r>
      <w:r>
        <w:rPr>
          <w:b/>
        </w:rPr>
        <w:t>Estimator</w:t>
      </w:r>
      <w:r w:rsidRPr="00AA1DAC">
        <w:rPr>
          <w:b/>
        </w:rPr>
        <w:t xml:space="preserve"> </w:t>
      </w:r>
      <w:r>
        <w:rPr>
          <w:b/>
        </w:rPr>
        <w:t>Worksheet*</w:t>
      </w:r>
    </w:p>
    <w:p w:rsidR="00A60112" w:rsidRPr="00AA1DAC" w:rsidRDefault="00A60112" w:rsidP="00A60112">
      <w:pPr>
        <w:spacing w:after="0" w:line="240" w:lineRule="auto"/>
        <w:jc w:val="center"/>
        <w:rPr>
          <w:b/>
        </w:rPr>
      </w:pPr>
    </w:p>
    <w:p w:rsidR="00A60112" w:rsidRPr="00CE2F3F" w:rsidRDefault="00A60112" w:rsidP="00A60112">
      <w:pPr>
        <w:rPr>
          <w:rFonts w:ascii="Arial" w:hAnsi="Arial" w:cs="Arial"/>
          <w:sz w:val="20"/>
          <w:szCs w:val="20"/>
        </w:rPr>
      </w:pPr>
      <w:r w:rsidRPr="00CE2F3F">
        <w:rPr>
          <w:rFonts w:ascii="Arial" w:hAnsi="Arial" w:cs="Arial"/>
          <w:b/>
          <w:sz w:val="20"/>
          <w:szCs w:val="20"/>
        </w:rPr>
        <w:t>Instructions:</w:t>
      </w:r>
      <w:r w:rsidRPr="00CE2F3F">
        <w:rPr>
          <w:rFonts w:ascii="Arial" w:hAnsi="Arial" w:cs="Arial"/>
          <w:sz w:val="20"/>
          <w:szCs w:val="20"/>
        </w:rPr>
        <w:t xml:space="preserve">  Use the raw WRAT Reading Standard Score, Trails B, and AVLT Sum of Learning Trials scores to obtain a “Total MCI Risk” score. </w:t>
      </w:r>
      <w:r w:rsidRPr="00CE2F3F">
        <w:rPr>
          <w:rFonts w:ascii="Arial" w:hAnsi="Arial" w:cs="Arial"/>
          <w:b/>
          <w:i/>
          <w:sz w:val="20"/>
          <w:szCs w:val="20"/>
        </w:rPr>
        <w:t>Circle</w:t>
      </w:r>
      <w:r w:rsidRPr="00CE2F3F">
        <w:rPr>
          <w:rFonts w:ascii="Arial" w:hAnsi="Arial" w:cs="Arial"/>
          <w:i/>
          <w:sz w:val="20"/>
          <w:szCs w:val="20"/>
        </w:rPr>
        <w:t xml:space="preserve"> </w:t>
      </w:r>
      <w:r w:rsidRPr="00CE2F3F">
        <w:rPr>
          <w:rFonts w:ascii="Arial" w:hAnsi="Arial" w:cs="Arial"/>
          <w:sz w:val="20"/>
          <w:szCs w:val="20"/>
        </w:rPr>
        <w:t>the appropriate scores in the “Risk Score” and “</w:t>
      </w:r>
      <w:proofErr w:type="spellStart"/>
      <w:r w:rsidRPr="00CE2F3F">
        <w:rPr>
          <w:rFonts w:ascii="Arial" w:hAnsi="Arial" w:cs="Arial"/>
          <w:sz w:val="20"/>
          <w:szCs w:val="20"/>
        </w:rPr>
        <w:t>Intraindividual</w:t>
      </w:r>
      <w:proofErr w:type="spellEnd"/>
      <w:r w:rsidRPr="00CE2F3F">
        <w:rPr>
          <w:rFonts w:ascii="Arial" w:hAnsi="Arial" w:cs="Arial"/>
          <w:sz w:val="20"/>
          <w:szCs w:val="20"/>
        </w:rPr>
        <w:t xml:space="preserve"> Pattern” columns.  Then add up the circled </w:t>
      </w:r>
      <w:r w:rsidRPr="00CE2F3F">
        <w:rPr>
          <w:rFonts w:ascii="Arial" w:hAnsi="Arial" w:cs="Arial"/>
          <w:color w:val="0070C0"/>
          <w:sz w:val="20"/>
          <w:szCs w:val="20"/>
        </w:rPr>
        <w:t xml:space="preserve">blue numbers </w:t>
      </w:r>
      <w:r w:rsidRPr="00CE2F3F">
        <w:rPr>
          <w:rFonts w:ascii="Arial" w:hAnsi="Arial" w:cs="Arial"/>
          <w:sz w:val="20"/>
          <w:szCs w:val="20"/>
        </w:rPr>
        <w:t xml:space="preserve">in the Risk Score column to get an MCI Risk Score.  Last, use the MCI Risk Score to examine the odds ratio of continuing to early or clinical MCI in subsequent years. </w:t>
      </w:r>
    </w:p>
    <w:p w:rsidR="00A60112" w:rsidRPr="009E66A3" w:rsidRDefault="00A60112" w:rsidP="00A60112">
      <w:pPr>
        <w:spacing w:after="0"/>
        <w:rPr>
          <w:b/>
        </w:rPr>
      </w:pPr>
      <w:r>
        <w:t xml:space="preserve">                                                                                                                                                                              </w:t>
      </w:r>
      <w:r w:rsidRPr="009E66A3">
        <w:rPr>
          <w:b/>
        </w:rPr>
        <w:t>Risk Score</w:t>
      </w:r>
    </w:p>
    <w:p w:rsidR="00A60112" w:rsidRDefault="00A60112" w:rsidP="00A60112">
      <w:pPr>
        <w:pStyle w:val="ListParagraph"/>
        <w:numPr>
          <w:ilvl w:val="0"/>
          <w:numId w:val="1"/>
        </w:numPr>
        <w:spacing w:line="240" w:lineRule="auto"/>
      </w:pPr>
      <w:r>
        <w:t xml:space="preserve">AVLT Risk if AVLT </w:t>
      </w:r>
      <w:r w:rsidRPr="002E7DE3">
        <w:rPr>
          <w:u w:val="single"/>
        </w:rPr>
        <w:t>&lt;</w:t>
      </w:r>
      <w:r>
        <w:t xml:space="preserve"> 47 words across 5 learning trials…………………………………….……………………………..    </w:t>
      </w:r>
      <w:r w:rsidRPr="00AC5574">
        <w:rPr>
          <w:b/>
          <w:color w:val="0070C0"/>
        </w:rPr>
        <w:t xml:space="preserve">4 </w:t>
      </w:r>
    </w:p>
    <w:p w:rsidR="00A60112" w:rsidRDefault="00A60112" w:rsidP="00A60112">
      <w:pPr>
        <w:pStyle w:val="ListParagraph"/>
        <w:spacing w:line="240" w:lineRule="auto"/>
        <w:ind w:left="360"/>
      </w:pPr>
    </w:p>
    <w:p w:rsidR="00A60112" w:rsidRDefault="00A60112" w:rsidP="00A60112">
      <w:pPr>
        <w:pStyle w:val="ListParagraph"/>
        <w:numPr>
          <w:ilvl w:val="0"/>
          <w:numId w:val="1"/>
        </w:numPr>
      </w:pPr>
      <w:r>
        <w:t xml:space="preserve">Trails B Risk if Trails B </w:t>
      </w:r>
      <w:r w:rsidRPr="002E7DE3">
        <w:rPr>
          <w:u w:val="single"/>
        </w:rPr>
        <w:t>&gt;</w:t>
      </w:r>
      <w:r>
        <w:rPr>
          <w:u w:val="single"/>
        </w:rPr>
        <w:t xml:space="preserve"> </w:t>
      </w:r>
      <w:r w:rsidRPr="002E7DE3">
        <w:t>67</w:t>
      </w:r>
      <w:r>
        <w:t xml:space="preserve"> seconds …………………………………………………………………………………………….    </w:t>
      </w:r>
      <w:r w:rsidRPr="00AC5574">
        <w:rPr>
          <w:b/>
          <w:color w:val="0070C0"/>
        </w:rPr>
        <w:t>2</w:t>
      </w:r>
      <w:r>
        <w:t xml:space="preserve"> </w:t>
      </w:r>
    </w:p>
    <w:p w:rsidR="00A60112" w:rsidRDefault="00A60112" w:rsidP="00A60112">
      <w:pPr>
        <w:pStyle w:val="ListParagraph"/>
        <w:ind w:left="360"/>
      </w:pPr>
    </w:p>
    <w:p w:rsidR="00A60112" w:rsidRDefault="00A60112" w:rsidP="00A60112">
      <w:pPr>
        <w:pStyle w:val="ListParagraph"/>
        <w:numPr>
          <w:ilvl w:val="0"/>
          <w:numId w:val="1"/>
        </w:numPr>
      </w:pPr>
      <w:r>
        <w:t>Complete steps 3a – 3d to obtain the IICV Risk:</w:t>
      </w:r>
    </w:p>
    <w:p w:rsidR="00A60112" w:rsidRDefault="00A60112" w:rsidP="00A60112">
      <w:pPr>
        <w:pStyle w:val="ListParagraph"/>
        <w:ind w:left="360"/>
      </w:pPr>
      <w:r>
        <w:t xml:space="preserve">For parts a and b, examine each test score and circle the </w:t>
      </w:r>
      <w:proofErr w:type="spellStart"/>
      <w:r>
        <w:t>Intraindividual</w:t>
      </w:r>
      <w:proofErr w:type="spellEnd"/>
      <w:r>
        <w:t xml:space="preserve"> Pattern values for scores </w:t>
      </w:r>
    </w:p>
    <w:p w:rsidR="00A60112" w:rsidRDefault="00A60112" w:rsidP="00A60112">
      <w:pPr>
        <w:pStyle w:val="ListParagraph"/>
        <w:ind w:left="360"/>
      </w:pPr>
      <w:proofErr w:type="gramStart"/>
      <w:r>
        <w:t>that</w:t>
      </w:r>
      <w:proofErr w:type="gramEnd"/>
      <w:r>
        <w:t xml:space="preserve"> fall in the listed ranges.</w:t>
      </w:r>
    </w:p>
    <w:p w:rsidR="00A60112" w:rsidRDefault="00A60112" w:rsidP="00A60112">
      <w:pPr>
        <w:pStyle w:val="ListParagraph"/>
        <w:ind w:left="360"/>
      </w:pPr>
    </w:p>
    <w:p w:rsidR="00A60112" w:rsidRDefault="00A60112" w:rsidP="00A60112">
      <w:pPr>
        <w:pStyle w:val="ListParagraph"/>
        <w:numPr>
          <w:ilvl w:val="1"/>
          <w:numId w:val="1"/>
        </w:numPr>
        <w:spacing w:after="0"/>
        <w:ind w:left="720"/>
      </w:pPr>
      <w:r>
        <w:t xml:space="preserve">Upper Quartile                                </w:t>
      </w:r>
      <w:r>
        <w:tab/>
        <w:t xml:space="preserve">   </w:t>
      </w:r>
      <w:proofErr w:type="spellStart"/>
      <w:r>
        <w:t>Intraindividual</w:t>
      </w:r>
      <w:proofErr w:type="spellEnd"/>
      <w:r>
        <w:t xml:space="preserve"> Pattern</w:t>
      </w:r>
    </w:p>
    <w:p w:rsidR="00A60112" w:rsidRDefault="00A60112" w:rsidP="00A60112">
      <w:pPr>
        <w:spacing w:after="0" w:line="240" w:lineRule="auto"/>
        <w:ind w:left="720"/>
      </w:pPr>
      <w:r>
        <w:t xml:space="preserve">If WRAT </w:t>
      </w:r>
      <w:proofErr w:type="spellStart"/>
      <w:proofErr w:type="gramStart"/>
      <w:r>
        <w:t>Std</w:t>
      </w:r>
      <w:proofErr w:type="spellEnd"/>
      <w:proofErr w:type="gramEnd"/>
      <w:r>
        <w:t xml:space="preserve"> Reading </w:t>
      </w:r>
      <w:r w:rsidRPr="002E7DE3">
        <w:rPr>
          <w:u w:val="single"/>
        </w:rPr>
        <w:t>&gt;</w:t>
      </w:r>
      <w:r w:rsidRPr="00F70340">
        <w:t>113</w:t>
      </w:r>
      <w:r>
        <w:t xml:space="preserve"> ……………………………………… 10</w:t>
      </w:r>
    </w:p>
    <w:p w:rsidR="00A60112" w:rsidRDefault="00A60112" w:rsidP="00A60112">
      <w:pPr>
        <w:spacing w:after="0" w:line="240" w:lineRule="auto"/>
        <w:ind w:left="720"/>
      </w:pPr>
      <w:r>
        <w:t xml:space="preserve">If Trails B </w:t>
      </w:r>
      <w:r w:rsidRPr="002E7DE3">
        <w:rPr>
          <w:u w:val="single"/>
        </w:rPr>
        <w:t>&lt;</w:t>
      </w:r>
      <w:r>
        <w:t xml:space="preserve"> 46                       ……………………………………… 20</w:t>
      </w:r>
    </w:p>
    <w:p w:rsidR="00A60112" w:rsidRDefault="00A60112" w:rsidP="00A60112">
      <w:pPr>
        <w:spacing w:after="0" w:line="240" w:lineRule="auto"/>
        <w:ind w:left="720"/>
      </w:pPr>
      <w:r>
        <w:t xml:space="preserve">If AVLT </w:t>
      </w:r>
      <w:proofErr w:type="gramStart"/>
      <w:r w:rsidRPr="002E7DE3">
        <w:rPr>
          <w:u w:val="single"/>
        </w:rPr>
        <w:t>&gt;</w:t>
      </w:r>
      <w:r>
        <w:t xml:space="preserve">  57</w:t>
      </w:r>
      <w:proofErr w:type="gramEnd"/>
      <w:r>
        <w:t xml:space="preserve">                         ……………………………..………  40</w:t>
      </w:r>
    </w:p>
    <w:p w:rsidR="00A60112" w:rsidRDefault="00A60112" w:rsidP="00A60112">
      <w:pPr>
        <w:spacing w:after="0" w:line="240" w:lineRule="auto"/>
        <w:ind w:left="720"/>
      </w:pPr>
      <w:r>
        <w:t>If none of the above          ……………………………………….   0</w:t>
      </w:r>
    </w:p>
    <w:p w:rsidR="00A60112" w:rsidRDefault="00A60112" w:rsidP="00A60112">
      <w:pPr>
        <w:spacing w:after="0" w:line="240" w:lineRule="auto"/>
        <w:ind w:left="720"/>
      </w:pPr>
    </w:p>
    <w:p w:rsidR="00A60112" w:rsidRDefault="00A60112" w:rsidP="00A60112">
      <w:pPr>
        <w:pStyle w:val="ListParagraph"/>
        <w:numPr>
          <w:ilvl w:val="1"/>
          <w:numId w:val="1"/>
        </w:numPr>
        <w:spacing w:after="0"/>
        <w:ind w:left="720"/>
      </w:pPr>
      <w:r>
        <w:t>Lower Quartile</w:t>
      </w:r>
    </w:p>
    <w:p w:rsidR="00A60112" w:rsidRDefault="00A60112" w:rsidP="00A60112">
      <w:pPr>
        <w:spacing w:after="0" w:line="240" w:lineRule="auto"/>
        <w:ind w:firstLine="720"/>
      </w:pPr>
      <w:r>
        <w:t xml:space="preserve">If WRAT </w:t>
      </w:r>
      <w:proofErr w:type="spellStart"/>
      <w:r>
        <w:t>Std</w:t>
      </w:r>
      <w:proofErr w:type="spellEnd"/>
      <w:r>
        <w:t xml:space="preserve"> Reading </w:t>
      </w:r>
      <w:proofErr w:type="gramStart"/>
      <w:r w:rsidRPr="00711791">
        <w:rPr>
          <w:u w:val="single"/>
        </w:rPr>
        <w:t xml:space="preserve">&lt; </w:t>
      </w:r>
      <w:r>
        <w:t xml:space="preserve"> 97</w:t>
      </w:r>
      <w:proofErr w:type="gramEnd"/>
      <w:r>
        <w:t xml:space="preserve">  ………………………………………  1</w:t>
      </w:r>
    </w:p>
    <w:p w:rsidR="00A60112" w:rsidRDefault="00A60112" w:rsidP="00A60112">
      <w:pPr>
        <w:pStyle w:val="ListParagraph"/>
        <w:spacing w:after="0" w:line="240" w:lineRule="auto"/>
        <w:ind w:left="360" w:firstLine="360"/>
      </w:pPr>
      <w:r>
        <w:t xml:space="preserve">If Trails B </w:t>
      </w:r>
      <w:r w:rsidRPr="002E7DE3">
        <w:rPr>
          <w:u w:val="single"/>
        </w:rPr>
        <w:t>&gt;</w:t>
      </w:r>
      <w:r>
        <w:t xml:space="preserve"> 76                        ……………………………………</w:t>
      </w:r>
      <w:proofErr w:type="gramStart"/>
      <w:r>
        <w:t>…  2</w:t>
      </w:r>
      <w:proofErr w:type="gramEnd"/>
    </w:p>
    <w:p w:rsidR="00A60112" w:rsidRDefault="00A60112" w:rsidP="00A60112">
      <w:pPr>
        <w:pStyle w:val="ListParagraph"/>
        <w:spacing w:after="0" w:line="240" w:lineRule="auto"/>
        <w:ind w:left="360" w:firstLine="360"/>
      </w:pPr>
      <w:r>
        <w:t xml:space="preserve">If AVLT </w:t>
      </w:r>
      <w:proofErr w:type="gramStart"/>
      <w:r w:rsidRPr="002E7DE3">
        <w:rPr>
          <w:u w:val="single"/>
        </w:rPr>
        <w:t>&lt;</w:t>
      </w:r>
      <w:r>
        <w:t xml:space="preserve">  44</w:t>
      </w:r>
      <w:proofErr w:type="gramEnd"/>
      <w:r>
        <w:t xml:space="preserve">                           ………………………………………  4</w:t>
      </w:r>
    </w:p>
    <w:p w:rsidR="00A60112" w:rsidRDefault="00A60112" w:rsidP="00A60112">
      <w:pPr>
        <w:pStyle w:val="ListParagraph"/>
        <w:spacing w:after="0" w:line="240" w:lineRule="auto"/>
        <w:ind w:left="360" w:firstLine="360"/>
      </w:pPr>
      <w:r>
        <w:t>If none of the above            ……………………………..……….   0</w:t>
      </w:r>
    </w:p>
    <w:p w:rsidR="00A60112" w:rsidRDefault="00A60112" w:rsidP="00A60112">
      <w:pPr>
        <w:pStyle w:val="ListParagraph"/>
        <w:ind w:left="360"/>
      </w:pPr>
      <w:r>
        <w:t xml:space="preserve"> </w:t>
      </w:r>
      <w:r>
        <w:tab/>
      </w:r>
      <w:r>
        <w:tab/>
      </w:r>
      <w:r>
        <w:tab/>
      </w:r>
    </w:p>
    <w:p w:rsidR="00A60112" w:rsidRDefault="00A60112" w:rsidP="00A60112">
      <w:pPr>
        <w:pStyle w:val="ListParagraph"/>
        <w:numPr>
          <w:ilvl w:val="1"/>
          <w:numId w:val="1"/>
        </w:numPr>
        <w:ind w:left="720"/>
      </w:pPr>
      <w:r>
        <w:t xml:space="preserve">Calculate the sum of circled items in parts </w:t>
      </w:r>
      <w:proofErr w:type="gramStart"/>
      <w:r>
        <w:t>a and</w:t>
      </w:r>
      <w:proofErr w:type="gramEnd"/>
      <w:r>
        <w:t xml:space="preserve"> b</w:t>
      </w:r>
      <w:r w:rsidRPr="003F3293">
        <w:rPr>
          <w:b/>
        </w:rPr>
        <w:t>.  IICV score=</w:t>
      </w:r>
      <w:r>
        <w:t xml:space="preserve">  _____</w:t>
      </w:r>
    </w:p>
    <w:p w:rsidR="00A60112" w:rsidRDefault="00A60112" w:rsidP="00A60112">
      <w:pPr>
        <w:pStyle w:val="ListParagraph"/>
      </w:pPr>
    </w:p>
    <w:p w:rsidR="00A60112" w:rsidRDefault="00A60112" w:rsidP="00A60112">
      <w:pPr>
        <w:pStyle w:val="ListParagraph"/>
        <w:numPr>
          <w:ilvl w:val="1"/>
          <w:numId w:val="1"/>
        </w:numPr>
        <w:ind w:left="720"/>
      </w:pPr>
      <w:r>
        <w:t xml:space="preserve">To get the IICV Risk Score,  use the IICV Score in part c to assign </w:t>
      </w:r>
    </w:p>
    <w:p w:rsidR="00A60112" w:rsidRDefault="00A60112" w:rsidP="00A60112">
      <w:pPr>
        <w:pStyle w:val="ListParagraph"/>
      </w:pPr>
      <w:r>
        <w:t>0 or 1 IICV Risk points as follows. If IICV Score =</w:t>
      </w:r>
    </w:p>
    <w:p w:rsidR="00A60112" w:rsidRDefault="00A60112" w:rsidP="00A60112">
      <w:pPr>
        <w:pStyle w:val="ListParagraph"/>
      </w:pPr>
      <w:r>
        <w:t>0, 1, 20, 21, 30, 40, 41, 50, 60, 61, 70</w:t>
      </w:r>
      <w:proofErr w:type="gramStart"/>
      <w:r>
        <w:t>,  …</w:t>
      </w:r>
      <w:proofErr w:type="gramEnd"/>
      <w:r>
        <w:t xml:space="preserve">……………………………………….……………………………..…….    </w:t>
      </w:r>
      <w:r w:rsidRPr="00AC5574">
        <w:rPr>
          <w:b/>
          <w:color w:val="0070C0"/>
        </w:rPr>
        <w:t xml:space="preserve">0 </w:t>
      </w:r>
    </w:p>
    <w:p w:rsidR="00A60112" w:rsidRDefault="00A60112" w:rsidP="00A60112">
      <w:pPr>
        <w:pStyle w:val="ListParagraph"/>
      </w:pPr>
    </w:p>
    <w:p w:rsidR="00A60112" w:rsidRDefault="00A60112" w:rsidP="00A60112">
      <w:pPr>
        <w:pStyle w:val="ListParagraph"/>
      </w:pPr>
      <w:r>
        <w:t xml:space="preserve">All other sums (i.e., all other IICV scores)…………………………………………………………………………..     </w:t>
      </w:r>
      <w:r w:rsidRPr="00AC5574">
        <w:rPr>
          <w:b/>
          <w:color w:val="0070C0"/>
        </w:rPr>
        <w:t xml:space="preserve"> 1</w:t>
      </w:r>
      <w:r w:rsidRPr="00AC5574">
        <w:rPr>
          <w:color w:val="0070C0"/>
        </w:rPr>
        <w:t xml:space="preserve"> </w:t>
      </w:r>
    </w:p>
    <w:p w:rsidR="00A60112" w:rsidRDefault="00A60112" w:rsidP="00A60112"/>
    <w:p w:rsidR="00A60112" w:rsidRDefault="00A60112" w:rsidP="00A60112">
      <w:pPr>
        <w:spacing w:after="0" w:line="240" w:lineRule="auto"/>
      </w:pPr>
      <w:r>
        <w:t xml:space="preserve">4. Add up the circled Risk Scores in the far right hand column………………………………. </w:t>
      </w:r>
      <w:r w:rsidRPr="00AC5574">
        <w:rPr>
          <w:b/>
          <w:color w:val="0070C0"/>
          <w:sz w:val="32"/>
          <w:szCs w:val="32"/>
          <w:bdr w:val="single" w:sz="4" w:space="0" w:color="auto"/>
        </w:rPr>
        <w:t>MCI Risk</w:t>
      </w:r>
      <w:r w:rsidRPr="00AC5574">
        <w:rPr>
          <w:color w:val="0070C0"/>
          <w:sz w:val="28"/>
          <w:szCs w:val="28"/>
          <w:bdr w:val="single" w:sz="4" w:space="0" w:color="auto"/>
        </w:rPr>
        <w:t xml:space="preserve">= ____    </w:t>
      </w:r>
      <w:r w:rsidRPr="00EF6215">
        <w:rPr>
          <w:color w:val="D9D9D9" w:themeColor="background1" w:themeShade="D9"/>
          <w:sz w:val="28"/>
          <w:szCs w:val="28"/>
          <w:bdr w:val="single" w:sz="4" w:space="0" w:color="auto"/>
        </w:rPr>
        <w:t>.</w:t>
      </w:r>
      <w:r>
        <w:t xml:space="preserve"> </w:t>
      </w:r>
    </w:p>
    <w:p w:rsidR="00A60112" w:rsidRDefault="00A60112" w:rsidP="00A60112">
      <w:pPr>
        <w:spacing w:after="0" w:line="240" w:lineRule="auto"/>
      </w:pPr>
      <w:r>
        <w:t xml:space="preserve">    (</w:t>
      </w:r>
      <w:proofErr w:type="gramStart"/>
      <w:r>
        <w:t>range</w:t>
      </w:r>
      <w:proofErr w:type="gramEnd"/>
      <w:r>
        <w:t xml:space="preserve"> 0-7)</w:t>
      </w:r>
    </w:p>
    <w:p w:rsidR="00A60112" w:rsidRDefault="00A60112" w:rsidP="00A60112">
      <w:pPr>
        <w:pBdr>
          <w:bottom w:val="single" w:sz="6" w:space="1" w:color="auto"/>
        </w:pBdr>
      </w:pPr>
    </w:p>
    <w:p w:rsidR="00A60112" w:rsidRDefault="00A60112" w:rsidP="00A60112">
      <w:pPr>
        <w:pBdr>
          <w:bottom w:val="single" w:sz="6" w:space="1" w:color="auto"/>
        </w:pBdr>
      </w:pPr>
      <w:r>
        <w:t xml:space="preserve">5. Use the MCI Risk score to identify the MCI risk group that the person falls into. Two figures are shown on the next page to help understand the risk relative to the low risk reference group (MCI Risk = 0). </w:t>
      </w:r>
    </w:p>
    <w:p w:rsidR="00A60112" w:rsidRPr="00CE2F3F" w:rsidRDefault="00A60112" w:rsidP="00A60112">
      <w:pPr>
        <w:rPr>
          <w:rFonts w:ascii="Arial" w:hAnsi="Arial" w:cs="Arial"/>
          <w:b/>
          <w:sz w:val="20"/>
          <w:szCs w:val="20"/>
        </w:rPr>
      </w:pPr>
      <w:r w:rsidRPr="00CE2F3F">
        <w:rPr>
          <w:rFonts w:ascii="Arial" w:hAnsi="Arial" w:cs="Arial"/>
          <w:b/>
          <w:sz w:val="20"/>
          <w:szCs w:val="20"/>
        </w:rPr>
        <w:t>*Note: This</w:t>
      </w:r>
      <w:r>
        <w:rPr>
          <w:rFonts w:ascii="Arial" w:hAnsi="Arial" w:cs="Arial"/>
          <w:b/>
          <w:sz w:val="20"/>
          <w:szCs w:val="20"/>
        </w:rPr>
        <w:t xml:space="preserve"> 2-page</w:t>
      </w:r>
      <w:r w:rsidRPr="00CE2F3F">
        <w:rPr>
          <w:rFonts w:ascii="Arial" w:hAnsi="Arial" w:cs="Arial"/>
          <w:b/>
          <w:sz w:val="20"/>
          <w:szCs w:val="20"/>
        </w:rPr>
        <w:t xml:space="preserve"> </w:t>
      </w:r>
      <w:r>
        <w:rPr>
          <w:rFonts w:ascii="Arial" w:hAnsi="Arial" w:cs="Arial"/>
          <w:b/>
          <w:sz w:val="20"/>
          <w:szCs w:val="20"/>
        </w:rPr>
        <w:t>w</w:t>
      </w:r>
      <w:r w:rsidRPr="00CE2F3F">
        <w:rPr>
          <w:rFonts w:ascii="Arial" w:hAnsi="Arial" w:cs="Arial"/>
          <w:b/>
          <w:sz w:val="20"/>
          <w:szCs w:val="20"/>
        </w:rPr>
        <w:t xml:space="preserve">orksheet was developed in an exploratory, proof of concept analysis to determine whether IICV patterns could easily be incorporated into clinical practice. </w:t>
      </w:r>
      <w:r w:rsidRPr="00CE2F3F">
        <w:rPr>
          <w:rFonts w:ascii="Arial" w:hAnsi="Arial" w:cs="Arial"/>
          <w:b/>
          <w:sz w:val="20"/>
          <w:szCs w:val="20"/>
        </w:rPr>
        <w:br w:type="page"/>
      </w:r>
    </w:p>
    <w:p w:rsidR="00A60112" w:rsidRDefault="00A60112" w:rsidP="00A60112">
      <w:r w:rsidRPr="00E760B8">
        <w:rPr>
          <w:b/>
          <w:color w:val="0070C0"/>
        </w:rPr>
        <w:lastRenderedPageBreak/>
        <w:t xml:space="preserve">MCI Risk Score </w:t>
      </w:r>
      <w:r>
        <w:t>(from #4 on page 1): _____</w:t>
      </w:r>
    </w:p>
    <w:p w:rsidR="00A60112" w:rsidRPr="00C01846" w:rsidRDefault="00A60112" w:rsidP="00A60112">
      <w:pPr>
        <w:rPr>
          <w:rFonts w:cs="Arial"/>
        </w:rPr>
      </w:pPr>
      <w:r>
        <w:t xml:space="preserve">The first figure depicts MCI proportions (+/- standard errors) in non-overlapping MCI risk groups. Denominators for each group in the sample generating this plot </w:t>
      </w:r>
      <w:r w:rsidRPr="009211E6">
        <w:t>are</w:t>
      </w:r>
      <w:r>
        <w:t xml:space="preserve"> </w:t>
      </w:r>
      <w:r w:rsidRPr="00C01846">
        <w:rPr>
          <w:rFonts w:cs="Arial"/>
        </w:rPr>
        <w:t xml:space="preserve">251, 127, 17, 112, 12, 88, 0, and 77, respectively. </w:t>
      </w:r>
      <w:r>
        <w:rPr>
          <w:rFonts w:cs="Arial"/>
        </w:rPr>
        <w:t xml:space="preserve"> </w:t>
      </w:r>
      <w:r w:rsidRPr="00C01846">
        <w:rPr>
          <w:rFonts w:cs="Arial"/>
        </w:rPr>
        <w:t xml:space="preserve"> </w:t>
      </w:r>
    </w:p>
    <w:p w:rsidR="00A60112" w:rsidRDefault="00A60112" w:rsidP="00A60112">
      <w:pPr>
        <w:rPr>
          <w:rFonts w:ascii="Arial" w:hAnsi="Arial" w:cs="Arial"/>
          <w:sz w:val="24"/>
          <w:szCs w:val="24"/>
        </w:rPr>
      </w:pPr>
      <w:r>
        <w:rPr>
          <w:noProof/>
        </w:rPr>
        <w:drawing>
          <wp:inline distT="0" distB="0" distL="0" distR="0" wp14:anchorId="2645D747" wp14:editId="6060908A">
            <wp:extent cx="626745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112" w:rsidRDefault="00A60112" w:rsidP="00A60112">
      <w:r>
        <w:t xml:space="preserve"> The forest plot below depicts </w:t>
      </w:r>
      <w:r w:rsidRPr="00940A04">
        <w:t xml:space="preserve">the odds ratios </w:t>
      </w:r>
      <w:r>
        <w:t xml:space="preserve">(OR) and 95% confidence interval of meeting </w:t>
      </w:r>
      <w:r w:rsidRPr="00940A04">
        <w:t>MCI criteria</w:t>
      </w:r>
      <w:r>
        <w:t xml:space="preserve"> (early or clinical)</w:t>
      </w:r>
      <w:r w:rsidRPr="00940A04">
        <w:t xml:space="preserve"> in subsequent </w:t>
      </w:r>
      <w:r>
        <w:t>years for the seven risk groups vs</w:t>
      </w:r>
      <w:r w:rsidRPr="00940A04">
        <w:t xml:space="preserve"> th</w:t>
      </w:r>
      <w:r>
        <w:t>e</w:t>
      </w:r>
      <w:r w:rsidRPr="00940A04">
        <w:t xml:space="preserve"> reference group,  </w:t>
      </w:r>
      <w:r>
        <w:t xml:space="preserve">where 1=Reference Group vs IICV Risk (OR=2.86); 2=Ref Group vs Trails B Risk (OR=1.25); 3=Ref Group vs Trails B and IICV risk (OR= 4.45); 4= Ref Group vs AVLT Risk (OR=12.29); 5= Ref Group vs AVLT and IICV risk (OR=12.10); 6= Ref Group vs Trails B and AVLT Risk (no OR because n=0 in sample); and 7=Ref Group vs All 3 Risk (OR=29.49).  </w:t>
      </w:r>
    </w:p>
    <w:p w:rsidR="00A60112" w:rsidRPr="00940A04" w:rsidRDefault="00A60112" w:rsidP="00A60112"/>
    <w:p w:rsidR="00A60112" w:rsidRDefault="00A60112">
      <w:r>
        <w:rPr>
          <w:rFonts w:ascii="Arial" w:hAnsi="Arial" w:cs="Arial"/>
          <w:noProof/>
          <w:color w:val="000000"/>
          <w:sz w:val="20"/>
          <w:szCs w:val="20"/>
        </w:rPr>
        <w:drawing>
          <wp:inline distT="0" distB="0" distL="0" distR="0" wp14:anchorId="76021CF9" wp14:editId="4A1E6AFA">
            <wp:extent cx="3968496" cy="2971800"/>
            <wp:effectExtent l="0" t="0" r="0" b="0"/>
            <wp:docPr id="3" name="Picture 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GPlot 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496" cy="2971800"/>
                    </a:xfrm>
                    <a:prstGeom prst="rect">
                      <a:avLst/>
                    </a:prstGeom>
                    <a:noFill/>
                    <a:ln>
                      <a:noFill/>
                    </a:ln>
                  </pic:spPr>
                </pic:pic>
              </a:graphicData>
            </a:graphic>
          </wp:inline>
        </w:drawing>
      </w:r>
    </w:p>
    <w:p w:rsidR="00A60112" w:rsidRDefault="00A60112">
      <w:bookmarkStart w:id="0" w:name="_GoBack"/>
      <w:bookmarkEnd w:id="0"/>
    </w:p>
    <w:p w:rsidR="00751398" w:rsidRDefault="00A60112">
      <w:r>
        <w:rPr>
          <w:rFonts w:ascii="Arial" w:hAnsi="Arial" w:cs="Arial"/>
          <w:noProof/>
          <w:color w:val="000000"/>
          <w:sz w:val="20"/>
          <w:szCs w:val="20"/>
        </w:rPr>
        <w:drawing>
          <wp:inline distT="0" distB="0" distL="0" distR="0" wp14:anchorId="1B6281D1" wp14:editId="2D1AEEB1">
            <wp:extent cx="5943600" cy="4457700"/>
            <wp:effectExtent l="0" t="0" r="0" b="0"/>
            <wp:docPr id="4" name="Picture 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GPlot Proced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60112" w:rsidRDefault="00A60112">
      <w:r>
        <w:br w:type="page"/>
      </w:r>
    </w:p>
    <w:p w:rsidR="00A60112" w:rsidRDefault="00A60112">
      <w:r>
        <w:rPr>
          <w:rFonts w:ascii="Arial" w:hAnsi="Arial" w:cs="Arial"/>
          <w:noProof/>
          <w:color w:val="000000"/>
          <w:sz w:val="20"/>
          <w:szCs w:val="20"/>
        </w:rPr>
        <w:lastRenderedPageBreak/>
        <w:drawing>
          <wp:inline distT="0" distB="0" distL="0" distR="0" wp14:anchorId="7B813DD6" wp14:editId="282E279D">
            <wp:extent cx="5943600" cy="4457700"/>
            <wp:effectExtent l="0" t="0" r="0" b="0"/>
            <wp:docPr id="5" name="Picture 5"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lot Proced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A60112" w:rsidSect="00A06929">
      <w:headerReference w:type="default" r:id="rId13"/>
      <w:footerReference w:type="default" r:id="rId14"/>
      <w:pgSz w:w="12240" w:h="15840"/>
      <w:pgMar w:top="1152" w:right="1080" w:bottom="1008" w:left="108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6E" w:rsidRDefault="006B546E" w:rsidP="006B546E">
      <w:pPr>
        <w:spacing w:after="0" w:line="240" w:lineRule="auto"/>
      </w:pPr>
      <w:r>
        <w:separator/>
      </w:r>
    </w:p>
  </w:endnote>
  <w:endnote w:type="continuationSeparator" w:id="0">
    <w:p w:rsidR="006B546E" w:rsidRDefault="006B546E" w:rsidP="006B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9957"/>
      <w:docPartObj>
        <w:docPartGallery w:val="Page Numbers (Bottom of Page)"/>
        <w:docPartUnique/>
      </w:docPartObj>
    </w:sdtPr>
    <w:sdtEndPr>
      <w:rPr>
        <w:noProof/>
      </w:rPr>
    </w:sdtEndPr>
    <w:sdtContent>
      <w:p w:rsidR="00653AF1" w:rsidRDefault="00F36A09">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653AF1" w:rsidRDefault="00F36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6E" w:rsidRDefault="006B546E" w:rsidP="006B546E">
      <w:pPr>
        <w:spacing w:after="0" w:line="240" w:lineRule="auto"/>
      </w:pPr>
      <w:r>
        <w:separator/>
      </w:r>
    </w:p>
  </w:footnote>
  <w:footnote w:type="continuationSeparator" w:id="0">
    <w:p w:rsidR="006B546E" w:rsidRDefault="006B546E" w:rsidP="006B5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F1" w:rsidRPr="00204B0C" w:rsidRDefault="00F36A09" w:rsidP="0030183C">
    <w:pPr>
      <w:jc w:val="right"/>
      <w:rPr>
        <w:rFonts w:ascii="Arial" w:hAnsi="Arial" w:cs="Arial"/>
        <w:sz w:val="24"/>
        <w:szCs w:val="24"/>
      </w:rPr>
    </w:pPr>
    <w:r>
      <w:rPr>
        <w:rFonts w:ascii="Arial" w:hAnsi="Arial" w:cs="Arial"/>
        <w:caps/>
        <w:sz w:val="24"/>
        <w:szCs w:val="24"/>
      </w:rPr>
      <w:t xml:space="preserve">                                              Koscik- IICV AND Cognitive Impairment IN WRAP</w:t>
    </w:r>
  </w:p>
  <w:p w:rsidR="00653AF1" w:rsidRDefault="00F36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5D72"/>
    <w:multiLevelType w:val="hybridMultilevel"/>
    <w:tmpl w:val="3F027C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2"/>
    <w:rsid w:val="00282A64"/>
    <w:rsid w:val="006B546E"/>
    <w:rsid w:val="00A60112"/>
    <w:rsid w:val="00AD3F2E"/>
    <w:rsid w:val="00F3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12"/>
  </w:style>
  <w:style w:type="paragraph" w:styleId="Footer">
    <w:name w:val="footer"/>
    <w:basedOn w:val="Normal"/>
    <w:link w:val="FooterChar"/>
    <w:uiPriority w:val="99"/>
    <w:unhideWhenUsed/>
    <w:rsid w:val="00A6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12"/>
  </w:style>
  <w:style w:type="paragraph" w:styleId="ListParagraph">
    <w:name w:val="List Paragraph"/>
    <w:basedOn w:val="Normal"/>
    <w:uiPriority w:val="34"/>
    <w:qFormat/>
    <w:rsid w:val="00A60112"/>
    <w:pPr>
      <w:spacing w:after="160" w:line="259" w:lineRule="auto"/>
      <w:ind w:left="720"/>
      <w:contextualSpacing/>
    </w:pPr>
  </w:style>
  <w:style w:type="paragraph" w:styleId="BalloonText">
    <w:name w:val="Balloon Text"/>
    <w:basedOn w:val="Normal"/>
    <w:link w:val="BalloonTextChar"/>
    <w:uiPriority w:val="99"/>
    <w:semiHidden/>
    <w:unhideWhenUsed/>
    <w:rsid w:val="00A6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12"/>
  </w:style>
  <w:style w:type="paragraph" w:styleId="Footer">
    <w:name w:val="footer"/>
    <w:basedOn w:val="Normal"/>
    <w:link w:val="FooterChar"/>
    <w:uiPriority w:val="99"/>
    <w:unhideWhenUsed/>
    <w:rsid w:val="00A6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12"/>
  </w:style>
  <w:style w:type="paragraph" w:styleId="ListParagraph">
    <w:name w:val="List Paragraph"/>
    <w:basedOn w:val="Normal"/>
    <w:uiPriority w:val="34"/>
    <w:qFormat/>
    <w:rsid w:val="00A60112"/>
    <w:pPr>
      <w:spacing w:after="160" w:line="259" w:lineRule="auto"/>
      <w:ind w:left="720"/>
      <w:contextualSpacing/>
    </w:pPr>
  </w:style>
  <w:style w:type="paragraph" w:styleId="BalloonText">
    <w:name w:val="Balloon Text"/>
    <w:basedOn w:val="Normal"/>
    <w:link w:val="BalloonTextChar"/>
    <w:uiPriority w:val="99"/>
    <w:semiHidden/>
    <w:unhideWhenUsed/>
    <w:rsid w:val="00A6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144.92.1.80\wrap%20share\Implementing%20MCI%20Criteria%20with%20WRAP%20data\Cognitive%20dispersion%20and%20longitudinal%20stability\docs\revision%202%20Continuous%20IICV%20JINS%20ms\Tables_and_figure_rev2_25Aug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2\wrap%20share\Implementing%20MCI%20Criteria%20with%20WRAP%20data\Cognitive%20dispersion%20and%20longitudinal%20stability\docs\Revised%20tables_and_figure_11feb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S1: Wave 4 Cognitive Status by Baseline Cognitive Status</a:t>
            </a:r>
          </a:p>
        </c:rich>
      </c:tx>
      <c:layout/>
      <c:overlay val="0"/>
    </c:title>
    <c:autoTitleDeleted val="0"/>
    <c:plotArea>
      <c:layout/>
      <c:barChart>
        <c:barDir val="col"/>
        <c:grouping val="clustered"/>
        <c:varyColors val="0"/>
        <c:ser>
          <c:idx val="0"/>
          <c:order val="0"/>
          <c:tx>
            <c:strRef>
              <c:f>'New Supp Fig 1'!$A$2</c:f>
              <c:strCache>
                <c:ptCount val="1"/>
                <c:pt idx="0">
                  <c:v>early MCI at Baseline (n=57)</c:v>
                </c:pt>
              </c:strCache>
            </c:strRef>
          </c:tx>
          <c:invertIfNegative val="0"/>
          <c:cat>
            <c:strRef>
              <c:f>'New Supp Fig 1'!$B$1:$E$1</c:f>
              <c:strCache>
                <c:ptCount val="4"/>
                <c:pt idx="0">
                  <c:v>Cog Normal</c:v>
                </c:pt>
                <c:pt idx="1">
                  <c:v>early MCI</c:v>
                </c:pt>
                <c:pt idx="2">
                  <c:v>Clin MCI</c:v>
                </c:pt>
                <c:pt idx="3">
                  <c:v>Dementia</c:v>
                </c:pt>
              </c:strCache>
            </c:strRef>
          </c:cat>
          <c:val>
            <c:numRef>
              <c:f>'New Supp Fig 1'!$B$2:$E$2</c:f>
              <c:numCache>
                <c:formatCode>General</c:formatCode>
                <c:ptCount val="4"/>
                <c:pt idx="0">
                  <c:v>36.840000000000003</c:v>
                </c:pt>
                <c:pt idx="1">
                  <c:v>56.14</c:v>
                </c:pt>
                <c:pt idx="2">
                  <c:v>7.02</c:v>
                </c:pt>
                <c:pt idx="3">
                  <c:v>0</c:v>
                </c:pt>
              </c:numCache>
            </c:numRef>
          </c:val>
        </c:ser>
        <c:ser>
          <c:idx val="1"/>
          <c:order val="1"/>
          <c:tx>
            <c:strRef>
              <c:f>'New Supp Fig 1'!$A$3</c:f>
              <c:strCache>
                <c:ptCount val="1"/>
                <c:pt idx="0">
                  <c:v>Cog Normal at Baseline (n=627)</c:v>
                </c:pt>
              </c:strCache>
            </c:strRef>
          </c:tx>
          <c:invertIfNegative val="0"/>
          <c:cat>
            <c:strRef>
              <c:f>'New Supp Fig 1'!$B$1:$E$1</c:f>
              <c:strCache>
                <c:ptCount val="4"/>
                <c:pt idx="0">
                  <c:v>Cog Normal</c:v>
                </c:pt>
                <c:pt idx="1">
                  <c:v>early MCI</c:v>
                </c:pt>
                <c:pt idx="2">
                  <c:v>Clin MCI</c:v>
                </c:pt>
                <c:pt idx="3">
                  <c:v>Dementia</c:v>
                </c:pt>
              </c:strCache>
            </c:strRef>
          </c:cat>
          <c:val>
            <c:numRef>
              <c:f>'New Supp Fig 1'!$B$3:$E$3</c:f>
              <c:numCache>
                <c:formatCode>General</c:formatCode>
                <c:ptCount val="4"/>
                <c:pt idx="0">
                  <c:v>86.4</c:v>
                </c:pt>
                <c:pt idx="1">
                  <c:v>12.3</c:v>
                </c:pt>
                <c:pt idx="2">
                  <c:v>1.1000000000000001</c:v>
                </c:pt>
                <c:pt idx="3">
                  <c:v>0.2</c:v>
                </c:pt>
              </c:numCache>
            </c:numRef>
          </c:val>
        </c:ser>
        <c:dLbls>
          <c:showLegendKey val="0"/>
          <c:showVal val="0"/>
          <c:showCatName val="0"/>
          <c:showSerName val="0"/>
          <c:showPercent val="0"/>
          <c:showBubbleSize val="0"/>
        </c:dLbls>
        <c:gapWidth val="150"/>
        <c:axId val="37040896"/>
        <c:axId val="40519552"/>
      </c:barChart>
      <c:catAx>
        <c:axId val="37040896"/>
        <c:scaling>
          <c:orientation val="minMax"/>
        </c:scaling>
        <c:delete val="0"/>
        <c:axPos val="b"/>
        <c:title>
          <c:tx>
            <c:rich>
              <a:bodyPr/>
              <a:lstStyle/>
              <a:p>
                <a:pPr>
                  <a:defRPr/>
                </a:pPr>
                <a:r>
                  <a:rPr lang="en-US"/>
                  <a:t>Wave 4 Cognitive Status</a:t>
                </a:r>
              </a:p>
            </c:rich>
          </c:tx>
          <c:layout/>
          <c:overlay val="0"/>
        </c:title>
        <c:majorTickMark val="none"/>
        <c:minorTickMark val="none"/>
        <c:tickLblPos val="nextTo"/>
        <c:crossAx val="40519552"/>
        <c:crosses val="autoZero"/>
        <c:auto val="1"/>
        <c:lblAlgn val="ctr"/>
        <c:lblOffset val="100"/>
        <c:noMultiLvlLbl val="0"/>
      </c:catAx>
      <c:valAx>
        <c:axId val="40519552"/>
        <c:scaling>
          <c:orientation val="minMax"/>
        </c:scaling>
        <c:delete val="0"/>
        <c:axPos val="l"/>
        <c:majorGridlines/>
        <c:title>
          <c:tx>
            <c:rich>
              <a:bodyPr/>
              <a:lstStyle/>
              <a:p>
                <a:pPr>
                  <a:defRPr/>
                </a:pPr>
                <a:r>
                  <a:rPr lang="en-US"/>
                  <a:t>Percent</a:t>
                </a:r>
              </a:p>
            </c:rich>
          </c:tx>
          <c:layout/>
          <c:overlay val="0"/>
        </c:title>
        <c:numFmt formatCode="General" sourceLinked="1"/>
        <c:majorTickMark val="out"/>
        <c:minorTickMark val="none"/>
        <c:tickLblPos val="nextTo"/>
        <c:crossAx val="370408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Proportion MCI (early or Clinical)</a:t>
            </a:r>
          </a:p>
        </c:rich>
      </c:tx>
      <c:layout/>
      <c:overlay val="0"/>
    </c:title>
    <c:autoTitleDeleted val="0"/>
    <c:plotArea>
      <c:layout/>
      <c:barChart>
        <c:barDir val="col"/>
        <c:grouping val="clustered"/>
        <c:varyColors val="0"/>
        <c:ser>
          <c:idx val="0"/>
          <c:order val="0"/>
          <c:tx>
            <c:strRef>
              <c:f>'Figure 2_15feb2016'!$B$2</c:f>
              <c:strCache>
                <c:ptCount val="1"/>
                <c:pt idx="0">
                  <c:v>Proportion MCI</c:v>
                </c:pt>
              </c:strCache>
            </c:strRef>
          </c:tx>
          <c:invertIfNegative val="0"/>
          <c:errBars>
            <c:errBarType val="both"/>
            <c:errValType val="cust"/>
            <c:noEndCap val="0"/>
            <c:plus>
              <c:numRef>
                <c:f>'Figure 2_15feb2016'!$C$5:$J$5</c:f>
                <c:numCache>
                  <c:formatCode>General</c:formatCode>
                  <c:ptCount val="8"/>
                  <c:pt idx="0">
                    <c:v>1.2920858820945007E-2</c:v>
                  </c:pt>
                  <c:pt idx="1">
                    <c:v>2.8638420358553331E-2</c:v>
                  </c:pt>
                  <c:pt idx="2">
                    <c:v>5.7067205890901876E-2</c:v>
                  </c:pt>
                  <c:pt idx="3">
                    <c:v>3.5464287641038234E-2</c:v>
                  </c:pt>
                  <c:pt idx="4">
                    <c:v>0.13608276348795434</c:v>
                  </c:pt>
                  <c:pt idx="5">
                    <c:v>5.0107299406315441E-2</c:v>
                  </c:pt>
                  <c:pt idx="6">
                    <c:v>0</c:v>
                  </c:pt>
                  <c:pt idx="7">
                    <c:v>5.6744343993850845E-2</c:v>
                  </c:pt>
                </c:numCache>
              </c:numRef>
            </c:plus>
            <c:minus>
              <c:numRef>
                <c:f>'Figure 2_15feb2016'!$C$5:$J$5</c:f>
                <c:numCache>
                  <c:formatCode>General</c:formatCode>
                  <c:ptCount val="8"/>
                  <c:pt idx="0">
                    <c:v>1.2920858820945007E-2</c:v>
                  </c:pt>
                  <c:pt idx="1">
                    <c:v>2.8638420358553331E-2</c:v>
                  </c:pt>
                  <c:pt idx="2">
                    <c:v>5.7067205890901876E-2</c:v>
                  </c:pt>
                  <c:pt idx="3">
                    <c:v>3.5464287641038234E-2</c:v>
                  </c:pt>
                  <c:pt idx="4">
                    <c:v>0.13608276348795434</c:v>
                  </c:pt>
                  <c:pt idx="5">
                    <c:v>5.0107299406315441E-2</c:v>
                  </c:pt>
                  <c:pt idx="6">
                    <c:v>0</c:v>
                  </c:pt>
                  <c:pt idx="7">
                    <c:v>5.6744343993850845E-2</c:v>
                  </c:pt>
                </c:numCache>
              </c:numRef>
            </c:minus>
          </c:errBars>
          <c:cat>
            <c:strRef>
              <c:f>'Figure 2_15feb2016'!$C$1:$J$1</c:f>
              <c:strCache>
                <c:ptCount val="8"/>
                <c:pt idx="0">
                  <c:v>Ref. Group (MCI Risk=0)</c:v>
                </c:pt>
                <c:pt idx="1">
                  <c:v>IICV Risk (MCI Risk= 1)</c:v>
                </c:pt>
                <c:pt idx="2">
                  <c:v>Trails B risk (MCI Risk= 2)</c:v>
                </c:pt>
                <c:pt idx="3">
                  <c:v>Trails B and IICV Risk (MCI Risk = 3)</c:v>
                </c:pt>
                <c:pt idx="4">
                  <c:v>AVLT Risk (MCI Risk= 4)</c:v>
                </c:pt>
                <c:pt idx="5">
                  <c:v>AVLT and IICV Risk (MCI Risk=5)</c:v>
                </c:pt>
                <c:pt idx="6">
                  <c:v>Trails B and AVLT Risk (MCI Risk= 6)</c:v>
                </c:pt>
                <c:pt idx="7">
                  <c:v>All 3 Risk (MCI Risk=7)</c:v>
                </c:pt>
              </c:strCache>
            </c:strRef>
          </c:cat>
          <c:val>
            <c:numRef>
              <c:f>'Figure 2_15feb2016'!$C$2:$J$2</c:f>
              <c:numCache>
                <c:formatCode>General</c:formatCode>
                <c:ptCount val="8"/>
                <c:pt idx="0">
                  <c:v>4.3799999999999999E-2</c:v>
                </c:pt>
                <c:pt idx="1">
                  <c:v>0.1181</c:v>
                </c:pt>
                <c:pt idx="2">
                  <c:v>5.8799999999999998E-2</c:v>
                </c:pt>
                <c:pt idx="3">
                  <c:v>0.1696</c:v>
                </c:pt>
                <c:pt idx="4">
                  <c:v>0.33329999999999999</c:v>
                </c:pt>
                <c:pt idx="5">
                  <c:v>0.32950000000000002</c:v>
                </c:pt>
                <c:pt idx="6">
                  <c:v>0</c:v>
                </c:pt>
                <c:pt idx="7">
                  <c:v>0.54549999999999998</c:v>
                </c:pt>
              </c:numCache>
            </c:numRef>
          </c:val>
        </c:ser>
        <c:dLbls>
          <c:showLegendKey val="0"/>
          <c:showVal val="0"/>
          <c:showCatName val="0"/>
          <c:showSerName val="0"/>
          <c:showPercent val="0"/>
          <c:showBubbleSize val="0"/>
        </c:dLbls>
        <c:gapWidth val="150"/>
        <c:axId val="169159680"/>
        <c:axId val="169161472"/>
      </c:barChart>
      <c:catAx>
        <c:axId val="169159680"/>
        <c:scaling>
          <c:orientation val="minMax"/>
        </c:scaling>
        <c:delete val="0"/>
        <c:axPos val="b"/>
        <c:majorTickMark val="out"/>
        <c:minorTickMark val="none"/>
        <c:tickLblPos val="nextTo"/>
        <c:crossAx val="169161472"/>
        <c:crosses val="autoZero"/>
        <c:auto val="1"/>
        <c:lblAlgn val="ctr"/>
        <c:lblOffset val="100"/>
        <c:noMultiLvlLbl val="0"/>
      </c:catAx>
      <c:valAx>
        <c:axId val="169161472"/>
        <c:scaling>
          <c:orientation val="minMax"/>
        </c:scaling>
        <c:delete val="0"/>
        <c:axPos val="l"/>
        <c:majorGridlines/>
        <c:numFmt formatCode="General" sourceLinked="1"/>
        <c:majorTickMark val="out"/>
        <c:minorTickMark val="none"/>
        <c:tickLblPos val="nextTo"/>
        <c:crossAx val="169159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rkoscik</dc:creator>
  <cp:lastModifiedBy>rkoscik</cp:lastModifiedBy>
  <cp:revision>2</cp:revision>
  <dcterms:created xsi:type="dcterms:W3CDTF">2016-08-29T20:44:00Z</dcterms:created>
  <dcterms:modified xsi:type="dcterms:W3CDTF">2016-08-29T21:03:00Z</dcterms:modified>
</cp:coreProperties>
</file>