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072B" w14:textId="5BA2E60B" w:rsidR="00125053" w:rsidRDefault="00125053" w:rsidP="00125053">
      <w:pPr>
        <w:spacing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25053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Materials A</w:t>
      </w:r>
    </w:p>
    <w:p w14:paraId="136029DD" w14:textId="77777777" w:rsidR="00125053" w:rsidRPr="00125053" w:rsidRDefault="00125053" w:rsidP="00125053">
      <w:pPr>
        <w:spacing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3980C2" w14:textId="6B32AC0B" w:rsidR="00125053" w:rsidRPr="00125053" w:rsidRDefault="00125053" w:rsidP="0012505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25EF">
        <w:rPr>
          <w:rFonts w:ascii="Times New Roman" w:hAnsi="Times New Roman" w:cs="Times New Roman"/>
          <w:b/>
          <w:sz w:val="24"/>
          <w:szCs w:val="24"/>
          <w:lang w:val="en-US"/>
        </w:rPr>
        <w:t>Comparisons Between Treatment Return Type</w:t>
      </w:r>
    </w:p>
    <w:p w14:paraId="044147FD" w14:textId="2C5DB019" w:rsidR="00125053" w:rsidRPr="00125053" w:rsidRDefault="00125053" w:rsidP="0012505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ew differences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were found 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>
        <w:rPr>
          <w:rFonts w:ascii="Times New Roman" w:hAnsi="Times New Roman" w:cs="Times New Roman"/>
          <w:sz w:val="24"/>
          <w:szCs w:val="24"/>
          <w:lang w:val="en-US"/>
        </w:rPr>
        <w:t>non-returners (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NR), </w:t>
      </w:r>
      <w:r>
        <w:rPr>
          <w:rFonts w:ascii="Times New Roman" w:hAnsi="Times New Roman" w:cs="Times New Roman"/>
          <w:sz w:val="24"/>
          <w:szCs w:val="24"/>
          <w:lang w:val="en-US"/>
        </w:rPr>
        <w:t>single returners (SR)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frequent returners (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FR) in terms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service usage and clinical outcomes 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>related to the first treatment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episode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Each group waited similar times for assessment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 (NR mean = 25.9 days, SR mean = 28.2 days, FR mean = 28.1 days)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>received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similar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amounts of treatment 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>(NR mean = 7.2 sessions, SR mean = 7.6 sessions, FR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 = 7.4 sessions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had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similar amounts of 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>time between assessment and discharge (NR mean = 161.0 days, SR mean = 164.6 days, FR = 159.7 days). Although, there was no significant difference in terms of time between assessment and discharge (</w:t>
      </w:r>
      <w:r w:rsidRPr="001025E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 = .337), significant differences in terms of assessment wait times (</w:t>
      </w:r>
      <w:proofErr w:type="gramStart"/>
      <w:r w:rsidRPr="001025EF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2, 20954) = 12.67, </w:t>
      </w:r>
      <w:r w:rsidRPr="001025E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 &lt; .001, η</w:t>
      </w:r>
      <w:r w:rsidRPr="001025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 = .001) and </w:t>
      </w:r>
      <w:r>
        <w:rPr>
          <w:rFonts w:ascii="Times New Roman" w:hAnsi="Times New Roman" w:cs="Times New Roman"/>
          <w:sz w:val="24"/>
          <w:szCs w:val="24"/>
          <w:lang w:val="en-US"/>
        </w:rPr>
        <w:t>sessions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 received (</w:t>
      </w:r>
      <w:r w:rsidRPr="001025EF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(2, 21026) = 5.40, </w:t>
      </w:r>
      <w:r w:rsidRPr="001025E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 = .005, η</w:t>
      </w:r>
      <w:r w:rsidRPr="001025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 &lt; .001) were identified (specifically between non-returners and single returners).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ffect sizes suggest little if any relationship between treatment return and assessment wait time, or treatment return and contacts </w:t>
      </w:r>
      <w:r w:rsidRPr="00125053">
        <w:rPr>
          <w:rFonts w:ascii="Times New Roman" w:hAnsi="Times New Roman" w:cs="Times New Roman"/>
          <w:sz w:val="24"/>
          <w:szCs w:val="24"/>
          <w:lang w:val="en-US"/>
        </w:rPr>
        <w:t>received.</w:t>
      </w:r>
    </w:p>
    <w:p w14:paraId="57737ABE" w14:textId="77777777" w:rsidR="00125053" w:rsidRPr="00CA2619" w:rsidRDefault="00125053" w:rsidP="0012505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5053">
        <w:rPr>
          <w:rFonts w:ascii="Times New Roman" w:hAnsi="Times New Roman" w:cs="Times New Roman"/>
          <w:sz w:val="24"/>
          <w:szCs w:val="24"/>
          <w:lang w:val="en-US"/>
        </w:rPr>
        <w:t>Approximately one-third of patients in each group prematurely discontinued the first treatment (NR = 34.3%, SR = 36.7%, FR = 33.1%). There was a significant difference in terms of premature discontinuation (χ</w:t>
      </w:r>
      <w:r w:rsidRPr="0012505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25053">
        <w:rPr>
          <w:rFonts w:ascii="Times New Roman" w:hAnsi="Times New Roman" w:cs="Times New Roman"/>
          <w:sz w:val="24"/>
          <w:szCs w:val="24"/>
          <w:lang w:val="en-US"/>
        </w:rPr>
        <w:t xml:space="preserve">(2) = 6.06, </w:t>
      </w:r>
      <w:r w:rsidRPr="001250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</w:t>
      </w:r>
      <w:r w:rsidRPr="00125053">
        <w:rPr>
          <w:rFonts w:ascii="Times New Roman" w:hAnsi="Times New Roman" w:cs="Times New Roman"/>
          <w:sz w:val="24"/>
          <w:szCs w:val="24"/>
          <w:lang w:val="en-US"/>
        </w:rPr>
        <w:t xml:space="preserve">= .048), but the effect size suggests little if any association between premature discontinuation and treatment return (Cramer’s </w:t>
      </w:r>
      <w:r w:rsidRPr="00125053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125053">
        <w:rPr>
          <w:rFonts w:ascii="Times New Roman" w:hAnsi="Times New Roman" w:cs="Times New Roman"/>
          <w:sz w:val="24"/>
          <w:szCs w:val="24"/>
          <w:lang w:val="en-US"/>
        </w:rPr>
        <w:t xml:space="preserve"> = .02). Finally, there appeared to be a small difference in terms of recovery following treatment for those patients who initially met criteria for </w:t>
      </w:r>
      <w:proofErr w:type="spellStart"/>
      <w:r w:rsidRPr="00125053">
        <w:rPr>
          <w:rFonts w:ascii="Times New Roman" w:hAnsi="Times New Roman" w:cs="Times New Roman"/>
          <w:sz w:val="24"/>
          <w:szCs w:val="24"/>
          <w:lang w:val="en-US"/>
        </w:rPr>
        <w:t>caseness</w:t>
      </w:r>
      <w:proofErr w:type="spellEnd"/>
      <w:r w:rsidRPr="00125053">
        <w:rPr>
          <w:rFonts w:ascii="Times New Roman" w:hAnsi="Times New Roman" w:cs="Times New Roman"/>
          <w:sz w:val="24"/>
          <w:szCs w:val="24"/>
          <w:lang w:val="en-US"/>
        </w:rPr>
        <w:t>, with non-returners having both a higher recovery rate (NR = 43.5%, SR = 38.4%, FR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 = 39.9%) and higher reliable recovery rate (NR = 41.5%, SR = 36.7%, FR = 36.8%) than single returners and frequent returners.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Again, despite 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significant differences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being found 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>in terms of recovery (χ</w:t>
      </w:r>
      <w:r w:rsidRPr="001025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(2) = 22.67, </w:t>
      </w:r>
      <w:r w:rsidRPr="001025E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 &lt; .001) and reliable 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lastRenderedPageBreak/>
        <w:t>recovery (χ</w:t>
      </w:r>
      <w:r w:rsidRPr="001025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(2) = 21.73, </w:t>
      </w:r>
      <w:r w:rsidRPr="001025E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 &lt; .001), effect sizes suggest little if any associations between recovery and treatment </w:t>
      </w:r>
      <w:r w:rsidRPr="00CA2619">
        <w:rPr>
          <w:rFonts w:ascii="Times New Roman" w:hAnsi="Times New Roman" w:cs="Times New Roman"/>
          <w:sz w:val="24"/>
          <w:szCs w:val="24"/>
          <w:lang w:val="en-US"/>
        </w:rPr>
        <w:t xml:space="preserve">return (Cramer’s </w:t>
      </w:r>
      <w:r w:rsidRPr="00CA261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A2619">
        <w:rPr>
          <w:rFonts w:ascii="Times New Roman" w:hAnsi="Times New Roman" w:cs="Times New Roman"/>
          <w:sz w:val="24"/>
          <w:szCs w:val="24"/>
          <w:lang w:val="en-US"/>
        </w:rPr>
        <w:t xml:space="preserve"> = .03, for both findings).</w:t>
      </w:r>
    </w:p>
    <w:p w14:paraId="0438AFF5" w14:textId="2F6F0415" w:rsidR="00125053" w:rsidRDefault="00125053" w:rsidP="0012505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619">
        <w:rPr>
          <w:rFonts w:ascii="Times New Roman" w:hAnsi="Times New Roman" w:cs="Times New Roman"/>
          <w:sz w:val="24"/>
          <w:szCs w:val="24"/>
          <w:lang w:val="en-US"/>
        </w:rPr>
        <w:t xml:space="preserve">One difference that was identified between the different treatment return groups was related to the study method; specifically, </w:t>
      </w:r>
      <w:r w:rsidR="00CA2619" w:rsidRPr="00CA2619">
        <w:rPr>
          <w:rFonts w:ascii="Times New Roman" w:hAnsi="Times New Roman" w:cs="Times New Roman"/>
          <w:sz w:val="24"/>
          <w:szCs w:val="24"/>
          <w:lang w:val="en-US"/>
        </w:rPr>
        <w:t>the average length of time that each group had available within the study period to be able to return for treatment</w:t>
      </w:r>
      <w:r w:rsidRPr="00CA2619">
        <w:rPr>
          <w:rFonts w:ascii="Times New Roman" w:hAnsi="Times New Roman" w:cs="Times New Roman"/>
          <w:sz w:val="24"/>
          <w:szCs w:val="24"/>
          <w:lang w:val="en-US"/>
        </w:rPr>
        <w:t xml:space="preserve"> (i.e., time between first treatment episode’s discharge date and end date of study period). Frequent returners had a longer average length of </w:t>
      </w:r>
      <w:r w:rsidR="00CA2619">
        <w:rPr>
          <w:rFonts w:ascii="Times New Roman" w:hAnsi="Times New Roman" w:cs="Times New Roman"/>
          <w:sz w:val="24"/>
          <w:szCs w:val="24"/>
          <w:lang w:val="en-US"/>
        </w:rPr>
        <w:t>time available</w:t>
      </w:r>
      <w:r w:rsidRPr="00CA2619">
        <w:rPr>
          <w:rFonts w:ascii="Times New Roman" w:hAnsi="Times New Roman" w:cs="Times New Roman"/>
          <w:sz w:val="24"/>
          <w:szCs w:val="24"/>
          <w:lang w:val="en-US"/>
        </w:rPr>
        <w:t xml:space="preserve"> (mean = 1001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.5 days) than both single returners (mean = 819.4 days) and non-returners (mean = 696.4 days).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hese </w:t>
      </w:r>
      <w:r>
        <w:rPr>
          <w:rFonts w:ascii="Times New Roman" w:hAnsi="Times New Roman" w:cs="Times New Roman"/>
          <w:sz w:val="24"/>
          <w:szCs w:val="24"/>
          <w:lang w:val="en-US"/>
        </w:rPr>
        <w:t>differences were significant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 with the relationship between </w:t>
      </w:r>
      <w:r w:rsidR="00282080" w:rsidRPr="00AC1BFE">
        <w:rPr>
          <w:rFonts w:ascii="Times New Roman" w:hAnsi="Times New Roman" w:cs="Times New Roman"/>
          <w:sz w:val="24"/>
          <w:szCs w:val="24"/>
          <w:lang w:val="en-US"/>
        </w:rPr>
        <w:t>time that patients had available within the study period to be able to return for treatment</w:t>
      </w:r>
      <w:r w:rsidR="00282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>and treatment return type representing a small effect (</w:t>
      </w:r>
      <w:proofErr w:type="gramStart"/>
      <w:r w:rsidRPr="00257FF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2, 21026) = 157, </w:t>
      </w:r>
      <w:r w:rsidRPr="00257FF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1025EF">
        <w:rPr>
          <w:rFonts w:ascii="Times New Roman" w:hAnsi="Times New Roman" w:cs="Times New Roman"/>
          <w:sz w:val="24"/>
          <w:szCs w:val="24"/>
          <w:lang w:val="en-US"/>
        </w:rPr>
        <w:t xml:space="preserve"> &lt;.001, η2 = .015).</w:t>
      </w:r>
    </w:p>
    <w:p w14:paraId="5883FE53" w14:textId="77777777" w:rsidR="00640E8C" w:rsidRDefault="00640E8C"/>
    <w:sectPr w:rsidR="00640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53"/>
    <w:rsid w:val="00125053"/>
    <w:rsid w:val="00282080"/>
    <w:rsid w:val="00640E8C"/>
    <w:rsid w:val="00877246"/>
    <w:rsid w:val="00B05D5B"/>
    <w:rsid w:val="00CA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8D81"/>
  <w15:chartTrackingRefBased/>
  <w15:docId w15:val="{21D78E91-4DB3-4D35-B0D1-383CE148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Lorimer</dc:creator>
  <cp:keywords/>
  <dc:description/>
  <cp:lastModifiedBy>Ben Lorimer</cp:lastModifiedBy>
  <cp:revision>3</cp:revision>
  <dcterms:created xsi:type="dcterms:W3CDTF">2023-03-10T16:11:00Z</dcterms:created>
  <dcterms:modified xsi:type="dcterms:W3CDTF">2023-06-19T16:03:00Z</dcterms:modified>
</cp:coreProperties>
</file>