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2BAD" w14:textId="2F85195B" w:rsidR="00E145EF" w:rsidRPr="00F75FF8" w:rsidRDefault="00E145EF" w:rsidP="009B00AE">
      <w:pPr>
        <w:spacing w:line="480" w:lineRule="auto"/>
        <w:contextualSpacing/>
        <w:jc w:val="center"/>
        <w:rPr>
          <w:b/>
        </w:rPr>
      </w:pPr>
      <w:r w:rsidRPr="00F75FF8">
        <w:rPr>
          <w:b/>
        </w:rPr>
        <w:t>Abstract</w:t>
      </w:r>
    </w:p>
    <w:p w14:paraId="42DC19BC" w14:textId="17AFAAA2" w:rsidR="008B7238" w:rsidRPr="00F75FF8" w:rsidRDefault="008B7238" w:rsidP="008B7238">
      <w:pPr>
        <w:spacing w:line="480" w:lineRule="auto"/>
        <w:contextualSpacing/>
      </w:pPr>
      <w:r w:rsidRPr="00F75FF8">
        <w:rPr>
          <w:b/>
        </w:rPr>
        <w:t>Background</w:t>
      </w:r>
      <w:r w:rsidRPr="00F75FF8">
        <w:t>: Intake assessments vary in their focus on strengths and solutions compared to problems. They provide therapists with first impressions of their client</w:t>
      </w:r>
      <w:r w:rsidR="00324661">
        <w:t>s</w:t>
      </w:r>
      <w:r w:rsidRPr="00F75FF8">
        <w:t>. Research shows that first impressions may have strong and lasting effects.</w:t>
      </w:r>
    </w:p>
    <w:p w14:paraId="10D41A51" w14:textId="218B4D2E" w:rsidR="008B7238" w:rsidRPr="00F75FF8" w:rsidRDefault="008B7238" w:rsidP="008B7238">
      <w:pPr>
        <w:spacing w:line="480" w:lineRule="auto"/>
        <w:contextualSpacing/>
      </w:pPr>
      <w:r w:rsidRPr="00F75FF8">
        <w:rPr>
          <w:b/>
        </w:rPr>
        <w:t>Aims</w:t>
      </w:r>
      <w:r w:rsidRPr="00F75FF8">
        <w:t>: T</w:t>
      </w:r>
      <w:r w:rsidRPr="00F75FF8">
        <w:rPr>
          <w:lang w:val="en-GB"/>
        </w:rPr>
        <w:t xml:space="preserve">o </w:t>
      </w:r>
      <w:r w:rsidR="00D671B0" w:rsidRPr="00F75FF8">
        <w:rPr>
          <w:lang w:val="en-GB"/>
        </w:rPr>
        <w:t>compare</w:t>
      </w:r>
      <w:r w:rsidRPr="00F75FF8">
        <w:rPr>
          <w:lang w:val="en-GB"/>
        </w:rPr>
        <w:t xml:space="preserve"> how solution- versus problem-focused </w:t>
      </w:r>
      <w:r w:rsidR="00604779" w:rsidRPr="00F75FF8">
        <w:rPr>
          <w:lang w:val="en-GB"/>
        </w:rPr>
        <w:t>case</w:t>
      </w:r>
      <w:r w:rsidRPr="00F75FF8">
        <w:rPr>
          <w:lang w:val="en-GB"/>
        </w:rPr>
        <w:t xml:space="preserve"> descriptions influence therapists’ emotions and expectations for successfully working with a client.</w:t>
      </w:r>
    </w:p>
    <w:p w14:paraId="340240CF" w14:textId="3D7887E7" w:rsidR="008B7238" w:rsidRPr="00F75FF8" w:rsidRDefault="008B7238" w:rsidP="008B7238">
      <w:pPr>
        <w:spacing w:line="480" w:lineRule="auto"/>
        <w:contextualSpacing/>
      </w:pPr>
      <w:r w:rsidRPr="00F75FF8">
        <w:rPr>
          <w:b/>
        </w:rPr>
        <w:t>Methods</w:t>
      </w:r>
      <w:r w:rsidRPr="00F75FF8">
        <w:t>:</w:t>
      </w:r>
      <w:r w:rsidR="0085290E" w:rsidRPr="00F75FF8">
        <w:t xml:space="preserve"> V</w:t>
      </w:r>
      <w:r w:rsidRPr="00F75FF8">
        <w:t xml:space="preserve">ignettes </w:t>
      </w:r>
      <w:r w:rsidR="0085290E" w:rsidRPr="00F75FF8">
        <w:t xml:space="preserve">describing clients </w:t>
      </w:r>
      <w:r w:rsidRPr="00F75FF8">
        <w:t xml:space="preserve">were manipulated to focus either on solutions and strengths or on problems. </w:t>
      </w:r>
      <w:r w:rsidR="0085290E" w:rsidRPr="00F75FF8">
        <w:t>In a within-subject experimental design, 33</w:t>
      </w:r>
      <w:r w:rsidRPr="00F75FF8">
        <w:t xml:space="preserve"> (Sample 1) and 29 (Sample 2) trainee therapists each read four case </w:t>
      </w:r>
      <w:r w:rsidR="00D671B0" w:rsidRPr="00F75FF8">
        <w:t>descriptions</w:t>
      </w:r>
      <w:r w:rsidRPr="00F75FF8">
        <w:t xml:space="preserve"> (two solution-focused and two problem-focused</w:t>
      </w:r>
      <w:r w:rsidR="00D671B0" w:rsidRPr="00F75FF8">
        <w:t xml:space="preserve"> vignettes</w:t>
      </w:r>
      <w:r w:rsidRPr="00F75FF8">
        <w:t>; order fully counterbalanced).</w:t>
      </w:r>
      <w:r w:rsidR="00D671B0" w:rsidRPr="00F75FF8">
        <w:t xml:space="preserve"> After each vignette, participants rated their affect and expectations for successfully working with the client</w:t>
      </w:r>
      <w:r w:rsidRPr="00F75FF8">
        <w:t xml:space="preserve">. </w:t>
      </w:r>
    </w:p>
    <w:p w14:paraId="557D258E" w14:textId="40BFD206" w:rsidR="008B7238" w:rsidRPr="00F75FF8" w:rsidRDefault="008B7238" w:rsidP="008B7238">
      <w:pPr>
        <w:spacing w:line="480" w:lineRule="auto"/>
        <w:contextualSpacing/>
      </w:pPr>
      <w:r w:rsidRPr="00F75FF8">
        <w:rPr>
          <w:b/>
        </w:rPr>
        <w:t>Results</w:t>
      </w:r>
      <w:r w:rsidRPr="00F75FF8">
        <w:t xml:space="preserve">: In both samples, solution-focused vignettes were associated with significantly higher levels of positive </w:t>
      </w:r>
      <w:r w:rsidR="008C4F96" w:rsidRPr="00F75FF8">
        <w:t>affect</w:t>
      </w:r>
      <w:r w:rsidRPr="00F75FF8">
        <w:t xml:space="preserve"> and positive expectations for treatment, and with significantly lower levels of negative affect, compared to problem-focused vignettes. Effect size differences between conditions were generally large (Cohen’s d between .63 and 1.22). </w:t>
      </w:r>
    </w:p>
    <w:p w14:paraId="3D16A90E" w14:textId="33E57D31" w:rsidR="008B7238" w:rsidRPr="00F75FF8" w:rsidRDefault="008B7238" w:rsidP="008B7238">
      <w:pPr>
        <w:spacing w:line="480" w:lineRule="auto"/>
        <w:contextualSpacing/>
        <w:rPr>
          <w:lang w:val="en-GB"/>
        </w:rPr>
      </w:pPr>
      <w:r w:rsidRPr="00F75FF8">
        <w:rPr>
          <w:b/>
        </w:rPr>
        <w:t>Conclusions</w:t>
      </w:r>
      <w:r w:rsidRPr="00F75FF8">
        <w:t xml:space="preserve">: Focusing on clients’ goals, their strengths, and actively highlighting better moments and areas of problem-free functioning </w:t>
      </w:r>
      <w:r w:rsidRPr="00F75FF8">
        <w:rPr>
          <w:lang w:val="en-GB"/>
        </w:rPr>
        <w:t xml:space="preserve">may increase therapists’ positive emotions and their hope for </w:t>
      </w:r>
      <w:r w:rsidR="0085290E" w:rsidRPr="00F75FF8">
        <w:rPr>
          <w:lang w:val="en-GB"/>
        </w:rPr>
        <w:t>successfully working with a client</w:t>
      </w:r>
      <w:r w:rsidRPr="00F75FF8">
        <w:rPr>
          <w:lang w:val="en-GB"/>
        </w:rPr>
        <w:t xml:space="preserve">. A next step is to examine the degree to which these positive initial effects are, in turn, predictive of </w:t>
      </w:r>
      <w:r w:rsidR="0085290E" w:rsidRPr="00F75FF8">
        <w:rPr>
          <w:lang w:val="en-GB"/>
        </w:rPr>
        <w:t>better</w:t>
      </w:r>
      <w:r w:rsidRPr="00F75FF8">
        <w:rPr>
          <w:lang w:val="en-GB"/>
        </w:rPr>
        <w:t xml:space="preserve"> clinical outcomes in therapy. Future research could additionally examine whether supporting therapists to frame clients’ initial assessments in solution-focused ways may be one way to contribute to workforce well-being.</w:t>
      </w:r>
    </w:p>
    <w:p w14:paraId="48FD4933" w14:textId="77777777" w:rsidR="00B91AA9" w:rsidRPr="00F75FF8" w:rsidRDefault="00B91AA9" w:rsidP="00B91AA9">
      <w:pPr>
        <w:spacing w:line="480" w:lineRule="auto"/>
        <w:contextualSpacing/>
        <w:rPr>
          <w:lang w:val="en-GB"/>
        </w:rPr>
      </w:pPr>
    </w:p>
    <w:p w14:paraId="41BE32B2" w14:textId="62B70D59" w:rsidR="00D47F7F" w:rsidRPr="00F75FF8" w:rsidRDefault="00BE231C" w:rsidP="00B91AA9">
      <w:pPr>
        <w:spacing w:line="480" w:lineRule="auto"/>
      </w:pPr>
      <w:r w:rsidRPr="00F75FF8">
        <w:rPr>
          <w:b/>
        </w:rPr>
        <w:t>Key words</w:t>
      </w:r>
      <w:r w:rsidRPr="00F75FF8">
        <w:t xml:space="preserve">: solution-focus; problem-focus; therapist emotions; hope for treatment; intake assessment; </w:t>
      </w:r>
      <w:r w:rsidR="005E719B" w:rsidRPr="00F75FF8">
        <w:t>intake report</w:t>
      </w:r>
      <w:r w:rsidR="00D47F7F" w:rsidRPr="00F75FF8">
        <w:br w:type="page"/>
      </w:r>
    </w:p>
    <w:p w14:paraId="401F8F15" w14:textId="4F50AB8F" w:rsidR="00F72FF4" w:rsidRPr="00F75FF8" w:rsidRDefault="00B51673" w:rsidP="00C545E3">
      <w:pPr>
        <w:spacing w:line="480" w:lineRule="auto"/>
        <w:ind w:firstLine="720"/>
        <w:contextualSpacing/>
        <w:rPr>
          <w:lang w:val="en-GB"/>
        </w:rPr>
      </w:pPr>
      <w:r w:rsidRPr="00F75FF8">
        <w:lastRenderedPageBreak/>
        <w:t xml:space="preserve">When clients apply for treatment at a mental health care institution, they usually go through an intake </w:t>
      </w:r>
      <w:r w:rsidR="0085290E" w:rsidRPr="00F75FF8">
        <w:t>assessment</w:t>
      </w:r>
      <w:r w:rsidRPr="00F75FF8">
        <w:t xml:space="preserve"> first. The goal of the intake </w:t>
      </w:r>
      <w:r w:rsidR="0085290E" w:rsidRPr="00F75FF8">
        <w:t xml:space="preserve">assessment </w:t>
      </w:r>
      <w:r w:rsidRPr="00F75FF8">
        <w:t xml:space="preserve">is to obtain a clear focus on present and past concerns, and typically involves completion of multiple interviews and questionnaires </w:t>
      </w:r>
      <w:r w:rsidRPr="00F75FF8">
        <w:fldChar w:fldCharType="begin" w:fldLock="1"/>
      </w:r>
      <w:r w:rsidRPr="00F75FF8">
        <w:instrText>ADDIN CSL_CITATION {"citationItems":[{"id":"ITEM-1","itemData":{"abstract":"Assessment is often an ongoing process that occurs throughout treatment, from the initial intake through periodic progress monitoring to evaluation of final therapy outcomes. The specific sequence and com- ponents of assessment vary depending on the clinical setting, patient presentation, and assessment purposes. The initial assessment typically includes diagnosis of presenting problems and disorders, case conceptualization, and identification of patient strengths, characteristics, sociocul- tural contexts, and preferences. Before beginning the assessment, the psychologist informs the patient of confidentiality requirements, limits to confidentiality, as well as the purpose, format, and possible outcomes of the assessment. The psychol- ogist endeavors to answer the patient’s questions and, as appropriate, obtains informed consent before proceeding. When applicable, the psychologist also inquires about the patient’s goals for the assessment (i.e., what the patient hopes to learn from the assessment) and takes steps to ensure that the assessment is responsive to those goals. Because assessment is often the first step in the psychological intervention pro- cess, it provides psychologists with an early opportunity to set the tone for a successful therapeutic relationship. Therefore, psy- chologists strive to adopt a collaborative approach to assessment and develop an effective working relationship with the patient. Psychological assessments that include collaborative and personalized feedback are associated with more positive treatment processes and better clinical outcomes (Poston &amp; Hanson, 2010). APA GUIDELINES on Evidence-Based Psychological Practice in Health Care WORKGROUP OF THE COMMITTEE ON PROFESSIONAL PRACTICE AND STANDARDS (COPPS) AND THE BOARD OF PROFESSIONAL AFFAIR","author":[{"dropping-particle":"","family":"American Psychological Association","given":"","non-dropping-particle":"","parse-names":false,"suffix":""}],"id":"ITEM-1","issue":"February","issued":{"date-parts":[["2021"]]},"title":"Professional Practice Guidelines for Evidence-Based Psychological Practice in Health Care","type":"article"},"uris":["http://www.mendeley.com/documents/?uuid=b1846af9-1a02-4d94-86dd-d852c88a3e44"]}],"mendeley":{"formattedCitation":"(American Psychological Association, 2021)","plainTextFormattedCitation":"(American Psychological Association, 2021)","previouslyFormattedCitation":"(American Psychological Association, 2021)"},"properties":{"noteIndex":0},"schema":"https://github.com/citation-style-language/schema/raw/master/csl-citation.json"}</w:instrText>
      </w:r>
      <w:r w:rsidRPr="00F75FF8">
        <w:fldChar w:fldCharType="separate"/>
      </w:r>
      <w:r w:rsidRPr="00F75FF8">
        <w:rPr>
          <w:noProof/>
        </w:rPr>
        <w:t>(American Psychological Association, 2021)</w:t>
      </w:r>
      <w:r w:rsidRPr="00F75FF8">
        <w:fldChar w:fldCharType="end"/>
      </w:r>
      <w:r w:rsidRPr="00F75FF8">
        <w:t xml:space="preserve">. </w:t>
      </w:r>
      <w:r w:rsidRPr="00F75FF8">
        <w:rPr>
          <w:lang w:val="en-GB"/>
        </w:rPr>
        <w:t xml:space="preserve">During the intake </w:t>
      </w:r>
      <w:r w:rsidR="0085290E" w:rsidRPr="00F75FF8">
        <w:t>assessment</w:t>
      </w:r>
      <w:r w:rsidRPr="00F75FF8">
        <w:rPr>
          <w:lang w:val="en-GB"/>
        </w:rPr>
        <w:t>, the therapist asks the client to provide detailed information on current and previous problems</w:t>
      </w:r>
      <w:r w:rsidR="0085290E" w:rsidRPr="00F75FF8">
        <w:rPr>
          <w:lang w:val="en-GB"/>
        </w:rPr>
        <w:t>,</w:t>
      </w:r>
      <w:r w:rsidRPr="00F75FF8">
        <w:rPr>
          <w:lang w:val="en-GB"/>
        </w:rPr>
        <w:t xml:space="preserve"> and </w:t>
      </w:r>
      <w:r w:rsidR="0085290E" w:rsidRPr="00F75FF8">
        <w:rPr>
          <w:lang w:val="en-GB"/>
        </w:rPr>
        <w:t xml:space="preserve">on </w:t>
      </w:r>
      <w:r w:rsidRPr="00F75FF8">
        <w:rPr>
          <w:lang w:val="en-GB"/>
        </w:rPr>
        <w:t xml:space="preserve">factors that potentially maintain or contribute to these problems. </w:t>
      </w:r>
      <w:r w:rsidR="00E80DFD" w:rsidRPr="00F75FF8">
        <w:rPr>
          <w:lang w:val="en-GB"/>
        </w:rPr>
        <w:t>M</w:t>
      </w:r>
      <w:r w:rsidRPr="00F75FF8">
        <w:rPr>
          <w:lang w:val="en-GB"/>
        </w:rPr>
        <w:t xml:space="preserve">any psychological therapies </w:t>
      </w:r>
      <w:r w:rsidR="00E80DFD" w:rsidRPr="00F75FF8">
        <w:rPr>
          <w:lang w:val="en-GB"/>
        </w:rPr>
        <w:t>are based on the assumption</w:t>
      </w:r>
      <w:r w:rsidRPr="00F75FF8">
        <w:rPr>
          <w:lang w:val="en-GB"/>
        </w:rPr>
        <w:t xml:space="preserve"> that detailed information about a problem is necessary in order to treat a problem </w:t>
      </w:r>
      <w:r w:rsidRPr="00F75FF8">
        <w:rPr>
          <w:lang w:val="en-GB"/>
        </w:rPr>
        <w:fldChar w:fldCharType="begin" w:fldLock="1"/>
      </w:r>
      <w:r w:rsidR="007E51C8" w:rsidRPr="00F75FF8">
        <w:rPr>
          <w:lang w:val="en-GB"/>
        </w:rPr>
        <w:instrText>ADDIN CSL_CITATION {"citationItems":[{"id":"ITEM-1","itemData":{"author":[{"dropping-particle":"","family":"Bannink","given":"F. P.","non-dropping-particle":"","parse-names":false,"suffix":""},{"dropping-particle":"","family":"Geschwind","given":"Nicole","non-dropping-particle":"","parse-names":false,"suffix":""}],"id":"ITEM-1","issued":{"date-parts":[["2021"]]},"number-of-pages":"1-144","publisher":"Hogrefe Publishing","publisher-place":"Boston","title":"Positive CBT. Individual and group treatment protocols for positive cognitive behavioral therapy","type":"book"},"uris":["http://www.mendeley.com/documents/?uuid=b2f8bf5b-6f50-4ae9-9ebe-f7ad0661f6fd"]}],"mendeley":{"formattedCitation":"(F. P. Bannink &amp; Geschwind, 2021)","manualFormatting":"(Bannink &amp; Geschwind, 2021)","plainTextFormattedCitation":"(F. P. Bannink &amp; Geschwind, 2021)","previouslyFormattedCitation":"(F. P. Bannink &amp; Geschwind, 2021)"},"properties":{"noteIndex":0},"schema":"https://github.com/citation-style-language/schema/raw/master/csl-citation.json"}</w:instrText>
      </w:r>
      <w:r w:rsidRPr="00F75FF8">
        <w:rPr>
          <w:lang w:val="en-GB"/>
        </w:rPr>
        <w:fldChar w:fldCharType="separate"/>
      </w:r>
      <w:r w:rsidRPr="00F75FF8">
        <w:rPr>
          <w:noProof/>
          <w:lang w:val="en-GB"/>
        </w:rPr>
        <w:t>(Bannink &amp; Geschwind, 2021)</w:t>
      </w:r>
      <w:r w:rsidRPr="00F75FF8">
        <w:rPr>
          <w:lang w:val="en-GB"/>
        </w:rPr>
        <w:fldChar w:fldCharType="end"/>
      </w:r>
      <w:r w:rsidR="00E80DFD" w:rsidRPr="00F75FF8">
        <w:rPr>
          <w:lang w:val="en-GB"/>
        </w:rPr>
        <w:t xml:space="preserve">, with intake </w:t>
      </w:r>
      <w:r w:rsidR="0085290E" w:rsidRPr="00F75FF8">
        <w:t xml:space="preserve">assessments </w:t>
      </w:r>
      <w:r w:rsidR="00E80DFD" w:rsidRPr="00F75FF8">
        <w:rPr>
          <w:lang w:val="en-GB"/>
        </w:rPr>
        <w:t xml:space="preserve">therefore usually being relatively focused on </w:t>
      </w:r>
      <w:r w:rsidR="007E51C8" w:rsidRPr="00F75FF8">
        <w:rPr>
          <w:lang w:val="en-GB"/>
        </w:rPr>
        <w:t xml:space="preserve">describing </w:t>
      </w:r>
      <w:r w:rsidR="00E80DFD" w:rsidRPr="00F75FF8">
        <w:rPr>
          <w:lang w:val="en-GB"/>
        </w:rPr>
        <w:t>problem-content</w:t>
      </w:r>
      <w:r w:rsidRPr="00F75FF8">
        <w:rPr>
          <w:lang w:val="en-GB"/>
        </w:rPr>
        <w:t>.</w:t>
      </w:r>
    </w:p>
    <w:p w14:paraId="129C783A" w14:textId="780E2DAD" w:rsidR="006B68FF" w:rsidRPr="00F75FF8" w:rsidRDefault="00E80DFD">
      <w:pPr>
        <w:spacing w:line="480" w:lineRule="auto"/>
        <w:ind w:firstLine="720"/>
        <w:contextualSpacing/>
        <w:rPr>
          <w:lang w:val="en-GB"/>
        </w:rPr>
      </w:pPr>
      <w:r w:rsidRPr="00F75FF8">
        <w:rPr>
          <w:lang w:val="en-GB"/>
        </w:rPr>
        <w:t>Several approaches advocate taking a balanced perspective and using t</w:t>
      </w:r>
      <w:r w:rsidR="00B51673" w:rsidRPr="00F75FF8">
        <w:rPr>
          <w:lang w:val="en-GB"/>
        </w:rPr>
        <w:t xml:space="preserve">he intake </w:t>
      </w:r>
      <w:r w:rsidR="0085290E" w:rsidRPr="00F75FF8">
        <w:t xml:space="preserve">assessment </w:t>
      </w:r>
      <w:r w:rsidRPr="00F75FF8">
        <w:rPr>
          <w:lang w:val="en-GB"/>
        </w:rPr>
        <w:t>also</w:t>
      </w:r>
      <w:r w:rsidR="00B51673" w:rsidRPr="00F75FF8">
        <w:rPr>
          <w:lang w:val="en-GB"/>
        </w:rPr>
        <w:t xml:space="preserve"> to identify client’s strengths and resources</w:t>
      </w:r>
      <w:r w:rsidRPr="00F75FF8">
        <w:rPr>
          <w:lang w:val="en-GB"/>
        </w:rPr>
        <w:t xml:space="preserve">, </w:t>
      </w:r>
      <w:r w:rsidR="00F72FF4" w:rsidRPr="00F75FF8">
        <w:rPr>
          <w:lang w:val="en-GB"/>
        </w:rPr>
        <w:t>in addition</w:t>
      </w:r>
      <w:r w:rsidRPr="00F75FF8">
        <w:rPr>
          <w:lang w:val="en-GB"/>
        </w:rPr>
        <w:t xml:space="preserve"> to a detailed description of problems</w:t>
      </w:r>
      <w:r w:rsidR="00105037" w:rsidRPr="00F75FF8">
        <w:rPr>
          <w:lang w:val="en-GB"/>
        </w:rPr>
        <w:t xml:space="preserve"> </w:t>
      </w:r>
      <w:r w:rsidR="00105037" w:rsidRPr="00F75FF8">
        <w:rPr>
          <w:lang w:val="en-GB"/>
        </w:rPr>
        <w:fldChar w:fldCharType="begin" w:fldLock="1"/>
      </w:r>
      <w:r w:rsidR="00B502FE" w:rsidRPr="00F75FF8">
        <w:rPr>
          <w:lang w:val="en-GB"/>
        </w:rPr>
        <w:instrText>ADDIN CSL_CITATION {"citationItems":[{"id":"ITEM-1","itemData":{"DOI":"10.1093/oxfordhb/9780190653200.013.33","abstract":"Anhedonia—a loss of interest and pleasure in previously enjoyable activities—is one of the two cardinal symptoms of depression but has until recently been relatively neglected in cognitive behavioral therapy (CBT) for depression. One way to better target anhedonia is to identify in the laboratory what psychological mechanisms drive the reduced pleasure experience in depression and then to develop in the clinic novel CBT techniques that address these mechanisms. This chapter reviews evidence evaluating how well classic CBT repairs anhedonia, provides an overview of recent experimental work characterizing anhedonia and exploring anhedonia maintenance mechanisms, and discusses implications for adapting CBT to better repair anhedonia. While the focus is on depression, implications for the transdiagnostic treatment of anhedonia are discussed.","author":[{"dropping-particle":"","family":"Dunn","given":"B. D.","non-dropping-particle":"","parse-names":false,"suffix":""}],"container-title":"Oxford handbook of positive emotion and psychopathology","editor":[{"dropping-particle":"","family":"Gruber","given":"J.","non-dropping-particle":"","parse-names":false,"suffix":""}],"id":"ITEM-1","issued":{"date-parts":[["2019"]]},"page":"539-560","publisher":"Oxford University Press","publisher-place":"New York","title":"Augmenting cognitive behavioural therapy to build positive mood in depression","type":"chapter"},"uris":["http://www.mendeley.com/documents/?uuid=12d1f688-fb70-4ef4-9069-3e0b88cde6f0"]},{"id":"ITEM-2","itemData":{"DOI":"10.1017/S1352465808004815","ISBN":"1606237799","ISSN":"1352-4658","PMID":"15469502","abstract":"Presenting an innovative framework for tailoring cognitive-behavioral interventions to each client's needs, this accessible book is packed with practical pointers and sample dialogues. Step by step, the authors show how to collaborate with clients to develop and test conceptualizations that illuminate personal strengths as well as problems, and that deepen in explanatory power as treatment progresses. An extended case illustration demonstrates the three-stage conceptualization process over the entire course of therapy with a multiproblem client. The approach emphasizes building resilience and coping while decreasing psychological distress. Special features include self-assessment checklists and learning exercises to help therapists build their conceptualization skills.","author":[{"dropping-particle":"","family":"Kuyken","given":"Willem","non-dropping-particle":"","parse-names":false,"suffix":""},{"dropping-particle":"","family":"Padesky","given":"Christine a.","non-dropping-particle":"","parse-names":false,"suffix":""},{"dropping-particle":"","family":"Dudley","given":"Robert","non-dropping-particle":"","parse-names":false,"suffix":""}],"container-title":"Behavioural and Cognitive Psychotherapy","id":"ITEM-2","issued":{"date-parts":[["2009"]]},"publisher":"The Guilford Press","publisher-place":"Ney York, NY","title":"Collaborative Case Conceptualization: Working Effectively with Clients in Cognitive-Behavioral Therapy","type":"book"},"uris":["http://www.mendeley.com/documents/?uuid=3c6fb2b2-2497-4762-bd8b-710f6781db45"]},{"id":"ITEM-3","itemData":{"DOI":"10.1037/a0022907","ISSN":"1573-3696","abstract":"Psychotherapists' approach to intake assessment has a major impact on mental health case conceptualization and treatment. Despite the importance of this issue, very little is known about the actual intake assessment practices of therapists providing mental health care in the community. This appears to be the first study that has investigated which aspects of biological, psychological, and sociocultural functioning are documented by therapists in their client intake assessments, how thoroughly these issues are assessed, and how well the information collected is then integrated into the assessment findings and case conceptualization. The examination of 163 client files from 3 mental health clinics found that therapists were regularly collecting client information regarding a wide range of biopsychosocial issues, though not in a detailed or comprehensive manner. There was also little evidence that the information was being integrated in a manner designed to maximize treatment effectiveness. These findings have major implications for training and practice in mental health assessment. © 2011 American Psychological Association.","author":[{"dropping-particle":"","family":"Meyer","given":"Lari","non-dropping-particle":"","parse-names":false,"suffix":""},{"dropping-particle":"","family":"Melchert","given":"Timothy P.","non-dropping-particle":"","parse-names":false,"suffix":""}],"container-title":"Journal of Psychotherapy Integration","id":"ITEM-3","issue":"1","issued":{"date-parts":[["2011","3"]]},"page":"70-89","title":"Examining the content of mental health intake assessments from a biopsychosocial perspective.","type":"article-journal","volume":"21"},"uris":["http://www.mendeley.com/documents/?uuid=a6da7396-4cdf-3a18-a0e2-6651c31e5906"]},{"id":"ITEM-4","itemData":{"DOI":"10.1002/cpp.1795","ISSN":"1099-0879","PMID":"22653834","abstract":"Padesky and Mooney's four-step Strengths-Based cognitive-behavioural therapy (CBT) model is designed to help clients build positive qualities. This article shows how it can be used to build and strengthen personal resilience. A structured search for client strengths is central to the approach, and methods designed to bring hidden strengths into client awareness are demonstrated through therapist-client dialogues. Development of positive qualities requires a shift in therapy perspective and different therapy methods from those employed when therapy is designed to ameliorate distress. Required adjustments to classic CBT are highlighted with specific recommendations for clinical modifications designed to support client development of resilience such as a focus on current strengths, the constructive use of imagery and client-generated metaphors. Although the focus of this article is on resilience, this Strengths-Based CBT model offers a template that also can be used to develop other positive human qualities.","author":[{"dropping-particle":"","family":"Padesky","given":"Christine","non-dropping-particle":"","parse-names":false,"suffix":""},{"dropping-particle":"","family":"Mooney","given":"Kathleen","non-dropping-particle":"","parse-names":false,"suffix":""}],"container-title":"Clinical psychology &amp; psychotherapy","id":"ITEM-4","issue":"4","issued":{"date-parts":[["2012"]]},"page":"283-90","title":"Strengths-based cognitive-behavioural therapy: a four-step model to build resilience.","type":"article-journal","volume":"19"},"uris":["http://www.mendeley.com/documents/?uuid=96915b81-92af-4c34-b754-1009c7017f48"]}],"mendeley":{"formattedCitation":"(Dunn, 2019; Kuyken et al., 2009; Meyer &amp; Melchert, 2011; Padesky &amp; Mooney, 2012)","plainTextFormattedCitation":"(Dunn, 2019; Kuyken et al., 2009; Meyer &amp; Melchert, 2011; Padesky &amp; Mooney, 2012)","previouslyFormattedCitation":"(Dunn, 2019; Kuyken et al., 2009; Meyer &amp; Melchert, 2011; Padesky &amp; Mooney, 2012)"},"properties":{"noteIndex":0},"schema":"https://github.com/citation-style-language/schema/raw/master/csl-citation.json"}</w:instrText>
      </w:r>
      <w:r w:rsidR="00105037" w:rsidRPr="00F75FF8">
        <w:rPr>
          <w:lang w:val="en-GB"/>
        </w:rPr>
        <w:fldChar w:fldCharType="separate"/>
      </w:r>
      <w:r w:rsidR="00105037" w:rsidRPr="00F75FF8">
        <w:rPr>
          <w:noProof/>
          <w:lang w:val="en-GB"/>
        </w:rPr>
        <w:t>(Dunn, 2019; Kuyken et al., 2009; Meyer &amp; Melchert, 2011; Padesky &amp; Mooney, 2012)</w:t>
      </w:r>
      <w:r w:rsidR="00105037" w:rsidRPr="00F75FF8">
        <w:rPr>
          <w:lang w:val="en-GB"/>
        </w:rPr>
        <w:fldChar w:fldCharType="end"/>
      </w:r>
      <w:r w:rsidR="00B51673" w:rsidRPr="00F75FF8">
        <w:t>.</w:t>
      </w:r>
      <w:r w:rsidRPr="00F75FF8">
        <w:t xml:space="preserve"> </w:t>
      </w:r>
      <w:r w:rsidRPr="00F75FF8">
        <w:rPr>
          <w:lang w:val="en-GB"/>
        </w:rPr>
        <w:t xml:space="preserve">Solution-focused approaches </w:t>
      </w:r>
      <w:r w:rsidR="00F72FF4" w:rsidRPr="00F75FF8">
        <w:rPr>
          <w:lang w:val="en-GB"/>
        </w:rPr>
        <w:t xml:space="preserve">such as solution-focussed brief therapy </w:t>
      </w:r>
      <w:r w:rsidR="00F72FF4" w:rsidRPr="00F75FF8">
        <w:rPr>
          <w:lang w:val="en-GB"/>
        </w:rPr>
        <w:fldChar w:fldCharType="begin" w:fldLock="1"/>
      </w:r>
      <w:r w:rsidR="00F72FF4" w:rsidRPr="00F75FF8">
        <w:rPr>
          <w:lang w:val="en-GB"/>
        </w:rPr>
        <w:instrText>ADDIN CSL_CITATION {"citationItems":[{"id":"ITEM-1","itemData":{"DOI":"10.4324/9781003125600","ISBN":"9781003125600","abstract":"Written by pioneering experts in the field, More Than Miracles remains the authoritative text on solution-focused brief therapy (SFBT). The final work of the world-renowned family therapists and original developers of SFBT, the late Steve de Shazer and Insoo Kim Berg, this comprehensive resource informs practitioners and students in how to apply this practical, internationally acclaimed approach. \nWith a new preface, this classic edition outlines the latest developments in the fields of family therapy, brief therapy, and psychotherapy training and practice. A succinct overview orients the reader to the current landscape of SFBT and provides three real-life case transcripts that illustrate the practical applications of SFBT techniques. The seminar format of the text allows readers to: \n\n\nsit in on surprising psychotherapy sessions \n\n\neavesdrop on the authors’ commentary about the sessions \n\n\ngain a comprehensive overview on the current state of SFBT \n\n\nreview and understand the major tenets of SFBT \n\n\nlearn specific interventions, including the miracle question and the reasons for asking it \n\n\nunderstand treatment applicability \n\n\nread actual session transcripts \n\n\nunderstand the \"miracle scale\" \n\n\nget insight into the unique relationship between Wittgenstein’s philosophy and SFBT \n\n\nbetter understand SFBT and emotions \n\n\nexamine misconceptions about SFBT \n\n\nand more\n\nSuitable for both advanced practitioners and ambitious beginners, this book is the ideal resource for anyone seeking an in-depth understanding of the SFBT approach, the concepts that inform it, and the specific techniques that characterize its implementation.","author":[{"dropping-particle":"","family":"Shazer","given":"Steve","non-dropping-particle":"de","parse-names":false,"suffix":""},{"dropping-particle":"","family":"Dolan","given":"Yvonne","non-dropping-particle":"","parse-names":false,"suffix":""},{"dropping-particle":"","family":"Korman","given":"Harry","non-dropping-particle":"","parse-names":false,"suffix":""},{"dropping-particle":"","family":"Trepper","given":"Terry","non-dropping-particle":"","parse-names":false,"suffix":""},{"dropping-particle":"","family":"McCollum","given":"Eric","non-dropping-particle":"","parse-names":false,"suffix":""},{"dropping-particle":"","family":"Berg","given":"Insoo Kim","non-dropping-particle":"","parse-names":false,"suffix":""}],"container-title":"More Than Miracles","id":"ITEM-1","issued":{"date-parts":[["2021","2","21"]]},"publisher":"Routledge","title":"More Than Miracles : The State of the Art of Solution-Focused Brief Therapy","type":"article-journal"},"uris":["http://www.mendeley.com/documents/?uuid=552dbff7-4dd1-331f-a201-1bd0e554ce9d"]}],"mendeley":{"formattedCitation":"(de Shazer et al., 2021)","plainTextFormattedCitation":"(de Shazer et al., 2021)","previouslyFormattedCitation":"(de Shazer et al., 2021)"},"properties":{"noteIndex":0},"schema":"https://github.com/citation-style-language/schema/raw/master/csl-citation.json"}</w:instrText>
      </w:r>
      <w:r w:rsidR="00F72FF4" w:rsidRPr="00F75FF8">
        <w:rPr>
          <w:lang w:val="en-GB"/>
        </w:rPr>
        <w:fldChar w:fldCharType="separate"/>
      </w:r>
      <w:r w:rsidR="00F72FF4" w:rsidRPr="00F75FF8">
        <w:rPr>
          <w:noProof/>
          <w:lang w:val="en-GB"/>
        </w:rPr>
        <w:t>(de Shazer et al., 2021)</w:t>
      </w:r>
      <w:r w:rsidR="00F72FF4" w:rsidRPr="00F75FF8">
        <w:rPr>
          <w:lang w:val="en-GB"/>
        </w:rPr>
        <w:fldChar w:fldCharType="end"/>
      </w:r>
      <w:r w:rsidR="00F72FF4" w:rsidRPr="00F75FF8">
        <w:rPr>
          <w:lang w:val="en-GB"/>
        </w:rPr>
        <w:t xml:space="preserve"> or positive cognitive behavioural therapy </w:t>
      </w:r>
      <w:r w:rsidR="00F72FF4" w:rsidRPr="00F75FF8">
        <w:rPr>
          <w:lang w:val="en-GB"/>
        </w:rPr>
        <w:fldChar w:fldCharType="begin" w:fldLock="1"/>
      </w:r>
      <w:r w:rsidR="00F72FF4" w:rsidRPr="00F75FF8">
        <w:rPr>
          <w:lang w:val="en-GB"/>
        </w:rPr>
        <w:instrText>ADDIN CSL_CITATION {"citationItems":[{"id":"ITEM-1","itemData":{"DOI":"10.1007/s10879-013-9239-7","ISBN":"978-1-1199-5269-5 (Paperback), 978-1-1199-5270-1 (Hardcover), 978-1-1183-2896-5 (PDF)","ISSN":"0022-0116","abstract":"(from the cover) Recent decades have witnessed a surge in the development of competency-based, collaborative approaches to working with clients. Practicing Positive CBT: From Reducing Distress to Building Success reveals how traditional CBT can become Positive CBT, with a shift in the focus of therapy from what is wrong with clients to what is right with them, and from what is not working to what is. Drawing on insights and techniques from both Positive Psychology and Solution-Focused Brief Therapy, internationally renowned expert Fredrike Bannink first reveals how Positive CBT combines the best elements of change-based and meaning based shows how the transition from traditional CBT to Positive CBT represents an important shift from problem analysis to goal analysis, from a focus on deficits and the learning of new behaviors to one that builds on resources and competences the client already possesses, and from reducing distress to building success. Combining theory and application with a wide range of exercises and case studies. Practicing Positive CBT offers groundbreaking insights on new approaches for the improvement of the psychology well-being of clients and therapists. (PsycINFO Database Record (c) 2013 APA, all rights reserved)","author":[{"dropping-particle":"","family":"Bannink","given":"F.","non-dropping-particle":"","parse-names":false,"suffix":""}],"container-title":"Journal of Contemporary Psychotherapy","id":"ITEM-1","issue":"1","issued":{"date-parts":[["2014","3","26"]]},"page":"1-8","title":"Positive CBT: From Reducing Distress to Building Success","type":"article-journal","volume":"44"},"uris":["http://www.mendeley.com/documents/?uuid=e998da4a-7eee-4176-bb89-29f51336f4a2"]}],"mendeley":{"formattedCitation":"(F. Bannink, 2014)","manualFormatting":"(Bannink, 2014)","plainTextFormattedCitation":"(F. Bannink, 2014)","previouslyFormattedCitation":"(F. Bannink, 2014)"},"properties":{"noteIndex":0},"schema":"https://github.com/citation-style-language/schema/raw/master/csl-citation.json"}</w:instrText>
      </w:r>
      <w:r w:rsidR="00F72FF4" w:rsidRPr="00F75FF8">
        <w:rPr>
          <w:lang w:val="en-GB"/>
        </w:rPr>
        <w:fldChar w:fldCharType="separate"/>
      </w:r>
      <w:r w:rsidR="00F72FF4" w:rsidRPr="00F75FF8">
        <w:rPr>
          <w:noProof/>
          <w:lang w:val="en-GB"/>
        </w:rPr>
        <w:t>(Bannink, 2014)</w:t>
      </w:r>
      <w:r w:rsidR="00F72FF4" w:rsidRPr="00F75FF8">
        <w:rPr>
          <w:lang w:val="en-GB"/>
        </w:rPr>
        <w:fldChar w:fldCharType="end"/>
      </w:r>
      <w:r w:rsidR="00F72FF4" w:rsidRPr="00F75FF8">
        <w:rPr>
          <w:lang w:val="en-GB"/>
        </w:rPr>
        <w:t xml:space="preserve"> </w:t>
      </w:r>
      <w:r w:rsidRPr="00F75FF8">
        <w:rPr>
          <w:lang w:val="en-GB"/>
        </w:rPr>
        <w:t>take the fo</w:t>
      </w:r>
      <w:r w:rsidR="00D3630B" w:rsidRPr="00F75FF8">
        <w:rPr>
          <w:lang w:val="en-GB"/>
        </w:rPr>
        <w:t>cus on strengths and resources one</w:t>
      </w:r>
      <w:r w:rsidRPr="00F75FF8">
        <w:rPr>
          <w:lang w:val="en-GB"/>
        </w:rPr>
        <w:t xml:space="preserve"> step further</w:t>
      </w:r>
      <w:r w:rsidR="00D3630B" w:rsidRPr="00F75FF8">
        <w:rPr>
          <w:lang w:val="en-GB"/>
        </w:rPr>
        <w:t xml:space="preserve"> by</w:t>
      </w:r>
      <w:r w:rsidR="00B51673" w:rsidRPr="00F75FF8">
        <w:rPr>
          <w:lang w:val="en-GB"/>
        </w:rPr>
        <w:t xml:space="preserve"> question</w:t>
      </w:r>
      <w:r w:rsidR="00D3630B" w:rsidRPr="00F75FF8">
        <w:rPr>
          <w:lang w:val="en-GB"/>
        </w:rPr>
        <w:t>ing</w:t>
      </w:r>
      <w:r w:rsidR="00B51673" w:rsidRPr="00F75FF8">
        <w:rPr>
          <w:lang w:val="en-GB"/>
        </w:rPr>
        <w:t xml:space="preserve"> the need for extensive knowledge about </w:t>
      </w:r>
      <w:r w:rsidRPr="00F75FF8">
        <w:rPr>
          <w:lang w:val="en-GB"/>
        </w:rPr>
        <w:t>clients</w:t>
      </w:r>
      <w:r w:rsidR="00D3630B" w:rsidRPr="00F75FF8">
        <w:rPr>
          <w:lang w:val="en-GB"/>
        </w:rPr>
        <w:t>’</w:t>
      </w:r>
      <w:r w:rsidRPr="00F75FF8">
        <w:rPr>
          <w:lang w:val="en-GB"/>
        </w:rPr>
        <w:t xml:space="preserve"> </w:t>
      </w:r>
      <w:r w:rsidR="00B51673" w:rsidRPr="00F75FF8">
        <w:rPr>
          <w:lang w:val="en-GB"/>
        </w:rPr>
        <w:t>problems</w:t>
      </w:r>
      <w:r w:rsidR="00C545E3" w:rsidRPr="00F75FF8">
        <w:rPr>
          <w:lang w:val="en-GB"/>
        </w:rPr>
        <w:t xml:space="preserve"> </w:t>
      </w:r>
      <w:r w:rsidR="00B51673" w:rsidRPr="00F75FF8">
        <w:rPr>
          <w:lang w:val="en-GB"/>
        </w:rPr>
        <w:fldChar w:fldCharType="begin" w:fldLock="1"/>
      </w:r>
      <w:r w:rsidR="00B51673" w:rsidRPr="00F75FF8">
        <w:rPr>
          <w:lang w:val="en-GB"/>
        </w:rPr>
        <w:instrText>ADDIN CSL_CITATION {"citationItems":[{"id":"ITEM-1","itemData":{"DOI":"10.4324/9781003125600","ISBN":"9781003125600","abstract":"Written by pioneering experts in the field, More Than Miracles remains the authoritative text on solution-focused brief therapy (SFBT). The final work of the world-renowned family therapists and original developers of SFBT, the late Steve de Shazer and Insoo Kim Berg, this comprehensive resource informs practitioners and students in how to apply this practical, internationally acclaimed approach. \nWith a new preface, this classic edition outlines the latest developments in the fields of family therapy, brief therapy, and psychotherapy training and practice. A succinct overview orients the reader to the current landscape of SFBT and provides three real-life case transcripts that illustrate the practical applications of SFBT techniques. The seminar format of the text allows readers to: \n\n\nsit in on surprising psychotherapy sessions \n\n\neavesdrop on the authors’ commentary about the sessions \n\n\ngain a comprehensive overview on the current state of SFBT \n\n\nreview and understand the major tenets of SFBT \n\n\nlearn specific interventions, including the miracle question and the reasons for asking it \n\n\nunderstand treatment applicability \n\n\nread actual session transcripts \n\n\nunderstand the \"miracle scale\" \n\n\nget insight into the unique relationship between Wittgenstein’s philosophy and SFBT \n\n\nbetter understand SFBT and emotions \n\n\nexamine misconceptions about SFBT \n\n\nand more\n\nSuitable for both advanced practitioners and ambitious beginners, this book is the ideal resource for anyone seeking an in-depth understanding of the SFBT approach, the concepts that inform it, and the specific techniques that characterize its implementation.","author":[{"dropping-particle":"","family":"Shazer","given":"Steve","non-dropping-particle":"de","parse-names":false,"suffix":""},{"dropping-particle":"","family":"Dolan","given":"Yvonne","non-dropping-particle":"","parse-names":false,"suffix":""},{"dropping-particle":"","family":"Korman","given":"Harry","non-dropping-particle":"","parse-names":false,"suffix":""},{"dropping-particle":"","family":"Trepper","given":"Terry","non-dropping-particle":"","parse-names":false,"suffix":""},{"dropping-particle":"","family":"McCollum","given":"Eric","non-dropping-particle":"","parse-names":false,"suffix":""},{"dropping-particle":"","family":"Berg","given":"Insoo Kim","non-dropping-particle":"","parse-names":false,"suffix":""}],"container-title":"More Than Miracles","id":"ITEM-1","issued":{"date-parts":[["2021","2","21"]]},"publisher":"Routledge","title":"More Than Miracles : The State of the Art of Solution-Focused Brief Therapy","type":"article-journal"},"uris":["http://www.mendeley.com/documents/?uuid=552dbff7-4dd1-331f-a201-1bd0e554ce9d"]}],"mendeley":{"formattedCitation":"(de Shazer et al., 2021)","plainTextFormattedCitation":"(de Shazer et al., 2021)","previouslyFormattedCitation":"(de Shazer et al., 2021)"},"properties":{"noteIndex":0},"schema":"https://github.com/citation-style-language/schema/raw/master/csl-citation.json"}</w:instrText>
      </w:r>
      <w:r w:rsidR="00B51673" w:rsidRPr="00F75FF8">
        <w:rPr>
          <w:lang w:val="en-GB"/>
        </w:rPr>
        <w:fldChar w:fldCharType="separate"/>
      </w:r>
      <w:r w:rsidR="00B502FE" w:rsidRPr="00F75FF8">
        <w:rPr>
          <w:noProof/>
          <w:lang w:val="en-GB"/>
        </w:rPr>
        <w:t>(de Shazer et al., 2021)</w:t>
      </w:r>
      <w:r w:rsidR="00B51673" w:rsidRPr="00F75FF8">
        <w:rPr>
          <w:lang w:val="en-GB"/>
        </w:rPr>
        <w:fldChar w:fldCharType="end"/>
      </w:r>
      <w:r w:rsidR="00B51673" w:rsidRPr="00F75FF8">
        <w:rPr>
          <w:lang w:val="en-GB"/>
        </w:rPr>
        <w:t xml:space="preserve">. Instead, </w:t>
      </w:r>
      <w:r w:rsidR="00C545E3" w:rsidRPr="00F75FF8">
        <w:rPr>
          <w:lang w:val="en-GB"/>
        </w:rPr>
        <w:t>solution-focused approaches</w:t>
      </w:r>
      <w:r w:rsidR="00B51673" w:rsidRPr="00F75FF8">
        <w:rPr>
          <w:lang w:val="en-GB"/>
        </w:rPr>
        <w:t xml:space="preserve"> emphasize the need to </w:t>
      </w:r>
      <w:r w:rsidRPr="00F75FF8">
        <w:rPr>
          <w:lang w:val="en-GB"/>
        </w:rPr>
        <w:t>obtain</w:t>
      </w:r>
      <w:r w:rsidR="00D3630B" w:rsidRPr="00F75FF8">
        <w:rPr>
          <w:lang w:val="en-GB"/>
        </w:rPr>
        <w:t xml:space="preserve"> a detailed image of client</w:t>
      </w:r>
      <w:r w:rsidR="00B51673" w:rsidRPr="00F75FF8">
        <w:rPr>
          <w:lang w:val="en-GB"/>
        </w:rPr>
        <w:t>s</w:t>
      </w:r>
      <w:r w:rsidR="00D3630B" w:rsidRPr="00F75FF8">
        <w:rPr>
          <w:lang w:val="en-GB"/>
        </w:rPr>
        <w:t>’</w:t>
      </w:r>
      <w:r w:rsidR="00B51673" w:rsidRPr="00F75FF8">
        <w:rPr>
          <w:lang w:val="en-GB"/>
        </w:rPr>
        <w:t xml:space="preserve"> preferred future, and </w:t>
      </w:r>
      <w:r w:rsidR="00F72FF4" w:rsidRPr="00F75FF8">
        <w:rPr>
          <w:lang w:val="en-GB"/>
        </w:rPr>
        <w:t>focus on</w:t>
      </w:r>
      <w:r w:rsidR="00B51673" w:rsidRPr="00F75FF8">
        <w:rPr>
          <w:lang w:val="en-GB"/>
        </w:rPr>
        <w:t xml:space="preserve"> identify</w:t>
      </w:r>
      <w:r w:rsidR="00F72FF4" w:rsidRPr="00F75FF8">
        <w:rPr>
          <w:lang w:val="en-GB"/>
        </w:rPr>
        <w:t>ing</w:t>
      </w:r>
      <w:r w:rsidR="00B51673" w:rsidRPr="00F75FF8">
        <w:rPr>
          <w:lang w:val="en-GB"/>
        </w:rPr>
        <w:t xml:space="preserve"> problem-free areas and strengths that </w:t>
      </w:r>
      <w:r w:rsidRPr="00F75FF8">
        <w:rPr>
          <w:lang w:val="en-GB"/>
        </w:rPr>
        <w:t>client</w:t>
      </w:r>
      <w:r w:rsidR="00F72FF4" w:rsidRPr="00F75FF8">
        <w:rPr>
          <w:lang w:val="en-GB"/>
        </w:rPr>
        <w:t>s</w:t>
      </w:r>
      <w:r w:rsidRPr="00F75FF8">
        <w:rPr>
          <w:lang w:val="en-GB"/>
        </w:rPr>
        <w:t xml:space="preserve"> can use</w:t>
      </w:r>
      <w:r w:rsidR="00B51673" w:rsidRPr="00F75FF8">
        <w:rPr>
          <w:lang w:val="en-GB"/>
        </w:rPr>
        <w:t xml:space="preserve"> as stepping-stones on the path towards that future </w:t>
      </w:r>
      <w:r w:rsidR="00B502FE" w:rsidRPr="00F75FF8">
        <w:rPr>
          <w:lang w:val="en-GB"/>
        </w:rPr>
        <w:fldChar w:fldCharType="begin" w:fldLock="1"/>
      </w:r>
      <w:r w:rsidR="00B502FE" w:rsidRPr="00F75FF8">
        <w:rPr>
          <w:lang w:val="en-GB"/>
        </w:rPr>
        <w:instrText>ADDIN CSL_CITATION {"citationItems":[{"id":"ITEM-1","itemData":{"author":[{"dropping-particle":"","family":"Bannink","given":"F. P.","non-dropping-particle":"","parse-names":false,"suffix":""},{"dropping-particle":"","family":"Geschwind","given":"Nicole","non-dropping-particle":"","parse-names":false,"suffix":""}],"id":"ITEM-1","issued":{"date-parts":[["2021"]]},"number-of-pages":"1-144","publisher":"Hogrefe Publishing","publisher-place":"Boston","title":"Positive CBT. Individual and group treatment protocols for positive cognitive behavioral therapy","type":"book"},"uris":["http://www.mendeley.com/documents/?uuid=b2f8bf5b-6f50-4ae9-9ebe-f7ad0661f6fd"]}],"mendeley":{"formattedCitation":"(F. P. Bannink &amp; Geschwind, 2021)","manualFormatting":"(Bannink &amp; Geschwind, 2021)","plainTextFormattedCitation":"(F. P. Bannink &amp; Geschwind, 2021)","previouslyFormattedCitation":"(F. P. Bannink &amp; Geschwind, 2021)"},"properties":{"noteIndex":0},"schema":"https://github.com/citation-style-language/schema/raw/master/csl-citation.json"}</w:instrText>
      </w:r>
      <w:r w:rsidR="00B502FE" w:rsidRPr="00F75FF8">
        <w:rPr>
          <w:lang w:val="en-GB"/>
        </w:rPr>
        <w:fldChar w:fldCharType="separate"/>
      </w:r>
      <w:r w:rsidR="00B502FE" w:rsidRPr="00F75FF8">
        <w:rPr>
          <w:noProof/>
          <w:lang w:val="en-GB"/>
        </w:rPr>
        <w:t>(Bannink &amp; Geschwind, 2021)</w:t>
      </w:r>
      <w:r w:rsidR="00B502FE" w:rsidRPr="00F75FF8">
        <w:rPr>
          <w:lang w:val="en-GB"/>
        </w:rPr>
        <w:fldChar w:fldCharType="end"/>
      </w:r>
      <w:r w:rsidR="00B51673" w:rsidRPr="00F75FF8">
        <w:rPr>
          <w:lang w:val="en-GB"/>
        </w:rPr>
        <w:t>.</w:t>
      </w:r>
      <w:r w:rsidR="00D3630B" w:rsidRPr="00F75FF8" w:rsidDel="00B51673">
        <w:t xml:space="preserve"> </w:t>
      </w:r>
    </w:p>
    <w:p w14:paraId="5096F3FD" w14:textId="2A92F629" w:rsidR="006A0816" w:rsidRPr="00F75FF8" w:rsidRDefault="00C545E3" w:rsidP="00C545E3">
      <w:pPr>
        <w:spacing w:line="480" w:lineRule="auto"/>
        <w:ind w:firstLine="720"/>
        <w:contextualSpacing/>
      </w:pPr>
      <w:r w:rsidRPr="00F75FF8">
        <w:t xml:space="preserve">Because the intake assessment usually provides therapists with a first impression of a client, the content of the intake assessment </w:t>
      </w:r>
      <w:r w:rsidRPr="00F75FF8">
        <w:rPr>
          <w:lang w:val="en-GB"/>
        </w:rPr>
        <w:t>(i.e., primarily problem- or primarily solution-focused)</w:t>
      </w:r>
      <w:r w:rsidRPr="00F75FF8">
        <w:t xml:space="preserve"> is likely to substantially shape clients’ and therapists’ formulation of the work that needs to be done over therapy. </w:t>
      </w:r>
      <w:r w:rsidR="008B2224" w:rsidRPr="00F75FF8">
        <w:t>Cognitive processes such as the Anchoring Effect suggest that information obtained early on has a long-term impact on decision-making</w:t>
      </w:r>
      <w:r w:rsidR="008B2224" w:rsidRPr="00F75FF8">
        <w:rPr>
          <w:i/>
        </w:rPr>
        <w:t xml:space="preserve"> </w:t>
      </w:r>
      <w:r w:rsidR="00F662D5" w:rsidRPr="00F75FF8">
        <w:fldChar w:fldCharType="begin" w:fldLock="1"/>
      </w:r>
      <w:r w:rsidR="00105037" w:rsidRPr="00F75FF8">
        <w:instrText>ADDIN CSL_CITATION {"citationItems":[{"id":"ITEM-1","itemData":{"DOI":"10.1016/j.socec.2010.10.008","ISSN":"10535357","abstract":"The anchoring effect is one of the most robust cognitive heuristics. This paper reviews the literature in this area including various different models, explanations and underlying mechanisms used to explain anchoring effects. The anchoring effect is both robust and has many implications in all decision making processes. This review paper documents the many different domains and tasks in which the effect has been shown. It also considers mood and individual difference (ability, personality, information styles) correlates of anchoring as well as the effect of motivation and knowledge on decisions affected by anchoring. Finally the review looks at the applicants of the anchoring effects in everyday life. © 2010 Elsevier Inc.","author":[{"dropping-particle":"","family":"Furnham","given":"Adrian","non-dropping-particle":"","parse-names":false,"suffix":""},{"dropping-particle":"","family":"Boo","given":"Hua Chu","non-dropping-particle":"","parse-names":false,"suffix":""}],"container-title":"Journal of Socio-Economics","id":"ITEM-1","issue":"1","issued":{"date-parts":[["2011"]]},"page":"35-42","publisher":"Elsevier Inc.","title":"A literature review of the anchoring effect","type":"article-journal","volume":"40"},"uris":["http://www.mendeley.com/documents/?uuid=1fa52251-e760-4c20-9ab2-c5e090b1515e"]},{"id":"ITEM-2","itemData":{"ISBN":"00368075 (ISSN)","ISSN":"00368075 (ISSN)","PMID":"17835457","abstract":"Biases in judgment reveal some heuristics of thinking about uncertainty. Three heuristics are discussed. (Author/RH)","author":[{"dropping-particle":"","family":"Tversky","given":"Amos","non-dropping-particle":"","parse-names":false,"suffix":""},{"dropping-particle":"","family":"Kahneman","given":"Daniel","non-dropping-particle":"","parse-names":false,"suffix":""}],"container-title":"Science","id":"ITEM-2","issue":"4157","issued":{"date-parts":[["1974"]]},"page":"1124-1131","title":"Judgment under uncertainty: heuristics and biases. Biases in judgments reveal some heuristics of thinking under uncertainty","type":"article-journal","volume":"185"},"uris":["http://www.mendeley.com/documents/?uuid=74a96394-51bd-433d-9b6b-cd4c812288be"]}],"mendeley":{"formattedCitation":"(Furnham &amp; Boo, 2011; Tversky &amp; Kahneman, 1974)","plainTextFormattedCitation":"(Furnham &amp; Boo, 2011; Tversky &amp; Kahneman, 1974)","previouslyFormattedCitation":"(Furnham &amp; Boo, 2011; Tversky &amp; Kahneman, 1974)"},"properties":{"noteIndex":0},"schema":"https://github.com/citation-style-language/schema/raw/master/csl-citation.json"}</w:instrText>
      </w:r>
      <w:r w:rsidR="00F662D5" w:rsidRPr="00F75FF8">
        <w:fldChar w:fldCharType="separate"/>
      </w:r>
      <w:r w:rsidR="00F662D5" w:rsidRPr="00F75FF8">
        <w:rPr>
          <w:noProof/>
        </w:rPr>
        <w:t>(Furnham &amp; Boo, 2011; Tversky &amp; Kahneman, 1974)</w:t>
      </w:r>
      <w:r w:rsidR="00F662D5" w:rsidRPr="00F75FF8">
        <w:fldChar w:fldCharType="end"/>
      </w:r>
      <w:r w:rsidR="00F662D5" w:rsidRPr="00F75FF8">
        <w:t>.</w:t>
      </w:r>
      <w:r w:rsidR="007E51C8" w:rsidRPr="00F75FF8">
        <w:t xml:space="preserve"> Illustrating the effects of </w:t>
      </w:r>
      <w:r w:rsidR="00A53078" w:rsidRPr="00F75FF8">
        <w:t xml:space="preserve">the </w:t>
      </w:r>
      <w:r w:rsidR="007E51C8" w:rsidRPr="00F75FF8">
        <w:t xml:space="preserve">Anchoring </w:t>
      </w:r>
      <w:r w:rsidR="00A53078" w:rsidRPr="00F75FF8">
        <w:t>Effect</w:t>
      </w:r>
      <w:r w:rsidR="007E51C8" w:rsidRPr="00F75FF8">
        <w:t>, r</w:t>
      </w:r>
      <w:r w:rsidR="00316262" w:rsidRPr="00F75FF8">
        <w:t xml:space="preserve">ecent research shows that </w:t>
      </w:r>
      <w:r w:rsidR="00DA49E2" w:rsidRPr="00F75FF8">
        <w:t xml:space="preserve">first impressions </w:t>
      </w:r>
      <w:r w:rsidR="007E51C8" w:rsidRPr="00F75FF8">
        <w:t xml:space="preserve">are slow to update and have a disproportionate influence </w:t>
      </w:r>
      <w:r w:rsidR="00316262" w:rsidRPr="00F75FF8">
        <w:t>on later decision</w:t>
      </w:r>
      <w:r w:rsidR="007E51C8" w:rsidRPr="00F75FF8">
        <w:t>-making</w:t>
      </w:r>
      <w:r w:rsidR="00316262" w:rsidRPr="00F75FF8">
        <w:t xml:space="preserve"> such as whom to promote</w:t>
      </w:r>
      <w:r w:rsidR="00D3630B" w:rsidRPr="00F75FF8">
        <w:t xml:space="preserve"> </w:t>
      </w:r>
      <w:r w:rsidR="00A53078" w:rsidRPr="00F75FF8">
        <w:t xml:space="preserve">even </w:t>
      </w:r>
      <w:r w:rsidR="00D3630B" w:rsidRPr="00F75FF8">
        <w:t>six years later</w:t>
      </w:r>
      <w:r w:rsidR="007E51C8" w:rsidRPr="00F75FF8">
        <w:t xml:space="preserve">, compared to </w:t>
      </w:r>
      <w:r w:rsidR="00D3630B" w:rsidRPr="00F75FF8">
        <w:t>later indicators of performance</w:t>
      </w:r>
      <w:r w:rsidR="007E51C8" w:rsidRPr="00F75FF8">
        <w:t xml:space="preserve"> </w:t>
      </w:r>
      <w:r w:rsidR="00FC162F" w:rsidRPr="00F75FF8">
        <w:fldChar w:fldCharType="begin" w:fldLock="1"/>
      </w:r>
      <w:r w:rsidR="00F662D5" w:rsidRPr="00F75FF8">
        <w:instrText>ADDIN CSL_CITATION {"citationItems":[{"id":"ITEM-1","itemData":{"DOI":"10.1287/mnsc.2020.3703","ISSN":"0025-1909","abstract":"This paper examines whether and for how long managers’ initial assessments of employee ability influence promotion decisions. Using archival data from minor league professional baseball, we find that, controlling for performance, initial assessments are associated with promotion decisions for at least six years after the initial assessments were made. We also find that initial assessments are positively associated with future performance at the outset of a player’s career, but the association becomes insignificant after a player accumulates on-the-job experience. We show that the weight on initial assessments for promotion decisions declines as additional on-the-job performance signals are observed, reflecting the declining relative informativeness of initial assessments about future ability. We construct a proxy for relative informativeness based on coefficients from regressions of future performance on initial assessments and observed performance. When we compare the implied relative weight on initial assessments for promotion decisions to our proxy for relative informativeness, we find initial assessments receive greater relative weight than implied by informativeness overall and across experience and job-level partitions. Our results suggest managers update initial beliefs about worker ability slowly given available performance measures.","author":[{"dropping-particle":"","family":"Black","given":"Dirk E.","non-dropping-particle":"","parse-names":false,"suffix":""},{"dropping-particle":"","family":"Vance","given":"Marshall D.","non-dropping-particle":"","parse-names":false,"suffix":""}],"container-title":"Management Science","id":"ITEM-1","issue":"7","issued":{"date-parts":[["2021","7","6"]]},"page":"4556-4576","publisher":"INFORMS","title":"Do First Impressions Last? The Impact of Initial Assessments and Subsequent Performance on Promotion Decisions","type":"article-journal","volume":"67"},"uris":["http://www.mendeley.com/documents/?uuid=2832113f-72b0-38c2-aac1-c899a573c116"]}],"mendeley":{"formattedCitation":"(Black &amp; Vance, 2021)","plainTextFormattedCitation":"(Black &amp; Vance, 2021)","previouslyFormattedCitation":"(Black &amp; Vance, 2021)"},"properties":{"noteIndex":0},"schema":"https://github.com/citation-style-language/schema/raw/master/csl-citation.json"}</w:instrText>
      </w:r>
      <w:r w:rsidR="00FC162F" w:rsidRPr="00F75FF8">
        <w:fldChar w:fldCharType="separate"/>
      </w:r>
      <w:r w:rsidR="007E51C8" w:rsidRPr="00F75FF8">
        <w:rPr>
          <w:noProof/>
        </w:rPr>
        <w:t>(Black &amp; Vance, 2021)</w:t>
      </w:r>
      <w:r w:rsidR="00FC162F" w:rsidRPr="00F75FF8">
        <w:fldChar w:fldCharType="end"/>
      </w:r>
      <w:r w:rsidR="00316262" w:rsidRPr="00F75FF8">
        <w:t>. T</w:t>
      </w:r>
      <w:r w:rsidR="00AD7B7E" w:rsidRPr="00F75FF8">
        <w:t>he</w:t>
      </w:r>
      <w:r w:rsidR="00DA49E2" w:rsidRPr="00F75FF8">
        <w:t xml:space="preserve"> intake </w:t>
      </w:r>
      <w:r w:rsidRPr="00F75FF8">
        <w:t>assessment</w:t>
      </w:r>
      <w:r w:rsidR="00DA49E2" w:rsidRPr="00F75FF8">
        <w:t xml:space="preserve"> </w:t>
      </w:r>
      <w:r w:rsidR="00316262" w:rsidRPr="00F75FF8">
        <w:t xml:space="preserve">therefore </w:t>
      </w:r>
      <w:r w:rsidR="00DA49E2" w:rsidRPr="00F75FF8">
        <w:t xml:space="preserve">is likely to influence therapists emotionally, with a </w:t>
      </w:r>
      <w:r w:rsidR="007E51C8" w:rsidRPr="00F75FF8">
        <w:t>possible</w:t>
      </w:r>
      <w:r w:rsidR="00A53078" w:rsidRPr="00F75FF8">
        <w:t xml:space="preserve"> downstream</w:t>
      </w:r>
      <w:r w:rsidR="00DA49E2" w:rsidRPr="00F75FF8">
        <w:t xml:space="preserve"> impact </w:t>
      </w:r>
      <w:r w:rsidR="00D3630B" w:rsidRPr="00F75FF8">
        <w:t xml:space="preserve">of therapists’ emotions </w:t>
      </w:r>
      <w:r w:rsidR="00DA49E2" w:rsidRPr="00F75FF8">
        <w:t>on their decision-making</w:t>
      </w:r>
      <w:r w:rsidR="006A0816" w:rsidRPr="00F75FF8">
        <w:t>, therapeutic optimism,</w:t>
      </w:r>
      <w:r w:rsidR="003F4666" w:rsidRPr="00F75FF8">
        <w:t xml:space="preserve"> and </w:t>
      </w:r>
      <w:r w:rsidR="006A0816" w:rsidRPr="00F75FF8">
        <w:t xml:space="preserve">potentially even </w:t>
      </w:r>
      <w:r w:rsidR="003F4666" w:rsidRPr="00F75FF8">
        <w:t>therapeutic effectiveness</w:t>
      </w:r>
      <w:r w:rsidR="00DA49E2" w:rsidRPr="00F75FF8">
        <w:t xml:space="preserve"> </w:t>
      </w:r>
      <w:r w:rsidR="00FC162F" w:rsidRPr="00F75FF8">
        <w:fldChar w:fldCharType="begin" w:fldLock="1"/>
      </w:r>
      <w:r w:rsidR="00803593" w:rsidRPr="00F75FF8">
        <w:instrText>ADDIN CSL_CITATION {"citationItems":[{"id":"ITEM-1","itemData":{"DOI":"10.1080/10503307.2010.497508","ISBN":"1050-3307","ISSN":"1050-3307","PMID":"20714970","abstract":"The current study examined whether clients' perceptions of hope and therapists' hope in their clients were associated with therapy outcomes. The authors conducted a naturalistic study of brief therapy with 10 therapists and 43 adult clients. Client-rated hope significantly increased after one session of therapy. However, no significant relationship was found between pretherapy client-rated hope and first-session symptom change. Further, client-rated hope at any point in therapy was not significantly related to therapy outcomes. Therapists' hope in their clients after the first and last sessions was significantly related to client outcomes. Implications for therapy practice and research are offered.","author":[{"dropping-particle":"","family":"Coppock","given":"Timothy E","non-dropping-particle":"","parse-names":false,"suffix":""},{"dropping-particle":"","family":"Owen","given":"Jesse J","non-dropping-particle":"","parse-names":false,"suffix":""},{"dropping-particle":"","family":"Zagarskas","given":"Elena","non-dropping-particle":"","parse-names":false,"suffix":""},{"dropping-particle":"","family":"Schmidt","given":"Melissa","non-dropping-particle":"","parse-names":false,"suffix":""}],"container-title":"Psychotherapy Research","id":"ITEM-1","issue":"6","issued":{"date-parts":[["2010","11"]]},"page":"619-626","title":"The relationship between therapist and client hope with therapy outcomes","type":"article-journal","volume":"20"},"uris":["http://www.mendeley.com/documents/?uuid=ef4e82e8-825e-4672-a930-4a95e7e1eac4"]}],"mendeley":{"formattedCitation":"(Coppock et al., 2010)","plainTextFormattedCitation":"(Coppock et al., 2010)","previouslyFormattedCitation":"(Coppock et al., 2010)"},"properties":{"noteIndex":0},"schema":"https://github.com/citation-style-language/schema/raw/master/csl-citation.json"}</w:instrText>
      </w:r>
      <w:r w:rsidR="00FC162F" w:rsidRPr="00F75FF8">
        <w:fldChar w:fldCharType="separate"/>
      </w:r>
      <w:r w:rsidR="006B68FF" w:rsidRPr="00F75FF8">
        <w:rPr>
          <w:noProof/>
        </w:rPr>
        <w:t>(Coppock et al., 2010)</w:t>
      </w:r>
      <w:r w:rsidR="00FC162F" w:rsidRPr="00F75FF8">
        <w:fldChar w:fldCharType="end"/>
      </w:r>
      <w:r w:rsidR="00DA49E2" w:rsidRPr="00F75FF8">
        <w:t xml:space="preserve">. </w:t>
      </w:r>
    </w:p>
    <w:p w14:paraId="29CBDF5D" w14:textId="0A292635" w:rsidR="006A0816" w:rsidRPr="00F75FF8" w:rsidRDefault="00D3630B" w:rsidP="001231FD">
      <w:pPr>
        <w:spacing w:line="480" w:lineRule="auto"/>
        <w:ind w:firstLine="720"/>
        <w:contextualSpacing/>
      </w:pPr>
      <w:r w:rsidRPr="00F75FF8">
        <w:t xml:space="preserve">Theories such as the </w:t>
      </w:r>
      <w:r w:rsidR="00B340EE" w:rsidRPr="00F75FF8">
        <w:t xml:space="preserve">Broaden and Build Theory predict that positive emotions help </w:t>
      </w:r>
      <w:r w:rsidR="005202C7" w:rsidRPr="00F75FF8">
        <w:t>individuals</w:t>
      </w:r>
      <w:r w:rsidR="00B340EE" w:rsidRPr="00F75FF8">
        <w:t xml:space="preserve"> to come up with a </w:t>
      </w:r>
      <w:r w:rsidR="004F2427" w:rsidRPr="00F75FF8">
        <w:t>wider range of ‘thought-action repertoires</w:t>
      </w:r>
      <w:r w:rsidRPr="00F75FF8">
        <w:t>’</w:t>
      </w:r>
      <w:r w:rsidR="004F2427" w:rsidRPr="00F75FF8">
        <w:t xml:space="preserve"> (i.e., a </w:t>
      </w:r>
      <w:r w:rsidR="00B340EE" w:rsidRPr="00F75FF8">
        <w:t xml:space="preserve">wider array of </w:t>
      </w:r>
      <w:r w:rsidR="004F2427" w:rsidRPr="00F75FF8">
        <w:t xml:space="preserve">ideas for </w:t>
      </w:r>
      <w:r w:rsidR="00B340EE" w:rsidRPr="00F75FF8">
        <w:t>potentially helpful approaches, interventions or reactions to treatment obstacles;</w:t>
      </w:r>
      <w:r w:rsidR="00B502FE" w:rsidRPr="00F75FF8">
        <w:t xml:space="preserve"> </w:t>
      </w:r>
      <w:r w:rsidR="00B340EE" w:rsidRPr="00F75FF8">
        <w:t xml:space="preserve"> </w:t>
      </w:r>
      <w:r w:rsidR="00B340EE" w:rsidRPr="00F75FF8">
        <w:fldChar w:fldCharType="begin" w:fldLock="1"/>
      </w:r>
      <w:r w:rsidR="001A1C82" w:rsidRPr="00F75FF8">
        <w:instrText>ADDIN CSL_CITATION {"citationItems":[{"id":"ITEM-1","itemData":{"DOI":"10.1037//0003-066X.56.3.218","ISBN":"0003-066X","abstract":"In this article, the author describes a new theoretical perspective on positive emotions and situates this new perspective within the emerging field of positive psychology. The broaden-and-build theory posits that experiences of positive emotions broaden people's momentary thought action repertoires, which in turn serves to build their enduring personal resources, ranging from physical and intellectual resources to social and psychological resources. preliminary empirical evidence supporting the broaden-and-build theory is reviewed, and open empirical questions that remain to be tested are identified. The theory and findings suggest that the capacity to experience positive emotions ma), be a fundamental human strength central to the study of human flourishing.","author":[{"dropping-particle":"","family":"Fredrickson","given":"B L","non-dropping-particle":"","parse-names":false,"suffix":""}],"container-title":"American Psychologist","id":"ITEM-1","issue":"3","issued":{"date-parts":[["2001"]]},"language":"English","note":"ISI Document Delivery No.: 463CH\nTimes Cited: 405\nCited Reference Count: 96","page":"218-226","title":"The role of positive emotions in positive psychology - The broaden-and-build theory of positive emotions","type":"article-journal","volume":"56"},"uris":["http://www.mendeley.com/documents/?uuid=21332fff-4750-47da-8285-e0cf181e49c0"]}],"mendeley":{"formattedCitation":"(Fredrickson, 2001)","manualFormatting":"Fredrickson, 2001)","plainTextFormattedCitation":"(Fredrickson, 2001)","previouslyFormattedCitation":"(Fredrickson, 2001)"},"properties":{"noteIndex":0},"schema":"https://github.com/citation-style-language/schema/raw/master/csl-citation.json"}</w:instrText>
      </w:r>
      <w:r w:rsidR="00B340EE" w:rsidRPr="00F75FF8">
        <w:fldChar w:fldCharType="separate"/>
      </w:r>
      <w:r w:rsidR="00B340EE" w:rsidRPr="00F75FF8">
        <w:rPr>
          <w:noProof/>
        </w:rPr>
        <w:t>Fredrickson, 2001)</w:t>
      </w:r>
      <w:r w:rsidR="00B340EE" w:rsidRPr="00F75FF8">
        <w:fldChar w:fldCharType="end"/>
      </w:r>
      <w:r w:rsidR="00B340EE" w:rsidRPr="00F75FF8">
        <w:t xml:space="preserve">. </w:t>
      </w:r>
      <w:r w:rsidR="005C1ED6" w:rsidRPr="00F75FF8">
        <w:t xml:space="preserve">Therefore, if therapists are able to take a strengths-based view and cultivate positive affect during the intake </w:t>
      </w:r>
      <w:r w:rsidR="00C545E3" w:rsidRPr="00F75FF8">
        <w:t>assessment</w:t>
      </w:r>
      <w:r w:rsidR="005C1ED6" w:rsidRPr="00F75FF8">
        <w:t xml:space="preserve"> and in the early sessions of treatment, this may help both the client and therapist to increase their sense of possible steps that can be taken to help the client.</w:t>
      </w:r>
    </w:p>
    <w:p w14:paraId="5B9A2F10" w14:textId="67AB87C8" w:rsidR="006A0816" w:rsidRPr="00F75FF8" w:rsidRDefault="006A0816" w:rsidP="00393560">
      <w:pPr>
        <w:spacing w:line="480" w:lineRule="auto"/>
        <w:ind w:firstLine="720"/>
        <w:contextualSpacing/>
        <w:rPr>
          <w:lang w:val="en-GB"/>
        </w:rPr>
      </w:pPr>
      <w:r w:rsidRPr="00F75FF8">
        <w:t xml:space="preserve">However, empirical research examining the influence of therapists’ emotions and expectancies on how therapy progresses is scarce. </w:t>
      </w:r>
      <w:r w:rsidR="00F66568" w:rsidRPr="00F75FF8">
        <w:t>A</w:t>
      </w:r>
      <w:r w:rsidR="00DB2B1C" w:rsidRPr="00F75FF8">
        <w:t xml:space="preserve"> </w:t>
      </w:r>
      <w:r w:rsidR="00B340EE" w:rsidRPr="00F75FF8">
        <w:t>grounded theory analysis</w:t>
      </w:r>
      <w:r w:rsidR="00DB2B1C" w:rsidRPr="00F75FF8">
        <w:t xml:space="preserve"> found that therapists</w:t>
      </w:r>
      <w:r w:rsidR="00501EA9" w:rsidRPr="00F75FF8">
        <w:t xml:space="preserve"> viewed their</w:t>
      </w:r>
      <w:r w:rsidR="00DB2B1C" w:rsidRPr="00F75FF8">
        <w:t xml:space="preserve"> in-session positive emotions as increasing </w:t>
      </w:r>
      <w:r w:rsidR="00501EA9" w:rsidRPr="00F75FF8">
        <w:t xml:space="preserve">their </w:t>
      </w:r>
      <w:r w:rsidR="00DB2B1C" w:rsidRPr="00F75FF8">
        <w:t xml:space="preserve">resourcefulness and </w:t>
      </w:r>
      <w:r w:rsidR="00501EA9" w:rsidRPr="00F75FF8">
        <w:t xml:space="preserve">the </w:t>
      </w:r>
      <w:r w:rsidR="00DB2B1C" w:rsidRPr="00F75FF8">
        <w:t xml:space="preserve">daring of </w:t>
      </w:r>
      <w:r w:rsidR="00501EA9" w:rsidRPr="00F75FF8">
        <w:t>their</w:t>
      </w:r>
      <w:r w:rsidR="00DB2B1C" w:rsidRPr="00F75FF8">
        <w:t xml:space="preserve"> actions </w:t>
      </w:r>
      <w:r w:rsidR="00B340EE" w:rsidRPr="00F75FF8">
        <w:fldChar w:fldCharType="begin" w:fldLock="1"/>
      </w:r>
      <w:r w:rsidR="00B340EE" w:rsidRPr="00F75FF8">
        <w:instrText>ADDIN CSL_CITATION {"citationItems":[{"id":"ITEM-1","itemData":{"DOI":"10.1080/14733145.2013.790455","ISSN":"1746-1405","abstract":"Aim: The therapist's feelings play a remarkable role in contemporary models of psychotherapy. However, these models are biased towards negative feelings. The present study explores therapists' personal experience with positive emotion in-session. Method: A grounded theory analysis was conducted of interviews with 26 Brazilian psychotherapists. Results: Clinicians derive positive affect from the client's input in treatment, from their own input, and from the personal relationship with the client. Therapist positive emotion adds to the material that can be worked on in-session by providing interpersonal events in the relationship with the client. It can improve therapist input in treatment by increasing in-session awareness, resourcefulness and daring and by cuing efforts for professional development. It enhances involvement in the relationship with the client by prompting compassion and closeness in the dyad. Its effects may spill over and contribute to the therapist's personal thriving. Discussion: These results are discussed in light of what positive psychology can add to current work on therapist effects in the treatment process. © 2013 © 2013 British Association for Counselling and Psychotherapy.","author":[{"dropping-particle":"","family":"Vandenberghe","given":"Luc","non-dropping-particle":"","parse-names":false,"suffix":""},{"dropping-particle":"","family":"Silvestre","given":"Rafaela Luiza Silva","non-dropping-particle":"","parse-names":false,"suffix":""}],"container-title":"Counselling and Psychotherapy Research","id":"ITEM-1","issue":"2","issued":{"date-parts":[["2014","6","1"]]},"page":"119-127","publisher":"John Wiley &amp; Sons, Ltd","title":"Therapists' positive emotions in-session: Why they happen and what they are good for","type":"article-journal","volume":"14"},"uris":["http://www.mendeley.com/documents/?uuid=5308e9b7-023f-39e4-ac6e-5d4534b1136e"]}],"mendeley":{"formattedCitation":"(Vandenberghe &amp; Silvestre, 2014)","plainTextFormattedCitation":"(Vandenberghe &amp; Silvestre, 2014)","previouslyFormattedCitation":"(Vandenberghe &amp; Silvestre, 2014)"},"properties":{"noteIndex":0},"schema":"https://github.com/citation-style-language/schema/raw/master/csl-citation.json"}</w:instrText>
      </w:r>
      <w:r w:rsidR="00B340EE" w:rsidRPr="00F75FF8">
        <w:fldChar w:fldCharType="separate"/>
      </w:r>
      <w:r w:rsidR="00B340EE" w:rsidRPr="00F75FF8">
        <w:rPr>
          <w:noProof/>
        </w:rPr>
        <w:t>(Vandenberghe &amp; Silvestre, 2014)</w:t>
      </w:r>
      <w:r w:rsidR="00B340EE" w:rsidRPr="00F75FF8">
        <w:fldChar w:fldCharType="end"/>
      </w:r>
      <w:r w:rsidR="00B340EE" w:rsidRPr="00F75FF8">
        <w:t xml:space="preserve">. Additionally, </w:t>
      </w:r>
      <w:r w:rsidR="003F4666" w:rsidRPr="00F75FF8">
        <w:t xml:space="preserve">a </w:t>
      </w:r>
      <w:r w:rsidR="00AD7B7E" w:rsidRPr="00F75FF8">
        <w:t xml:space="preserve">naturalistic treatment </w:t>
      </w:r>
      <w:r w:rsidR="003F4666" w:rsidRPr="00F75FF8">
        <w:rPr>
          <w:lang w:val="en-GB"/>
        </w:rPr>
        <w:t>study</w:t>
      </w:r>
      <w:r w:rsidR="00DA49E2" w:rsidRPr="00F75FF8">
        <w:rPr>
          <w:lang w:val="en-GB"/>
        </w:rPr>
        <w:t xml:space="preserve"> found</w:t>
      </w:r>
      <w:r w:rsidR="00725996" w:rsidRPr="00F75FF8">
        <w:rPr>
          <w:lang w:val="en-GB"/>
        </w:rPr>
        <w:t xml:space="preserve"> that</w:t>
      </w:r>
      <w:r w:rsidR="00DA49E2" w:rsidRPr="00F75FF8">
        <w:rPr>
          <w:lang w:val="en-GB"/>
        </w:rPr>
        <w:t xml:space="preserve"> </w:t>
      </w:r>
      <w:r w:rsidR="00B340EE" w:rsidRPr="00F75FF8">
        <w:rPr>
          <w:lang w:val="en-GB"/>
        </w:rPr>
        <w:t xml:space="preserve">higher </w:t>
      </w:r>
      <w:r w:rsidR="00DA49E2" w:rsidRPr="00F75FF8">
        <w:rPr>
          <w:lang w:val="en-GB"/>
        </w:rPr>
        <w:t xml:space="preserve">levels of </w:t>
      </w:r>
      <w:r w:rsidR="00B340EE" w:rsidRPr="00F75FF8">
        <w:rPr>
          <w:lang w:val="en-GB"/>
        </w:rPr>
        <w:t xml:space="preserve">therapist </w:t>
      </w:r>
      <w:r w:rsidR="00DA49E2" w:rsidRPr="00F75FF8">
        <w:rPr>
          <w:lang w:val="en-GB"/>
        </w:rPr>
        <w:t>hope</w:t>
      </w:r>
      <w:r w:rsidR="003F4666" w:rsidRPr="00F75FF8">
        <w:rPr>
          <w:lang w:val="en-GB"/>
        </w:rPr>
        <w:t xml:space="preserve"> </w:t>
      </w:r>
      <w:r w:rsidR="00A80CCF" w:rsidRPr="00F75FF8">
        <w:rPr>
          <w:lang w:val="en-GB"/>
        </w:rPr>
        <w:t>positively predict</w:t>
      </w:r>
      <w:r w:rsidR="00725996" w:rsidRPr="00F75FF8">
        <w:rPr>
          <w:lang w:val="en-GB"/>
        </w:rPr>
        <w:t>ed</w:t>
      </w:r>
      <w:r w:rsidR="00DA49E2" w:rsidRPr="00F75FF8">
        <w:rPr>
          <w:lang w:val="en-GB"/>
        </w:rPr>
        <w:t xml:space="preserve"> clients’ treatment outcomes</w:t>
      </w:r>
      <w:r w:rsidR="003F4666" w:rsidRPr="00F75FF8">
        <w:rPr>
          <w:lang w:val="en-GB"/>
        </w:rPr>
        <w:t xml:space="preserve"> </w:t>
      </w:r>
      <w:r w:rsidR="003F4666" w:rsidRPr="00F75FF8">
        <w:rPr>
          <w:lang w:val="en-GB"/>
        </w:rPr>
        <w:fldChar w:fldCharType="begin" w:fldLock="1"/>
      </w:r>
      <w:r w:rsidR="003F4666" w:rsidRPr="00F75FF8">
        <w:rPr>
          <w:lang w:val="en-GB"/>
        </w:rPr>
        <w:instrText>ADDIN CSL_CITATION {"citationItems":[{"id":"ITEM-1","itemData":{"DOI":"10.1080/10503307.2010.497508","ISBN":"1050-3307","ISSN":"1050-3307","PMID":"20714970","abstract":"The current study examined whether clients' perceptions of hope and therapists' hope in their clients were associated with therapy outcomes. The authors conducted a naturalistic study of brief therapy with 10 therapists and 43 adult clients. Client-rated hope significantly increased after one session of therapy. However, no significant relationship was found between pretherapy client-rated hope and first-session symptom change. Further, client-rated hope at any point in therapy was not significantly related to therapy outcomes. Therapists' hope in their clients after the first and last sessions was significantly related to client outcomes. Implications for therapy practice and research are offered.","author":[{"dropping-particle":"","family":"Coppock","given":"Timothy E","non-dropping-particle":"","parse-names":false,"suffix":""},{"dropping-particle":"","family":"Owen","given":"Jesse J","non-dropping-particle":"","parse-names":false,"suffix":""},{"dropping-particle":"","family":"Zagarskas","given":"Elena","non-dropping-particle":"","parse-names":false,"suffix":""},{"dropping-particle":"","family":"Schmidt","given":"Melissa","non-dropping-particle":"","parse-names":false,"suffix":""}],"container-title":"Psychotherapy Research","id":"ITEM-1","issue":"6","issued":{"date-parts":[["2010","11"]]},"page":"619-626","title":"The relationship between therapist and client hope with therapy outcomes","type":"article-journal","volume":"20"},"uris":["http://www.mendeley.com/documents/?uuid=ef4e82e8-825e-4672-a930-4a95e7e1eac4"]}],"mendeley":{"formattedCitation":"(Coppock et al., 2010)","plainTextFormattedCitation":"(Coppock et al., 2010)","previouslyFormattedCitation":"(Coppock et al., 2010)"},"properties":{"noteIndex":0},"schema":"https://github.com/citation-style-language/schema/raw/master/csl-citation.json"}</w:instrText>
      </w:r>
      <w:r w:rsidR="003F4666" w:rsidRPr="00F75FF8">
        <w:rPr>
          <w:lang w:val="en-GB"/>
        </w:rPr>
        <w:fldChar w:fldCharType="separate"/>
      </w:r>
      <w:r w:rsidR="003F4666" w:rsidRPr="00F75FF8">
        <w:rPr>
          <w:noProof/>
          <w:lang w:val="en-GB"/>
        </w:rPr>
        <w:t>(Coppock et al., 2010)</w:t>
      </w:r>
      <w:r w:rsidR="003F4666" w:rsidRPr="00F75FF8">
        <w:rPr>
          <w:lang w:val="en-GB"/>
        </w:rPr>
        <w:fldChar w:fldCharType="end"/>
      </w:r>
      <w:r w:rsidR="00DA49E2" w:rsidRPr="00F75FF8">
        <w:rPr>
          <w:lang w:val="en-GB"/>
        </w:rPr>
        <w:t xml:space="preserve">. </w:t>
      </w:r>
      <w:r w:rsidR="00A53078" w:rsidRPr="00F75FF8">
        <w:rPr>
          <w:lang w:val="en-GB"/>
        </w:rPr>
        <w:t xml:space="preserve">Concepts related to therapists’ emotionality, such as their expression of positive regard towards their clients, have similarly been found to predict variance in treatment outcome </w:t>
      </w:r>
      <w:r w:rsidR="00A53078" w:rsidRPr="00F75FF8">
        <w:rPr>
          <w:lang w:val="en-GB"/>
        </w:rPr>
        <w:fldChar w:fldCharType="begin" w:fldLock="1"/>
      </w:r>
      <w:r w:rsidR="00A53078" w:rsidRPr="00F75FF8">
        <w:rPr>
          <w:lang w:val="en-GB"/>
        </w:rPr>
        <w:instrText>ADDIN CSL_CITATION {"citationItems":[{"id":"ITEM-1","itemData":{"DOI":"10.1093/acprof:oso/9780199737208.003.0008","ISBN":"9780199737208","abstract":"This chapter reviews the research on the association between therapists’ provision of positive regard and treatment outcome. Rogers’ attempts to define the concept of positive regard are noted, and two examples of positive regard are presented. We conducted a new meta-analysis, focusing on eighteen studies, that yielded an aggregate effect of r = .27, indicating that positive regard has a moderate association with psychotherapy outcomes. Like many other relational factors, it is a significant but not exhaustive part of the process–outcome equation. Notably, the effects of positive regard increased as a function of the racial-ethnic composition in a study. Therapists’ provision of positive regard is strongly indicated in practice; at a minimum, it provides the basis for other mutative interventions.","author":[{"dropping-particle":"","family":"Farber","given":"Barry A","non-dropping-particle":"","parse-names":false,"suffix":""},{"dropping-particle":"","family":"Doolin","given":"Erin M","non-dropping-particle":"","parse-names":false,"suffix":""}],"chapter-number":"8","container-title":"Psychotherapy Relationships That Work: Evidence-Based Responsiveness","editor":[{"dropping-particle":"","family":"Norcross","given":"John C","non-dropping-particle":"","parse-names":false,"suffix":""}],"id":"ITEM-1","issued":{"date-parts":[["2011","4"]]},"page":"168-186","publisher":"Oxford University Press","title":"Positive Regard and Affirmation","type":"chapter"},"uris":["http://www.mendeley.com/documents/?uuid=eded446a-97d3-4bce-8c2d-9328220d70bd"]}],"mendeley":{"formattedCitation":"(Farber &amp; Doolin, 2011)","plainTextFormattedCitation":"(Farber &amp; Doolin, 2011)","previouslyFormattedCitation":"(Farber &amp; Doolin, 2011)"},"properties":{"noteIndex":0},"schema":"https://github.com/citation-style-language/schema/raw/master/csl-citation.json"}</w:instrText>
      </w:r>
      <w:r w:rsidR="00A53078" w:rsidRPr="00F75FF8">
        <w:rPr>
          <w:lang w:val="en-GB"/>
        </w:rPr>
        <w:fldChar w:fldCharType="separate"/>
      </w:r>
      <w:r w:rsidR="00A53078" w:rsidRPr="00F75FF8">
        <w:rPr>
          <w:noProof/>
          <w:lang w:val="en-GB"/>
        </w:rPr>
        <w:t>(Farber &amp; Doolin, 2011)</w:t>
      </w:r>
      <w:r w:rsidR="00A53078" w:rsidRPr="00F75FF8">
        <w:rPr>
          <w:lang w:val="en-GB"/>
        </w:rPr>
        <w:fldChar w:fldCharType="end"/>
      </w:r>
      <w:r w:rsidR="00A53078" w:rsidRPr="00F75FF8">
        <w:rPr>
          <w:lang w:val="en-GB"/>
        </w:rPr>
        <w:t xml:space="preserve">. </w:t>
      </w:r>
      <w:r w:rsidRPr="00F75FF8">
        <w:rPr>
          <w:lang w:val="en-GB"/>
        </w:rPr>
        <w:t xml:space="preserve">While these qualitative </w:t>
      </w:r>
      <w:r w:rsidR="00F662D5" w:rsidRPr="00F75FF8">
        <w:rPr>
          <w:lang w:val="en-GB"/>
        </w:rPr>
        <w:t xml:space="preserve">or </w:t>
      </w:r>
      <w:r w:rsidRPr="00F75FF8">
        <w:rPr>
          <w:lang w:val="en-GB"/>
        </w:rPr>
        <w:t>observational studies provide tentative support for the notion that therapist</w:t>
      </w:r>
      <w:r w:rsidR="00A53078" w:rsidRPr="00F75FF8">
        <w:rPr>
          <w:lang w:val="en-GB"/>
        </w:rPr>
        <w:t>s’</w:t>
      </w:r>
      <w:r w:rsidRPr="00F75FF8">
        <w:rPr>
          <w:lang w:val="en-GB"/>
        </w:rPr>
        <w:t xml:space="preserve"> positive emotions may shape how therapy progresses, </w:t>
      </w:r>
      <w:r w:rsidR="00A27EEC" w:rsidRPr="00F75FF8">
        <w:rPr>
          <w:lang w:val="en-GB"/>
        </w:rPr>
        <w:t xml:space="preserve">they </w:t>
      </w:r>
      <w:r w:rsidR="00A53078" w:rsidRPr="00F75FF8">
        <w:rPr>
          <w:lang w:val="en-GB"/>
        </w:rPr>
        <w:t>do not provide evidence</w:t>
      </w:r>
      <w:r w:rsidR="0011130D" w:rsidRPr="00F75FF8">
        <w:rPr>
          <w:lang w:val="en-GB"/>
        </w:rPr>
        <w:t xml:space="preserve"> for causal effects</w:t>
      </w:r>
      <w:r w:rsidR="00A27EEC" w:rsidRPr="00F75FF8">
        <w:rPr>
          <w:lang w:val="en-GB"/>
        </w:rPr>
        <w:t xml:space="preserve">. Moreover, these studies are agnostic as to the degree to which therapists had adopted </w:t>
      </w:r>
      <w:r w:rsidR="003E5F5B" w:rsidRPr="00F75FF8">
        <w:rPr>
          <w:lang w:val="en-GB"/>
        </w:rPr>
        <w:t xml:space="preserve">a </w:t>
      </w:r>
      <w:r w:rsidR="00A27EEC" w:rsidRPr="00F75FF8">
        <w:rPr>
          <w:lang w:val="en-GB"/>
        </w:rPr>
        <w:t xml:space="preserve">problem-focused versus solution-focused outlook in the first place. </w:t>
      </w:r>
    </w:p>
    <w:p w14:paraId="4A962BA1" w14:textId="6FD38BEC" w:rsidR="00C12439" w:rsidRPr="00F75FF8" w:rsidRDefault="00456D31" w:rsidP="00456D31">
      <w:pPr>
        <w:spacing w:line="480" w:lineRule="auto"/>
        <w:ind w:firstLine="720"/>
        <w:contextualSpacing/>
        <w:rPr>
          <w:lang w:val="en-GB"/>
        </w:rPr>
      </w:pPr>
      <w:r w:rsidRPr="00F75FF8">
        <w:rPr>
          <w:lang w:val="en-GB"/>
        </w:rPr>
        <w:t xml:space="preserve">The main aim of the current study is to provide a first step towards </w:t>
      </w:r>
      <w:r w:rsidR="00C545E3" w:rsidRPr="00F75FF8">
        <w:rPr>
          <w:lang w:val="en-GB"/>
        </w:rPr>
        <w:t>examining</w:t>
      </w:r>
      <w:r w:rsidRPr="00F75FF8">
        <w:rPr>
          <w:lang w:val="en-GB"/>
        </w:rPr>
        <w:t xml:space="preserve"> the impact that information collected during intake assessments may have on therapists’ emotions and their expectations for successfully working with a client.</w:t>
      </w:r>
      <w:r w:rsidR="00C12439" w:rsidRPr="00F75FF8">
        <w:rPr>
          <w:lang w:val="en-GB"/>
        </w:rPr>
        <w:t xml:space="preserve"> </w:t>
      </w:r>
      <w:r w:rsidR="007C7B1C" w:rsidRPr="00F75FF8">
        <w:rPr>
          <w:lang w:val="en-GB"/>
        </w:rPr>
        <w:t xml:space="preserve"> </w:t>
      </w:r>
      <w:r w:rsidR="00BC7A71" w:rsidRPr="00F75FF8">
        <w:rPr>
          <w:lang w:val="en-GB"/>
        </w:rPr>
        <w:t xml:space="preserve">In line with previous </w:t>
      </w:r>
      <w:r w:rsidR="00654E75" w:rsidRPr="00F75FF8">
        <w:rPr>
          <w:lang w:val="en-GB"/>
        </w:rPr>
        <w:t>publications</w:t>
      </w:r>
      <w:r w:rsidR="00BC7A71" w:rsidRPr="00F75FF8">
        <w:rPr>
          <w:lang w:val="en-GB"/>
        </w:rPr>
        <w:t xml:space="preserve"> studying the impact of </w:t>
      </w:r>
      <w:r w:rsidR="00654E75" w:rsidRPr="00F75FF8">
        <w:rPr>
          <w:lang w:val="en-GB"/>
        </w:rPr>
        <w:t>client information on health professionals’</w:t>
      </w:r>
      <w:r w:rsidR="00BC7A71" w:rsidRPr="00F75FF8">
        <w:rPr>
          <w:lang w:val="en-GB"/>
        </w:rPr>
        <w:t xml:space="preserve"> attitudes</w:t>
      </w:r>
      <w:r w:rsidR="00C31DF5" w:rsidRPr="00F75FF8">
        <w:rPr>
          <w:lang w:val="en-GB"/>
        </w:rPr>
        <w:t xml:space="preserve"> </w:t>
      </w:r>
      <w:r w:rsidR="00C31DF5" w:rsidRPr="00F75FF8">
        <w:rPr>
          <w:lang w:val="en-GB"/>
        </w:rPr>
        <w:fldChar w:fldCharType="begin" w:fldLock="1"/>
      </w:r>
      <w:r w:rsidR="001A1C82" w:rsidRPr="00F75FF8">
        <w:rPr>
          <w:lang w:val="en-GB"/>
        </w:rPr>
        <w:instrText>ADDIN CSL_CITATION {"citationItems":[{"id":"ITEM-1","itemData":{"DOI":"10.1177/0091217415612721","ISSN":"0091-2174","PMID":"26503503","abstract":"Objective: What are the attitudes of general hospital doctors toward patients with comorbid mental illness? Do certain characteristics of the health professional related to attitude valence to patients with comorbid mental illness? Method: An anonymous questionnaire was sent out to a cohort of doctors working in three General Hospitals in South West London. The questionnaire included vignettes to assess the respondents' attitudes toward eight patients presenting with a physical compliant with different clinical histories, including depression, schizophrenia, personality disorder, diabetes, and criminal behavior. Results: A total of 52 participants completed the questionnaire; 40 females and 12 males. Across all domains, the most positive attitudes were held toward patients without a diagnosis of mental illness. The least positive attitudes were toward patients with schizophrenia, personality disorder, and those classified as \"criminals,\" and negative attitudes relating to the unpredictability of patients was identified in these categories. There was no statistically significant difference in attitudes depending on age or level of training. However, female participants tended to endorse more positive attitudinal responses, most clearly toward patients with depression and heroin addiction. Conclusions: Negative attitudes of doctors were identified toward certain mental illness diagnoses and are likely to contribute the physical health disparity between patients with and without a comorbid mental illness. This raises the question as to how these attitudes can be changed in order to improve the parity of physical health care between patient with and without mental illness.","author":[{"dropping-particle":"","family":"Noblett","given":"Joanne E.","non-dropping-particle":"","parse-names":false,"suffix":""},{"dropping-particle":"","family":"Lawrence","given":"Robert","non-dropping-particle":"","parse-names":false,"suffix":""},{"dropping-particle":"","family":"Smith","given":"Jared G.","non-dropping-particle":"","parse-names":false,"suffix":""}],"container-title":"International journal of psychiatry in medicine","id":"ITEM-1","issue":"4","issued":{"date-parts":[["2015","11","1"]]},"page":"370-382","publisher":"Int J Psychiatry Med","title":"The attitudes of general hospital doctors toward patients with comorbid mental illness","type":"article-journal","volume":"50"},"uris":["http://www.mendeley.com/documents/?uuid=f016dd50-e3b5-3a7d-b20b-8c7ac7d1e0e0"]},{"id":"ITEM-2","itemData":{"DOI":"10.1017/S1352465815000351","ISSN":"1352-4658","PMID":"26305114","abstract":"Background: There is concern that diagnostic labels for psychiatric disorders may invoke damaging stigma, stereotypes and misunderstanding. Aims: This study investigated clinicians’ reactions to diagnostic labelling by examining their positive and negative reactions to the label borderline personality disorder (BPD). Method: Mental health professionals (n = 265) viewed a videotape of a patient suffering from panic disorder and agoraphobia undergoing assessment. Prior to viewing the videotape, participants were randomly allocated to one of three conditions and were given the following information about the patient: (a) general background information; (b) additional descriptive information about behaviour corresponding to BPD; and (c) additional descriptive information about behaviour corresponding to BPD, but explicitly adding BPD as a possible comorbid diagnostic label. All participants were then asked to note things they had seen in the videotape that made them feel optimistic or pessimistic about treatment outcome. Results: Participants in the group that were explicitly informed that the patient had a BPD diagnostic label reported significantly fewer reasons to be optimistic than the other two groups. Conclusions: Diagnostic labels may negatively impact on clinicians’ judgments and perceptions of individuals and therefore clinicians should think carefully about whether, and how, they use diagnoses and efforts should be made to destigmatize diagnostic terms.","author":[{"dropping-particle":"","family":"Lam","given":"Danny C.K.","non-dropping-particle":"","parse-names":false,"suffix":""},{"dropping-particle":"V.","family":"Poplavskaya","given":"Elena","non-dropping-particle":"","parse-names":false,"suffix":""},{"dropping-particle":"","family":"Salkovskis","given":"Paul M.","non-dropping-particle":"","parse-names":false,"suffix":""},{"dropping-particle":"","family":"Hogg","given":"Lorna I.","non-dropping-particle":"","parse-names":false,"suffix":""},{"dropping-particle":"","family":"Panting","given":"Holly","non-dropping-particle":"","parse-names":false,"suffix":""}],"container-title":"Behavioural and Cognitive Psychotherapy","id":"ITEM-2","issue":"3","issued":{"date-parts":[["2016","5","1"]]},"page":"361-373","publisher":"Cambridge University Press","title":"An experimental Investigation of the Impact of Personality Disorder Diagnosis on Clinicians: Can We See Past the Borderline?","type":"article-journal","volume":"44"},"uris":["http://www.mendeley.com/documents/?uuid=d2070d4c-ea25-3d38-8e60-67f3c1c5fbce"]},{"id":"ITEM-3","itemData":{"DOI":"10.1192/pb.bp.115.052456","ISSN":"2056-4694","PMID":"28184311","abstract":"Aims and method In 1988, Lewis and Appleby demonstrated that psychiatrists hold negative attitudes towards patients with personality disorder. We assessed the attitudes of psychiatry trainees towards patients with borderline personality disorder and depression, expecting an improvement. 166 trainees were block randomised to receive one of four case vignettes that varied by diagnosis and ethnic group. We used Lewis and Appleby's original questionnaire and the Attitudes to Personality Disorder Questionnaire (APDQ). Results We received 76 responses. Lewis and Appleby's questionnaire showed more negative attitudes towards personality disorder than depression, with no significant patient ethnic group effects, and the APDQ also showed a (weak) trend towards more negative attitudes to personality disorder. In subgroup analysis, only in the White British patient group were there significantly more negative attitudes to personality disorder. Factor analysis showed significantly less sense of purpose when working with personality disorder. Clinical implications The perceived greater lack of purpose in working with personality disorder should be the target of clinical training and intervention. Targeted interventions that include training in managing personality disorder, supervision and practice in non-specialist, general psychiatry settings are important.","author":[{"dropping-particle":"","family":"Chartonas","given":"Dimitrios","non-dropping-particle":"","parse-names":false,"suffix":""},{"dropping-particle":"","family":"Kyratsous","given":"Michalis","non-dropping-particle":"","parse-names":false,"suffix":""},{"dropping-particle":"","family":"Dracass","given":"Sarah","non-dropping-particle":"","parse-names":false,"suffix":""},{"dropping-particle":"","family":"Lee","given":"Tennyson","non-dropping-particle":"","parse-names":false,"suffix":""},{"dropping-particle":"","family":"Bhui","given":"Kamaldeep","non-dropping-particle":"","parse-names":false,"suffix":""}],"container-title":"British Journal of Psychiatry Bulletin","id":"ITEM-3","issue":"1","issued":{"date-parts":[["2017","2","2"]]},"page":"12-17","publisher":"Royal College of Psychiatrists","title":"Personality disorder: Still the patients psychiatrists dislike?","type":"article-journal","volume":"41"},"uris":["http://www.mendeley.com/documents/?uuid=d6691adb-37a3-34e5-acc8-1c32ee68701a"]}],"mendeley":{"formattedCitation":"(Chartonas et al., 2017; Lam et al., 2016; Noblett et al., 2015)","plainTextFormattedCitation":"(Chartonas et al., 2017; Lam et al., 2016; Noblett et al., 2015)","previouslyFormattedCitation":"(Chartonas et al., 2017; Lam et al., 2016; Noblett et al., 2015)"},"properties":{"noteIndex":0},"schema":"https://github.com/citation-style-language/schema/raw/master/csl-citation.json"}</w:instrText>
      </w:r>
      <w:r w:rsidR="00C31DF5" w:rsidRPr="00F75FF8">
        <w:rPr>
          <w:lang w:val="en-GB"/>
        </w:rPr>
        <w:fldChar w:fldCharType="separate"/>
      </w:r>
      <w:r w:rsidR="00654E75" w:rsidRPr="00F75FF8">
        <w:rPr>
          <w:noProof/>
          <w:lang w:val="en-GB"/>
        </w:rPr>
        <w:t>(Chartonas et al., 2017; Lam et al., 2016; Noblett et al., 2015)</w:t>
      </w:r>
      <w:r w:rsidR="00C31DF5" w:rsidRPr="00F75FF8">
        <w:rPr>
          <w:lang w:val="en-GB"/>
        </w:rPr>
        <w:fldChar w:fldCharType="end"/>
      </w:r>
      <w:r w:rsidR="00BC7A71" w:rsidRPr="00F75FF8">
        <w:rPr>
          <w:lang w:val="en-GB"/>
        </w:rPr>
        <w:t xml:space="preserve">, </w:t>
      </w:r>
      <w:r w:rsidR="00654E75" w:rsidRPr="00F75FF8">
        <w:rPr>
          <w:lang w:val="en-GB"/>
        </w:rPr>
        <w:t xml:space="preserve">the current study </w:t>
      </w:r>
      <w:r w:rsidR="00492D33" w:rsidRPr="00F75FF8">
        <w:rPr>
          <w:lang w:val="en-GB"/>
        </w:rPr>
        <w:t xml:space="preserve">asked </w:t>
      </w:r>
      <w:r w:rsidR="00ED405D" w:rsidRPr="00F75FF8">
        <w:rPr>
          <w:lang w:val="en-GB"/>
        </w:rPr>
        <w:t>participants</w:t>
      </w:r>
      <w:r w:rsidR="00BC7A71" w:rsidRPr="00F75FF8">
        <w:rPr>
          <w:lang w:val="en-GB"/>
        </w:rPr>
        <w:t xml:space="preserve"> </w:t>
      </w:r>
      <w:r w:rsidR="00C545E3" w:rsidRPr="00F75FF8">
        <w:rPr>
          <w:lang w:val="en-GB"/>
        </w:rPr>
        <w:t xml:space="preserve">(trainee therapists) </w:t>
      </w:r>
      <w:r w:rsidR="00492D33" w:rsidRPr="00F75FF8">
        <w:rPr>
          <w:lang w:val="en-GB"/>
        </w:rPr>
        <w:t xml:space="preserve">to read </w:t>
      </w:r>
      <w:r w:rsidR="00BC7A71" w:rsidRPr="00F75FF8">
        <w:rPr>
          <w:lang w:val="en-GB"/>
        </w:rPr>
        <w:t xml:space="preserve">vignettes with short case descriptions </w:t>
      </w:r>
      <w:r w:rsidR="00492D33" w:rsidRPr="00F75FF8">
        <w:rPr>
          <w:lang w:val="en-GB"/>
        </w:rPr>
        <w:t>that imitated</w:t>
      </w:r>
      <w:r w:rsidR="00BC7A71" w:rsidRPr="00F75FF8">
        <w:rPr>
          <w:lang w:val="en-GB"/>
        </w:rPr>
        <w:t xml:space="preserve"> </w:t>
      </w:r>
      <w:r w:rsidR="008825F8" w:rsidRPr="00F75FF8">
        <w:rPr>
          <w:lang w:val="en-GB"/>
        </w:rPr>
        <w:t xml:space="preserve">information from </w:t>
      </w:r>
      <w:r w:rsidR="00BC7A71" w:rsidRPr="00F75FF8">
        <w:rPr>
          <w:lang w:val="en-GB"/>
        </w:rPr>
        <w:t>intake reports</w:t>
      </w:r>
      <w:r w:rsidR="00492D33" w:rsidRPr="00F75FF8">
        <w:rPr>
          <w:lang w:val="en-GB"/>
        </w:rPr>
        <w:t>. To facilitate causal inferences, we used an experimental setup that isolated and manipulated the content of case descriptions (problem- vs. solution-focused).</w:t>
      </w:r>
      <w:r w:rsidR="00BC7A71" w:rsidRPr="00F75FF8">
        <w:rPr>
          <w:lang w:val="en-GB"/>
        </w:rPr>
        <w:t xml:space="preserve"> </w:t>
      </w:r>
      <w:r w:rsidR="00C545E3" w:rsidRPr="00F75FF8">
        <w:rPr>
          <w:lang w:val="en-GB"/>
        </w:rPr>
        <w:t>T</w:t>
      </w:r>
      <w:r w:rsidR="008825F8" w:rsidRPr="00F75FF8">
        <w:rPr>
          <w:lang w:val="en-GB"/>
        </w:rPr>
        <w:t xml:space="preserve">he current study is </w:t>
      </w:r>
      <w:r w:rsidR="00B754AF" w:rsidRPr="00F75FF8">
        <w:rPr>
          <w:lang w:val="en-GB"/>
        </w:rPr>
        <w:t xml:space="preserve">the first to </w:t>
      </w:r>
      <w:r w:rsidR="008825F8" w:rsidRPr="00F75FF8">
        <w:rPr>
          <w:lang w:val="en-GB"/>
        </w:rPr>
        <w:t xml:space="preserve">experimentally </w:t>
      </w:r>
      <w:r w:rsidR="00B754AF" w:rsidRPr="00F75FF8">
        <w:rPr>
          <w:lang w:val="en-GB"/>
        </w:rPr>
        <w:t>test the idea that the content of intake descriptions influences therapists’ emotions and their outlook on therapy success</w:t>
      </w:r>
      <w:r w:rsidR="00C545E3" w:rsidRPr="00F75FF8">
        <w:rPr>
          <w:lang w:val="en-GB"/>
        </w:rPr>
        <w:t>. T</w:t>
      </w:r>
      <w:r w:rsidR="006D407E" w:rsidRPr="00F75FF8">
        <w:rPr>
          <w:lang w:val="en-GB"/>
        </w:rPr>
        <w:t>herefore, t</w:t>
      </w:r>
      <w:r w:rsidR="008825F8" w:rsidRPr="00F75FF8">
        <w:rPr>
          <w:lang w:val="en-GB"/>
        </w:rPr>
        <w:t>his study focused on the extremes</w:t>
      </w:r>
      <w:r w:rsidR="006D407E" w:rsidRPr="00F75FF8">
        <w:rPr>
          <w:lang w:val="en-GB"/>
        </w:rPr>
        <w:t xml:space="preserve"> by comparing pure solution-focused with pure problem-focused case descriptions</w:t>
      </w:r>
      <w:r w:rsidR="008825F8" w:rsidRPr="00F75FF8">
        <w:rPr>
          <w:lang w:val="en-GB"/>
        </w:rPr>
        <w:t xml:space="preserve"> in order to provide a </w:t>
      </w:r>
      <w:r w:rsidRPr="00F75FF8">
        <w:rPr>
          <w:lang w:val="en-GB"/>
        </w:rPr>
        <w:t xml:space="preserve">first </w:t>
      </w:r>
      <w:r w:rsidR="008825F8" w:rsidRPr="00F75FF8">
        <w:rPr>
          <w:lang w:val="en-GB"/>
        </w:rPr>
        <w:t xml:space="preserve">proof of principle. </w:t>
      </w:r>
      <w:r w:rsidR="006D407E" w:rsidRPr="00F75FF8">
        <w:rPr>
          <w:lang w:val="en-GB"/>
        </w:rPr>
        <w:t>To</w:t>
      </w:r>
      <w:r w:rsidR="00ED405D" w:rsidRPr="00F75FF8">
        <w:rPr>
          <w:lang w:val="en-GB"/>
        </w:rPr>
        <w:t xml:space="preserve"> enable </w:t>
      </w:r>
      <w:r w:rsidR="003F404E" w:rsidRPr="00F75FF8">
        <w:rPr>
          <w:lang w:val="en-GB"/>
        </w:rPr>
        <w:t xml:space="preserve">reliable within-subject comparisons </w:t>
      </w:r>
      <w:r w:rsidR="006D407E" w:rsidRPr="00F75FF8">
        <w:rPr>
          <w:lang w:val="en-GB"/>
        </w:rPr>
        <w:t>while avoiding</w:t>
      </w:r>
      <w:r w:rsidR="003F404E" w:rsidRPr="00F75FF8">
        <w:rPr>
          <w:lang w:val="en-GB"/>
        </w:rPr>
        <w:t xml:space="preserve"> fatigu</w:t>
      </w:r>
      <w:r w:rsidR="006D407E" w:rsidRPr="00F75FF8">
        <w:rPr>
          <w:lang w:val="en-GB"/>
        </w:rPr>
        <w:t>e and achieving similar vignette lengths</w:t>
      </w:r>
      <w:r w:rsidR="003F404E" w:rsidRPr="00F75FF8">
        <w:rPr>
          <w:lang w:val="en-GB"/>
        </w:rPr>
        <w:t>,</w:t>
      </w:r>
      <w:r w:rsidR="008825F8" w:rsidRPr="00F75FF8">
        <w:rPr>
          <w:lang w:val="en-GB"/>
        </w:rPr>
        <w:t xml:space="preserve"> we did not include </w:t>
      </w:r>
      <w:r w:rsidRPr="00F75FF8">
        <w:rPr>
          <w:lang w:val="en-GB"/>
        </w:rPr>
        <w:t>case</w:t>
      </w:r>
      <w:r w:rsidR="008825F8" w:rsidRPr="00F75FF8">
        <w:rPr>
          <w:lang w:val="en-GB"/>
        </w:rPr>
        <w:t xml:space="preserve"> descriptions</w:t>
      </w:r>
      <w:r w:rsidRPr="00F75FF8">
        <w:rPr>
          <w:lang w:val="en-GB"/>
        </w:rPr>
        <w:t xml:space="preserve"> that combined both types of information</w:t>
      </w:r>
      <w:r w:rsidR="006D407E" w:rsidRPr="00F75FF8">
        <w:rPr>
          <w:lang w:val="en-GB"/>
        </w:rPr>
        <w:t>.</w:t>
      </w:r>
    </w:p>
    <w:p w14:paraId="35B3ADB2" w14:textId="10E149C4" w:rsidR="000014BB" w:rsidRPr="00F75FF8" w:rsidRDefault="00BC6062" w:rsidP="001231FD">
      <w:pPr>
        <w:spacing w:line="480" w:lineRule="auto"/>
        <w:ind w:firstLine="720"/>
        <w:contextualSpacing/>
        <w:rPr>
          <w:lang w:val="en-GB"/>
        </w:rPr>
      </w:pPr>
      <w:r w:rsidRPr="00F75FF8">
        <w:rPr>
          <w:lang w:val="en-GB"/>
        </w:rPr>
        <w:t>C</w:t>
      </w:r>
      <w:proofErr w:type="spellStart"/>
      <w:r w:rsidRPr="00F75FF8">
        <w:t>ompared</w:t>
      </w:r>
      <w:proofErr w:type="spellEnd"/>
      <w:r w:rsidRPr="00F75FF8">
        <w:t xml:space="preserve"> to problem-focused vignettes, we expected solution-focused vignettes to be associated with (</w:t>
      </w:r>
      <w:proofErr w:type="spellStart"/>
      <w:r w:rsidRPr="00F75FF8">
        <w:t>i</w:t>
      </w:r>
      <w:proofErr w:type="spellEnd"/>
      <w:r w:rsidRPr="00F75FF8">
        <w:t xml:space="preserve">) higher positive </w:t>
      </w:r>
      <w:r w:rsidR="00B23411" w:rsidRPr="00F75FF8">
        <w:t>affect</w:t>
      </w:r>
      <w:r w:rsidRPr="00F75FF8">
        <w:t xml:space="preserve">, (ii) lower negative </w:t>
      </w:r>
      <w:r w:rsidR="00B23411" w:rsidRPr="00F75FF8">
        <w:t>affect</w:t>
      </w:r>
      <w:r w:rsidRPr="00F75FF8">
        <w:t xml:space="preserve">, and (iii) higher therapist positive expectations for </w:t>
      </w:r>
      <w:r w:rsidR="00B23411" w:rsidRPr="00F75FF8">
        <w:t>working with the client</w:t>
      </w:r>
      <w:r w:rsidRPr="00F75FF8">
        <w:t xml:space="preserve">. For direct replication, the study was executed in two samples of students undergoing therapy training, one in </w:t>
      </w:r>
      <w:r w:rsidR="008E339A">
        <w:t>the Netherlands</w:t>
      </w:r>
      <w:r w:rsidRPr="00F75FF8">
        <w:t xml:space="preserve"> (Sample 1), and one in </w:t>
      </w:r>
      <w:r w:rsidR="008E339A">
        <w:t>the United Kingdom</w:t>
      </w:r>
      <w:r w:rsidRPr="00F75FF8">
        <w:t xml:space="preserve"> (Sample 2). </w:t>
      </w:r>
    </w:p>
    <w:p w14:paraId="491B4B0C" w14:textId="77777777" w:rsidR="000014BB" w:rsidRPr="00F75FF8" w:rsidRDefault="000014BB" w:rsidP="001231FD">
      <w:pPr>
        <w:spacing w:line="480" w:lineRule="auto"/>
        <w:contextualSpacing/>
        <w:rPr>
          <w:lang w:val="en-GB"/>
        </w:rPr>
      </w:pPr>
    </w:p>
    <w:p w14:paraId="425302CD" w14:textId="65AE99A7" w:rsidR="00240472" w:rsidRPr="00F75FF8" w:rsidRDefault="00240472" w:rsidP="001231FD">
      <w:pPr>
        <w:keepNext/>
        <w:spacing w:line="480" w:lineRule="auto"/>
        <w:contextualSpacing/>
        <w:jc w:val="center"/>
        <w:rPr>
          <w:b/>
        </w:rPr>
      </w:pPr>
      <w:r w:rsidRPr="00F75FF8">
        <w:rPr>
          <w:b/>
        </w:rPr>
        <w:t>Methods</w:t>
      </w:r>
    </w:p>
    <w:p w14:paraId="371AECD8" w14:textId="127C36E7" w:rsidR="000014BB" w:rsidRPr="00F75FF8" w:rsidRDefault="000014BB" w:rsidP="001231FD">
      <w:pPr>
        <w:keepNext/>
        <w:spacing w:line="480" w:lineRule="auto"/>
        <w:contextualSpacing/>
        <w:rPr>
          <w:b/>
        </w:rPr>
      </w:pPr>
      <w:r w:rsidRPr="00F75FF8">
        <w:rPr>
          <w:b/>
        </w:rPr>
        <w:t>Study design and statistical analysis</w:t>
      </w:r>
    </w:p>
    <w:p w14:paraId="70120652" w14:textId="251C8413" w:rsidR="00582FF6" w:rsidRPr="00F75FF8" w:rsidRDefault="00582FF6" w:rsidP="001231FD">
      <w:pPr>
        <w:spacing w:line="480" w:lineRule="auto"/>
        <w:contextualSpacing/>
      </w:pPr>
      <w:r w:rsidRPr="00F75FF8">
        <w:t xml:space="preserve">The current study employed a within-subject experimental design with </w:t>
      </w:r>
      <w:r w:rsidR="00B23411" w:rsidRPr="00F75FF8">
        <w:t>condition (</w:t>
      </w:r>
      <w:r w:rsidRPr="00F75FF8">
        <w:t>solution-focus vs. problem-focus</w:t>
      </w:r>
      <w:r w:rsidR="00B23411" w:rsidRPr="00F75FF8">
        <w:t>)</w:t>
      </w:r>
      <w:r w:rsidRPr="00F75FF8">
        <w:t xml:space="preserve"> as independent variable. Participants rated four vignettes, of which two were solution-focused and two were problem-focused. The order of the vignettes was fully counterbalanced (i.e., full permutation of all orders). Outcome variables (positive </w:t>
      </w:r>
      <w:r w:rsidR="00B47A9E" w:rsidRPr="00F75FF8">
        <w:t>affect</w:t>
      </w:r>
      <w:r w:rsidRPr="00F75FF8">
        <w:t xml:space="preserve">, negative </w:t>
      </w:r>
      <w:r w:rsidR="00B47A9E" w:rsidRPr="00F75FF8">
        <w:t>affect</w:t>
      </w:r>
      <w:r w:rsidRPr="00F75FF8">
        <w:t xml:space="preserve">, and positive expectations related to working with a client) were averaged per participant per condition. Then, the effect of condition was examined through paired t-tests contrasting the effects of solution- versus problem-focused vignettes </w:t>
      </w:r>
      <w:r w:rsidRPr="00F75FF8">
        <w:fldChar w:fldCharType="begin" w:fldLock="1"/>
      </w:r>
      <w:r w:rsidRPr="00F75FF8">
        <w:instrText>ADDIN CSL_CITATION {"citationItems":[{"id":"ITEM-1","itemData":{"DOI":"10.1016/S0895-4356(03)00007-6","ISSN":"08954356","abstract":"This article reviews three traditional methods for the analysis of multicenter trials with persons nested within clusters, i.e., centers, namely naı̈ve regression (persons as units of analysis), fixed effects regression, and the use of summary measures (clusters as units of analysis), and compares these methods with multilevel regression. The comparison is made for continuous (quantitative) outcomes, and is based on the estimator of the treatment effect and its standard error, because these usually are of main interest in intervention studies. When the results of the experiment have to be valid for some larger population of centers, the centers in the intervention study have to present a random sample from this population and multilevel regression may be used. It is shown that the treatment effect and especially its standard error, are generally incorrectly estimated by the traditional methods, which should, therefore, not in general be used as an alternative to multilevel regression.","author":[{"dropping-particle":"","family":"Moerbeek","given":"M","non-dropping-particle":"","parse-names":false,"suffix":""},{"dropping-particle":"","family":"Breukelen","given":"G. J. P.","non-dropping-particle":"van","parse-names":false,"suffix":""},{"dropping-particle":"","family":"Berger","given":"M. P. F","non-dropping-particle":"","parse-names":false,"suffix":""}],"container-title":"Journal of Clinical Epidemiology","id":"ITEM-1","issue":"4","issued":{"date-parts":[["2003","4"]]},"page":"341-350","title":"A comparison between traditional methods and multilevel regression for the analysis of multicenter intervention studies","type":"article-journal","volume":"56"},"uris":["http://www.mendeley.com/documents/?uuid=1aa536bc-c51e-401d-8f16-480bc6d05099"]}],"mendeley":{"formattedCitation":"(Moerbeek et al., 2003)","plainTextFormattedCitation":"(Moerbeek et al., 2003)","previouslyFormattedCitation":"(Moerbeek et al., 2003)"},"properties":{"noteIndex":0},"schema":"https://github.com/citation-style-language/schema/raw/master/csl-citation.json"}</w:instrText>
      </w:r>
      <w:r w:rsidRPr="00F75FF8">
        <w:fldChar w:fldCharType="separate"/>
      </w:r>
      <w:r w:rsidRPr="00F75FF8">
        <w:rPr>
          <w:noProof/>
        </w:rPr>
        <w:t>(Moerbeek et al., 2003)</w:t>
      </w:r>
      <w:r w:rsidRPr="00F75FF8">
        <w:fldChar w:fldCharType="end"/>
      </w:r>
      <w:r w:rsidRPr="00F75FF8">
        <w:t xml:space="preserve">. Analyses were run separately for each sample. Power analysis indicated a required sample size of 30 participants to identify medium effect sizes with a power of 0.9 and an alpha error probability of 0.05, assuming a moderate correlation in-between measurements (G*Power 3.1.6; </w:t>
      </w:r>
      <w:r w:rsidRPr="00F75FF8">
        <w:fldChar w:fldCharType="begin" w:fldLock="1"/>
      </w:r>
      <w:r w:rsidRPr="00F75FF8">
        <w:instrText>ADDIN CSL_CITATION {"citationItems":[{"id":"ITEM-1","itemData":{"DOI":"10.3758/BRM.41.4.1149","ISSN":"1554-3528","PMID":"19897823","abstract":"G*Power is a free power analysis program for a variety of statistical tests. We present extensions and improvements of the version introduced by Faul, Erdfelder, Lang, and Buchner (2007) in the domain of correlation and regression analyses. In the new version, we have added procedures to analyze the power of tests based on (1) single-sample tetrachoric correlations, (2) comparisons of dependent correlations, (3) bivariate linear regression, (4) multiple linear regression based on the random predictor model, (5) logistic regression, and (6) Poisson regression. We describe these new features and provide a brief introduction to their scope and handling.","author":[{"dropping-particle":"","family":"Faul","given":"Franz","non-dropping-particle":"","parse-names":false,"suffix":""},{"dropping-particle":"","family":"Erdfelder","given":"Edgar","non-dropping-particle":"","parse-names":false,"suffix":""},{"dropping-particle":"","family":"Buchner","given":"Axel","non-dropping-particle":"","parse-names":false,"suffix":""},{"dropping-particle":"","family":"Lang","given":"Albert-Georg","non-dropping-particle":"","parse-names":false,"suffix":""}],"container-title":"Behavior research methods","id":"ITEM-1","issue":"4","issued":{"date-parts":[["2009","11"]]},"page":"1149-60","title":"Statistical power analyses using G*Power 3.1: tests for correlation and regression analyses.","type":"article-journal","volume":"41"},"uris":["http://www.mendeley.com/documents/?uuid=9665311f-b100-4225-be6d-83c60aed8cae"]}],"mendeley":{"formattedCitation":"(Faul et al., 2009)","manualFormatting":"Faul et al., 2009)","plainTextFormattedCitation":"(Faul et al., 2009)","previouslyFormattedCitation":"(Faul et al., 2009)"},"properties":{"noteIndex":0},"schema":"https://github.com/citation-style-language/schema/raw/master/csl-citation.json"}</w:instrText>
      </w:r>
      <w:r w:rsidRPr="00F75FF8">
        <w:fldChar w:fldCharType="separate"/>
      </w:r>
      <w:r w:rsidRPr="00F75FF8">
        <w:rPr>
          <w:noProof/>
        </w:rPr>
        <w:t>Faul et al., 2009)</w:t>
      </w:r>
      <w:r w:rsidRPr="00F75FF8">
        <w:fldChar w:fldCharType="end"/>
      </w:r>
      <w:r w:rsidRPr="00F75FF8">
        <w:t>.</w:t>
      </w:r>
    </w:p>
    <w:p w14:paraId="725AFF11" w14:textId="77777777" w:rsidR="000014BB" w:rsidRPr="00F75FF8" w:rsidRDefault="000014BB" w:rsidP="001231FD">
      <w:pPr>
        <w:spacing w:line="480" w:lineRule="auto"/>
        <w:contextualSpacing/>
      </w:pPr>
    </w:p>
    <w:p w14:paraId="27F82C62" w14:textId="77777777" w:rsidR="00732A6D" w:rsidRPr="00F75FF8" w:rsidRDefault="00732A6D" w:rsidP="001231FD">
      <w:pPr>
        <w:spacing w:line="480" w:lineRule="auto"/>
        <w:contextualSpacing/>
        <w:rPr>
          <w:b/>
        </w:rPr>
      </w:pPr>
      <w:r w:rsidRPr="00F75FF8">
        <w:rPr>
          <w:b/>
        </w:rPr>
        <w:t>Procedure</w:t>
      </w:r>
    </w:p>
    <w:p w14:paraId="3928E5AD" w14:textId="62D7BD98" w:rsidR="006833CC" w:rsidRPr="00F75FF8" w:rsidRDefault="00FD6C2E" w:rsidP="001231FD">
      <w:pPr>
        <w:spacing w:line="480" w:lineRule="auto"/>
        <w:contextualSpacing/>
      </w:pPr>
      <w:r w:rsidRPr="00F75FF8">
        <w:t xml:space="preserve">Ethical committees of </w:t>
      </w:r>
      <w:r w:rsidR="008E339A">
        <w:t>Maastricht University</w:t>
      </w:r>
      <w:r w:rsidR="00D86E98" w:rsidRPr="00F75FF8">
        <w:t xml:space="preserve"> </w:t>
      </w:r>
      <w:r w:rsidRPr="00F75FF8">
        <w:t xml:space="preserve">and </w:t>
      </w:r>
      <w:r w:rsidR="008E339A">
        <w:t>University of Exeter</w:t>
      </w:r>
      <w:r w:rsidR="00D86E98" w:rsidRPr="00F75FF8">
        <w:t xml:space="preserve"> </w:t>
      </w:r>
      <w:r w:rsidRPr="00F75FF8">
        <w:t xml:space="preserve">both approved the study (reference numbers </w:t>
      </w:r>
      <w:r w:rsidR="008E339A" w:rsidRPr="008E339A">
        <w:t>ERCPN_177_04_03_2017 and eCLESPsy000217</w:t>
      </w:r>
      <w:r w:rsidRPr="00F75FF8">
        <w:t>, respectively).</w:t>
      </w:r>
      <w:r w:rsidR="006D7CEE" w:rsidRPr="00F75FF8">
        <w:t xml:space="preserve"> </w:t>
      </w:r>
      <w:r w:rsidR="00746FED" w:rsidRPr="00F75FF8">
        <w:t>The study was preregistered on aspredicted.org (</w:t>
      </w:r>
      <w:r w:rsidR="00BA30D0" w:rsidRPr="00F75FF8">
        <w:t xml:space="preserve">see </w:t>
      </w:r>
      <w:hyperlink r:id="rId8" w:history="1">
        <w:r w:rsidR="00746FED" w:rsidRPr="00F75FF8">
          <w:rPr>
            <w:rStyle w:val="Hyperlink"/>
            <w:rFonts w:ascii="Calibri" w:hAnsi="Calibri" w:cs="Calibri"/>
          </w:rPr>
          <w:t>http://aspredicted.org/blind.php?x=nt6zv6</w:t>
        </w:r>
      </w:hyperlink>
      <w:r w:rsidR="00746FED" w:rsidRPr="00F75FF8">
        <w:rPr>
          <w:rFonts w:ascii="Calibri" w:hAnsi="Calibri" w:cs="Calibri"/>
          <w:color w:val="3340BE"/>
        </w:rPr>
        <w:t>).</w:t>
      </w:r>
      <w:r w:rsidR="00746FED" w:rsidRPr="00F75FF8">
        <w:rPr>
          <w:rFonts w:ascii="Calibri" w:hAnsi="Calibri" w:cs="Calibri"/>
          <w:color w:val="3340BE"/>
          <w:sz w:val="16"/>
          <w:szCs w:val="16"/>
        </w:rPr>
        <w:t xml:space="preserve"> </w:t>
      </w:r>
      <w:r w:rsidR="000F53EA" w:rsidRPr="00F75FF8">
        <w:t xml:space="preserve">Participants were psychology or mental health students who had completed at least one clinical skills course (Sample 1; </w:t>
      </w:r>
      <w:r w:rsidR="008E339A">
        <w:t>the Netherlands</w:t>
      </w:r>
      <w:r w:rsidR="000F53EA" w:rsidRPr="00F75FF8">
        <w:t xml:space="preserve">), or fourth-year undergraduates in training to become psychological wellbeing practitioners (all currently enrolled in clinical placements in Improving Access to Psychological Therapy (IAPT) settings; Sample 2, </w:t>
      </w:r>
      <w:r w:rsidR="008E339A">
        <w:t>UK</w:t>
      </w:r>
      <w:r w:rsidR="000F53EA" w:rsidRPr="00F75FF8">
        <w:t xml:space="preserve">). </w:t>
      </w:r>
      <w:r w:rsidR="00037AFB" w:rsidRPr="00F75FF8">
        <w:t xml:space="preserve">At the time of the study, students </w:t>
      </w:r>
      <w:r w:rsidR="00E85C28" w:rsidRPr="00F75FF8">
        <w:t xml:space="preserve">in sample 2 </w:t>
      </w:r>
      <w:r w:rsidR="00EA61B0" w:rsidRPr="00F75FF8">
        <w:t>thus were slightly more experienced than participants from sample one</w:t>
      </w:r>
      <w:r w:rsidR="006833CC" w:rsidRPr="00F75FF8">
        <w:t xml:space="preserve">. </w:t>
      </w:r>
    </w:p>
    <w:p w14:paraId="59E8ECBA" w14:textId="7CFAB619" w:rsidR="005F0D33" w:rsidRPr="00F75FF8" w:rsidRDefault="00912103" w:rsidP="006833CC">
      <w:pPr>
        <w:spacing w:line="480" w:lineRule="auto"/>
        <w:ind w:firstLine="720"/>
        <w:contextualSpacing/>
        <w:rPr>
          <w:lang w:val="en-GB"/>
        </w:rPr>
      </w:pPr>
      <w:r w:rsidRPr="00F75FF8">
        <w:t>Potential participants</w:t>
      </w:r>
      <w:r w:rsidR="00D86E98" w:rsidRPr="00F75FF8">
        <w:t xml:space="preserve"> </w:t>
      </w:r>
      <w:r w:rsidR="00A13DD3" w:rsidRPr="00F75FF8">
        <w:t xml:space="preserve">were invited to </w:t>
      </w:r>
      <w:r w:rsidR="00274650" w:rsidRPr="00F75FF8">
        <w:t>take part</w:t>
      </w:r>
      <w:r w:rsidR="00A13DD3" w:rsidRPr="00F75FF8">
        <w:t xml:space="preserve"> in the </w:t>
      </w:r>
      <w:r w:rsidR="00876F31" w:rsidRPr="00F75FF8">
        <w:t xml:space="preserve">online </w:t>
      </w:r>
      <w:r w:rsidR="00A13DD3" w:rsidRPr="00F75FF8">
        <w:t>study through an e-mail containing an information letter and</w:t>
      </w:r>
      <w:r w:rsidR="00C31E05" w:rsidRPr="00F75FF8">
        <w:t xml:space="preserve"> </w:t>
      </w:r>
      <w:r w:rsidR="00A13DD3" w:rsidRPr="00F75FF8">
        <w:t xml:space="preserve">the link to the </w:t>
      </w:r>
      <w:r w:rsidR="00C31E05" w:rsidRPr="00F75FF8">
        <w:t xml:space="preserve">online </w:t>
      </w:r>
      <w:r w:rsidR="00A13DD3" w:rsidRPr="00F75FF8">
        <w:t>study</w:t>
      </w:r>
      <w:r w:rsidR="00C31E05" w:rsidRPr="00F75FF8">
        <w:t xml:space="preserve"> programmed in </w:t>
      </w:r>
      <w:proofErr w:type="spellStart"/>
      <w:r w:rsidR="00C31E05" w:rsidRPr="00F75FF8">
        <w:t>Qualtrics</w:t>
      </w:r>
      <w:proofErr w:type="spellEnd"/>
      <w:r w:rsidR="00A13DD3" w:rsidRPr="00F75FF8">
        <w:t xml:space="preserve">. </w:t>
      </w:r>
      <w:r w:rsidR="00CE70CD" w:rsidRPr="00F75FF8">
        <w:rPr>
          <w:lang w:val="en-GB"/>
        </w:rPr>
        <w:t xml:space="preserve">In order to avoid response-bias, we employed a cover story. </w:t>
      </w:r>
      <w:r w:rsidRPr="00F75FF8">
        <w:rPr>
          <w:lang w:val="en-GB"/>
        </w:rPr>
        <w:t>In the cover story, we informed participants</w:t>
      </w:r>
      <w:r w:rsidR="00CE70CD" w:rsidRPr="00F75FF8">
        <w:rPr>
          <w:lang w:val="en-GB"/>
        </w:rPr>
        <w:t xml:space="preserve"> that the</w:t>
      </w:r>
      <w:r w:rsidR="008D1FD7" w:rsidRPr="00F75FF8">
        <w:rPr>
          <w:lang w:val="en-GB"/>
        </w:rPr>
        <w:t xml:space="preserve"> goal of the</w:t>
      </w:r>
      <w:r w:rsidR="00CE70CD" w:rsidRPr="00F75FF8">
        <w:rPr>
          <w:lang w:val="en-GB"/>
        </w:rPr>
        <w:t xml:space="preserve"> study </w:t>
      </w:r>
      <w:r w:rsidR="008D1FD7" w:rsidRPr="00F75FF8">
        <w:rPr>
          <w:lang w:val="en-GB"/>
        </w:rPr>
        <w:t>was to assess</w:t>
      </w:r>
      <w:r w:rsidR="00CE70CD" w:rsidRPr="00F75FF8">
        <w:rPr>
          <w:lang w:val="en-GB"/>
        </w:rPr>
        <w:t xml:space="preserve"> trait mindfulness and its impact on participants’ ratings of client vignettes</w:t>
      </w:r>
      <w:r w:rsidR="008D1FD7" w:rsidRPr="00F75FF8">
        <w:rPr>
          <w:lang w:val="en-GB"/>
        </w:rPr>
        <w:t xml:space="preserve">. Participants were not informed </w:t>
      </w:r>
      <w:r w:rsidR="00CE70CD" w:rsidRPr="00F75FF8">
        <w:rPr>
          <w:lang w:val="en-GB"/>
        </w:rPr>
        <w:t xml:space="preserve">that </w:t>
      </w:r>
      <w:r w:rsidR="008D1FD7" w:rsidRPr="00F75FF8">
        <w:rPr>
          <w:lang w:val="en-GB"/>
        </w:rPr>
        <w:t>there were two types of vignettes (i.e., solution or problem focused)</w:t>
      </w:r>
      <w:r w:rsidR="00CE70CD" w:rsidRPr="00F75FF8">
        <w:rPr>
          <w:lang w:val="en-GB"/>
        </w:rPr>
        <w:t xml:space="preserve">. </w:t>
      </w:r>
    </w:p>
    <w:p w14:paraId="0656D26E" w14:textId="6797407C" w:rsidR="00732A6D" w:rsidRPr="00F75FF8" w:rsidRDefault="005F0D33" w:rsidP="001231FD">
      <w:pPr>
        <w:spacing w:line="480" w:lineRule="auto"/>
        <w:ind w:firstLine="720"/>
        <w:contextualSpacing/>
        <w:rPr>
          <w:lang w:val="en-GB"/>
        </w:rPr>
      </w:pPr>
      <w:r w:rsidRPr="00F75FF8">
        <w:rPr>
          <w:lang w:val="en-GB"/>
        </w:rPr>
        <w:t xml:space="preserve">The study </w:t>
      </w:r>
      <w:r w:rsidR="000F53EA" w:rsidRPr="00F75FF8">
        <w:rPr>
          <w:lang w:val="en-GB"/>
        </w:rPr>
        <w:t>took place</w:t>
      </w:r>
      <w:r w:rsidRPr="00F75FF8">
        <w:rPr>
          <w:lang w:val="en-GB"/>
        </w:rPr>
        <w:t xml:space="preserve"> online. </w:t>
      </w:r>
      <w:r w:rsidR="00C31E05" w:rsidRPr="00F75FF8">
        <w:t xml:space="preserve">After providing informed consent in </w:t>
      </w:r>
      <w:proofErr w:type="spellStart"/>
      <w:r w:rsidR="00C31E05" w:rsidRPr="00F75FF8">
        <w:t>Qualtrics</w:t>
      </w:r>
      <w:proofErr w:type="spellEnd"/>
      <w:r w:rsidR="00C31E05" w:rsidRPr="00F75FF8">
        <w:t xml:space="preserve">, participants first answered a few demographic questions (such as age, clinical experience, nationality) and </w:t>
      </w:r>
      <w:r w:rsidR="00FE4A4C" w:rsidRPr="00F75FF8">
        <w:t xml:space="preserve">completed </w:t>
      </w:r>
      <w:r w:rsidR="00C31E05" w:rsidRPr="00F75FF8">
        <w:t>the mindfulness questionnaire. Then,</w:t>
      </w:r>
      <w:r w:rsidR="00CE70CD" w:rsidRPr="00F75FF8">
        <w:t xml:space="preserve"> </w:t>
      </w:r>
      <w:r w:rsidR="00FE4A4C" w:rsidRPr="00F75FF8">
        <w:t>four</w:t>
      </w:r>
      <w:r w:rsidR="00A13DD3" w:rsidRPr="00F75FF8">
        <w:t xml:space="preserve"> </w:t>
      </w:r>
      <w:r w:rsidR="00C31E05" w:rsidRPr="00F75FF8">
        <w:t>vignettes were</w:t>
      </w:r>
      <w:r w:rsidR="00CE70CD" w:rsidRPr="00F75FF8">
        <w:t xml:space="preserve"> presented</w:t>
      </w:r>
      <w:r w:rsidR="008D1FD7" w:rsidRPr="00F75FF8">
        <w:t xml:space="preserve"> one by one</w:t>
      </w:r>
      <w:r w:rsidR="00E8052A" w:rsidRPr="00F75FF8">
        <w:t xml:space="preserve">. </w:t>
      </w:r>
      <w:r w:rsidR="009A48AB" w:rsidRPr="00F75FF8">
        <w:t xml:space="preserve">Participants were asked to read each vignette attentively, as they were not allowed to go back and reread the descriptions. </w:t>
      </w:r>
      <w:r w:rsidR="000F53EA" w:rsidRPr="00F75FF8">
        <w:t xml:space="preserve">After each vignette, participants rated their current affective state and their expectations for working with that client, see section ‘Measures’. </w:t>
      </w:r>
      <w:r w:rsidR="00B47E24" w:rsidRPr="00F75FF8">
        <w:t xml:space="preserve">Participants were also asked </w:t>
      </w:r>
      <w:r w:rsidR="00E8052A" w:rsidRPr="00F75FF8">
        <w:t xml:space="preserve">to </w:t>
      </w:r>
      <w:r w:rsidR="006C4956" w:rsidRPr="00F75FF8">
        <w:t>summarize</w:t>
      </w:r>
      <w:r w:rsidR="00E8052A" w:rsidRPr="00F75FF8">
        <w:t xml:space="preserve"> their first impression of the client</w:t>
      </w:r>
      <w:r w:rsidR="00B47E24" w:rsidRPr="00F75FF8">
        <w:t xml:space="preserve"> in a couple of sentences</w:t>
      </w:r>
      <w:r w:rsidR="00CE70CD" w:rsidRPr="00F75FF8">
        <w:t xml:space="preserve">. </w:t>
      </w:r>
      <w:r w:rsidR="00730CC9" w:rsidRPr="00F75FF8">
        <w:t xml:space="preserve">Lastly, participants answered </w:t>
      </w:r>
      <w:r w:rsidR="00456923" w:rsidRPr="00F75FF8">
        <w:t>a couple of</w:t>
      </w:r>
      <w:r w:rsidR="00FE4A4C" w:rsidRPr="00F75FF8">
        <w:t xml:space="preserve"> manipulation check</w:t>
      </w:r>
      <w:r w:rsidR="00730CC9" w:rsidRPr="00F75FF8">
        <w:t xml:space="preserve"> questions</w:t>
      </w:r>
      <w:r w:rsidR="008D1FD7" w:rsidRPr="00F75FF8">
        <w:t xml:space="preserve"> </w:t>
      </w:r>
      <w:r w:rsidR="002F60E4" w:rsidRPr="00F75FF8">
        <w:t xml:space="preserve">about </w:t>
      </w:r>
      <w:r w:rsidR="008D1FD7" w:rsidRPr="00F75FF8">
        <w:t xml:space="preserve">their ability to imagine themselves as the therapist of the clients presented in the vignette, </w:t>
      </w:r>
      <w:r w:rsidR="00456923" w:rsidRPr="00F75FF8">
        <w:t xml:space="preserve">and </w:t>
      </w:r>
      <w:r w:rsidR="002F60E4" w:rsidRPr="00F75FF8">
        <w:t>the extent to which the</w:t>
      </w:r>
      <w:r w:rsidR="00BD7F67" w:rsidRPr="00F75FF8">
        <w:t>y</w:t>
      </w:r>
      <w:r w:rsidR="00AE6C61" w:rsidRPr="00F75FF8">
        <w:t xml:space="preserve"> put effort </w:t>
      </w:r>
      <w:r w:rsidR="008D1FD7" w:rsidRPr="00F75FF8">
        <w:t>in</w:t>
      </w:r>
      <w:r w:rsidR="00AE6C61" w:rsidRPr="00F75FF8">
        <w:t xml:space="preserve">to </w:t>
      </w:r>
      <w:r w:rsidR="008D1FD7" w:rsidRPr="00F75FF8">
        <w:t>this study</w:t>
      </w:r>
      <w:r w:rsidR="00730CC9" w:rsidRPr="00F75FF8">
        <w:t xml:space="preserve">. </w:t>
      </w:r>
      <w:r w:rsidR="00CE70CD" w:rsidRPr="00F75FF8">
        <w:rPr>
          <w:lang w:val="en-GB"/>
        </w:rPr>
        <w:t>After completing the study, p</w:t>
      </w:r>
      <w:r w:rsidR="00732A6D" w:rsidRPr="00F75FF8">
        <w:rPr>
          <w:lang w:val="en-GB"/>
        </w:rPr>
        <w:t xml:space="preserve">articipants </w:t>
      </w:r>
      <w:r w:rsidR="00CE70CD" w:rsidRPr="00F75FF8">
        <w:rPr>
          <w:lang w:val="en-GB"/>
        </w:rPr>
        <w:t>received</w:t>
      </w:r>
      <w:r w:rsidR="00732A6D" w:rsidRPr="00F75FF8">
        <w:rPr>
          <w:lang w:val="en-GB"/>
        </w:rPr>
        <w:t xml:space="preserve"> a debriefing form </w:t>
      </w:r>
      <w:r w:rsidR="00EA61B0" w:rsidRPr="00F75FF8">
        <w:rPr>
          <w:lang w:val="en-GB"/>
        </w:rPr>
        <w:t xml:space="preserve">describing </w:t>
      </w:r>
      <w:r w:rsidR="00732A6D" w:rsidRPr="00F75FF8">
        <w:rPr>
          <w:lang w:val="en-GB"/>
        </w:rPr>
        <w:t xml:space="preserve">the actual </w:t>
      </w:r>
      <w:r w:rsidR="008D1FD7" w:rsidRPr="00F75FF8">
        <w:rPr>
          <w:lang w:val="en-GB"/>
        </w:rPr>
        <w:t>research question</w:t>
      </w:r>
      <w:r w:rsidR="00732A6D" w:rsidRPr="00F75FF8">
        <w:rPr>
          <w:lang w:val="en-GB"/>
        </w:rPr>
        <w:t xml:space="preserve">. </w:t>
      </w:r>
      <w:r w:rsidR="00730CC9" w:rsidRPr="00F75FF8">
        <w:rPr>
          <w:lang w:val="en-GB"/>
        </w:rPr>
        <w:t xml:space="preserve">To compensate for their time, participants either received </w:t>
      </w:r>
      <w:r w:rsidR="00B53389" w:rsidRPr="00F75FF8">
        <w:rPr>
          <w:lang w:val="en-GB"/>
        </w:rPr>
        <w:t xml:space="preserve">a gift voucher </w:t>
      </w:r>
      <w:r w:rsidR="00625F20" w:rsidRPr="00F75FF8">
        <w:rPr>
          <w:lang w:val="en-GB"/>
        </w:rPr>
        <w:t>worth 5</w:t>
      </w:r>
      <w:r w:rsidR="00730CC9" w:rsidRPr="00F75FF8">
        <w:rPr>
          <w:lang w:val="en-GB"/>
        </w:rPr>
        <w:t>EUR</w:t>
      </w:r>
      <w:r w:rsidR="00696048" w:rsidRPr="00F75FF8">
        <w:rPr>
          <w:lang w:val="en-GB"/>
        </w:rPr>
        <w:t xml:space="preserve"> or</w:t>
      </w:r>
      <w:r w:rsidR="00625F20" w:rsidRPr="00F75FF8">
        <w:rPr>
          <w:lang w:val="en-GB"/>
        </w:rPr>
        <w:t xml:space="preserve"> 5</w:t>
      </w:r>
      <w:r w:rsidR="00B53389" w:rsidRPr="00F75FF8">
        <w:rPr>
          <w:lang w:val="en-GB"/>
        </w:rPr>
        <w:t>GBP,</w:t>
      </w:r>
      <w:r w:rsidR="00EB07E1" w:rsidRPr="00F75FF8">
        <w:rPr>
          <w:lang w:val="en-GB"/>
        </w:rPr>
        <w:t xml:space="preserve"> depending </w:t>
      </w:r>
      <w:r w:rsidR="00876F31" w:rsidRPr="00F75FF8">
        <w:rPr>
          <w:lang w:val="en-GB"/>
        </w:rPr>
        <w:t>on their locat</w:t>
      </w:r>
      <w:r w:rsidR="00B53389" w:rsidRPr="00F75FF8">
        <w:rPr>
          <w:lang w:val="en-GB"/>
        </w:rPr>
        <w:t>ion (</w:t>
      </w:r>
      <w:r w:rsidR="008E339A">
        <w:rPr>
          <w:lang w:val="en-GB"/>
        </w:rPr>
        <w:t>the Netherlands</w:t>
      </w:r>
      <w:r w:rsidR="00B53389" w:rsidRPr="00F75FF8">
        <w:rPr>
          <w:lang w:val="en-GB"/>
        </w:rPr>
        <w:t xml:space="preserve"> o</w:t>
      </w:r>
      <w:r w:rsidR="00EB07E1" w:rsidRPr="00F75FF8">
        <w:rPr>
          <w:lang w:val="en-GB"/>
        </w:rPr>
        <w:t>r</w:t>
      </w:r>
      <w:r w:rsidR="00B53389" w:rsidRPr="00F75FF8">
        <w:rPr>
          <w:lang w:val="en-GB"/>
        </w:rPr>
        <w:t xml:space="preserve"> </w:t>
      </w:r>
      <w:r w:rsidR="008E339A">
        <w:rPr>
          <w:lang w:val="en-GB"/>
        </w:rPr>
        <w:t>UK</w:t>
      </w:r>
      <w:r w:rsidR="00B53389" w:rsidRPr="00F75FF8">
        <w:rPr>
          <w:lang w:val="en-GB"/>
        </w:rPr>
        <w:t>).</w:t>
      </w:r>
    </w:p>
    <w:p w14:paraId="15969BC8" w14:textId="76BFF0EA" w:rsidR="00F51236" w:rsidRPr="00F75FF8" w:rsidRDefault="00F51236" w:rsidP="001231FD">
      <w:pPr>
        <w:spacing w:line="480" w:lineRule="auto"/>
        <w:contextualSpacing/>
        <w:rPr>
          <w:lang w:val="en-GB"/>
        </w:rPr>
      </w:pPr>
    </w:p>
    <w:p w14:paraId="3C8A28EF" w14:textId="0775553B" w:rsidR="00F51236" w:rsidRPr="00F75FF8" w:rsidRDefault="00604779" w:rsidP="001231FD">
      <w:pPr>
        <w:keepNext/>
        <w:spacing w:line="480" w:lineRule="auto"/>
        <w:contextualSpacing/>
        <w:rPr>
          <w:b/>
          <w:lang w:val="en-GB"/>
        </w:rPr>
      </w:pPr>
      <w:r w:rsidRPr="00F75FF8">
        <w:rPr>
          <w:b/>
          <w:lang w:val="en-GB"/>
        </w:rPr>
        <w:t>Case</w:t>
      </w:r>
      <w:r w:rsidR="00F51236" w:rsidRPr="00F75FF8">
        <w:rPr>
          <w:b/>
          <w:lang w:val="en-GB"/>
        </w:rPr>
        <w:t xml:space="preserve"> descriptions</w:t>
      </w:r>
    </w:p>
    <w:p w14:paraId="6E19155E" w14:textId="014A83F4" w:rsidR="00FE54EF" w:rsidRPr="00F75FF8" w:rsidRDefault="00176B09" w:rsidP="001231FD">
      <w:pPr>
        <w:spacing w:line="480" w:lineRule="auto"/>
        <w:contextualSpacing/>
        <w:rPr>
          <w:lang w:val="en-GB"/>
        </w:rPr>
      </w:pPr>
      <w:r w:rsidRPr="00F75FF8">
        <w:rPr>
          <w:lang w:val="en-GB"/>
        </w:rPr>
        <w:t>A series of short vignettes (</w:t>
      </w:r>
      <w:r w:rsidR="00754625" w:rsidRPr="00F75FF8">
        <w:rPr>
          <w:lang w:val="en-GB"/>
        </w:rPr>
        <w:t>range</w:t>
      </w:r>
      <w:r w:rsidRPr="00F75FF8">
        <w:rPr>
          <w:lang w:val="en-GB"/>
        </w:rPr>
        <w:t xml:space="preserve"> </w:t>
      </w:r>
      <w:r w:rsidR="00754625" w:rsidRPr="00F75FF8">
        <w:rPr>
          <w:lang w:val="en-GB"/>
        </w:rPr>
        <w:t>519</w:t>
      </w:r>
      <w:r w:rsidRPr="00F75FF8">
        <w:rPr>
          <w:lang w:val="en-GB"/>
        </w:rPr>
        <w:t xml:space="preserve"> to </w:t>
      </w:r>
      <w:r w:rsidR="00754625" w:rsidRPr="00F75FF8">
        <w:rPr>
          <w:lang w:val="en-GB"/>
        </w:rPr>
        <w:t>660</w:t>
      </w:r>
      <w:r w:rsidRPr="00F75FF8">
        <w:rPr>
          <w:lang w:val="en-GB"/>
        </w:rPr>
        <w:t xml:space="preserve"> words) described four imaginary clients </w:t>
      </w:r>
      <w:r w:rsidR="007C142A" w:rsidRPr="00F75FF8">
        <w:rPr>
          <w:lang w:val="en-GB"/>
        </w:rPr>
        <w:t xml:space="preserve">with mood-disorders </w:t>
      </w:r>
      <w:r w:rsidRPr="00F75FF8">
        <w:rPr>
          <w:lang w:val="en-GB"/>
        </w:rPr>
        <w:t>(two men, two women).</w:t>
      </w:r>
      <w:r w:rsidR="005C1ED6" w:rsidRPr="00F75FF8">
        <w:rPr>
          <w:lang w:val="en-GB"/>
        </w:rPr>
        <w:t xml:space="preserve"> </w:t>
      </w:r>
      <w:r w:rsidR="005C1ED6" w:rsidRPr="00F75FF8">
        <w:t>The word count did not differ between conditions (</w:t>
      </w:r>
      <w:proofErr w:type="gramStart"/>
      <w:r w:rsidR="005C1ED6" w:rsidRPr="00F75FF8">
        <w:rPr>
          <w:i/>
        </w:rPr>
        <w:t>t</w:t>
      </w:r>
      <w:r w:rsidR="005C1ED6" w:rsidRPr="00F75FF8">
        <w:t>(</w:t>
      </w:r>
      <w:proofErr w:type="gramEnd"/>
      <w:r w:rsidR="005C1ED6" w:rsidRPr="00F75FF8">
        <w:t xml:space="preserve">6)=8.50, </w:t>
      </w:r>
      <w:r w:rsidR="005C1ED6" w:rsidRPr="00F75FF8">
        <w:rPr>
          <w:i/>
        </w:rPr>
        <w:t>p</w:t>
      </w:r>
      <w:r w:rsidR="005C1ED6" w:rsidRPr="00F75FF8">
        <w:t xml:space="preserve">=.423; </w:t>
      </w:r>
      <w:r w:rsidR="005C1ED6" w:rsidRPr="00F75FF8">
        <w:rPr>
          <w:i/>
        </w:rPr>
        <w:t>M</w:t>
      </w:r>
      <w:r w:rsidR="005C1ED6" w:rsidRPr="00F75FF8">
        <w:t xml:space="preserve">=605.25 and </w:t>
      </w:r>
      <w:r w:rsidR="005C1ED6" w:rsidRPr="00F75FF8">
        <w:rPr>
          <w:i/>
        </w:rPr>
        <w:t>SD</w:t>
      </w:r>
      <w:r w:rsidR="005C1ED6" w:rsidRPr="00F75FF8">
        <w:t xml:space="preserve">=49.90 for the solution-focused vignettes; </w:t>
      </w:r>
      <w:r w:rsidR="005C1ED6" w:rsidRPr="00F75FF8">
        <w:rPr>
          <w:i/>
        </w:rPr>
        <w:t>M</w:t>
      </w:r>
      <w:r w:rsidR="005C1ED6" w:rsidRPr="00F75FF8">
        <w:t xml:space="preserve">=575,25 and </w:t>
      </w:r>
      <w:r w:rsidR="005C1ED6" w:rsidRPr="00F75FF8">
        <w:rPr>
          <w:i/>
        </w:rPr>
        <w:t>SD</w:t>
      </w:r>
      <w:r w:rsidR="005C1ED6" w:rsidRPr="00F75FF8">
        <w:t>=48.84 for the problem-focused vignettes).</w:t>
      </w:r>
      <w:r w:rsidRPr="00F75FF8">
        <w:rPr>
          <w:lang w:val="en-GB"/>
        </w:rPr>
        <w:t xml:space="preserve"> </w:t>
      </w:r>
      <w:r w:rsidR="00625F20" w:rsidRPr="00F75FF8">
        <w:rPr>
          <w:lang w:val="en-GB"/>
        </w:rPr>
        <w:t>A</w:t>
      </w:r>
      <w:r w:rsidRPr="00F75FF8">
        <w:rPr>
          <w:lang w:val="en-GB"/>
        </w:rPr>
        <w:t xml:space="preserve"> solution-focused and a problem-focused version were created for each client, resulting in eight vignettes.</w:t>
      </w:r>
    </w:p>
    <w:p w14:paraId="7B8EE899" w14:textId="68286650" w:rsidR="00B47A9E" w:rsidRPr="00F75FF8" w:rsidRDefault="00B47A9E" w:rsidP="00B47A9E">
      <w:pPr>
        <w:spacing w:line="480" w:lineRule="auto"/>
        <w:contextualSpacing/>
      </w:pPr>
      <w:r w:rsidRPr="00F75FF8">
        <w:rPr>
          <w:lang w:val="en-GB"/>
        </w:rPr>
        <w:tab/>
        <w:t xml:space="preserve">Participants rated four vignettes, one for each client; two of the four vignettes </w:t>
      </w:r>
      <w:r w:rsidR="00523A1C" w:rsidRPr="00F75FF8">
        <w:rPr>
          <w:lang w:val="en-GB"/>
        </w:rPr>
        <w:t>were</w:t>
      </w:r>
      <w:r w:rsidRPr="00F75FF8">
        <w:rPr>
          <w:lang w:val="en-GB"/>
        </w:rPr>
        <w:t xml:space="preserve"> solution-focus</w:t>
      </w:r>
      <w:r w:rsidR="00523A1C" w:rsidRPr="00F75FF8">
        <w:rPr>
          <w:lang w:val="en-GB"/>
        </w:rPr>
        <w:t>ed,</w:t>
      </w:r>
      <w:r w:rsidRPr="00F75FF8">
        <w:rPr>
          <w:lang w:val="en-GB"/>
        </w:rPr>
        <w:t xml:space="preserve"> and the other two </w:t>
      </w:r>
      <w:r w:rsidR="00523A1C" w:rsidRPr="00F75FF8">
        <w:rPr>
          <w:lang w:val="en-GB"/>
        </w:rPr>
        <w:t>were</w:t>
      </w:r>
      <w:r w:rsidRPr="00F75FF8">
        <w:rPr>
          <w:lang w:val="en-GB"/>
        </w:rPr>
        <w:t xml:space="preserve"> problem-focus</w:t>
      </w:r>
      <w:r w:rsidR="00523A1C" w:rsidRPr="00F75FF8">
        <w:rPr>
          <w:lang w:val="en-GB"/>
        </w:rPr>
        <w:t>ed</w:t>
      </w:r>
      <w:r w:rsidRPr="00F75FF8">
        <w:rPr>
          <w:lang w:val="en-GB"/>
        </w:rPr>
        <w:t xml:space="preserve">. </w:t>
      </w:r>
      <w:r w:rsidRPr="00F75FF8">
        <w:t xml:space="preserve">The order of SF and PF vignettes was fully counterbalanced, taking into account both condition and client, resulting in a list of 32 unique variations in which each combination of conditions and clients occurred equally often. For instance, across 32 participants, the solution-focused and the problem-focused description of Julia each would appear 16 times. Below, we shortly describe the buildup of vignettes per condition. </w:t>
      </w:r>
    </w:p>
    <w:p w14:paraId="6005BF27" w14:textId="79A8724B" w:rsidR="00A23DA8" w:rsidRPr="00F75FF8" w:rsidRDefault="00B47A9E" w:rsidP="00B47A9E">
      <w:pPr>
        <w:spacing w:line="480" w:lineRule="auto"/>
        <w:ind w:firstLine="720"/>
        <w:contextualSpacing/>
        <w:rPr>
          <w:lang w:val="en-GB"/>
        </w:rPr>
      </w:pPr>
      <w:r w:rsidRPr="00F75FF8">
        <w:t xml:space="preserve">The Appendix provides examples of solution- and problem-focused vignettes. </w:t>
      </w:r>
      <w:r w:rsidR="00A23DA8" w:rsidRPr="00F75FF8">
        <w:rPr>
          <w:lang w:val="en-GB"/>
        </w:rPr>
        <w:t xml:space="preserve">Note that the tone and content of the </w:t>
      </w:r>
      <w:r w:rsidR="00604779" w:rsidRPr="00F75FF8">
        <w:rPr>
          <w:lang w:val="en-GB"/>
        </w:rPr>
        <w:t>case</w:t>
      </w:r>
      <w:r w:rsidR="00A23DA8" w:rsidRPr="00F75FF8">
        <w:rPr>
          <w:lang w:val="en-GB"/>
        </w:rPr>
        <w:t xml:space="preserve"> descriptions differs dramatically as a result of the different types of question that would be asked during a solution-focused versus problem-focused intake, analogue to seeing different things when shining a spotlight onto different elements in a dark room. Therefore, we asked a</w:t>
      </w:r>
      <w:r w:rsidR="00395EB8" w:rsidRPr="00F75FF8">
        <w:rPr>
          <w:lang w:val="en-GB"/>
        </w:rPr>
        <w:t xml:space="preserve"> clinical psychologist with decades of experience </w:t>
      </w:r>
      <w:r w:rsidR="00A23DA8" w:rsidRPr="00F75FF8">
        <w:rPr>
          <w:lang w:val="en-GB"/>
        </w:rPr>
        <w:t xml:space="preserve">in solution-focused and problem-focused ways of working to look at both versions </w:t>
      </w:r>
      <w:r w:rsidR="00AE321D" w:rsidRPr="00F75FF8">
        <w:rPr>
          <w:lang w:val="en-GB"/>
        </w:rPr>
        <w:t>of the same client</w:t>
      </w:r>
      <w:r w:rsidR="00A23DA8" w:rsidRPr="00F75FF8">
        <w:rPr>
          <w:lang w:val="en-GB"/>
        </w:rPr>
        <w:t xml:space="preserve"> and rate</w:t>
      </w:r>
      <w:r w:rsidR="00395EB8" w:rsidRPr="00F75FF8">
        <w:rPr>
          <w:lang w:val="en-GB"/>
        </w:rPr>
        <w:t xml:space="preserve"> the likelihood </w:t>
      </w:r>
      <w:r w:rsidR="00A23DA8" w:rsidRPr="00F75FF8">
        <w:rPr>
          <w:lang w:val="en-GB"/>
        </w:rPr>
        <w:t>that</w:t>
      </w:r>
      <w:r w:rsidR="00395EB8" w:rsidRPr="00F75FF8">
        <w:rPr>
          <w:lang w:val="en-GB"/>
        </w:rPr>
        <w:t xml:space="preserve"> </w:t>
      </w:r>
      <w:r w:rsidR="00A23DA8" w:rsidRPr="00F75FF8">
        <w:rPr>
          <w:lang w:val="en-GB"/>
        </w:rPr>
        <w:t>both vignette</w:t>
      </w:r>
      <w:r w:rsidR="00395EB8" w:rsidRPr="00F75FF8">
        <w:rPr>
          <w:lang w:val="en-GB"/>
        </w:rPr>
        <w:t xml:space="preserve"> </w:t>
      </w:r>
      <w:r w:rsidR="00A23DA8" w:rsidRPr="00F75FF8">
        <w:rPr>
          <w:lang w:val="en-GB"/>
        </w:rPr>
        <w:t xml:space="preserve">versions </w:t>
      </w:r>
      <w:r w:rsidR="00EA3292" w:rsidRPr="00F75FF8">
        <w:rPr>
          <w:lang w:val="en-GB"/>
        </w:rPr>
        <w:t>stemmed from the same case</w:t>
      </w:r>
      <w:r w:rsidR="00A23DA8" w:rsidRPr="00F75FF8">
        <w:rPr>
          <w:lang w:val="en-GB"/>
        </w:rPr>
        <w:t>. This likelihood was rated as high (8.5 out of 10 for each client</w:t>
      </w:r>
      <w:r w:rsidR="0016602E" w:rsidRPr="00F75FF8">
        <w:rPr>
          <w:lang w:val="en-GB"/>
        </w:rPr>
        <w:t xml:space="preserve"> on a 10-mm </w:t>
      </w:r>
      <w:r w:rsidR="007D63CF" w:rsidRPr="00F75FF8">
        <w:rPr>
          <w:lang w:val="en-GB"/>
        </w:rPr>
        <w:t>Visual Analogue Scale (</w:t>
      </w:r>
      <w:r w:rsidR="0016602E" w:rsidRPr="00F75FF8">
        <w:rPr>
          <w:lang w:val="en-GB"/>
        </w:rPr>
        <w:t>VAS</w:t>
      </w:r>
      <w:r w:rsidR="007D63CF" w:rsidRPr="00F75FF8">
        <w:rPr>
          <w:lang w:val="en-GB"/>
        </w:rPr>
        <w:t>)</w:t>
      </w:r>
      <w:r w:rsidR="0016602E" w:rsidRPr="00F75FF8">
        <w:rPr>
          <w:lang w:val="en-GB"/>
        </w:rPr>
        <w:t xml:space="preserve"> ranging from 0 [not at all probable] to 10 [very probable]</w:t>
      </w:r>
      <w:r w:rsidR="00A23DA8" w:rsidRPr="00F75FF8">
        <w:rPr>
          <w:lang w:val="en-GB"/>
        </w:rPr>
        <w:t>).</w:t>
      </w:r>
    </w:p>
    <w:p w14:paraId="34BBFBFA" w14:textId="3421FF97" w:rsidR="0063520E" w:rsidRPr="00F75FF8" w:rsidRDefault="0063520E" w:rsidP="006833CC">
      <w:pPr>
        <w:keepNext/>
        <w:spacing w:line="480" w:lineRule="auto"/>
        <w:contextualSpacing/>
        <w:rPr>
          <w:b/>
          <w:i/>
        </w:rPr>
      </w:pPr>
      <w:r w:rsidRPr="00F75FF8">
        <w:rPr>
          <w:b/>
          <w:i/>
        </w:rPr>
        <w:t xml:space="preserve">Solution-focused </w:t>
      </w:r>
      <w:r w:rsidR="00F471A4" w:rsidRPr="00F75FF8">
        <w:rPr>
          <w:b/>
          <w:i/>
        </w:rPr>
        <w:t>descriptions</w:t>
      </w:r>
    </w:p>
    <w:p w14:paraId="15FFD020" w14:textId="66495B2A" w:rsidR="00F36331" w:rsidRPr="00F75FF8" w:rsidRDefault="007C142A" w:rsidP="001231FD">
      <w:pPr>
        <w:spacing w:line="480" w:lineRule="auto"/>
        <w:contextualSpacing/>
      </w:pPr>
      <w:r w:rsidRPr="00F75FF8">
        <w:t>The solution</w:t>
      </w:r>
      <w:r w:rsidR="00113D07" w:rsidRPr="00F75FF8">
        <w:t>-</w:t>
      </w:r>
      <w:r w:rsidRPr="00F75FF8">
        <w:t>focused vignettes provided information such as would be obtained by asking solu</w:t>
      </w:r>
      <w:r w:rsidR="006D2DCC" w:rsidRPr="00F75FF8">
        <w:t xml:space="preserve">tion-focused scaling questions </w:t>
      </w:r>
      <w:r w:rsidR="006D2DCC" w:rsidRPr="00F75FF8">
        <w:fldChar w:fldCharType="begin" w:fldLock="1"/>
      </w:r>
      <w:r w:rsidR="00F662D5" w:rsidRPr="00F75FF8">
        <w:instrText>ADDIN CSL_CITATION {"citationItems":[{"id":"ITEM-1","itemData":{"DOI":"10.4324/9781003125600","ISBN":"9781003125600","abstract":"Written by pioneering experts in the field, More Than Miracles remains the authoritative text on solution-focused brief therapy (SFBT). The final work of the world-renowned family therapists and original developers of SFBT, the late Steve de Shazer and Insoo Kim Berg, this comprehensive resource informs practitioners and students in how to apply this practical, internationally acclaimed approach. \nWith a new preface, this classic edition outlines the latest developments in the fields of family therapy, brief therapy, and psychotherapy training and practice. A succinct overview orients the reader to the current landscape of SFBT and provides three real-life case transcripts that illustrate the practical applications of SFBT techniques. The seminar format of the text allows readers to: \n\n\nsit in on surprising psychotherapy sessions \n\n\neavesdrop on the authors’ commentary about the sessions \n\n\ngain a comprehensive overview on the current state of SFBT \n\n\nreview and understand the major tenets of SFBT \n\n\nlearn specific interventions, including the miracle question and the reasons for asking it \n\n\nunderstand treatment applicability \n\n\nread actual session transcripts \n\n\nunderstand the \"miracle scale\" \n\n\nget insight into the unique relationship between Wittgenstein’s philosophy and SFBT \n\n\nbetter understand SFBT and emotions \n\n\nexamine misconceptions about SFBT \n\n\nand more\n\nSuitable for both advanced practitioners and ambitious beginners, this book is the ideal resource for anyone seeking an in-depth understanding of the SFBT approach, the concepts that inform it, and the specific techniques that characterize its implementation.","author":[{"dropping-particle":"","family":"Shazer","given":"Steve","non-dropping-particle":"de","parse-names":false,"suffix":""},{"dropping-particle":"","family":"Dolan","given":"Yvonne","non-dropping-particle":"","parse-names":false,"suffix":""},{"dropping-particle":"","family":"Korman","given":"Harry","non-dropping-particle":"","parse-names":false,"suffix":""},{"dropping-particle":"","family":"Trepper","given":"Terry","non-dropping-particle":"","parse-names":false,"suffix":""},{"dropping-particle":"","family":"McCollum","given":"Eric","non-dropping-particle":"","parse-names":false,"suffix":""},{"dropping-particle":"","family":"Berg","given":"Insoo Kim","non-dropping-particle":"","parse-names":false,"suffix":""}],"container-title":"More Than Miracles","id":"ITEM-1","issued":{"date-parts":[["2021","2","21"]]},"publisher":"Routledge","title":"More Than Miracles : The State of the Art of Solution-Focused Brief Therapy","type":"article-journal"},"uris":["http://www.mendeley.com/documents/?uuid=552dbff7-4dd1-331f-a201-1bd0e554ce9d"]},{"id":"ITEM-2","itemData":{"DOI":"10.1007/s10879-006-9040-y","ISBN":"9781405169943","ISSN":"0022-0116","PMID":"18188829","abstract":"A brief history on Solution-Focused Brief Therapy is given, followed by pragmatic assumptions, offering a new ‘lens’ for looking at clients. SFBT originated from social constructionism: reality is subjective and there are many realities, all equally correct. Outcome studies indicate that SFBT has a positive effect in less time and satisfies the client’s need for autonomy. Indications and differences between problem-focused psychotherapy and SFBT are outlined. SFBT can be seen as a form of cognitive behavior therapy. Instead of reducing problems, the solution-focused question is: ‘What would you rather have instead?’ A lot could change for the better for both clients and therapists.","author":[{"dropping-particle":"","family":"Bannink","given":"F. P.","non-dropping-particle":"","parse-names":false,"suffix":""}],"container-title":"Journal of Contemporary Psychotherapy","id":"ITEM-2","issue":"2","issued":{"date-parts":[["2007","6","22"]]},"page":"87-94","title":"Solution-Focused Brief Therapy","type":"article-journal","volume":"37"},"uris":["http://www.mendeley.com/documents/?uuid=f1aa204d-1997-4afe-a599-7253a23a4f1e"]}],"mendeley":{"formattedCitation":"(F. P. Bannink, 2007; de Shazer et al., 2021)","manualFormatting":"(Bannink, 2007; de Shazer et al., 2021)","plainTextFormattedCitation":"(F. P. Bannink, 2007; de Shazer et al., 2021)","previouslyFormattedCitation":"(F. P. Bannink, 2007; de Shazer et al., 2021)"},"properties":{"noteIndex":0},"schema":"https://github.com/citation-style-language/schema/raw/master/csl-citation.json"}</w:instrText>
      </w:r>
      <w:r w:rsidR="006D2DCC" w:rsidRPr="00F75FF8">
        <w:fldChar w:fldCharType="separate"/>
      </w:r>
      <w:r w:rsidR="006D2DCC" w:rsidRPr="00F75FF8">
        <w:rPr>
          <w:noProof/>
        </w:rPr>
        <w:t>(Bannink, 2007; de Shazer et al., 2021)</w:t>
      </w:r>
      <w:r w:rsidR="006D2DCC" w:rsidRPr="00F75FF8">
        <w:fldChar w:fldCharType="end"/>
      </w:r>
      <w:r w:rsidRPr="00F75FF8">
        <w:t>. Solution-focused scaling questions</w:t>
      </w:r>
      <w:r w:rsidR="008C6555" w:rsidRPr="00F75FF8">
        <w:t xml:space="preserve"> use a scale ranging from 10 (ideal) to 0 (the opposite). F</w:t>
      </w:r>
      <w:r w:rsidRPr="00F75FF8">
        <w:t>irst</w:t>
      </w:r>
      <w:r w:rsidR="008C6555" w:rsidRPr="00F75FF8">
        <w:t xml:space="preserve">, the therapist </w:t>
      </w:r>
      <w:r w:rsidR="00625F20" w:rsidRPr="00F75FF8">
        <w:t>ask</w:t>
      </w:r>
      <w:r w:rsidR="000A37FD" w:rsidRPr="00F75FF8">
        <w:t>s</w:t>
      </w:r>
      <w:r w:rsidR="00625F20" w:rsidRPr="00F75FF8">
        <w:t xml:space="preserve"> for</w:t>
      </w:r>
      <w:r w:rsidRPr="00F75FF8">
        <w:t xml:space="preserve"> detailed information about the ideal future and what clients want their lives to look like after therapy</w:t>
      </w:r>
      <w:r w:rsidR="008C6555" w:rsidRPr="00F75FF8">
        <w:t xml:space="preserve"> (i.e., the goal). Second, after talking</w:t>
      </w:r>
      <w:r w:rsidR="00F36331" w:rsidRPr="00F75FF8">
        <w:t xml:space="preserve"> in detail</w:t>
      </w:r>
      <w:r w:rsidR="008C6555" w:rsidRPr="00F75FF8">
        <w:t xml:space="preserve"> about earlier successes and better moments, client</w:t>
      </w:r>
      <w:r w:rsidR="00625F20" w:rsidRPr="00F75FF8">
        <w:t>s are</w:t>
      </w:r>
      <w:r w:rsidR="008C6555" w:rsidRPr="00F75FF8">
        <w:t xml:space="preserve"> asked to rate their </w:t>
      </w:r>
      <w:r w:rsidR="00F36331" w:rsidRPr="00F75FF8">
        <w:t>current situation on the scale. The therapist here pays</w:t>
      </w:r>
      <w:r w:rsidR="008C6555" w:rsidRPr="00F75FF8">
        <w:t xml:space="preserve"> particular attention to why client</w:t>
      </w:r>
      <w:r w:rsidR="00625F20" w:rsidRPr="00F75FF8">
        <w:t>s</w:t>
      </w:r>
      <w:r w:rsidR="008C6555" w:rsidRPr="00F75FF8">
        <w:t xml:space="preserve"> rate their current situations as a ‘</w:t>
      </w:r>
      <w:r w:rsidR="00625F20" w:rsidRPr="00F75FF8">
        <w:t xml:space="preserve">3’, for example, and not lower, </w:t>
      </w:r>
      <w:r w:rsidR="008C6555" w:rsidRPr="00F75FF8">
        <w:t>thus highlighting what is still going relatively well. Finally, the client is asked to visualize one step higher on the scale and describe what their live would look like then (i.e., first signs of improvement).</w:t>
      </w:r>
    </w:p>
    <w:p w14:paraId="2D7A3B39" w14:textId="7F7F05DC" w:rsidR="008C6555" w:rsidRPr="00F75FF8" w:rsidRDefault="00A45C9D" w:rsidP="001231FD">
      <w:pPr>
        <w:spacing w:line="480" w:lineRule="auto"/>
        <w:ind w:firstLine="720"/>
        <w:contextualSpacing/>
      </w:pPr>
      <w:r w:rsidRPr="00F75FF8">
        <w:t>The</w:t>
      </w:r>
      <w:r w:rsidR="005454F6" w:rsidRPr="00F75FF8">
        <w:t xml:space="preserve"> </w:t>
      </w:r>
      <w:r w:rsidR="00C30BAD" w:rsidRPr="00F75FF8">
        <w:t xml:space="preserve">solution-focused </w:t>
      </w:r>
      <w:r w:rsidRPr="00F75FF8">
        <w:t>vignettes consisted of</w:t>
      </w:r>
      <w:r w:rsidR="00C30BAD" w:rsidRPr="00F75FF8">
        <w:t xml:space="preserve"> the sections ‘Short Problem Description’</w:t>
      </w:r>
      <w:r w:rsidR="00971FC1" w:rsidRPr="00F75FF8">
        <w:t xml:space="preserve"> (</w:t>
      </w:r>
      <w:r w:rsidR="000A37FD" w:rsidRPr="00F75FF8">
        <w:t>short</w:t>
      </w:r>
      <w:r w:rsidR="00971FC1" w:rsidRPr="00F75FF8">
        <w:t xml:space="preserve"> </w:t>
      </w:r>
      <w:r w:rsidR="00625F20" w:rsidRPr="00F75FF8">
        <w:t xml:space="preserve">background </w:t>
      </w:r>
      <w:r w:rsidR="00971FC1" w:rsidRPr="00F75FF8">
        <w:t>information on the problem)</w:t>
      </w:r>
      <w:r w:rsidR="00C30BAD" w:rsidRPr="00F75FF8">
        <w:t>, ‘Goal Formulation’</w:t>
      </w:r>
      <w:r w:rsidR="00971FC1" w:rsidRPr="00F75FF8">
        <w:t xml:space="preserve"> (</w:t>
      </w:r>
      <w:r w:rsidR="000A37FD" w:rsidRPr="00F75FF8">
        <w:t>describing</w:t>
      </w:r>
      <w:r w:rsidR="00971FC1" w:rsidRPr="00F75FF8">
        <w:t xml:space="preserve"> the ideal future and a detailed image of how the clients envisage their lives after successful therapy)</w:t>
      </w:r>
      <w:r w:rsidR="00C30BAD" w:rsidRPr="00F75FF8">
        <w:t>, ‘Better Moments/Exceptions to problems’</w:t>
      </w:r>
      <w:r w:rsidR="00971FC1" w:rsidRPr="00F75FF8">
        <w:t xml:space="preserve"> </w:t>
      </w:r>
      <w:r w:rsidR="007C142A" w:rsidRPr="00F75FF8">
        <w:t xml:space="preserve">(describing moments when </w:t>
      </w:r>
      <w:r w:rsidR="000A37FD" w:rsidRPr="00F75FF8">
        <w:t>clients’</w:t>
      </w:r>
      <w:r w:rsidR="007C142A" w:rsidRPr="00F75FF8">
        <w:t xml:space="preserve"> mood </w:t>
      </w:r>
      <w:r w:rsidR="000A37FD" w:rsidRPr="00F75FF8">
        <w:t>is</w:t>
      </w:r>
      <w:r w:rsidR="007C142A" w:rsidRPr="00F75FF8">
        <w:t xml:space="preserve"> better)</w:t>
      </w:r>
      <w:r w:rsidR="00C30BAD" w:rsidRPr="00F75FF8">
        <w:t>, and ‘Scaling of Improvement’</w:t>
      </w:r>
      <w:r w:rsidR="0062369A" w:rsidRPr="00F75FF8">
        <w:t xml:space="preserve"> (on how clients rate their situation now and what is still working for them, as well as</w:t>
      </w:r>
      <w:r w:rsidR="000A37FD" w:rsidRPr="00F75FF8">
        <w:t xml:space="preserve"> </w:t>
      </w:r>
      <w:r w:rsidR="0062369A" w:rsidRPr="00F75FF8">
        <w:t xml:space="preserve">first signs of </w:t>
      </w:r>
      <w:r w:rsidR="000A37FD" w:rsidRPr="00F75FF8">
        <w:t>improvement</w:t>
      </w:r>
      <w:r w:rsidR="0062369A" w:rsidRPr="00F75FF8">
        <w:t>)</w:t>
      </w:r>
      <w:r w:rsidR="0063520E" w:rsidRPr="00F75FF8">
        <w:t>.</w:t>
      </w:r>
    </w:p>
    <w:p w14:paraId="2D3D3FF5" w14:textId="5F62B2AB" w:rsidR="00751603" w:rsidRPr="00F75FF8" w:rsidRDefault="00751603" w:rsidP="001231FD">
      <w:pPr>
        <w:spacing w:line="480" w:lineRule="auto"/>
        <w:ind w:firstLine="720"/>
        <w:contextualSpacing/>
      </w:pPr>
      <w:r w:rsidRPr="00F75FF8">
        <w:t xml:space="preserve">To illustrate, the solution-focused version of Julia’s intake report first informs participants of her symptoms of depression triggered by her miscarriage plus subsequent break-up with her fiancé. </w:t>
      </w:r>
      <w:r w:rsidR="00621882" w:rsidRPr="00F75FF8">
        <w:t>Second, t</w:t>
      </w:r>
      <w:r w:rsidRPr="00F75FF8">
        <w:t xml:space="preserve">he section ‘Goal Formulation’ describes </w:t>
      </w:r>
      <w:r w:rsidR="00621882" w:rsidRPr="00F75FF8">
        <w:t xml:space="preserve">what both the ideal (long-term) situation and the (mid-term) result of therapy look like for Julia: On the long term, she </w:t>
      </w:r>
      <w:r w:rsidR="00A45C9D" w:rsidRPr="00F75FF8">
        <w:t>wants to</w:t>
      </w:r>
      <w:r w:rsidR="00621882" w:rsidRPr="00F75FF8">
        <w:t xml:space="preserve"> feel energetic and confident again. She </w:t>
      </w:r>
      <w:r w:rsidR="00A45C9D" w:rsidRPr="00F75FF8">
        <w:t>would then</w:t>
      </w:r>
      <w:r w:rsidR="00621882" w:rsidRPr="00F75FF8">
        <w:t xml:space="preserve"> set up special music classes in her job as teaching assistant, write her own songs, and give back to her friend Helen, who has helped her a lot. By the end of therapy, Julia </w:t>
      </w:r>
      <w:r w:rsidR="00A45C9D" w:rsidRPr="00F75FF8">
        <w:t>would want</w:t>
      </w:r>
      <w:r w:rsidR="00621882" w:rsidRPr="00F75FF8">
        <w:t xml:space="preserve"> to work 6 hours per day and have enough energy left to engage in pleasant activities</w:t>
      </w:r>
      <w:r w:rsidR="00A45C9D" w:rsidRPr="00F75FF8">
        <w:t xml:space="preserve">, </w:t>
      </w:r>
      <w:r w:rsidR="00621882" w:rsidRPr="00F75FF8">
        <w:t>experiment with music</w:t>
      </w:r>
      <w:r w:rsidR="00A45C9D" w:rsidRPr="00F75FF8">
        <w:t>,</w:t>
      </w:r>
      <w:r w:rsidR="00621882" w:rsidRPr="00F75FF8">
        <w:t xml:space="preserve"> and baby-sit Helen’s kids twice a month. Third, the section ‘Better moments/exceptions to problems’ describes moments when Julia has felt a little more energetic and confident in the last few weeks, e.g., when</w:t>
      </w:r>
      <w:r w:rsidR="00D45045" w:rsidRPr="00F75FF8">
        <w:t>, a couple of weeks ago,</w:t>
      </w:r>
      <w:r w:rsidR="00621882" w:rsidRPr="00F75FF8">
        <w:t xml:space="preserve"> her </w:t>
      </w:r>
      <w:r w:rsidR="00D45045" w:rsidRPr="00F75FF8">
        <w:t>colleague</w:t>
      </w:r>
      <w:r w:rsidR="00621882" w:rsidRPr="00F75FF8">
        <w:t xml:space="preserve"> complimented her on one of the songs she wrote for </w:t>
      </w:r>
      <w:r w:rsidR="00D45045" w:rsidRPr="00F75FF8">
        <w:t xml:space="preserve">her class last year, or when she takes care of her rabbit in the evenings. Fourth, </w:t>
      </w:r>
      <w:r w:rsidR="008736A4" w:rsidRPr="00F75FF8">
        <w:t xml:space="preserve">the section ‘Scaling of Improvement’ describes how Julia currently positions her situation at a 3 on the scale of 10 (ideal) to 0 (the opposite), and how Helen’s support and Julia’s </w:t>
      </w:r>
      <w:r w:rsidR="00A45C9D" w:rsidRPr="00F75FF8">
        <w:t>enthusiasm</w:t>
      </w:r>
      <w:r w:rsidR="008736A4" w:rsidRPr="00F75FF8">
        <w:t xml:space="preserve"> for her job have kept her going despite her problems. This section also provides information on what Julia sees as next signs of improvement: returning to work for an additional hour per day, and asking whether she can teach the youngest class in this extra hour.</w:t>
      </w:r>
    </w:p>
    <w:p w14:paraId="230A5645" w14:textId="0A7D24B2" w:rsidR="0063520E" w:rsidRPr="00F75FF8" w:rsidRDefault="00F471A4" w:rsidP="001231FD">
      <w:pPr>
        <w:spacing w:line="480" w:lineRule="auto"/>
        <w:contextualSpacing/>
        <w:rPr>
          <w:b/>
          <w:i/>
        </w:rPr>
      </w:pPr>
      <w:r w:rsidRPr="00F75FF8">
        <w:rPr>
          <w:b/>
          <w:i/>
        </w:rPr>
        <w:t>Problem</w:t>
      </w:r>
      <w:r w:rsidR="0063520E" w:rsidRPr="00F75FF8">
        <w:rPr>
          <w:b/>
          <w:i/>
        </w:rPr>
        <w:t xml:space="preserve">-focused </w:t>
      </w:r>
      <w:r w:rsidRPr="00F75FF8">
        <w:rPr>
          <w:b/>
          <w:i/>
        </w:rPr>
        <w:t>descriptions</w:t>
      </w:r>
    </w:p>
    <w:p w14:paraId="2CB71DA2" w14:textId="67748D55" w:rsidR="00F36331" w:rsidRPr="00F75FF8" w:rsidRDefault="00F36331" w:rsidP="001231FD">
      <w:pPr>
        <w:spacing w:line="480" w:lineRule="auto"/>
        <w:contextualSpacing/>
      </w:pPr>
      <w:r w:rsidRPr="00F75FF8">
        <w:t>The problem-focused vignettes provided information such as would be obtained by asking detailed questions about current problems, their origin, and maintaining fa</w:t>
      </w:r>
      <w:r w:rsidR="00A45C9D" w:rsidRPr="00F75FF8">
        <w:t>ctors.</w:t>
      </w:r>
    </w:p>
    <w:p w14:paraId="2477A878" w14:textId="217D46B4" w:rsidR="00F51236" w:rsidRPr="00F75FF8" w:rsidRDefault="00A45C9D" w:rsidP="001231FD">
      <w:pPr>
        <w:spacing w:line="480" w:lineRule="auto"/>
        <w:ind w:firstLine="720"/>
        <w:contextualSpacing/>
      </w:pPr>
      <w:r w:rsidRPr="00F75FF8">
        <w:t>T</w:t>
      </w:r>
      <w:r w:rsidR="000A77D1" w:rsidRPr="00F75FF8">
        <w:t>he</w:t>
      </w:r>
      <w:r w:rsidR="00176B09" w:rsidRPr="00F75FF8">
        <w:t xml:space="preserve"> problem-focused vignettes </w:t>
      </w:r>
      <w:r w:rsidRPr="00F75FF8">
        <w:t>consisted of</w:t>
      </w:r>
      <w:r w:rsidR="00176B09" w:rsidRPr="00F75FF8">
        <w:t xml:space="preserve"> the sections</w:t>
      </w:r>
      <w:r w:rsidR="00C30BAD" w:rsidRPr="00F75FF8">
        <w:t xml:space="preserve"> ‘Anamnesis of current complaints’</w:t>
      </w:r>
      <w:r w:rsidR="005454F6" w:rsidRPr="00F75FF8">
        <w:t xml:space="preserve"> (providing an overview of current complaints and their development, including potential triggers and recent life events, </w:t>
      </w:r>
      <w:r w:rsidR="007B3132" w:rsidRPr="00F75FF8">
        <w:t xml:space="preserve">maintaining factors </w:t>
      </w:r>
      <w:r w:rsidR="005454F6" w:rsidRPr="00F75FF8">
        <w:t>and clients’ reason for seeking help)</w:t>
      </w:r>
      <w:r w:rsidR="00C30BAD" w:rsidRPr="00F75FF8">
        <w:t>, ‘Relevant Developmental Information’</w:t>
      </w:r>
      <w:r w:rsidR="005454F6" w:rsidRPr="00F75FF8">
        <w:t xml:space="preserve"> (describing </w:t>
      </w:r>
      <w:r w:rsidR="000A37FD" w:rsidRPr="00F75FF8">
        <w:t>family</w:t>
      </w:r>
      <w:r w:rsidR="007B3132" w:rsidRPr="00F75FF8">
        <w:t xml:space="preserve"> of origin and formative experiences)</w:t>
      </w:r>
      <w:r w:rsidR="00C30BAD" w:rsidRPr="00F75FF8">
        <w:t>, ‘Medical History’</w:t>
      </w:r>
      <w:r w:rsidR="007B3132" w:rsidRPr="00F75FF8">
        <w:t xml:space="preserve"> (mentioning relevant medical history)</w:t>
      </w:r>
      <w:r w:rsidR="00C30BAD" w:rsidRPr="00F75FF8">
        <w:t>, and ‘Psychiatric History’</w:t>
      </w:r>
      <w:r w:rsidR="007B3132" w:rsidRPr="00F75FF8">
        <w:t xml:space="preserve"> (mentioning earlier diagnoses, if any)</w:t>
      </w:r>
      <w:r w:rsidR="00C30BAD" w:rsidRPr="00F75FF8">
        <w:t>.</w:t>
      </w:r>
    </w:p>
    <w:p w14:paraId="101689F4" w14:textId="1BE503CC" w:rsidR="008736A4" w:rsidRPr="00F75FF8" w:rsidRDefault="008736A4" w:rsidP="001231FD">
      <w:pPr>
        <w:spacing w:line="480" w:lineRule="auto"/>
        <w:ind w:firstLine="720"/>
        <w:contextualSpacing/>
      </w:pPr>
      <w:r w:rsidRPr="00F75FF8">
        <w:t xml:space="preserve">To illustrate, the problem-focused version of Julia’s intake report first provides details about her current </w:t>
      </w:r>
      <w:r w:rsidR="00465654" w:rsidRPr="00F75FF8">
        <w:t xml:space="preserve">depressive </w:t>
      </w:r>
      <w:r w:rsidRPr="00F75FF8">
        <w:t xml:space="preserve">complaints, symptoms, and </w:t>
      </w:r>
      <w:r w:rsidR="00465654" w:rsidRPr="00F75FF8">
        <w:t>triggers</w:t>
      </w:r>
      <w:r w:rsidRPr="00F75FF8">
        <w:t xml:space="preserve">, i.e., how the </w:t>
      </w:r>
      <w:r w:rsidR="00465654" w:rsidRPr="00F75FF8">
        <w:t>miscarriage</w:t>
      </w:r>
      <w:r w:rsidRPr="00F75FF8">
        <w:t xml:space="preserve"> and subsequent break-up triggered </w:t>
      </w:r>
      <w:r w:rsidR="00465654" w:rsidRPr="00F75FF8">
        <w:t xml:space="preserve">lethargy and </w:t>
      </w:r>
      <w:r w:rsidRPr="00F75FF8">
        <w:t>lack of energy, h</w:t>
      </w:r>
      <w:r w:rsidR="00465654" w:rsidRPr="00F75FF8">
        <w:t>ow she now sleeps a lot and has gained 10 kg over the past eight months</w:t>
      </w:r>
      <w:r w:rsidRPr="00F75FF8">
        <w:t xml:space="preserve">, how she </w:t>
      </w:r>
      <w:r w:rsidR="00465654" w:rsidRPr="00F75FF8">
        <w:t xml:space="preserve">has one good friend but reports pushing her away and feeling unworthy of her friendship, and that she would like to stop feeling so tired and numb and feel able to participate in life again. Second, the section ‘Relevant Developmental Data’ describes how Julia grew up as the only child of two older parents, with whom she never felt extremely </w:t>
      </w:r>
      <w:r w:rsidR="003977B2" w:rsidRPr="00F75FF8">
        <w:t xml:space="preserve">close but also not estranged, </w:t>
      </w:r>
      <w:r w:rsidR="00465654" w:rsidRPr="00F75FF8">
        <w:t xml:space="preserve">that she </w:t>
      </w:r>
      <w:r w:rsidR="003977B2" w:rsidRPr="00F75FF8">
        <w:t xml:space="preserve">used to have friends and musical hobbies at school, and sees herself as an introverted person who is helpful and reliable and interested in culture. Also, this section describes how Julia met her ex-fiancé (with whom she was together for almost 10 years) at high-school, how he proposed to her when she got pregnant but broke up with her a while after the miscarriage. The sections ‘Medical History’ and ‘Psychiatric History’ describe that Julia had only been hospitalized once for a broken arm in childhood but has not had any other medical issues, and </w:t>
      </w:r>
      <w:r w:rsidR="00A65463" w:rsidRPr="00F75FF8">
        <w:t>that she is unaware of any family psychiatric history and has not been to a therapist before.</w:t>
      </w:r>
      <w:r w:rsidR="00137E6D" w:rsidRPr="00F75FF8">
        <w:t xml:space="preserve"> See </w:t>
      </w:r>
      <w:r w:rsidR="007D63CF" w:rsidRPr="00F75FF8">
        <w:t>the Appendix</w:t>
      </w:r>
      <w:r w:rsidR="00137E6D" w:rsidRPr="00F75FF8">
        <w:t xml:space="preserve"> for the full problem- and solution-focused versions of Julia’s </w:t>
      </w:r>
      <w:r w:rsidR="00145083" w:rsidRPr="00F75FF8">
        <w:t>intake report.</w:t>
      </w:r>
    </w:p>
    <w:p w14:paraId="4BD36D26" w14:textId="77777777" w:rsidR="00732A6D" w:rsidRPr="00F75FF8" w:rsidRDefault="00732A6D" w:rsidP="001231FD">
      <w:pPr>
        <w:spacing w:line="480" w:lineRule="auto"/>
        <w:contextualSpacing/>
        <w:rPr>
          <w:lang w:val="en-GB"/>
        </w:rPr>
      </w:pPr>
    </w:p>
    <w:p w14:paraId="52FE547E" w14:textId="77777777" w:rsidR="00692900" w:rsidRPr="00F75FF8" w:rsidRDefault="00692900" w:rsidP="001231FD">
      <w:pPr>
        <w:spacing w:line="480" w:lineRule="auto"/>
        <w:contextualSpacing/>
        <w:rPr>
          <w:b/>
        </w:rPr>
      </w:pPr>
      <w:r w:rsidRPr="00F75FF8">
        <w:rPr>
          <w:b/>
        </w:rPr>
        <w:t>Measures</w:t>
      </w:r>
    </w:p>
    <w:p w14:paraId="01FC4D1B" w14:textId="1A9220BA" w:rsidR="00692900" w:rsidRPr="00F75FF8" w:rsidRDefault="00692900" w:rsidP="001231FD">
      <w:pPr>
        <w:spacing w:line="480" w:lineRule="auto"/>
        <w:contextualSpacing/>
        <w:rPr>
          <w:b/>
          <w:i/>
        </w:rPr>
      </w:pPr>
      <w:r w:rsidRPr="00F75FF8">
        <w:rPr>
          <w:b/>
          <w:i/>
        </w:rPr>
        <w:t>Outcome measures</w:t>
      </w:r>
      <w:r w:rsidR="007342F1" w:rsidRPr="00F75FF8">
        <w:rPr>
          <w:b/>
          <w:i/>
        </w:rPr>
        <w:t xml:space="preserve"> assessed after each vignette</w:t>
      </w:r>
    </w:p>
    <w:p w14:paraId="4726A46E" w14:textId="6C003264" w:rsidR="00692900" w:rsidRPr="00F75FF8" w:rsidRDefault="00692900" w:rsidP="001231FD">
      <w:pPr>
        <w:spacing w:line="480" w:lineRule="auto"/>
        <w:contextualSpacing/>
      </w:pPr>
      <w:r w:rsidRPr="00F75FF8">
        <w:t>After each vignette, participants rated their current affective state and</w:t>
      </w:r>
      <w:r w:rsidR="005D1CD2" w:rsidRPr="00F75FF8">
        <w:t xml:space="preserve"> their</w:t>
      </w:r>
      <w:r w:rsidRPr="00F75FF8">
        <w:t xml:space="preserve"> expectations for working with the client</w:t>
      </w:r>
      <w:r w:rsidR="007D63CF" w:rsidRPr="00F75FF8">
        <w:t xml:space="preserve"> on several</w:t>
      </w:r>
      <w:r w:rsidRPr="00F75FF8">
        <w:t xml:space="preserve"> </w:t>
      </w:r>
      <w:r w:rsidR="00B47E24" w:rsidRPr="00F75FF8">
        <w:t>100-mm VAS</w:t>
      </w:r>
      <w:r w:rsidRPr="00F75FF8">
        <w:t xml:space="preserve"> with anchors 0 (not at all) to 100 (very much). </w:t>
      </w:r>
      <w:r w:rsidR="00DA7C20" w:rsidRPr="00F75FF8">
        <w:t>The timeframe for the affective state was “How do you feel right now, after reading this case description</w:t>
      </w:r>
      <w:proofErr w:type="gramStart"/>
      <w:r w:rsidR="00DA7C20" w:rsidRPr="00F75FF8">
        <w:t>?“</w:t>
      </w:r>
      <w:proofErr w:type="gramEnd"/>
      <w:r w:rsidR="00DA7C20" w:rsidRPr="00F75FF8">
        <w:t>.</w:t>
      </w:r>
      <w:r w:rsidR="007E1585" w:rsidRPr="00F75FF8">
        <w:t xml:space="preserve"> </w:t>
      </w:r>
      <w:r w:rsidR="00FC557C" w:rsidRPr="00F75FF8">
        <w:t xml:space="preserve">Both samples were combined for an </w:t>
      </w:r>
      <w:r w:rsidR="00626BCD" w:rsidRPr="00F75FF8">
        <w:t>e</w:t>
      </w:r>
      <w:r w:rsidR="007E1585" w:rsidRPr="00F75FF8">
        <w:t xml:space="preserve">xploratory factor analysis using the Principal Axis Factoring technique and a </w:t>
      </w:r>
      <w:proofErr w:type="spellStart"/>
      <w:r w:rsidR="007E1585" w:rsidRPr="00F75FF8">
        <w:t>Varimax</w:t>
      </w:r>
      <w:proofErr w:type="spellEnd"/>
      <w:r w:rsidR="007E1585" w:rsidRPr="00F75FF8">
        <w:t xml:space="preserve"> rotation</w:t>
      </w:r>
      <w:r w:rsidR="006C6F3F" w:rsidRPr="00F75FF8">
        <w:t xml:space="preserve"> (combined N=62)</w:t>
      </w:r>
      <w:r w:rsidR="00FC557C" w:rsidRPr="00F75FF8">
        <w:t>. This factor analysis</w:t>
      </w:r>
      <w:r w:rsidR="007E1585" w:rsidRPr="00F75FF8">
        <w:t xml:space="preserve"> suggested two factors</w:t>
      </w:r>
      <w:r w:rsidR="00EB07E1" w:rsidRPr="00F75FF8">
        <w:t xml:space="preserve"> for the</w:t>
      </w:r>
      <w:r w:rsidR="00626BCD" w:rsidRPr="00F75FF8">
        <w:t xml:space="preserve"> items assessing</w:t>
      </w:r>
      <w:r w:rsidR="00EB07E1" w:rsidRPr="00F75FF8">
        <w:t xml:space="preserve"> current affective state</w:t>
      </w:r>
      <w:r w:rsidR="003E2567" w:rsidRPr="00F75FF8">
        <w:t xml:space="preserve"> (i.e., </w:t>
      </w:r>
      <w:r w:rsidR="00626BCD" w:rsidRPr="00F75FF8">
        <w:t>positive</w:t>
      </w:r>
      <w:r w:rsidR="003E2567" w:rsidRPr="00F75FF8">
        <w:t xml:space="preserve"> affect</w:t>
      </w:r>
      <w:r w:rsidR="00626BCD" w:rsidRPr="00F75FF8">
        <w:t xml:space="preserve"> and negative affect</w:t>
      </w:r>
      <w:r w:rsidR="003E2567" w:rsidRPr="00F75FF8">
        <w:t>)</w:t>
      </w:r>
      <w:r w:rsidR="00626BCD" w:rsidRPr="00F75FF8">
        <w:t>, and one factor for the items assessing expectations for working with a client.</w:t>
      </w:r>
      <w:r w:rsidR="00FC557C" w:rsidRPr="00F75FF8">
        <w:t xml:space="preserve"> </w:t>
      </w:r>
    </w:p>
    <w:p w14:paraId="307EDC77" w14:textId="738354BD" w:rsidR="00692900" w:rsidRPr="00F75FF8" w:rsidRDefault="00692900" w:rsidP="001231FD">
      <w:pPr>
        <w:spacing w:line="480" w:lineRule="auto"/>
        <w:ind w:firstLine="720"/>
        <w:contextualSpacing/>
      </w:pPr>
      <w:r w:rsidRPr="00F75FF8">
        <w:rPr>
          <w:b/>
        </w:rPr>
        <w:t xml:space="preserve">Positive </w:t>
      </w:r>
      <w:r w:rsidR="0067426E" w:rsidRPr="00F75FF8">
        <w:rPr>
          <w:b/>
        </w:rPr>
        <w:t>affect</w:t>
      </w:r>
      <w:r w:rsidR="00047884" w:rsidRPr="00F75FF8">
        <w:rPr>
          <w:b/>
        </w:rPr>
        <w:t>.</w:t>
      </w:r>
      <w:r w:rsidRPr="00F75FF8">
        <w:rPr>
          <w:b/>
        </w:rPr>
        <w:t xml:space="preserve"> </w:t>
      </w:r>
      <w:r w:rsidRPr="00F75FF8">
        <w:t xml:space="preserve">Positive </w:t>
      </w:r>
      <w:r w:rsidR="00626BCD" w:rsidRPr="00F75FF8">
        <w:t>affect was</w:t>
      </w:r>
      <w:r w:rsidRPr="00F75FF8">
        <w:t xml:space="preserve"> calculated as the aver</w:t>
      </w:r>
      <w:r w:rsidR="0045636F" w:rsidRPr="00F75FF8">
        <w:t xml:space="preserve">age of the variables cheerful, content, hopeful, and enthusiastic. </w:t>
      </w:r>
      <w:r w:rsidR="00F37A2F" w:rsidRPr="00F75FF8">
        <w:t>In line with guidelines for exploratory factor analysis</w:t>
      </w:r>
      <w:r w:rsidR="005D1CD2" w:rsidRPr="00F75FF8">
        <w:t xml:space="preserve"> </w:t>
      </w:r>
      <w:r w:rsidR="005D1CD2" w:rsidRPr="00F75FF8">
        <w:fldChar w:fldCharType="begin" w:fldLock="1"/>
      </w:r>
      <w:r w:rsidR="00C31DF5" w:rsidRPr="00F75FF8">
        <w:instrText>ADDIN CSL_CITATION {"citationItems":[{"id":"ITEM-1","itemData":{"URL":"http://www.open-access.bcu.ac.uk/6076/1/__staff_shares_storage 500mb_Library_ID112668_Stats Advisory_New Statistics Workshops_18ExploratoryFactorAnalysis_ExploratoryFactorAnalysis4.pdf","abstract":"Exploratory Factor Analysis (EFA) is a process which can be carried out in SPSS to validate scales of items in a questionnaire. The purpose of an EFA is to describe a multidimensional data set using fewer variables. Once a questionnaire has been validated, another process called Confirmatory Factor Analysis can be used. This is supported by AMOS, a ‘sister’ package to SPSS.","accessed":{"date-parts":[["2022","2","17"]]},"author":[{"dropping-particle":"","family":"Centre for Academic Success; Birmingham City University","given":"","non-dropping-particle":"","parse-names":false,"suffix":""}],"id":"ITEM-1","issued":{"date-parts":[["2017"]]},"page":"2","title":"Advice on Exploratory Factor Analysis","type":"webpage"},"uris":["http://www.mendeley.com/documents/?uuid=4f6da3a6-3655-4bb3-be62-3e062388c5cc"]}],"mendeley":{"formattedCitation":"(Centre for Academic Success; Birmingham City University, 2017)","plainTextFormattedCitation":"(Centre for Academic Success; Birmingham City University, 2017)","previouslyFormattedCitation":"(Centre for Academic Success; Birmingham City University, 2017)"},"properties":{"noteIndex":0},"schema":"https://github.com/citation-style-language/schema/raw/master/csl-citation.json"}</w:instrText>
      </w:r>
      <w:r w:rsidR="005D1CD2" w:rsidRPr="00F75FF8">
        <w:fldChar w:fldCharType="separate"/>
      </w:r>
      <w:r w:rsidR="005D1CD2" w:rsidRPr="00F75FF8">
        <w:rPr>
          <w:noProof/>
        </w:rPr>
        <w:t>(Centre for Academic Success; Birmingham City University, 2017)</w:t>
      </w:r>
      <w:r w:rsidR="005D1CD2" w:rsidRPr="00F75FF8">
        <w:fldChar w:fldCharType="end"/>
      </w:r>
      <w:r w:rsidR="00F37A2F" w:rsidRPr="00F75FF8">
        <w:t>, t</w:t>
      </w:r>
      <w:r w:rsidR="008E43F6" w:rsidRPr="00F75FF8">
        <w:t xml:space="preserve">he variable ‘calm’ was removed because it loaded </w:t>
      </w:r>
      <w:r w:rsidR="00F37A2F" w:rsidRPr="00F75FF8">
        <w:t xml:space="preserve">too strongly </w:t>
      </w:r>
      <w:r w:rsidR="008E43F6" w:rsidRPr="00F75FF8">
        <w:t>on both factors (</w:t>
      </w:r>
      <w:r w:rsidR="00F37A2F" w:rsidRPr="00F75FF8">
        <w:t xml:space="preserve">calm’s </w:t>
      </w:r>
      <w:r w:rsidR="008E43F6" w:rsidRPr="00F75FF8">
        <w:t>loading on Negative Affect was &gt;75% of the loading on Positive Affect).</w:t>
      </w:r>
      <w:r w:rsidR="00F37A2F" w:rsidRPr="00F75FF8">
        <w:t xml:space="preserve"> </w:t>
      </w:r>
      <w:r w:rsidR="0045636F" w:rsidRPr="00F75FF8">
        <w:t xml:space="preserve">Cronbach’s alpha </w:t>
      </w:r>
      <w:r w:rsidR="00F37A2F" w:rsidRPr="00F75FF8">
        <w:t>was .880</w:t>
      </w:r>
      <w:r w:rsidR="00626BCD" w:rsidRPr="00F75FF8">
        <w:t xml:space="preserve">. </w:t>
      </w:r>
    </w:p>
    <w:p w14:paraId="0DDC9D2C" w14:textId="3DCF41FF" w:rsidR="00692900" w:rsidRPr="00F75FF8" w:rsidRDefault="00692900" w:rsidP="001231FD">
      <w:pPr>
        <w:spacing w:line="480" w:lineRule="auto"/>
        <w:ind w:firstLine="720"/>
        <w:contextualSpacing/>
      </w:pPr>
      <w:r w:rsidRPr="00F75FF8">
        <w:rPr>
          <w:b/>
        </w:rPr>
        <w:t xml:space="preserve">Negative </w:t>
      </w:r>
      <w:r w:rsidR="0067426E" w:rsidRPr="00F75FF8">
        <w:rPr>
          <w:b/>
        </w:rPr>
        <w:t>affect</w:t>
      </w:r>
      <w:r w:rsidR="00047884" w:rsidRPr="00F75FF8">
        <w:rPr>
          <w:b/>
        </w:rPr>
        <w:t>.</w:t>
      </w:r>
      <w:r w:rsidRPr="00F75FF8">
        <w:t xml:space="preserve"> Negative </w:t>
      </w:r>
      <w:r w:rsidR="00626BCD" w:rsidRPr="00F75FF8">
        <w:t>affect was</w:t>
      </w:r>
      <w:r w:rsidRPr="00F75FF8">
        <w:t xml:space="preserve"> calculated as the average of the variables anxious, frustra</w:t>
      </w:r>
      <w:r w:rsidR="0045636F" w:rsidRPr="00F75FF8">
        <w:t xml:space="preserve">ted, and sad. Cronbach’s alpha was </w:t>
      </w:r>
      <w:r w:rsidR="00F37A2F" w:rsidRPr="00F75FF8">
        <w:t>.667</w:t>
      </w:r>
      <w:r w:rsidRPr="00F75FF8">
        <w:t>.</w:t>
      </w:r>
    </w:p>
    <w:p w14:paraId="63864F97" w14:textId="65C71FB5" w:rsidR="00692900" w:rsidRPr="00F75FF8" w:rsidRDefault="00692900" w:rsidP="001231FD">
      <w:pPr>
        <w:spacing w:line="480" w:lineRule="auto"/>
        <w:ind w:firstLine="720"/>
        <w:contextualSpacing/>
      </w:pPr>
      <w:r w:rsidRPr="00F75FF8">
        <w:rPr>
          <w:b/>
        </w:rPr>
        <w:t>Positive expectations</w:t>
      </w:r>
      <w:r w:rsidR="00047884" w:rsidRPr="00F75FF8">
        <w:rPr>
          <w:b/>
        </w:rPr>
        <w:t>.</w:t>
      </w:r>
      <w:r w:rsidRPr="00F75FF8">
        <w:t xml:space="preserve"> Positive expectations for working with a client were calculated as the average of the </w:t>
      </w:r>
      <w:r w:rsidR="0045636F" w:rsidRPr="00F75FF8">
        <w:t xml:space="preserve">following </w:t>
      </w:r>
      <w:r w:rsidRPr="00F75FF8">
        <w:t>variables</w:t>
      </w:r>
      <w:r w:rsidR="0045636F" w:rsidRPr="00F75FF8">
        <w:t xml:space="preserve">: </w:t>
      </w:r>
      <w:r w:rsidR="001554ED" w:rsidRPr="00F75FF8">
        <w:t xml:space="preserve">‘How much would you like being this client’s therapist?’, ‘How much would you like to start </w:t>
      </w:r>
      <w:r w:rsidRPr="00F75FF8">
        <w:t>working with</w:t>
      </w:r>
      <w:r w:rsidR="001554ED" w:rsidRPr="00F75FF8">
        <w:t xml:space="preserve"> this</w:t>
      </w:r>
      <w:r w:rsidRPr="00F75FF8">
        <w:t xml:space="preserve"> client</w:t>
      </w:r>
      <w:r w:rsidR="001554ED" w:rsidRPr="00F75FF8">
        <w:t>?’</w:t>
      </w:r>
      <w:r w:rsidRPr="00F75FF8">
        <w:t xml:space="preserve">, </w:t>
      </w:r>
      <w:r w:rsidR="001554ED" w:rsidRPr="00F75FF8">
        <w:t>‘How confident are you that you can help this client get his/her life back on track?’</w:t>
      </w:r>
      <w:r w:rsidRPr="00F75FF8">
        <w:t>,</w:t>
      </w:r>
      <w:r w:rsidR="0045636F" w:rsidRPr="00F75FF8">
        <w:t xml:space="preserve"> and</w:t>
      </w:r>
      <w:r w:rsidRPr="00F75FF8">
        <w:t xml:space="preserve"> </w:t>
      </w:r>
      <w:r w:rsidR="001554ED" w:rsidRPr="00F75FF8">
        <w:t>‘To what extent do you believe that this client will be able to accomplish his/her goals?’</w:t>
      </w:r>
      <w:r w:rsidR="0045636F" w:rsidRPr="00F75FF8">
        <w:t xml:space="preserve">. </w:t>
      </w:r>
      <w:r w:rsidRPr="00F75FF8">
        <w:t xml:space="preserve">Cronbach’s alpha </w:t>
      </w:r>
      <w:r w:rsidR="0045636F" w:rsidRPr="00F75FF8">
        <w:t xml:space="preserve">was </w:t>
      </w:r>
      <w:r w:rsidR="00F37A2F" w:rsidRPr="00F75FF8">
        <w:t>.912</w:t>
      </w:r>
      <w:r w:rsidRPr="00F75FF8">
        <w:t>.</w:t>
      </w:r>
    </w:p>
    <w:p w14:paraId="32A82CF2" w14:textId="77777777" w:rsidR="00692900" w:rsidRPr="00F75FF8" w:rsidRDefault="00692900" w:rsidP="001231FD">
      <w:pPr>
        <w:spacing w:line="480" w:lineRule="auto"/>
        <w:contextualSpacing/>
      </w:pPr>
    </w:p>
    <w:p w14:paraId="78D118A0" w14:textId="77777777" w:rsidR="00692900" w:rsidRPr="00F75FF8" w:rsidRDefault="00692900" w:rsidP="001231FD">
      <w:pPr>
        <w:spacing w:line="480" w:lineRule="auto"/>
        <w:contextualSpacing/>
        <w:rPr>
          <w:b/>
          <w:i/>
        </w:rPr>
      </w:pPr>
      <w:r w:rsidRPr="00F75FF8">
        <w:rPr>
          <w:b/>
          <w:i/>
        </w:rPr>
        <w:t>Other measures</w:t>
      </w:r>
    </w:p>
    <w:p w14:paraId="2C1FABDA" w14:textId="7FC4C051" w:rsidR="003D1CE4" w:rsidRPr="00F75FF8" w:rsidRDefault="005246EB" w:rsidP="001231FD">
      <w:pPr>
        <w:spacing w:line="480" w:lineRule="auto"/>
        <w:ind w:firstLine="720"/>
        <w:contextualSpacing/>
      </w:pPr>
      <w:r w:rsidRPr="00F75FF8">
        <w:rPr>
          <w:b/>
        </w:rPr>
        <w:t>Manipulation</w:t>
      </w:r>
      <w:r w:rsidR="00692900" w:rsidRPr="00F75FF8">
        <w:rPr>
          <w:b/>
        </w:rPr>
        <w:t xml:space="preserve"> check</w:t>
      </w:r>
      <w:r w:rsidR="00047884" w:rsidRPr="00F75FF8">
        <w:rPr>
          <w:b/>
        </w:rPr>
        <w:t>.</w:t>
      </w:r>
      <w:r w:rsidR="00692900" w:rsidRPr="00F75FF8">
        <w:rPr>
          <w:b/>
        </w:rPr>
        <w:t xml:space="preserve"> </w:t>
      </w:r>
      <w:r w:rsidR="00692900" w:rsidRPr="00F75FF8">
        <w:t xml:space="preserve">At the end of the study, participants were asked to rate </w:t>
      </w:r>
      <w:r w:rsidR="002B5324" w:rsidRPr="00F75FF8">
        <w:t xml:space="preserve">the following six </w:t>
      </w:r>
      <w:r w:rsidR="003D1CE4" w:rsidRPr="00F75FF8">
        <w:t>items</w:t>
      </w:r>
      <w:r w:rsidR="00EF48BB" w:rsidRPr="00F75FF8">
        <w:t xml:space="preserve">. First, </w:t>
      </w:r>
      <w:r w:rsidRPr="00F75FF8">
        <w:t>in order to characterize their subjective experience</w:t>
      </w:r>
      <w:r w:rsidR="00813868" w:rsidRPr="00F75FF8">
        <w:t xml:space="preserve"> of participating in the study</w:t>
      </w:r>
      <w:r w:rsidRPr="00F75FF8">
        <w:t>,</w:t>
      </w:r>
      <w:r w:rsidR="00EF48BB" w:rsidRPr="00F75FF8">
        <w:t xml:space="preserve"> p</w:t>
      </w:r>
      <w:r w:rsidR="003D1CE4" w:rsidRPr="00F75FF8">
        <w:t>articipants indicated to</w:t>
      </w:r>
      <w:r w:rsidR="00532709" w:rsidRPr="00F75FF8">
        <w:t xml:space="preserve"> </w:t>
      </w:r>
      <w:r w:rsidR="00692900" w:rsidRPr="00F75FF8">
        <w:t xml:space="preserve">what extent they had </w:t>
      </w:r>
      <w:r w:rsidR="003D1CE4" w:rsidRPr="00F75FF8">
        <w:t xml:space="preserve">experienced participation as (1) stressful, (2) fun, </w:t>
      </w:r>
      <w:r w:rsidR="00EF48BB" w:rsidRPr="00F75FF8">
        <w:t xml:space="preserve">and </w:t>
      </w:r>
      <w:r w:rsidR="003D1CE4" w:rsidRPr="00F75FF8">
        <w:t>(3)</w:t>
      </w:r>
      <w:r w:rsidR="00EF48BB" w:rsidRPr="00F75FF8">
        <w:t xml:space="preserve"> boring</w:t>
      </w:r>
      <w:r w:rsidRPr="00F75FF8">
        <w:t>, using 100-mm VAS with anchors 0 (not at all) to 100 (very much)</w:t>
      </w:r>
      <w:r w:rsidR="00EF48BB" w:rsidRPr="00F75FF8">
        <w:t>. Second</w:t>
      </w:r>
      <w:r w:rsidRPr="00F75FF8">
        <w:t xml:space="preserve">, in order to </w:t>
      </w:r>
      <w:r w:rsidR="00813868" w:rsidRPr="00F75FF8">
        <w:t>measure</w:t>
      </w:r>
      <w:r w:rsidRPr="00F75FF8">
        <w:t xml:space="preserve"> the believability of case descriptions as well as participants’ motivation</w:t>
      </w:r>
      <w:r w:rsidR="00EF48BB" w:rsidRPr="00F75FF8">
        <w:t xml:space="preserve">, participants indicated to what extent they agreed with the statements </w:t>
      </w:r>
      <w:r w:rsidR="003D1CE4" w:rsidRPr="00F75FF8">
        <w:t xml:space="preserve">(4) </w:t>
      </w:r>
      <w:r w:rsidR="00EF48BB" w:rsidRPr="00F75FF8">
        <w:t xml:space="preserve">‘I </w:t>
      </w:r>
      <w:r w:rsidR="005963F5" w:rsidRPr="00F75FF8">
        <w:t>thought that</w:t>
      </w:r>
      <w:r w:rsidR="003D1CE4" w:rsidRPr="00F75FF8">
        <w:t xml:space="preserve"> the case descriptions </w:t>
      </w:r>
      <w:r w:rsidR="005963F5" w:rsidRPr="00F75FF8">
        <w:t>were</w:t>
      </w:r>
      <w:r w:rsidR="003D1CE4" w:rsidRPr="00F75FF8">
        <w:t xml:space="preserve"> believable</w:t>
      </w:r>
      <w:r w:rsidR="00EF48BB" w:rsidRPr="00F75FF8">
        <w:t>’</w:t>
      </w:r>
      <w:r w:rsidR="003D1CE4" w:rsidRPr="00F75FF8">
        <w:t xml:space="preserve">, (5) </w:t>
      </w:r>
      <w:r w:rsidR="00EF48BB" w:rsidRPr="00F75FF8">
        <w:t>‘I was</w:t>
      </w:r>
      <w:r w:rsidR="003D1CE4" w:rsidRPr="00F75FF8">
        <w:t xml:space="preserve"> motivated</w:t>
      </w:r>
      <w:r w:rsidR="005963F5" w:rsidRPr="00F75FF8">
        <w:t xml:space="preserve"> to complete this study to the best of their abilities</w:t>
      </w:r>
      <w:r w:rsidR="00EF48BB" w:rsidRPr="00F75FF8">
        <w:t>’</w:t>
      </w:r>
      <w:r w:rsidR="003D1CE4" w:rsidRPr="00F75FF8">
        <w:t xml:space="preserve">, and (6) </w:t>
      </w:r>
      <w:r w:rsidR="00EF48BB" w:rsidRPr="00F75FF8">
        <w:t xml:space="preserve">‘I was </w:t>
      </w:r>
      <w:r w:rsidR="00692900" w:rsidRPr="00F75FF8">
        <w:t>able to vividly ima</w:t>
      </w:r>
      <w:r w:rsidR="003D1CE4" w:rsidRPr="00F75FF8">
        <w:t xml:space="preserve">gine </w:t>
      </w:r>
      <w:r w:rsidR="00EF48BB" w:rsidRPr="00F75FF8">
        <w:t>myself</w:t>
      </w:r>
      <w:r w:rsidR="003D1CE4" w:rsidRPr="00F75FF8">
        <w:t xml:space="preserve"> as a </w:t>
      </w:r>
      <w:r w:rsidR="00115B97" w:rsidRPr="00F75FF8">
        <w:t xml:space="preserve">beginning </w:t>
      </w:r>
      <w:r w:rsidR="003D1CE4" w:rsidRPr="00F75FF8">
        <w:t>therapist</w:t>
      </w:r>
      <w:r w:rsidR="00DE502C" w:rsidRPr="00F75FF8">
        <w:t xml:space="preserve"> </w:t>
      </w:r>
      <w:r w:rsidR="00115B97" w:rsidRPr="00F75FF8">
        <w:t xml:space="preserve">of these </w:t>
      </w:r>
      <w:r w:rsidR="00DE502C" w:rsidRPr="00F75FF8">
        <w:t>clients</w:t>
      </w:r>
      <w:r w:rsidR="00EF48BB" w:rsidRPr="00F75FF8">
        <w:t>’</w:t>
      </w:r>
      <w:r w:rsidRPr="00F75FF8">
        <w:t>, using 100-mm VAS with anchors 0 (I disagree) to 100 (I agree)</w:t>
      </w:r>
      <w:r w:rsidR="003D1CE4" w:rsidRPr="00F75FF8">
        <w:t xml:space="preserve">. </w:t>
      </w:r>
    </w:p>
    <w:p w14:paraId="38F04CE4" w14:textId="15359865" w:rsidR="000014BB" w:rsidRPr="00F75FF8" w:rsidRDefault="00692900" w:rsidP="005B3741">
      <w:pPr>
        <w:spacing w:line="480" w:lineRule="auto"/>
        <w:ind w:firstLine="720"/>
        <w:contextualSpacing/>
      </w:pPr>
      <w:r w:rsidRPr="00F75FF8">
        <w:rPr>
          <w:b/>
        </w:rPr>
        <w:t>Mindfulness</w:t>
      </w:r>
      <w:r w:rsidR="00047884" w:rsidRPr="00F75FF8">
        <w:rPr>
          <w:b/>
        </w:rPr>
        <w:t>.</w:t>
      </w:r>
      <w:r w:rsidRPr="00F75FF8">
        <w:t xml:space="preserve"> In order to support our cover story that we investigated therapist trait mindfulness, </w:t>
      </w:r>
      <w:r w:rsidR="00DF69C6" w:rsidRPr="00F75FF8">
        <w:t xml:space="preserve">participants completed </w:t>
      </w:r>
      <w:r w:rsidRPr="00F75FF8">
        <w:t>the Mindful Attention Awareness Scale (</w:t>
      </w:r>
      <w:r w:rsidR="002B5324" w:rsidRPr="00F75FF8">
        <w:t xml:space="preserve">MAAS; </w:t>
      </w:r>
      <w:r w:rsidR="00033D2D" w:rsidRPr="00F75FF8">
        <w:fldChar w:fldCharType="begin" w:fldLock="1"/>
      </w:r>
      <w:r w:rsidR="00B51755" w:rsidRPr="00F75FF8">
        <w:instrText>ADDIN CSL_CITATION {"citationItems":[{"id":"ITEM-1","itemData":{"DOI":"10.1037/0022-3514.84.4.822","ISSN":"1939-1315","PMID":"12703651","abstract":"Mindfulness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stress.","author":[{"dropping-particle":"","family":"Brown","given":"Kirk Warren","non-dropping-particle":"","parse-names":false,"suffix":""},{"dropping-particle":"","family":"Ryan","given":"Richard M.","non-dropping-particle":"","parse-names":false,"suffix":""}],"container-title":"Journal of Personality and Social Psychology","id":"ITEM-1","issue":"4","issued":{"date-parts":[["2003"]]},"page":"822-848","title":"The benefits of being present: Mindfulness and its role in psychological well-being.","type":"article-journal","volume":"84"},"uris":["http://www.mendeley.com/documents/?uuid=41203d62-6b10-4d7e-8860-89ddef9bb257"]}],"mendeley":{"formattedCitation":"(Brown &amp; Ryan, 2003)","manualFormatting":"Brown &amp; Ryan, 2003)","plainTextFormattedCitation":"(Brown &amp; Ryan, 2003)","previouslyFormattedCitation":"(Brown &amp; Ryan, 2003)"},"properties":{"noteIndex":0},"schema":"https://github.com/citation-style-language/schema/raw/master/csl-citation.json"}</w:instrText>
      </w:r>
      <w:r w:rsidR="00033D2D" w:rsidRPr="00F75FF8">
        <w:fldChar w:fldCharType="separate"/>
      </w:r>
      <w:r w:rsidR="00033D2D" w:rsidRPr="00F75FF8">
        <w:rPr>
          <w:noProof/>
        </w:rPr>
        <w:t>Brown &amp; Ryan, 2003)</w:t>
      </w:r>
      <w:r w:rsidR="00033D2D" w:rsidRPr="00F75FF8">
        <w:fldChar w:fldCharType="end"/>
      </w:r>
      <w:r w:rsidR="00DF69C6" w:rsidRPr="00F75FF8">
        <w:t xml:space="preserve">. </w:t>
      </w:r>
      <w:r w:rsidR="002B5324" w:rsidRPr="00F75FF8">
        <w:t xml:space="preserve">The MAAS consists of 15 items answered on a 7-point Likert scale with labels ranging from 1 </w:t>
      </w:r>
      <w:r w:rsidR="009B3578" w:rsidRPr="00F75FF8">
        <w:t xml:space="preserve">(almost always) </w:t>
      </w:r>
      <w:r w:rsidR="002B5324" w:rsidRPr="00F75FF8">
        <w:t xml:space="preserve">to </w:t>
      </w:r>
      <w:r w:rsidR="009B3578" w:rsidRPr="00F75FF8">
        <w:t>6 (almost never). Items are averaged to form a total score</w:t>
      </w:r>
      <w:r w:rsidR="005B6A7D" w:rsidRPr="00F75FF8">
        <w:t xml:space="preserve"> between 1 and 6</w:t>
      </w:r>
      <w:r w:rsidR="009B3578" w:rsidRPr="00F75FF8">
        <w:t>. Given that the items of the MAAS assess frequency of inattentive behaviors, higher scores indicate higher mindfulness.</w:t>
      </w:r>
    </w:p>
    <w:p w14:paraId="44241A75" w14:textId="77777777" w:rsidR="005B3741" w:rsidRPr="00F75FF8" w:rsidRDefault="005B3741" w:rsidP="005B3741">
      <w:pPr>
        <w:spacing w:line="480" w:lineRule="auto"/>
        <w:ind w:firstLine="720"/>
        <w:contextualSpacing/>
      </w:pPr>
    </w:p>
    <w:p w14:paraId="3462503B" w14:textId="2D25F8C4" w:rsidR="00220503" w:rsidRPr="00F75FF8" w:rsidRDefault="00220503" w:rsidP="001231FD">
      <w:pPr>
        <w:spacing w:line="480" w:lineRule="auto"/>
        <w:jc w:val="center"/>
        <w:rPr>
          <w:b/>
        </w:rPr>
      </w:pPr>
      <w:r w:rsidRPr="00F75FF8">
        <w:rPr>
          <w:b/>
        </w:rPr>
        <w:t>Results</w:t>
      </w:r>
    </w:p>
    <w:p w14:paraId="58EA6F44" w14:textId="3CA22B42" w:rsidR="00676D4F" w:rsidRPr="00F75FF8" w:rsidRDefault="006618B1" w:rsidP="001231FD">
      <w:pPr>
        <w:spacing w:line="480" w:lineRule="auto"/>
      </w:pPr>
      <w:r w:rsidRPr="00F75FF8">
        <w:rPr>
          <w:b/>
        </w:rPr>
        <w:t>Participants</w:t>
      </w:r>
    </w:p>
    <w:p w14:paraId="30667CD9" w14:textId="5AA48BDC" w:rsidR="00C06B74" w:rsidRPr="00F75FF8" w:rsidRDefault="001F2F5F" w:rsidP="001231FD">
      <w:pPr>
        <w:spacing w:after="240" w:line="480" w:lineRule="auto"/>
        <w:contextualSpacing/>
      </w:pPr>
      <w:r w:rsidRPr="00F75FF8">
        <w:t xml:space="preserve">In </w:t>
      </w:r>
      <w:r w:rsidR="00886B85" w:rsidRPr="00F75FF8">
        <w:t>S</w:t>
      </w:r>
      <w:r w:rsidRPr="00F75FF8">
        <w:t xml:space="preserve">ample 1, 36 participants started with the study but </w:t>
      </w:r>
      <w:r w:rsidR="00886B85" w:rsidRPr="00F75FF8">
        <w:t>two</w:t>
      </w:r>
      <w:r w:rsidRPr="00F75FF8">
        <w:t xml:space="preserve"> dropped out before completi</w:t>
      </w:r>
      <w:r w:rsidR="00886B85" w:rsidRPr="00F75FF8">
        <w:t>ng the baseline information, and another one dropped out before rating at least one case of each condition, resulting in 33 participants with a relevant contrast between conditions.</w:t>
      </w:r>
      <w:r w:rsidRPr="00F75FF8">
        <w:t xml:space="preserve"> </w:t>
      </w:r>
      <w:r w:rsidR="00886B85" w:rsidRPr="00F75FF8">
        <w:t xml:space="preserve">In Sample 2, 36 participants started with the study but five dropped out before completing the baseline information, and another two dropped out before rating at least one case of each condition, resulting in 29 participants with a relevant contrast. </w:t>
      </w:r>
      <w:r w:rsidR="00E10F9D" w:rsidRPr="00F75FF8">
        <w:t xml:space="preserve">In Sample 2, one participant had stopped after rating three cases. This participant was retained in the analysis, as the three cases did allow for a comparison between both conditions. All other participants had completed all four cases. </w:t>
      </w:r>
      <w:r w:rsidR="00A724FB" w:rsidRPr="00F75FF8">
        <w:t xml:space="preserve">Table 1 </w:t>
      </w:r>
      <w:r w:rsidR="00DB54AF" w:rsidRPr="00F75FF8">
        <w:t>shows</w:t>
      </w:r>
      <w:r w:rsidR="00A724FB" w:rsidRPr="00F75FF8">
        <w:t xml:space="preserve"> participant characteristics</w:t>
      </w:r>
      <w:r w:rsidR="00033D2D" w:rsidRPr="00F75FF8">
        <w:t xml:space="preserve"> and baseline measures</w:t>
      </w:r>
      <w:r w:rsidR="00A724FB" w:rsidRPr="00F75FF8">
        <w:t xml:space="preserve">. </w:t>
      </w:r>
      <w:r w:rsidR="00C06B74" w:rsidRPr="00F75FF8">
        <w:t xml:space="preserve">In sample 1, </w:t>
      </w:r>
      <w:r w:rsidR="00521C11" w:rsidRPr="00F75FF8">
        <w:t>33</w:t>
      </w:r>
      <w:r w:rsidR="00DB54AF" w:rsidRPr="00F75FF8">
        <w:t xml:space="preserve">.3% had some form of experience working with clients with mental health problems in practice (e.g., through internships, voluntary work, or paid work, while </w:t>
      </w:r>
      <w:r w:rsidR="00521C11" w:rsidRPr="00F75FF8">
        <w:t>66</w:t>
      </w:r>
      <w:r w:rsidR="00C06B74" w:rsidRPr="00F75FF8">
        <w:t xml:space="preserve">.7% </w:t>
      </w:r>
      <w:r w:rsidR="00DB54AF" w:rsidRPr="00F75FF8">
        <w:t xml:space="preserve">did not have practical </w:t>
      </w:r>
      <w:r w:rsidR="00C06B74" w:rsidRPr="00F75FF8">
        <w:t>experience</w:t>
      </w:r>
      <w:r w:rsidR="00DB54AF" w:rsidRPr="00F75FF8">
        <w:t xml:space="preserve"> yet. In sample 2, all participants </w:t>
      </w:r>
      <w:r w:rsidR="00E71E5C" w:rsidRPr="00F75FF8">
        <w:t xml:space="preserve">were currently in their IAPT service placements and had </w:t>
      </w:r>
      <w:r w:rsidR="00D046F9" w:rsidRPr="00F75FF8">
        <w:t xml:space="preserve">real-life </w:t>
      </w:r>
      <w:r w:rsidR="00E71E5C" w:rsidRPr="00F75FF8">
        <w:t>experience working with clients</w:t>
      </w:r>
      <w:r w:rsidR="00DB54AF" w:rsidRPr="00F75FF8">
        <w:t>.</w:t>
      </w:r>
    </w:p>
    <w:p w14:paraId="75967014" w14:textId="77777777" w:rsidR="001820D3" w:rsidRPr="00F75FF8" w:rsidRDefault="001820D3" w:rsidP="001231FD">
      <w:pPr>
        <w:spacing w:after="240" w:line="480" w:lineRule="auto"/>
        <w:contextualSpacing/>
      </w:pPr>
    </w:p>
    <w:p w14:paraId="677E8881" w14:textId="41EFD347" w:rsidR="001820D3" w:rsidRPr="00F75FF8" w:rsidRDefault="001820D3" w:rsidP="001820D3">
      <w:pPr>
        <w:spacing w:after="240" w:line="480" w:lineRule="auto"/>
        <w:contextualSpacing/>
        <w:rPr>
          <w:b/>
        </w:rPr>
      </w:pPr>
      <w:r w:rsidRPr="00F75FF8">
        <w:rPr>
          <w:b/>
        </w:rPr>
        <w:t>Manipulation checks</w:t>
      </w:r>
    </w:p>
    <w:p w14:paraId="7C47B3D9" w14:textId="77777777" w:rsidR="001820D3" w:rsidRPr="00F75FF8" w:rsidRDefault="001820D3" w:rsidP="001820D3">
      <w:pPr>
        <w:spacing w:after="240" w:line="480" w:lineRule="auto"/>
        <w:contextualSpacing/>
      </w:pPr>
      <w:r w:rsidRPr="00F75FF8">
        <w:t>As Table 2 shows, the majority of participants in both studies perceived participation as moderately fun, and reported feelings of stress and boredom were low. Participants reported that they found the case descriptions highly believable and were very motivated to participate. On average, sample 1 rated their ability to imagine themselves as therapists with 64.03 out of 100, while participants in sample 2 rated their ability with 80.29, in line with their higher levels of practical experience with clients.</w:t>
      </w:r>
    </w:p>
    <w:p w14:paraId="652469DB" w14:textId="77777777" w:rsidR="001820D3" w:rsidRPr="00F75FF8" w:rsidRDefault="001820D3" w:rsidP="001231FD">
      <w:pPr>
        <w:spacing w:after="240" w:line="480" w:lineRule="auto"/>
        <w:contextualSpacing/>
      </w:pPr>
    </w:p>
    <w:p w14:paraId="2D421FBB" w14:textId="77777777" w:rsidR="00D31EC5" w:rsidRPr="00F75FF8" w:rsidRDefault="00D31EC5" w:rsidP="00692E85">
      <w:pPr>
        <w:keepNext/>
        <w:spacing w:line="360" w:lineRule="auto"/>
        <w:contextualSpacing/>
        <w:rPr>
          <w:b/>
        </w:rPr>
      </w:pPr>
      <w:r w:rsidRPr="00F75FF8">
        <w:rPr>
          <w:b/>
        </w:rPr>
        <w:t>Table 1</w:t>
      </w:r>
    </w:p>
    <w:p w14:paraId="5CC805AE" w14:textId="77777777" w:rsidR="00D31EC5" w:rsidRPr="00F75FF8" w:rsidRDefault="00D31EC5" w:rsidP="00692E85">
      <w:pPr>
        <w:keepNext/>
        <w:spacing w:line="360" w:lineRule="auto"/>
        <w:contextualSpacing/>
        <w:rPr>
          <w:b/>
          <w:i/>
        </w:rPr>
      </w:pPr>
      <w:r w:rsidRPr="00F75FF8">
        <w:rPr>
          <w:b/>
          <w:i/>
        </w:rPr>
        <w:t>Participant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419"/>
        <w:gridCol w:w="1892"/>
        <w:gridCol w:w="1851"/>
      </w:tblGrid>
      <w:tr w:rsidR="00D31EC5" w:rsidRPr="00F75FF8" w14:paraId="04DADAE3" w14:textId="77777777" w:rsidTr="00105037">
        <w:tc>
          <w:tcPr>
            <w:tcW w:w="4845" w:type="dxa"/>
            <w:gridSpan w:val="2"/>
            <w:tcBorders>
              <w:top w:val="single" w:sz="8" w:space="0" w:color="auto"/>
              <w:bottom w:val="single" w:sz="8" w:space="0" w:color="auto"/>
            </w:tcBorders>
            <w:vAlign w:val="bottom"/>
          </w:tcPr>
          <w:p w14:paraId="008ED1D6" w14:textId="77777777" w:rsidR="00D31EC5" w:rsidRPr="00F75FF8" w:rsidRDefault="00D31EC5" w:rsidP="00692E85">
            <w:pPr>
              <w:keepNext/>
              <w:spacing w:after="160" w:line="360" w:lineRule="auto"/>
              <w:contextualSpacing/>
              <w:rPr>
                <w:lang w:val="en-GB"/>
              </w:rPr>
            </w:pPr>
          </w:p>
        </w:tc>
        <w:tc>
          <w:tcPr>
            <w:tcW w:w="1892" w:type="dxa"/>
            <w:tcBorders>
              <w:top w:val="single" w:sz="8" w:space="0" w:color="auto"/>
              <w:bottom w:val="single" w:sz="8" w:space="0" w:color="auto"/>
            </w:tcBorders>
            <w:vAlign w:val="bottom"/>
          </w:tcPr>
          <w:p w14:paraId="0214A842" w14:textId="77777777" w:rsidR="00D31EC5" w:rsidRPr="00F75FF8" w:rsidRDefault="00D31EC5" w:rsidP="00692E85">
            <w:pPr>
              <w:keepNext/>
              <w:spacing w:after="160" w:line="360" w:lineRule="auto"/>
              <w:contextualSpacing/>
              <w:rPr>
                <w:lang w:val="en-GB"/>
              </w:rPr>
            </w:pPr>
            <w:r w:rsidRPr="00F75FF8">
              <w:rPr>
                <w:lang w:val="en-GB"/>
              </w:rPr>
              <w:t>Sample 1 (</w:t>
            </w:r>
            <w:r w:rsidRPr="00F75FF8">
              <w:rPr>
                <w:i/>
                <w:iCs/>
                <w:lang w:val="en-GB"/>
              </w:rPr>
              <w:t>N</w:t>
            </w:r>
            <w:r w:rsidRPr="00F75FF8">
              <w:rPr>
                <w:lang w:val="en-GB"/>
              </w:rPr>
              <w:t>=33)</w:t>
            </w:r>
          </w:p>
        </w:tc>
        <w:tc>
          <w:tcPr>
            <w:tcW w:w="1851" w:type="dxa"/>
            <w:tcBorders>
              <w:top w:val="single" w:sz="8" w:space="0" w:color="auto"/>
              <w:bottom w:val="single" w:sz="8" w:space="0" w:color="auto"/>
            </w:tcBorders>
            <w:vAlign w:val="bottom"/>
          </w:tcPr>
          <w:p w14:paraId="6D879137" w14:textId="77777777" w:rsidR="00D31EC5" w:rsidRPr="00F75FF8" w:rsidRDefault="00D31EC5" w:rsidP="00692E85">
            <w:pPr>
              <w:keepNext/>
              <w:spacing w:after="160" w:line="360" w:lineRule="auto"/>
              <w:contextualSpacing/>
              <w:rPr>
                <w:lang w:val="en-GB"/>
              </w:rPr>
            </w:pPr>
            <w:r w:rsidRPr="00F75FF8">
              <w:rPr>
                <w:lang w:val="en-GB"/>
              </w:rPr>
              <w:t>Sample 2 (N=29)</w:t>
            </w:r>
          </w:p>
        </w:tc>
      </w:tr>
      <w:tr w:rsidR="00D31EC5" w:rsidRPr="00F75FF8" w14:paraId="3FD58871" w14:textId="77777777" w:rsidTr="00105037">
        <w:tc>
          <w:tcPr>
            <w:tcW w:w="4845" w:type="dxa"/>
            <w:gridSpan w:val="2"/>
            <w:tcBorders>
              <w:top w:val="single" w:sz="8" w:space="0" w:color="auto"/>
            </w:tcBorders>
            <w:vAlign w:val="bottom"/>
          </w:tcPr>
          <w:p w14:paraId="5B0BF0FC" w14:textId="77777777" w:rsidR="00D31EC5" w:rsidRPr="00F75FF8" w:rsidRDefault="00D31EC5" w:rsidP="00692E85">
            <w:pPr>
              <w:keepNext/>
              <w:spacing w:after="160" w:line="360" w:lineRule="auto"/>
              <w:contextualSpacing/>
              <w:rPr>
                <w:lang w:val="en-GB"/>
              </w:rPr>
            </w:pPr>
            <w:r w:rsidRPr="00F75FF8">
              <w:rPr>
                <w:lang w:val="en-GB"/>
              </w:rPr>
              <w:t>Female gender, n (%)</w:t>
            </w:r>
          </w:p>
        </w:tc>
        <w:tc>
          <w:tcPr>
            <w:tcW w:w="1892" w:type="dxa"/>
            <w:tcBorders>
              <w:top w:val="single" w:sz="8" w:space="0" w:color="auto"/>
            </w:tcBorders>
            <w:vAlign w:val="bottom"/>
          </w:tcPr>
          <w:p w14:paraId="7428C810" w14:textId="77777777" w:rsidR="00D31EC5" w:rsidRPr="00F75FF8" w:rsidRDefault="00D31EC5" w:rsidP="00692E85">
            <w:pPr>
              <w:keepNext/>
              <w:spacing w:after="160" w:line="360" w:lineRule="auto"/>
              <w:contextualSpacing/>
              <w:rPr>
                <w:lang w:val="en-GB"/>
              </w:rPr>
            </w:pPr>
            <w:r w:rsidRPr="00F75FF8">
              <w:rPr>
                <w:lang w:val="en-GB"/>
              </w:rPr>
              <w:t>29 (87.9 %)</w:t>
            </w:r>
          </w:p>
        </w:tc>
        <w:tc>
          <w:tcPr>
            <w:tcW w:w="1851" w:type="dxa"/>
            <w:tcBorders>
              <w:top w:val="single" w:sz="8" w:space="0" w:color="auto"/>
            </w:tcBorders>
            <w:vAlign w:val="bottom"/>
          </w:tcPr>
          <w:p w14:paraId="5B9009D1" w14:textId="77777777" w:rsidR="00D31EC5" w:rsidRPr="00F75FF8" w:rsidRDefault="00D31EC5" w:rsidP="00692E85">
            <w:pPr>
              <w:keepNext/>
              <w:spacing w:after="160" w:line="360" w:lineRule="auto"/>
              <w:contextualSpacing/>
              <w:rPr>
                <w:lang w:val="en-GB"/>
              </w:rPr>
            </w:pPr>
            <w:r w:rsidRPr="00F75FF8">
              <w:rPr>
                <w:lang w:val="en-GB"/>
              </w:rPr>
              <w:t>29 (100 %)</w:t>
            </w:r>
          </w:p>
        </w:tc>
      </w:tr>
      <w:tr w:rsidR="00D31EC5" w:rsidRPr="00F75FF8" w14:paraId="2700F330" w14:textId="77777777" w:rsidTr="00105037">
        <w:tc>
          <w:tcPr>
            <w:tcW w:w="4845" w:type="dxa"/>
            <w:gridSpan w:val="2"/>
            <w:vAlign w:val="bottom"/>
          </w:tcPr>
          <w:p w14:paraId="7DE03801" w14:textId="77777777" w:rsidR="00D31EC5" w:rsidRPr="00F75FF8" w:rsidRDefault="00D31EC5" w:rsidP="00692E85">
            <w:pPr>
              <w:keepNext/>
              <w:spacing w:after="160" w:line="360" w:lineRule="auto"/>
              <w:contextualSpacing/>
              <w:rPr>
                <w:lang w:val="en-GB"/>
              </w:rPr>
            </w:pPr>
            <w:r w:rsidRPr="00F75FF8">
              <w:rPr>
                <w:lang w:val="en-GB"/>
              </w:rPr>
              <w:t xml:space="preserve">Age, </w:t>
            </w:r>
            <w:r w:rsidRPr="00F75FF8">
              <w:rPr>
                <w:i/>
                <w:lang w:val="en-GB"/>
              </w:rPr>
              <w:t>M</w:t>
            </w:r>
            <w:r w:rsidRPr="00F75FF8">
              <w:rPr>
                <w:lang w:val="en-GB"/>
              </w:rPr>
              <w:t xml:space="preserve"> (</w:t>
            </w:r>
            <w:r w:rsidRPr="00F75FF8">
              <w:rPr>
                <w:i/>
                <w:lang w:val="en-GB"/>
              </w:rPr>
              <w:t>SD</w:t>
            </w:r>
            <w:r w:rsidRPr="00F75FF8">
              <w:rPr>
                <w:lang w:val="en-GB"/>
              </w:rPr>
              <w:t>)</w:t>
            </w:r>
          </w:p>
        </w:tc>
        <w:tc>
          <w:tcPr>
            <w:tcW w:w="1892" w:type="dxa"/>
            <w:vAlign w:val="bottom"/>
          </w:tcPr>
          <w:p w14:paraId="1DD18037" w14:textId="77777777" w:rsidR="00D31EC5" w:rsidRPr="00F75FF8" w:rsidRDefault="00D31EC5" w:rsidP="00692E85">
            <w:pPr>
              <w:keepNext/>
              <w:spacing w:after="160" w:line="360" w:lineRule="auto"/>
              <w:contextualSpacing/>
              <w:rPr>
                <w:lang w:val="en-GB"/>
              </w:rPr>
            </w:pPr>
            <w:r w:rsidRPr="00F75FF8">
              <w:rPr>
                <w:lang w:val="en-GB"/>
              </w:rPr>
              <w:t>23.82 (3.96)</w:t>
            </w:r>
          </w:p>
        </w:tc>
        <w:tc>
          <w:tcPr>
            <w:tcW w:w="1851" w:type="dxa"/>
            <w:vAlign w:val="bottom"/>
          </w:tcPr>
          <w:p w14:paraId="09308F95" w14:textId="77777777" w:rsidR="00D31EC5" w:rsidRPr="00F75FF8" w:rsidRDefault="00D31EC5" w:rsidP="00692E85">
            <w:pPr>
              <w:keepNext/>
              <w:spacing w:after="160" w:line="360" w:lineRule="auto"/>
              <w:contextualSpacing/>
              <w:rPr>
                <w:lang w:val="en-GB"/>
              </w:rPr>
            </w:pPr>
            <w:r w:rsidRPr="00F75FF8">
              <w:rPr>
                <w:lang w:val="en-GB"/>
              </w:rPr>
              <w:t>21.45 (1.35)</w:t>
            </w:r>
          </w:p>
        </w:tc>
      </w:tr>
      <w:tr w:rsidR="00D31EC5" w:rsidRPr="00F75FF8" w14:paraId="75A1FAB5" w14:textId="77777777" w:rsidTr="00105037">
        <w:tc>
          <w:tcPr>
            <w:tcW w:w="4845" w:type="dxa"/>
            <w:gridSpan w:val="2"/>
            <w:vAlign w:val="bottom"/>
          </w:tcPr>
          <w:p w14:paraId="6A7E4AC8" w14:textId="77777777" w:rsidR="00D31EC5" w:rsidRPr="00F75FF8" w:rsidRDefault="00D31EC5" w:rsidP="00692E85">
            <w:pPr>
              <w:keepNext/>
              <w:spacing w:after="160" w:line="360" w:lineRule="auto"/>
              <w:contextualSpacing/>
              <w:rPr>
                <w:lang w:val="en-GB"/>
              </w:rPr>
            </w:pPr>
            <w:r w:rsidRPr="00F75FF8">
              <w:rPr>
                <w:lang w:val="en-GB"/>
              </w:rPr>
              <w:t xml:space="preserve">Experience working with </w:t>
            </w:r>
            <w:proofErr w:type="spellStart"/>
            <w:r w:rsidRPr="00F75FF8">
              <w:rPr>
                <w:lang w:val="en-GB"/>
              </w:rPr>
              <w:t>clients</w:t>
            </w:r>
            <w:r w:rsidRPr="00F75FF8">
              <w:rPr>
                <w:vertAlign w:val="superscript"/>
                <w:lang w:val="en-GB"/>
              </w:rPr>
              <w:t>a</w:t>
            </w:r>
            <w:proofErr w:type="spellEnd"/>
            <w:r w:rsidRPr="00F75FF8">
              <w:rPr>
                <w:lang w:val="en-GB"/>
              </w:rPr>
              <w:t xml:space="preserve">, </w:t>
            </w:r>
            <w:r w:rsidRPr="00F75FF8">
              <w:rPr>
                <w:i/>
                <w:iCs/>
                <w:lang w:val="en-GB"/>
              </w:rPr>
              <w:t>n</w:t>
            </w:r>
            <w:r w:rsidRPr="00F75FF8">
              <w:rPr>
                <w:lang w:val="en-GB"/>
              </w:rPr>
              <w:t xml:space="preserve"> (%)</w:t>
            </w:r>
          </w:p>
        </w:tc>
        <w:tc>
          <w:tcPr>
            <w:tcW w:w="1892" w:type="dxa"/>
            <w:vAlign w:val="bottom"/>
          </w:tcPr>
          <w:p w14:paraId="0A07CC67" w14:textId="77777777" w:rsidR="00D31EC5" w:rsidRPr="00F75FF8" w:rsidRDefault="00D31EC5" w:rsidP="00692E85">
            <w:pPr>
              <w:keepNext/>
              <w:spacing w:after="160" w:line="360" w:lineRule="auto"/>
              <w:contextualSpacing/>
              <w:rPr>
                <w:lang w:val="en-GB"/>
              </w:rPr>
            </w:pPr>
          </w:p>
        </w:tc>
        <w:tc>
          <w:tcPr>
            <w:tcW w:w="1851" w:type="dxa"/>
            <w:vAlign w:val="bottom"/>
          </w:tcPr>
          <w:p w14:paraId="6839348D" w14:textId="77777777" w:rsidR="00D31EC5" w:rsidRPr="00F75FF8" w:rsidRDefault="00D31EC5" w:rsidP="00692E85">
            <w:pPr>
              <w:keepNext/>
              <w:spacing w:after="160" w:line="360" w:lineRule="auto"/>
              <w:contextualSpacing/>
              <w:rPr>
                <w:lang w:val="en-GB"/>
              </w:rPr>
            </w:pPr>
          </w:p>
        </w:tc>
      </w:tr>
      <w:tr w:rsidR="00D31EC5" w:rsidRPr="00F75FF8" w14:paraId="2F99F793" w14:textId="77777777" w:rsidTr="00105037">
        <w:tc>
          <w:tcPr>
            <w:tcW w:w="426" w:type="dxa"/>
            <w:vAlign w:val="bottom"/>
          </w:tcPr>
          <w:p w14:paraId="621BEAC3" w14:textId="77777777" w:rsidR="00D31EC5" w:rsidRPr="00F75FF8" w:rsidRDefault="00D31EC5" w:rsidP="00692E85">
            <w:pPr>
              <w:keepNext/>
              <w:spacing w:after="160" w:line="360" w:lineRule="auto"/>
              <w:contextualSpacing/>
              <w:rPr>
                <w:lang w:val="en-GB"/>
              </w:rPr>
            </w:pPr>
          </w:p>
        </w:tc>
        <w:tc>
          <w:tcPr>
            <w:tcW w:w="4419" w:type="dxa"/>
            <w:vAlign w:val="bottom"/>
          </w:tcPr>
          <w:p w14:paraId="640A222A" w14:textId="77777777" w:rsidR="00D31EC5" w:rsidRPr="00F75FF8" w:rsidRDefault="00D31EC5" w:rsidP="00692E85">
            <w:pPr>
              <w:keepNext/>
              <w:spacing w:after="160" w:line="360" w:lineRule="auto"/>
              <w:contextualSpacing/>
              <w:rPr>
                <w:lang w:val="en-GB"/>
              </w:rPr>
            </w:pPr>
            <w:r w:rsidRPr="00F75FF8">
              <w:rPr>
                <w:lang w:val="en-GB"/>
              </w:rPr>
              <w:t>Internship / placement</w:t>
            </w:r>
          </w:p>
        </w:tc>
        <w:tc>
          <w:tcPr>
            <w:tcW w:w="1892" w:type="dxa"/>
            <w:vAlign w:val="bottom"/>
          </w:tcPr>
          <w:p w14:paraId="73CD919A" w14:textId="77777777" w:rsidR="00D31EC5" w:rsidRPr="00F75FF8" w:rsidRDefault="00D31EC5" w:rsidP="00692E85">
            <w:pPr>
              <w:keepNext/>
              <w:spacing w:after="160" w:line="360" w:lineRule="auto"/>
              <w:contextualSpacing/>
              <w:rPr>
                <w:lang w:val="en-GB"/>
              </w:rPr>
            </w:pPr>
            <w:r w:rsidRPr="00F75FF8">
              <w:rPr>
                <w:lang w:val="en-GB"/>
              </w:rPr>
              <w:t>9 (27.3 %)</w:t>
            </w:r>
          </w:p>
        </w:tc>
        <w:tc>
          <w:tcPr>
            <w:tcW w:w="1851" w:type="dxa"/>
            <w:vAlign w:val="bottom"/>
          </w:tcPr>
          <w:p w14:paraId="3057B3D0" w14:textId="77777777" w:rsidR="00D31EC5" w:rsidRPr="00F75FF8" w:rsidRDefault="00D31EC5" w:rsidP="00692E85">
            <w:pPr>
              <w:keepNext/>
              <w:spacing w:after="160" w:line="360" w:lineRule="auto"/>
              <w:contextualSpacing/>
              <w:rPr>
                <w:lang w:val="en-GB"/>
              </w:rPr>
            </w:pPr>
            <w:r w:rsidRPr="00F75FF8">
              <w:rPr>
                <w:lang w:val="en-GB"/>
              </w:rPr>
              <w:t>29 (100 %)</w:t>
            </w:r>
          </w:p>
        </w:tc>
      </w:tr>
      <w:tr w:rsidR="00D31EC5" w:rsidRPr="00F75FF8" w14:paraId="06102C1D" w14:textId="77777777" w:rsidTr="00105037">
        <w:tc>
          <w:tcPr>
            <w:tcW w:w="426" w:type="dxa"/>
            <w:vAlign w:val="bottom"/>
          </w:tcPr>
          <w:p w14:paraId="40BB810B" w14:textId="77777777" w:rsidR="00D31EC5" w:rsidRPr="00F75FF8" w:rsidRDefault="00D31EC5" w:rsidP="00692E85">
            <w:pPr>
              <w:keepNext/>
              <w:spacing w:after="160" w:line="360" w:lineRule="auto"/>
              <w:contextualSpacing/>
              <w:rPr>
                <w:lang w:val="en-GB"/>
              </w:rPr>
            </w:pPr>
          </w:p>
        </w:tc>
        <w:tc>
          <w:tcPr>
            <w:tcW w:w="4419" w:type="dxa"/>
            <w:vAlign w:val="bottom"/>
          </w:tcPr>
          <w:p w14:paraId="74525723" w14:textId="77777777" w:rsidR="00D31EC5" w:rsidRPr="00F75FF8" w:rsidRDefault="00D31EC5" w:rsidP="00692E85">
            <w:pPr>
              <w:keepNext/>
              <w:spacing w:after="160" w:line="360" w:lineRule="auto"/>
              <w:contextualSpacing/>
              <w:rPr>
                <w:lang w:val="en-GB"/>
              </w:rPr>
            </w:pPr>
            <w:r w:rsidRPr="00F75FF8">
              <w:rPr>
                <w:lang w:val="en-GB"/>
              </w:rPr>
              <w:t>Voluntary work</w:t>
            </w:r>
          </w:p>
        </w:tc>
        <w:tc>
          <w:tcPr>
            <w:tcW w:w="1892" w:type="dxa"/>
            <w:vAlign w:val="bottom"/>
          </w:tcPr>
          <w:p w14:paraId="15E5D93F" w14:textId="77777777" w:rsidR="00D31EC5" w:rsidRPr="00F75FF8" w:rsidRDefault="00D31EC5" w:rsidP="00692E85">
            <w:pPr>
              <w:keepNext/>
              <w:spacing w:after="160" w:line="360" w:lineRule="auto"/>
              <w:contextualSpacing/>
              <w:rPr>
                <w:lang w:val="en-GB"/>
              </w:rPr>
            </w:pPr>
            <w:r w:rsidRPr="00F75FF8">
              <w:rPr>
                <w:lang w:val="en-GB"/>
              </w:rPr>
              <w:t>5 (15.2 %)</w:t>
            </w:r>
          </w:p>
        </w:tc>
        <w:tc>
          <w:tcPr>
            <w:tcW w:w="1851" w:type="dxa"/>
            <w:vAlign w:val="bottom"/>
          </w:tcPr>
          <w:p w14:paraId="2DCBFF5C" w14:textId="77777777" w:rsidR="00D31EC5" w:rsidRPr="00F75FF8" w:rsidRDefault="00D31EC5" w:rsidP="00692E85">
            <w:pPr>
              <w:keepNext/>
              <w:spacing w:after="160" w:line="360" w:lineRule="auto"/>
              <w:contextualSpacing/>
              <w:rPr>
                <w:lang w:val="en-GB"/>
              </w:rPr>
            </w:pPr>
            <w:r w:rsidRPr="00F75FF8">
              <w:rPr>
                <w:lang w:val="en-GB"/>
              </w:rPr>
              <w:t>17 (58.6 %)</w:t>
            </w:r>
          </w:p>
        </w:tc>
      </w:tr>
      <w:tr w:rsidR="00D31EC5" w:rsidRPr="00F75FF8" w14:paraId="7F270A25" w14:textId="77777777" w:rsidTr="00105037">
        <w:tc>
          <w:tcPr>
            <w:tcW w:w="426" w:type="dxa"/>
            <w:vAlign w:val="bottom"/>
          </w:tcPr>
          <w:p w14:paraId="35791726" w14:textId="77777777" w:rsidR="00D31EC5" w:rsidRPr="00F75FF8" w:rsidRDefault="00D31EC5" w:rsidP="00692E85">
            <w:pPr>
              <w:keepNext/>
              <w:spacing w:after="160" w:line="360" w:lineRule="auto"/>
              <w:contextualSpacing/>
              <w:rPr>
                <w:lang w:val="en-GB"/>
              </w:rPr>
            </w:pPr>
          </w:p>
        </w:tc>
        <w:tc>
          <w:tcPr>
            <w:tcW w:w="4419" w:type="dxa"/>
            <w:vAlign w:val="bottom"/>
          </w:tcPr>
          <w:p w14:paraId="0179D2A4" w14:textId="77777777" w:rsidR="00D31EC5" w:rsidRPr="00F75FF8" w:rsidRDefault="00D31EC5" w:rsidP="00692E85">
            <w:pPr>
              <w:keepNext/>
              <w:spacing w:after="160" w:line="360" w:lineRule="auto"/>
              <w:contextualSpacing/>
              <w:rPr>
                <w:lang w:val="en-GB"/>
              </w:rPr>
            </w:pPr>
            <w:r w:rsidRPr="00F75FF8">
              <w:rPr>
                <w:lang w:val="en-GB"/>
              </w:rPr>
              <w:t>Paid work</w:t>
            </w:r>
          </w:p>
        </w:tc>
        <w:tc>
          <w:tcPr>
            <w:tcW w:w="1892" w:type="dxa"/>
            <w:vAlign w:val="bottom"/>
          </w:tcPr>
          <w:p w14:paraId="39929C25" w14:textId="77777777" w:rsidR="00D31EC5" w:rsidRPr="00F75FF8" w:rsidRDefault="00D31EC5" w:rsidP="00692E85">
            <w:pPr>
              <w:keepNext/>
              <w:spacing w:after="160" w:line="360" w:lineRule="auto"/>
              <w:contextualSpacing/>
              <w:rPr>
                <w:lang w:val="en-GB"/>
              </w:rPr>
            </w:pPr>
            <w:r w:rsidRPr="00F75FF8">
              <w:rPr>
                <w:lang w:val="en-GB"/>
              </w:rPr>
              <w:t>4 (12.1 %)</w:t>
            </w:r>
          </w:p>
        </w:tc>
        <w:tc>
          <w:tcPr>
            <w:tcW w:w="1851" w:type="dxa"/>
            <w:vAlign w:val="bottom"/>
          </w:tcPr>
          <w:p w14:paraId="487D049E" w14:textId="77777777" w:rsidR="00D31EC5" w:rsidRPr="00F75FF8" w:rsidRDefault="00D31EC5" w:rsidP="00692E85">
            <w:pPr>
              <w:keepNext/>
              <w:spacing w:after="160" w:line="360" w:lineRule="auto"/>
              <w:contextualSpacing/>
              <w:rPr>
                <w:lang w:val="en-GB"/>
              </w:rPr>
            </w:pPr>
            <w:r w:rsidRPr="00F75FF8">
              <w:rPr>
                <w:lang w:val="en-GB"/>
              </w:rPr>
              <w:t>6 (20.7 %)</w:t>
            </w:r>
          </w:p>
        </w:tc>
      </w:tr>
      <w:tr w:rsidR="00D31EC5" w:rsidRPr="00F75FF8" w14:paraId="4033AB10" w14:textId="77777777" w:rsidTr="00105037">
        <w:tc>
          <w:tcPr>
            <w:tcW w:w="426" w:type="dxa"/>
            <w:vAlign w:val="bottom"/>
          </w:tcPr>
          <w:p w14:paraId="17BD2B19" w14:textId="77777777" w:rsidR="00D31EC5" w:rsidRPr="00F75FF8" w:rsidRDefault="00D31EC5" w:rsidP="00692E85">
            <w:pPr>
              <w:keepNext/>
              <w:spacing w:after="160" w:line="360" w:lineRule="auto"/>
              <w:contextualSpacing/>
              <w:rPr>
                <w:lang w:val="en-GB"/>
              </w:rPr>
            </w:pPr>
          </w:p>
        </w:tc>
        <w:tc>
          <w:tcPr>
            <w:tcW w:w="4419" w:type="dxa"/>
            <w:vAlign w:val="bottom"/>
          </w:tcPr>
          <w:p w14:paraId="4F2B2916" w14:textId="77777777" w:rsidR="00D31EC5" w:rsidRPr="00F75FF8" w:rsidRDefault="00D31EC5" w:rsidP="00692E85">
            <w:pPr>
              <w:keepNext/>
              <w:spacing w:after="160" w:line="360" w:lineRule="auto"/>
              <w:contextualSpacing/>
              <w:rPr>
                <w:lang w:val="en-GB"/>
              </w:rPr>
            </w:pPr>
            <w:r w:rsidRPr="00F75FF8">
              <w:rPr>
                <w:lang w:val="en-GB"/>
              </w:rPr>
              <w:t>None</w:t>
            </w:r>
          </w:p>
        </w:tc>
        <w:tc>
          <w:tcPr>
            <w:tcW w:w="1892" w:type="dxa"/>
            <w:vAlign w:val="bottom"/>
          </w:tcPr>
          <w:p w14:paraId="45D40403" w14:textId="77777777" w:rsidR="00D31EC5" w:rsidRPr="00F75FF8" w:rsidRDefault="00D31EC5" w:rsidP="00692E85">
            <w:pPr>
              <w:keepNext/>
              <w:spacing w:after="160" w:line="360" w:lineRule="auto"/>
              <w:contextualSpacing/>
              <w:rPr>
                <w:lang w:val="en-GB"/>
              </w:rPr>
            </w:pPr>
            <w:r w:rsidRPr="00F75FF8">
              <w:rPr>
                <w:lang w:val="en-GB"/>
              </w:rPr>
              <w:t>22 (66.7%)</w:t>
            </w:r>
          </w:p>
        </w:tc>
        <w:tc>
          <w:tcPr>
            <w:tcW w:w="1851" w:type="dxa"/>
            <w:vAlign w:val="bottom"/>
          </w:tcPr>
          <w:p w14:paraId="71AACAD1" w14:textId="77777777" w:rsidR="00D31EC5" w:rsidRPr="00F75FF8" w:rsidRDefault="00D31EC5" w:rsidP="00692E85">
            <w:pPr>
              <w:keepNext/>
              <w:spacing w:after="160" w:line="360" w:lineRule="auto"/>
              <w:contextualSpacing/>
              <w:rPr>
                <w:lang w:val="en-GB"/>
              </w:rPr>
            </w:pPr>
            <w:r w:rsidRPr="00F75FF8">
              <w:rPr>
                <w:lang w:val="en-GB"/>
              </w:rPr>
              <w:t>0 (0 %)</w:t>
            </w:r>
          </w:p>
        </w:tc>
      </w:tr>
      <w:tr w:rsidR="00D31EC5" w:rsidRPr="00F75FF8" w14:paraId="69367965" w14:textId="77777777" w:rsidTr="00105037">
        <w:tc>
          <w:tcPr>
            <w:tcW w:w="4845" w:type="dxa"/>
            <w:gridSpan w:val="2"/>
            <w:vAlign w:val="bottom"/>
          </w:tcPr>
          <w:p w14:paraId="19365776" w14:textId="77777777" w:rsidR="00D31EC5" w:rsidRPr="00F75FF8" w:rsidRDefault="00D31EC5" w:rsidP="00692E85">
            <w:pPr>
              <w:keepNext/>
              <w:spacing w:after="160" w:line="360" w:lineRule="auto"/>
              <w:contextualSpacing/>
              <w:rPr>
                <w:lang w:val="en-GB"/>
              </w:rPr>
            </w:pPr>
            <w:r w:rsidRPr="00F75FF8">
              <w:rPr>
                <w:lang w:val="en-GB"/>
              </w:rPr>
              <w:t xml:space="preserve">Mindfulness (MAAS), </w:t>
            </w:r>
            <w:r w:rsidRPr="00F75FF8">
              <w:rPr>
                <w:i/>
                <w:lang w:val="en-GB"/>
              </w:rPr>
              <w:t>M</w:t>
            </w:r>
            <w:r w:rsidRPr="00F75FF8">
              <w:rPr>
                <w:lang w:val="en-GB"/>
              </w:rPr>
              <w:t xml:space="preserve"> (</w:t>
            </w:r>
            <w:r w:rsidRPr="00F75FF8">
              <w:rPr>
                <w:i/>
                <w:lang w:val="en-GB"/>
              </w:rPr>
              <w:t>SD</w:t>
            </w:r>
            <w:r w:rsidRPr="00F75FF8">
              <w:rPr>
                <w:lang w:val="en-GB"/>
              </w:rPr>
              <w:t>)</w:t>
            </w:r>
          </w:p>
        </w:tc>
        <w:tc>
          <w:tcPr>
            <w:tcW w:w="1892" w:type="dxa"/>
            <w:vAlign w:val="bottom"/>
          </w:tcPr>
          <w:p w14:paraId="54C60AC1" w14:textId="77777777" w:rsidR="00D31EC5" w:rsidRPr="00F75FF8" w:rsidRDefault="00D31EC5" w:rsidP="00692E85">
            <w:pPr>
              <w:keepNext/>
              <w:spacing w:after="160" w:line="360" w:lineRule="auto"/>
              <w:contextualSpacing/>
              <w:rPr>
                <w:lang w:val="en-GB"/>
              </w:rPr>
            </w:pPr>
            <w:r w:rsidRPr="00F75FF8">
              <w:rPr>
                <w:lang w:val="en-GB"/>
              </w:rPr>
              <w:t>3.78 (.57)</w:t>
            </w:r>
          </w:p>
        </w:tc>
        <w:tc>
          <w:tcPr>
            <w:tcW w:w="1851" w:type="dxa"/>
            <w:vAlign w:val="bottom"/>
          </w:tcPr>
          <w:p w14:paraId="4C97737E" w14:textId="77777777" w:rsidR="00D31EC5" w:rsidRPr="00F75FF8" w:rsidRDefault="00D31EC5" w:rsidP="00692E85">
            <w:pPr>
              <w:keepNext/>
              <w:spacing w:after="160" w:line="360" w:lineRule="auto"/>
              <w:contextualSpacing/>
              <w:rPr>
                <w:lang w:val="en-GB"/>
              </w:rPr>
            </w:pPr>
            <w:r w:rsidRPr="00F75FF8">
              <w:rPr>
                <w:lang w:val="en-GB"/>
              </w:rPr>
              <w:t>3.86 (.75)</w:t>
            </w:r>
          </w:p>
        </w:tc>
      </w:tr>
      <w:tr w:rsidR="00D31EC5" w:rsidRPr="00F75FF8" w14:paraId="6804E7B9" w14:textId="77777777" w:rsidTr="00692E85">
        <w:trPr>
          <w:trHeight w:val="40"/>
        </w:trPr>
        <w:tc>
          <w:tcPr>
            <w:tcW w:w="8588" w:type="dxa"/>
            <w:gridSpan w:val="4"/>
            <w:tcBorders>
              <w:top w:val="single" w:sz="8" w:space="0" w:color="auto"/>
            </w:tcBorders>
          </w:tcPr>
          <w:p w14:paraId="69DC029D" w14:textId="77777777" w:rsidR="00D31EC5" w:rsidRPr="00F75FF8" w:rsidRDefault="00D31EC5" w:rsidP="00692E85">
            <w:pPr>
              <w:keepNext/>
              <w:spacing w:after="160" w:line="360" w:lineRule="auto"/>
              <w:contextualSpacing/>
            </w:pPr>
            <w:r w:rsidRPr="00F75FF8">
              <w:t>MAAS = Mindful Attention Awareness Scale.</w:t>
            </w:r>
          </w:p>
          <w:p w14:paraId="385D2298" w14:textId="77777777" w:rsidR="00D31EC5" w:rsidRPr="00F75FF8" w:rsidRDefault="00D31EC5" w:rsidP="00692E85">
            <w:pPr>
              <w:keepNext/>
              <w:spacing w:after="160" w:line="360" w:lineRule="auto"/>
              <w:contextualSpacing/>
              <w:rPr>
                <w:lang w:val="en-GB"/>
              </w:rPr>
            </w:pPr>
            <w:proofErr w:type="gramStart"/>
            <w:r w:rsidRPr="00F75FF8">
              <w:rPr>
                <w:vertAlign w:val="superscript"/>
              </w:rPr>
              <w:t>a</w:t>
            </w:r>
            <w:proofErr w:type="gramEnd"/>
            <w:r w:rsidRPr="00F75FF8">
              <w:rPr>
                <w:vertAlign w:val="superscript"/>
              </w:rPr>
              <w:t xml:space="preserve"> </w:t>
            </w:r>
            <w:r w:rsidRPr="00F75FF8">
              <w:t>Percentages do not add up because multiple responses were allowed, e.g. internship and paid work.</w:t>
            </w:r>
          </w:p>
        </w:tc>
      </w:tr>
    </w:tbl>
    <w:p w14:paraId="30C16F84" w14:textId="77777777" w:rsidR="00D31EC5" w:rsidRPr="00F75FF8" w:rsidRDefault="00D31EC5" w:rsidP="006833CC">
      <w:pPr>
        <w:keepNext/>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992"/>
        <w:gridCol w:w="410"/>
        <w:gridCol w:w="279"/>
        <w:gridCol w:w="614"/>
        <w:gridCol w:w="823"/>
        <w:gridCol w:w="357"/>
        <w:gridCol w:w="1632"/>
      </w:tblGrid>
      <w:tr w:rsidR="00D31EC5" w:rsidRPr="00F75FF8" w14:paraId="50D392D7" w14:textId="77777777" w:rsidTr="00692E85">
        <w:tc>
          <w:tcPr>
            <w:tcW w:w="5934" w:type="dxa"/>
            <w:gridSpan w:val="5"/>
          </w:tcPr>
          <w:p w14:paraId="0B62B701" w14:textId="77777777" w:rsidR="00D31EC5" w:rsidRPr="00F75FF8" w:rsidRDefault="00D31EC5" w:rsidP="00692E85">
            <w:pPr>
              <w:spacing w:after="160" w:line="360" w:lineRule="auto"/>
              <w:contextualSpacing/>
              <w:rPr>
                <w:b/>
              </w:rPr>
            </w:pPr>
            <w:r w:rsidRPr="00F75FF8">
              <w:rPr>
                <w:b/>
              </w:rPr>
              <w:t>Table 2</w:t>
            </w:r>
          </w:p>
          <w:p w14:paraId="651345B4" w14:textId="77777777" w:rsidR="00D31EC5" w:rsidRPr="00F75FF8" w:rsidRDefault="00D31EC5" w:rsidP="00692E85">
            <w:pPr>
              <w:spacing w:after="160" w:line="360" w:lineRule="auto"/>
              <w:contextualSpacing/>
              <w:rPr>
                <w:b/>
                <w:i/>
              </w:rPr>
            </w:pPr>
            <w:r w:rsidRPr="00F75FF8">
              <w:rPr>
                <w:b/>
                <w:i/>
              </w:rPr>
              <w:t>Manipulation checks</w:t>
            </w:r>
          </w:p>
        </w:tc>
        <w:tc>
          <w:tcPr>
            <w:tcW w:w="1794" w:type="dxa"/>
            <w:gridSpan w:val="3"/>
          </w:tcPr>
          <w:p w14:paraId="2F65E7E7" w14:textId="77777777" w:rsidR="00D31EC5" w:rsidRPr="00F75FF8" w:rsidRDefault="00D31EC5" w:rsidP="00692E85">
            <w:pPr>
              <w:spacing w:after="160" w:line="360" w:lineRule="auto"/>
              <w:contextualSpacing/>
              <w:rPr>
                <w:lang w:val="en-GB"/>
              </w:rPr>
            </w:pPr>
          </w:p>
        </w:tc>
        <w:tc>
          <w:tcPr>
            <w:tcW w:w="1632" w:type="dxa"/>
          </w:tcPr>
          <w:p w14:paraId="737E56C4" w14:textId="77777777" w:rsidR="00D31EC5" w:rsidRPr="00F75FF8" w:rsidRDefault="00D31EC5" w:rsidP="00692E85">
            <w:pPr>
              <w:spacing w:after="160" w:line="360" w:lineRule="auto"/>
              <w:contextualSpacing/>
              <w:rPr>
                <w:lang w:val="en-GB"/>
              </w:rPr>
            </w:pPr>
          </w:p>
        </w:tc>
      </w:tr>
      <w:tr w:rsidR="00D31EC5" w:rsidRPr="00F75FF8" w14:paraId="426EA9FB" w14:textId="77777777" w:rsidTr="00692E85">
        <w:trPr>
          <w:gridAfter w:val="2"/>
          <w:wAfter w:w="1989" w:type="dxa"/>
        </w:trPr>
        <w:tc>
          <w:tcPr>
            <w:tcW w:w="3402" w:type="dxa"/>
            <w:tcBorders>
              <w:top w:val="single" w:sz="8" w:space="0" w:color="auto"/>
            </w:tcBorders>
          </w:tcPr>
          <w:p w14:paraId="5FB522D6" w14:textId="77777777" w:rsidR="00D31EC5" w:rsidRPr="00F75FF8" w:rsidRDefault="00D31EC5" w:rsidP="00692E85">
            <w:pPr>
              <w:spacing w:after="160" w:line="360" w:lineRule="auto"/>
              <w:contextualSpacing/>
              <w:rPr>
                <w:lang w:val="en-GB"/>
              </w:rPr>
            </w:pPr>
          </w:p>
        </w:tc>
        <w:tc>
          <w:tcPr>
            <w:tcW w:w="1843" w:type="dxa"/>
            <w:gridSpan w:val="2"/>
            <w:tcBorders>
              <w:top w:val="single" w:sz="8" w:space="0" w:color="auto"/>
              <w:bottom w:val="single" w:sz="8" w:space="0" w:color="auto"/>
            </w:tcBorders>
          </w:tcPr>
          <w:p w14:paraId="430658B0" w14:textId="77777777" w:rsidR="00D31EC5" w:rsidRPr="00F75FF8" w:rsidRDefault="00D31EC5" w:rsidP="00692E85">
            <w:pPr>
              <w:spacing w:after="160" w:line="360" w:lineRule="auto"/>
              <w:contextualSpacing/>
              <w:jc w:val="center"/>
              <w:rPr>
                <w:lang w:val="en-GB"/>
              </w:rPr>
            </w:pPr>
            <w:r w:rsidRPr="00F75FF8">
              <w:rPr>
                <w:lang w:val="en-GB"/>
              </w:rPr>
              <w:t>Sample 1 (</w:t>
            </w:r>
            <w:r w:rsidRPr="00F75FF8">
              <w:rPr>
                <w:i/>
                <w:lang w:val="en-GB"/>
              </w:rPr>
              <w:t>N</w:t>
            </w:r>
            <w:r w:rsidRPr="00F75FF8">
              <w:rPr>
                <w:lang w:val="en-GB"/>
              </w:rPr>
              <w:t>=33)</w:t>
            </w:r>
            <w:r w:rsidRPr="00F75FF8">
              <w:rPr>
                <w:vertAlign w:val="superscript"/>
              </w:rPr>
              <w:t xml:space="preserve"> a</w:t>
            </w:r>
          </w:p>
        </w:tc>
        <w:tc>
          <w:tcPr>
            <w:tcW w:w="2126" w:type="dxa"/>
            <w:gridSpan w:val="4"/>
            <w:tcBorders>
              <w:top w:val="single" w:sz="8" w:space="0" w:color="auto"/>
              <w:bottom w:val="single" w:sz="8" w:space="0" w:color="auto"/>
            </w:tcBorders>
          </w:tcPr>
          <w:p w14:paraId="658535D2" w14:textId="77777777" w:rsidR="00D31EC5" w:rsidRPr="00F75FF8" w:rsidRDefault="00D31EC5" w:rsidP="00692E85">
            <w:pPr>
              <w:spacing w:after="160" w:line="360" w:lineRule="auto"/>
              <w:contextualSpacing/>
              <w:jc w:val="center"/>
              <w:rPr>
                <w:lang w:val="en-GB"/>
              </w:rPr>
            </w:pPr>
            <w:r w:rsidRPr="00F75FF8">
              <w:rPr>
                <w:lang w:val="en-GB"/>
              </w:rPr>
              <w:t>Sample 2 (</w:t>
            </w:r>
            <w:r w:rsidRPr="00F75FF8">
              <w:rPr>
                <w:i/>
                <w:lang w:val="en-GB"/>
              </w:rPr>
              <w:t>N</w:t>
            </w:r>
            <w:r w:rsidRPr="00F75FF8">
              <w:rPr>
                <w:lang w:val="en-GB"/>
              </w:rPr>
              <w:t>=28)</w:t>
            </w:r>
            <w:r w:rsidRPr="00F75FF8">
              <w:rPr>
                <w:vertAlign w:val="superscript"/>
              </w:rPr>
              <w:t xml:space="preserve"> b</w:t>
            </w:r>
          </w:p>
        </w:tc>
      </w:tr>
      <w:tr w:rsidR="00D31EC5" w:rsidRPr="00F75FF8" w14:paraId="4E4E8F78" w14:textId="77777777" w:rsidTr="00692E85">
        <w:trPr>
          <w:gridAfter w:val="2"/>
          <w:wAfter w:w="1989" w:type="dxa"/>
        </w:trPr>
        <w:tc>
          <w:tcPr>
            <w:tcW w:w="3402" w:type="dxa"/>
            <w:tcBorders>
              <w:bottom w:val="single" w:sz="8" w:space="0" w:color="auto"/>
            </w:tcBorders>
          </w:tcPr>
          <w:p w14:paraId="2A7BE338" w14:textId="77777777" w:rsidR="00D31EC5" w:rsidRPr="00F75FF8" w:rsidRDefault="00D31EC5" w:rsidP="00692E85">
            <w:pPr>
              <w:spacing w:after="160" w:line="360" w:lineRule="auto"/>
              <w:contextualSpacing/>
              <w:rPr>
                <w:lang w:val="en-GB"/>
              </w:rPr>
            </w:pPr>
            <w:r w:rsidRPr="00F75FF8">
              <w:rPr>
                <w:lang w:val="en-GB"/>
              </w:rPr>
              <w:t>Variable</w:t>
            </w:r>
          </w:p>
        </w:tc>
        <w:tc>
          <w:tcPr>
            <w:tcW w:w="851" w:type="dxa"/>
            <w:tcBorders>
              <w:top w:val="single" w:sz="8" w:space="0" w:color="auto"/>
              <w:bottom w:val="single" w:sz="8" w:space="0" w:color="auto"/>
            </w:tcBorders>
          </w:tcPr>
          <w:p w14:paraId="6DC8976F" w14:textId="77777777" w:rsidR="00D31EC5" w:rsidRPr="00F75FF8" w:rsidRDefault="00D31EC5" w:rsidP="00692E85">
            <w:pPr>
              <w:spacing w:after="160" w:line="360" w:lineRule="auto"/>
              <w:contextualSpacing/>
              <w:jc w:val="center"/>
              <w:rPr>
                <w:i/>
                <w:lang w:val="en-GB"/>
              </w:rPr>
            </w:pPr>
            <w:r w:rsidRPr="00F75FF8">
              <w:rPr>
                <w:i/>
                <w:lang w:val="en-GB"/>
              </w:rPr>
              <w:t>M</w:t>
            </w:r>
          </w:p>
        </w:tc>
        <w:tc>
          <w:tcPr>
            <w:tcW w:w="1402" w:type="dxa"/>
            <w:gridSpan w:val="2"/>
            <w:tcBorders>
              <w:top w:val="single" w:sz="8" w:space="0" w:color="auto"/>
              <w:bottom w:val="single" w:sz="8" w:space="0" w:color="auto"/>
            </w:tcBorders>
          </w:tcPr>
          <w:p w14:paraId="43667117" w14:textId="17B1D59B" w:rsidR="00D31EC5" w:rsidRPr="00F75FF8" w:rsidRDefault="00692E85" w:rsidP="00692E85">
            <w:pPr>
              <w:spacing w:after="160" w:line="360" w:lineRule="auto"/>
              <w:contextualSpacing/>
              <w:rPr>
                <w:i/>
                <w:lang w:val="en-GB"/>
              </w:rPr>
            </w:pPr>
            <w:r w:rsidRPr="00F75FF8">
              <w:rPr>
                <w:i/>
                <w:lang w:val="en-GB"/>
              </w:rPr>
              <w:t xml:space="preserve">   </w:t>
            </w:r>
            <w:r w:rsidR="00D31EC5" w:rsidRPr="00F75FF8">
              <w:rPr>
                <w:i/>
                <w:lang w:val="en-GB"/>
              </w:rPr>
              <w:t>SD</w:t>
            </w:r>
          </w:p>
        </w:tc>
        <w:tc>
          <w:tcPr>
            <w:tcW w:w="893" w:type="dxa"/>
            <w:gridSpan w:val="2"/>
            <w:tcBorders>
              <w:top w:val="single" w:sz="8" w:space="0" w:color="auto"/>
              <w:bottom w:val="single" w:sz="8" w:space="0" w:color="auto"/>
            </w:tcBorders>
          </w:tcPr>
          <w:p w14:paraId="4C0D4B42" w14:textId="497AAC67" w:rsidR="00D31EC5" w:rsidRPr="00F75FF8" w:rsidRDefault="00692E85" w:rsidP="00692E85">
            <w:pPr>
              <w:spacing w:after="160" w:line="360" w:lineRule="auto"/>
              <w:contextualSpacing/>
              <w:rPr>
                <w:lang w:val="en-GB"/>
              </w:rPr>
            </w:pPr>
            <w:r w:rsidRPr="00F75FF8">
              <w:rPr>
                <w:i/>
                <w:lang w:val="en-GB"/>
              </w:rPr>
              <w:t xml:space="preserve">   </w:t>
            </w:r>
            <w:r w:rsidR="00D31EC5" w:rsidRPr="00F75FF8">
              <w:rPr>
                <w:i/>
                <w:lang w:val="en-GB"/>
              </w:rPr>
              <w:t>M</w:t>
            </w:r>
          </w:p>
        </w:tc>
        <w:tc>
          <w:tcPr>
            <w:tcW w:w="823" w:type="dxa"/>
            <w:tcBorders>
              <w:top w:val="single" w:sz="8" w:space="0" w:color="auto"/>
              <w:bottom w:val="single" w:sz="8" w:space="0" w:color="auto"/>
            </w:tcBorders>
          </w:tcPr>
          <w:p w14:paraId="350CFCE4" w14:textId="621CA7AD" w:rsidR="00D31EC5" w:rsidRPr="00F75FF8" w:rsidRDefault="00692E85" w:rsidP="00692E85">
            <w:pPr>
              <w:spacing w:after="160" w:line="360" w:lineRule="auto"/>
              <w:contextualSpacing/>
              <w:rPr>
                <w:lang w:val="en-GB"/>
              </w:rPr>
            </w:pPr>
            <w:r w:rsidRPr="00F75FF8">
              <w:rPr>
                <w:i/>
                <w:lang w:val="en-GB"/>
              </w:rPr>
              <w:t xml:space="preserve">   </w:t>
            </w:r>
            <w:r w:rsidR="00D31EC5" w:rsidRPr="00F75FF8">
              <w:rPr>
                <w:i/>
                <w:lang w:val="en-GB"/>
              </w:rPr>
              <w:t>SD</w:t>
            </w:r>
          </w:p>
        </w:tc>
      </w:tr>
      <w:tr w:rsidR="00D31EC5" w:rsidRPr="00F75FF8" w14:paraId="62951679" w14:textId="77777777" w:rsidTr="00692E85">
        <w:trPr>
          <w:gridAfter w:val="2"/>
          <w:wAfter w:w="1989" w:type="dxa"/>
          <w:trHeight w:val="283"/>
        </w:trPr>
        <w:tc>
          <w:tcPr>
            <w:tcW w:w="3402" w:type="dxa"/>
            <w:tcBorders>
              <w:top w:val="single" w:sz="8" w:space="0" w:color="auto"/>
            </w:tcBorders>
          </w:tcPr>
          <w:p w14:paraId="36E2C3DD" w14:textId="77777777" w:rsidR="00D31EC5" w:rsidRPr="00F75FF8" w:rsidRDefault="00D31EC5" w:rsidP="00692E85">
            <w:pPr>
              <w:spacing w:after="160" w:line="360" w:lineRule="auto"/>
              <w:contextualSpacing/>
              <w:rPr>
                <w:lang w:val="en-GB"/>
              </w:rPr>
            </w:pPr>
            <w:r w:rsidRPr="00F75FF8">
              <w:rPr>
                <w:lang w:val="en-GB"/>
              </w:rPr>
              <w:t>Stressful</w:t>
            </w:r>
          </w:p>
        </w:tc>
        <w:tc>
          <w:tcPr>
            <w:tcW w:w="851" w:type="dxa"/>
            <w:tcBorders>
              <w:top w:val="single" w:sz="8" w:space="0" w:color="auto"/>
            </w:tcBorders>
          </w:tcPr>
          <w:p w14:paraId="3480C3E3" w14:textId="77777777" w:rsidR="00D31EC5" w:rsidRPr="00F75FF8" w:rsidRDefault="00D31EC5" w:rsidP="00692E85">
            <w:pPr>
              <w:spacing w:after="160" w:line="360" w:lineRule="auto"/>
              <w:contextualSpacing/>
              <w:rPr>
                <w:lang w:val="en-GB"/>
              </w:rPr>
            </w:pPr>
            <w:r w:rsidRPr="00F75FF8">
              <w:rPr>
                <w:lang w:val="en-GB"/>
              </w:rPr>
              <w:t>15.19</w:t>
            </w:r>
          </w:p>
        </w:tc>
        <w:tc>
          <w:tcPr>
            <w:tcW w:w="1402" w:type="dxa"/>
            <w:gridSpan w:val="2"/>
            <w:tcBorders>
              <w:top w:val="single" w:sz="8" w:space="0" w:color="auto"/>
            </w:tcBorders>
          </w:tcPr>
          <w:p w14:paraId="4AE7A3B2" w14:textId="77777777" w:rsidR="00D31EC5" w:rsidRPr="00F75FF8" w:rsidRDefault="00D31EC5" w:rsidP="00692E85">
            <w:pPr>
              <w:spacing w:after="160" w:line="360" w:lineRule="auto"/>
              <w:contextualSpacing/>
              <w:rPr>
                <w:lang w:val="en-GB"/>
              </w:rPr>
            </w:pPr>
            <w:r w:rsidRPr="00F75FF8">
              <w:rPr>
                <w:lang w:val="en-GB"/>
              </w:rPr>
              <w:t>15.80</w:t>
            </w:r>
          </w:p>
        </w:tc>
        <w:tc>
          <w:tcPr>
            <w:tcW w:w="893" w:type="dxa"/>
            <w:gridSpan w:val="2"/>
            <w:tcBorders>
              <w:top w:val="single" w:sz="8" w:space="0" w:color="auto"/>
            </w:tcBorders>
          </w:tcPr>
          <w:p w14:paraId="337FC167" w14:textId="77777777" w:rsidR="00D31EC5" w:rsidRPr="00F75FF8" w:rsidRDefault="00D31EC5" w:rsidP="00692E85">
            <w:pPr>
              <w:spacing w:after="160" w:line="360" w:lineRule="auto"/>
              <w:contextualSpacing/>
              <w:rPr>
                <w:lang w:val="en-GB"/>
              </w:rPr>
            </w:pPr>
            <w:r w:rsidRPr="00F75FF8">
              <w:rPr>
                <w:lang w:val="en-GB"/>
              </w:rPr>
              <w:t>14.00</w:t>
            </w:r>
          </w:p>
        </w:tc>
        <w:tc>
          <w:tcPr>
            <w:tcW w:w="823" w:type="dxa"/>
            <w:tcBorders>
              <w:top w:val="single" w:sz="8" w:space="0" w:color="auto"/>
            </w:tcBorders>
          </w:tcPr>
          <w:p w14:paraId="472B48CF" w14:textId="77777777" w:rsidR="00D31EC5" w:rsidRPr="00F75FF8" w:rsidRDefault="00D31EC5" w:rsidP="00692E85">
            <w:pPr>
              <w:spacing w:line="360" w:lineRule="auto"/>
              <w:contextualSpacing/>
              <w:rPr>
                <w:lang w:val="en-GB"/>
              </w:rPr>
            </w:pPr>
            <w:r w:rsidRPr="00F75FF8">
              <w:rPr>
                <w:lang w:val="en-GB"/>
              </w:rPr>
              <w:t>17.21</w:t>
            </w:r>
          </w:p>
        </w:tc>
      </w:tr>
      <w:tr w:rsidR="00D31EC5" w:rsidRPr="00F75FF8" w14:paraId="698A4BD2" w14:textId="77777777" w:rsidTr="00692E85">
        <w:trPr>
          <w:gridAfter w:val="2"/>
          <w:wAfter w:w="1989" w:type="dxa"/>
          <w:trHeight w:val="265"/>
        </w:trPr>
        <w:tc>
          <w:tcPr>
            <w:tcW w:w="3402" w:type="dxa"/>
          </w:tcPr>
          <w:p w14:paraId="0C8C01AB" w14:textId="77777777" w:rsidR="00D31EC5" w:rsidRPr="00F75FF8" w:rsidRDefault="00D31EC5" w:rsidP="00692E85">
            <w:pPr>
              <w:keepNext/>
              <w:spacing w:after="160" w:line="360" w:lineRule="auto"/>
              <w:contextualSpacing/>
              <w:rPr>
                <w:lang w:val="en-GB"/>
              </w:rPr>
            </w:pPr>
            <w:r w:rsidRPr="00F75FF8">
              <w:rPr>
                <w:lang w:val="en-GB"/>
              </w:rPr>
              <w:t>Fun</w:t>
            </w:r>
          </w:p>
        </w:tc>
        <w:tc>
          <w:tcPr>
            <w:tcW w:w="851" w:type="dxa"/>
          </w:tcPr>
          <w:p w14:paraId="7228AB33" w14:textId="77777777" w:rsidR="00D31EC5" w:rsidRPr="00F75FF8" w:rsidRDefault="00D31EC5" w:rsidP="00692E85">
            <w:pPr>
              <w:keepNext/>
              <w:spacing w:after="160" w:line="360" w:lineRule="auto"/>
              <w:contextualSpacing/>
              <w:rPr>
                <w:lang w:val="en-GB"/>
              </w:rPr>
            </w:pPr>
            <w:r w:rsidRPr="00F75FF8">
              <w:rPr>
                <w:lang w:val="en-GB"/>
              </w:rPr>
              <w:t>46.09</w:t>
            </w:r>
          </w:p>
        </w:tc>
        <w:tc>
          <w:tcPr>
            <w:tcW w:w="1402" w:type="dxa"/>
            <w:gridSpan w:val="2"/>
          </w:tcPr>
          <w:p w14:paraId="1D3CB891" w14:textId="77777777" w:rsidR="00D31EC5" w:rsidRPr="00F75FF8" w:rsidRDefault="00D31EC5" w:rsidP="00692E85">
            <w:pPr>
              <w:keepNext/>
              <w:spacing w:after="160" w:line="360" w:lineRule="auto"/>
              <w:contextualSpacing/>
              <w:rPr>
                <w:lang w:val="en-GB"/>
              </w:rPr>
            </w:pPr>
            <w:r w:rsidRPr="00F75FF8">
              <w:rPr>
                <w:lang w:val="en-GB"/>
              </w:rPr>
              <w:t>20.94</w:t>
            </w:r>
          </w:p>
        </w:tc>
        <w:tc>
          <w:tcPr>
            <w:tcW w:w="893" w:type="dxa"/>
            <w:gridSpan w:val="2"/>
          </w:tcPr>
          <w:p w14:paraId="3D816206" w14:textId="77777777" w:rsidR="00D31EC5" w:rsidRPr="00F75FF8" w:rsidRDefault="00D31EC5" w:rsidP="00692E85">
            <w:pPr>
              <w:keepNext/>
              <w:spacing w:after="160" w:line="360" w:lineRule="auto"/>
              <w:contextualSpacing/>
              <w:rPr>
                <w:lang w:val="en-GB"/>
              </w:rPr>
            </w:pPr>
            <w:r w:rsidRPr="00F75FF8">
              <w:rPr>
                <w:lang w:val="en-GB"/>
              </w:rPr>
              <w:t>38.46</w:t>
            </w:r>
          </w:p>
        </w:tc>
        <w:tc>
          <w:tcPr>
            <w:tcW w:w="823" w:type="dxa"/>
          </w:tcPr>
          <w:p w14:paraId="279A67BB" w14:textId="77777777" w:rsidR="00D31EC5" w:rsidRPr="00F75FF8" w:rsidRDefault="00D31EC5" w:rsidP="00692E85">
            <w:pPr>
              <w:keepNext/>
              <w:spacing w:after="160" w:line="360" w:lineRule="auto"/>
              <w:contextualSpacing/>
              <w:rPr>
                <w:lang w:val="en-GB"/>
              </w:rPr>
            </w:pPr>
            <w:r w:rsidRPr="00F75FF8">
              <w:rPr>
                <w:lang w:val="en-GB"/>
              </w:rPr>
              <w:t>18.99</w:t>
            </w:r>
          </w:p>
        </w:tc>
      </w:tr>
      <w:tr w:rsidR="00D31EC5" w:rsidRPr="00F75FF8" w14:paraId="24A871D7" w14:textId="77777777" w:rsidTr="00692E85">
        <w:trPr>
          <w:gridAfter w:val="2"/>
          <w:wAfter w:w="1989" w:type="dxa"/>
          <w:trHeight w:val="241"/>
        </w:trPr>
        <w:tc>
          <w:tcPr>
            <w:tcW w:w="3402" w:type="dxa"/>
          </w:tcPr>
          <w:p w14:paraId="798B9DCA" w14:textId="77777777" w:rsidR="00D31EC5" w:rsidRPr="00F75FF8" w:rsidRDefault="00D31EC5" w:rsidP="00692E85">
            <w:pPr>
              <w:keepNext/>
              <w:spacing w:after="160" w:line="360" w:lineRule="auto"/>
              <w:contextualSpacing/>
              <w:rPr>
                <w:lang w:val="en-GB"/>
              </w:rPr>
            </w:pPr>
            <w:r w:rsidRPr="00F75FF8">
              <w:rPr>
                <w:lang w:val="en-GB"/>
              </w:rPr>
              <w:t>Boring</w:t>
            </w:r>
          </w:p>
        </w:tc>
        <w:tc>
          <w:tcPr>
            <w:tcW w:w="851" w:type="dxa"/>
          </w:tcPr>
          <w:p w14:paraId="7C313ACD" w14:textId="77777777" w:rsidR="00D31EC5" w:rsidRPr="00F75FF8" w:rsidRDefault="00D31EC5" w:rsidP="00692E85">
            <w:pPr>
              <w:keepNext/>
              <w:spacing w:after="160" w:line="360" w:lineRule="auto"/>
              <w:contextualSpacing/>
              <w:rPr>
                <w:lang w:val="en-GB"/>
              </w:rPr>
            </w:pPr>
            <w:r w:rsidRPr="00F75FF8">
              <w:rPr>
                <w:lang w:val="en-GB"/>
              </w:rPr>
              <w:t>28.58</w:t>
            </w:r>
          </w:p>
        </w:tc>
        <w:tc>
          <w:tcPr>
            <w:tcW w:w="1402" w:type="dxa"/>
            <w:gridSpan w:val="2"/>
          </w:tcPr>
          <w:p w14:paraId="07A9C462" w14:textId="77777777" w:rsidR="00D31EC5" w:rsidRPr="00F75FF8" w:rsidRDefault="00D31EC5" w:rsidP="00692E85">
            <w:pPr>
              <w:keepNext/>
              <w:spacing w:after="160" w:line="360" w:lineRule="auto"/>
              <w:contextualSpacing/>
              <w:rPr>
                <w:lang w:val="en-GB"/>
              </w:rPr>
            </w:pPr>
            <w:r w:rsidRPr="00F75FF8">
              <w:rPr>
                <w:lang w:val="en-GB"/>
              </w:rPr>
              <w:t>25.21</w:t>
            </w:r>
          </w:p>
        </w:tc>
        <w:tc>
          <w:tcPr>
            <w:tcW w:w="893" w:type="dxa"/>
            <w:gridSpan w:val="2"/>
          </w:tcPr>
          <w:p w14:paraId="16DFAB76" w14:textId="77777777" w:rsidR="00D31EC5" w:rsidRPr="00F75FF8" w:rsidRDefault="00D31EC5" w:rsidP="00692E85">
            <w:pPr>
              <w:keepNext/>
              <w:spacing w:after="160" w:line="360" w:lineRule="auto"/>
              <w:contextualSpacing/>
              <w:rPr>
                <w:lang w:val="en-GB"/>
              </w:rPr>
            </w:pPr>
            <w:r w:rsidRPr="00F75FF8">
              <w:rPr>
                <w:lang w:val="en-GB"/>
              </w:rPr>
              <w:t>21.93</w:t>
            </w:r>
          </w:p>
        </w:tc>
        <w:tc>
          <w:tcPr>
            <w:tcW w:w="823" w:type="dxa"/>
          </w:tcPr>
          <w:p w14:paraId="1DC188C3" w14:textId="77777777" w:rsidR="00D31EC5" w:rsidRPr="00F75FF8" w:rsidRDefault="00D31EC5" w:rsidP="00692E85">
            <w:pPr>
              <w:keepNext/>
              <w:spacing w:after="160" w:line="360" w:lineRule="auto"/>
              <w:contextualSpacing/>
              <w:rPr>
                <w:lang w:val="en-GB"/>
              </w:rPr>
            </w:pPr>
            <w:r w:rsidRPr="00F75FF8">
              <w:rPr>
                <w:lang w:val="en-GB"/>
              </w:rPr>
              <w:t>16.91</w:t>
            </w:r>
          </w:p>
        </w:tc>
      </w:tr>
      <w:tr w:rsidR="00D31EC5" w:rsidRPr="00F75FF8" w14:paraId="501BE0F5" w14:textId="77777777" w:rsidTr="00692E85">
        <w:trPr>
          <w:gridAfter w:val="2"/>
          <w:wAfter w:w="1989" w:type="dxa"/>
          <w:trHeight w:val="217"/>
        </w:trPr>
        <w:tc>
          <w:tcPr>
            <w:tcW w:w="3402" w:type="dxa"/>
          </w:tcPr>
          <w:p w14:paraId="6D240624" w14:textId="77777777" w:rsidR="00D31EC5" w:rsidRPr="00F75FF8" w:rsidRDefault="00D31EC5" w:rsidP="00692E85">
            <w:pPr>
              <w:keepNext/>
              <w:spacing w:after="160" w:line="360" w:lineRule="auto"/>
              <w:contextualSpacing/>
              <w:rPr>
                <w:lang w:val="en-GB"/>
              </w:rPr>
            </w:pPr>
            <w:r w:rsidRPr="00F75FF8">
              <w:rPr>
                <w:lang w:val="en-GB"/>
              </w:rPr>
              <w:t>Believable</w:t>
            </w:r>
          </w:p>
        </w:tc>
        <w:tc>
          <w:tcPr>
            <w:tcW w:w="851" w:type="dxa"/>
          </w:tcPr>
          <w:p w14:paraId="1A0C8665" w14:textId="77777777" w:rsidR="00D31EC5" w:rsidRPr="00F75FF8" w:rsidRDefault="00D31EC5" w:rsidP="00692E85">
            <w:pPr>
              <w:keepNext/>
              <w:spacing w:after="160" w:line="360" w:lineRule="auto"/>
              <w:contextualSpacing/>
              <w:rPr>
                <w:lang w:val="en-GB"/>
              </w:rPr>
            </w:pPr>
            <w:r w:rsidRPr="00F75FF8">
              <w:rPr>
                <w:lang w:val="en-GB"/>
              </w:rPr>
              <w:t>82.58</w:t>
            </w:r>
          </w:p>
        </w:tc>
        <w:tc>
          <w:tcPr>
            <w:tcW w:w="1402" w:type="dxa"/>
            <w:gridSpan w:val="2"/>
          </w:tcPr>
          <w:p w14:paraId="6D8C9925" w14:textId="77777777" w:rsidR="00D31EC5" w:rsidRPr="00F75FF8" w:rsidRDefault="00D31EC5" w:rsidP="00692E85">
            <w:pPr>
              <w:keepNext/>
              <w:spacing w:after="160" w:line="360" w:lineRule="auto"/>
              <w:contextualSpacing/>
              <w:rPr>
                <w:lang w:val="en-GB"/>
              </w:rPr>
            </w:pPr>
            <w:r w:rsidRPr="00F75FF8">
              <w:rPr>
                <w:lang w:val="en-GB"/>
              </w:rPr>
              <w:t>11.00</w:t>
            </w:r>
          </w:p>
        </w:tc>
        <w:tc>
          <w:tcPr>
            <w:tcW w:w="893" w:type="dxa"/>
            <w:gridSpan w:val="2"/>
          </w:tcPr>
          <w:p w14:paraId="45DC1315" w14:textId="77777777" w:rsidR="00D31EC5" w:rsidRPr="00F75FF8" w:rsidRDefault="00D31EC5" w:rsidP="00692E85">
            <w:pPr>
              <w:keepNext/>
              <w:spacing w:after="160" w:line="360" w:lineRule="auto"/>
              <w:contextualSpacing/>
              <w:rPr>
                <w:lang w:val="en-GB"/>
              </w:rPr>
            </w:pPr>
            <w:r w:rsidRPr="00F75FF8">
              <w:rPr>
                <w:lang w:val="en-GB"/>
              </w:rPr>
              <w:t>82.75</w:t>
            </w:r>
          </w:p>
        </w:tc>
        <w:tc>
          <w:tcPr>
            <w:tcW w:w="823" w:type="dxa"/>
          </w:tcPr>
          <w:p w14:paraId="26D4E32C" w14:textId="77777777" w:rsidR="00D31EC5" w:rsidRPr="00F75FF8" w:rsidRDefault="00D31EC5" w:rsidP="00692E85">
            <w:pPr>
              <w:keepNext/>
              <w:spacing w:after="160" w:line="360" w:lineRule="auto"/>
              <w:contextualSpacing/>
              <w:rPr>
                <w:lang w:val="en-GB"/>
              </w:rPr>
            </w:pPr>
            <w:r w:rsidRPr="00F75FF8">
              <w:rPr>
                <w:lang w:val="en-GB"/>
              </w:rPr>
              <w:t>17.70</w:t>
            </w:r>
          </w:p>
        </w:tc>
      </w:tr>
      <w:tr w:rsidR="00692E85" w:rsidRPr="00F75FF8" w14:paraId="57FF67F6" w14:textId="77777777" w:rsidTr="00692E85">
        <w:trPr>
          <w:gridAfter w:val="2"/>
          <w:wAfter w:w="1989" w:type="dxa"/>
          <w:trHeight w:val="217"/>
        </w:trPr>
        <w:tc>
          <w:tcPr>
            <w:tcW w:w="3402" w:type="dxa"/>
          </w:tcPr>
          <w:p w14:paraId="498E9EA2" w14:textId="79568761" w:rsidR="00692E85" w:rsidRPr="00F75FF8" w:rsidRDefault="00692E85" w:rsidP="00692E85">
            <w:pPr>
              <w:keepNext/>
              <w:spacing w:line="360" w:lineRule="auto"/>
              <w:contextualSpacing/>
              <w:rPr>
                <w:lang w:val="en-GB"/>
              </w:rPr>
            </w:pPr>
            <w:r w:rsidRPr="00F75FF8">
              <w:rPr>
                <w:lang w:val="en-GB"/>
              </w:rPr>
              <w:t>Motivated</w:t>
            </w:r>
          </w:p>
        </w:tc>
        <w:tc>
          <w:tcPr>
            <w:tcW w:w="851" w:type="dxa"/>
          </w:tcPr>
          <w:p w14:paraId="7F68839D" w14:textId="079490FF" w:rsidR="00692E85" w:rsidRPr="00F75FF8" w:rsidRDefault="00692E85" w:rsidP="00692E85">
            <w:pPr>
              <w:keepNext/>
              <w:spacing w:line="360" w:lineRule="auto"/>
              <w:contextualSpacing/>
              <w:rPr>
                <w:lang w:val="en-GB"/>
              </w:rPr>
            </w:pPr>
            <w:r w:rsidRPr="00F75FF8">
              <w:rPr>
                <w:lang w:val="en-GB"/>
              </w:rPr>
              <w:t>80.24</w:t>
            </w:r>
          </w:p>
        </w:tc>
        <w:tc>
          <w:tcPr>
            <w:tcW w:w="1402" w:type="dxa"/>
            <w:gridSpan w:val="2"/>
          </w:tcPr>
          <w:p w14:paraId="678E2B46" w14:textId="698B4ABF" w:rsidR="00692E85" w:rsidRPr="00F75FF8" w:rsidRDefault="00692E85" w:rsidP="00692E85">
            <w:pPr>
              <w:keepNext/>
              <w:spacing w:line="360" w:lineRule="auto"/>
              <w:contextualSpacing/>
              <w:rPr>
                <w:lang w:val="en-GB"/>
              </w:rPr>
            </w:pPr>
            <w:r w:rsidRPr="00F75FF8">
              <w:rPr>
                <w:lang w:val="en-GB"/>
              </w:rPr>
              <w:t>14.31</w:t>
            </w:r>
          </w:p>
        </w:tc>
        <w:tc>
          <w:tcPr>
            <w:tcW w:w="893" w:type="dxa"/>
            <w:gridSpan w:val="2"/>
          </w:tcPr>
          <w:p w14:paraId="541F0567" w14:textId="1FBF5F80" w:rsidR="00692E85" w:rsidRPr="00F75FF8" w:rsidRDefault="00692E85" w:rsidP="00692E85">
            <w:pPr>
              <w:keepNext/>
              <w:spacing w:line="360" w:lineRule="auto"/>
              <w:contextualSpacing/>
              <w:rPr>
                <w:lang w:val="en-GB"/>
              </w:rPr>
            </w:pPr>
            <w:r w:rsidRPr="00F75FF8">
              <w:rPr>
                <w:lang w:val="en-GB"/>
              </w:rPr>
              <w:t>82.30</w:t>
            </w:r>
          </w:p>
        </w:tc>
        <w:tc>
          <w:tcPr>
            <w:tcW w:w="823" w:type="dxa"/>
          </w:tcPr>
          <w:p w14:paraId="451F2C9D" w14:textId="0BBF6A60" w:rsidR="00692E85" w:rsidRPr="00F75FF8" w:rsidRDefault="00692E85" w:rsidP="00692E85">
            <w:pPr>
              <w:keepNext/>
              <w:spacing w:line="360" w:lineRule="auto"/>
              <w:contextualSpacing/>
              <w:rPr>
                <w:lang w:val="en-GB"/>
              </w:rPr>
            </w:pPr>
            <w:r w:rsidRPr="00F75FF8">
              <w:rPr>
                <w:lang w:val="en-GB"/>
              </w:rPr>
              <w:t>18.05</w:t>
            </w:r>
          </w:p>
        </w:tc>
      </w:tr>
      <w:tr w:rsidR="00692E85" w:rsidRPr="00F75FF8" w14:paraId="11244E38" w14:textId="77777777" w:rsidTr="00692E85">
        <w:trPr>
          <w:gridAfter w:val="2"/>
          <w:wAfter w:w="1989" w:type="dxa"/>
          <w:trHeight w:val="217"/>
        </w:trPr>
        <w:tc>
          <w:tcPr>
            <w:tcW w:w="3402" w:type="dxa"/>
          </w:tcPr>
          <w:p w14:paraId="3F5A27F9" w14:textId="63CC7CAE" w:rsidR="00692E85" w:rsidRPr="00F75FF8" w:rsidRDefault="00692E85" w:rsidP="00692E85">
            <w:pPr>
              <w:spacing w:after="160" w:line="360" w:lineRule="auto"/>
              <w:contextualSpacing/>
              <w:rPr>
                <w:lang w:val="en-GB"/>
              </w:rPr>
            </w:pPr>
            <w:r w:rsidRPr="00F75FF8">
              <w:rPr>
                <w:lang w:val="en-GB"/>
              </w:rPr>
              <w:t>Able to vividly imagine scenarios</w:t>
            </w:r>
          </w:p>
        </w:tc>
        <w:tc>
          <w:tcPr>
            <w:tcW w:w="851" w:type="dxa"/>
          </w:tcPr>
          <w:p w14:paraId="00BC5B72" w14:textId="20B76E3E" w:rsidR="00692E85" w:rsidRPr="00F75FF8" w:rsidRDefault="00692E85" w:rsidP="00692E85">
            <w:pPr>
              <w:spacing w:after="160" w:line="360" w:lineRule="auto"/>
              <w:contextualSpacing/>
              <w:rPr>
                <w:lang w:val="en-GB"/>
              </w:rPr>
            </w:pPr>
            <w:r w:rsidRPr="00F75FF8">
              <w:rPr>
                <w:lang w:val="en-GB"/>
              </w:rPr>
              <w:t>64.03</w:t>
            </w:r>
          </w:p>
        </w:tc>
        <w:tc>
          <w:tcPr>
            <w:tcW w:w="1402" w:type="dxa"/>
            <w:gridSpan w:val="2"/>
          </w:tcPr>
          <w:p w14:paraId="550CCBAD" w14:textId="380D0276" w:rsidR="00692E85" w:rsidRPr="00F75FF8" w:rsidRDefault="00692E85" w:rsidP="00692E85">
            <w:pPr>
              <w:spacing w:after="160" w:line="360" w:lineRule="auto"/>
              <w:contextualSpacing/>
              <w:rPr>
                <w:lang w:val="en-GB"/>
              </w:rPr>
            </w:pPr>
            <w:r w:rsidRPr="00F75FF8">
              <w:rPr>
                <w:lang w:val="en-GB"/>
              </w:rPr>
              <w:t>22.37</w:t>
            </w:r>
          </w:p>
        </w:tc>
        <w:tc>
          <w:tcPr>
            <w:tcW w:w="893" w:type="dxa"/>
            <w:gridSpan w:val="2"/>
          </w:tcPr>
          <w:p w14:paraId="66EE8C94" w14:textId="66243CB6" w:rsidR="00692E85" w:rsidRPr="00F75FF8" w:rsidRDefault="00692E85" w:rsidP="00692E85">
            <w:pPr>
              <w:spacing w:after="160" w:line="360" w:lineRule="auto"/>
              <w:contextualSpacing/>
              <w:rPr>
                <w:lang w:val="en-GB"/>
              </w:rPr>
            </w:pPr>
            <w:r w:rsidRPr="00F75FF8">
              <w:rPr>
                <w:lang w:val="en-GB"/>
              </w:rPr>
              <w:t>80.29</w:t>
            </w:r>
          </w:p>
        </w:tc>
        <w:tc>
          <w:tcPr>
            <w:tcW w:w="823" w:type="dxa"/>
          </w:tcPr>
          <w:p w14:paraId="6894022C" w14:textId="1739F5C6" w:rsidR="00692E85" w:rsidRPr="00F75FF8" w:rsidRDefault="00692E85" w:rsidP="00692E85">
            <w:pPr>
              <w:spacing w:after="160" w:line="360" w:lineRule="auto"/>
              <w:contextualSpacing/>
              <w:rPr>
                <w:lang w:val="en-GB"/>
              </w:rPr>
            </w:pPr>
            <w:r w:rsidRPr="00F75FF8">
              <w:rPr>
                <w:lang w:val="en-GB"/>
              </w:rPr>
              <w:t>20.98</w:t>
            </w:r>
          </w:p>
        </w:tc>
      </w:tr>
      <w:tr w:rsidR="00692E85" w:rsidRPr="00F75FF8" w14:paraId="3971394A" w14:textId="77777777" w:rsidTr="00692E85">
        <w:trPr>
          <w:gridAfter w:val="2"/>
          <w:wAfter w:w="1989" w:type="dxa"/>
          <w:trHeight w:val="283"/>
        </w:trPr>
        <w:tc>
          <w:tcPr>
            <w:tcW w:w="7371" w:type="dxa"/>
            <w:gridSpan w:val="7"/>
            <w:tcBorders>
              <w:top w:val="single" w:sz="8" w:space="0" w:color="auto"/>
            </w:tcBorders>
          </w:tcPr>
          <w:p w14:paraId="168CFA76" w14:textId="14B3D0C1" w:rsidR="00692E85" w:rsidRPr="00F75FF8" w:rsidRDefault="00692E85" w:rsidP="00692E85">
            <w:pPr>
              <w:spacing w:line="360" w:lineRule="auto"/>
              <w:contextualSpacing/>
            </w:pPr>
            <w:r w:rsidRPr="00F75FF8">
              <w:rPr>
                <w:i/>
              </w:rPr>
              <w:t>Note</w:t>
            </w:r>
            <w:r w:rsidRPr="00F75FF8">
              <w:t>. All items were rated on a scale of 0-100.</w:t>
            </w:r>
          </w:p>
        </w:tc>
      </w:tr>
    </w:tbl>
    <w:p w14:paraId="16B2F38E" w14:textId="77777777" w:rsidR="00D31EC5" w:rsidRPr="00F75FF8" w:rsidRDefault="00D31EC5" w:rsidP="00692E85">
      <w:pPr>
        <w:spacing w:line="360" w:lineRule="auto"/>
        <w:contextualSpacing/>
      </w:pPr>
      <w:proofErr w:type="gramStart"/>
      <w:r w:rsidRPr="00F75FF8">
        <w:rPr>
          <w:vertAlign w:val="superscript"/>
        </w:rPr>
        <w:t>a</w:t>
      </w:r>
      <w:proofErr w:type="gramEnd"/>
      <w:r w:rsidRPr="00F75FF8">
        <w:rPr>
          <w:vertAlign w:val="superscript"/>
        </w:rPr>
        <w:t xml:space="preserve"> </w:t>
      </w:r>
      <w:r w:rsidRPr="00F75FF8">
        <w:t>Because the manipulation check items accidentally had not been set as forced entry, one participants had skipped the question ‘stressful’.</w:t>
      </w:r>
    </w:p>
    <w:p w14:paraId="6A364A3A" w14:textId="77777777" w:rsidR="00D31EC5" w:rsidRPr="00F75FF8" w:rsidRDefault="00D31EC5" w:rsidP="00692E85">
      <w:pPr>
        <w:spacing w:line="360" w:lineRule="auto"/>
        <w:contextualSpacing/>
      </w:pPr>
      <w:proofErr w:type="gramStart"/>
      <w:r w:rsidRPr="00F75FF8">
        <w:rPr>
          <w:vertAlign w:val="superscript"/>
        </w:rPr>
        <w:t>b</w:t>
      </w:r>
      <w:proofErr w:type="gramEnd"/>
      <w:r w:rsidRPr="00F75FF8">
        <w:rPr>
          <w:vertAlign w:val="superscript"/>
        </w:rPr>
        <w:t xml:space="preserve"> </w:t>
      </w:r>
      <w:r w:rsidRPr="00F75FF8">
        <w:t>N=28 because one participant had stopped before the manipulation check. Additionally, because the manipulation check items accidentally had not been set as forced entry, some participants had skipped a question. N ranged between 25 for stressful and 27 and 28 for the other questions.</w:t>
      </w:r>
    </w:p>
    <w:p w14:paraId="0BA171C1" w14:textId="0DBE93AD" w:rsidR="001106F7" w:rsidRPr="00F75FF8" w:rsidRDefault="001106F7" w:rsidP="00B624B8">
      <w:pPr>
        <w:keepNext/>
        <w:spacing w:after="0" w:line="480" w:lineRule="auto"/>
        <w:rPr>
          <w:b/>
        </w:rPr>
      </w:pPr>
      <w:r w:rsidRPr="00F75FF8">
        <w:rPr>
          <w:b/>
        </w:rPr>
        <w:t>Main Outcomes</w:t>
      </w:r>
    </w:p>
    <w:p w14:paraId="633406F2" w14:textId="78CC5FE2" w:rsidR="001106F7" w:rsidRPr="00F75FF8" w:rsidRDefault="00965039" w:rsidP="003D1288">
      <w:pPr>
        <w:spacing w:after="240" w:line="480" w:lineRule="auto"/>
      </w:pPr>
      <w:r w:rsidRPr="00F75FF8">
        <w:t>Table 3 shows the results of the paired samples t-test for each sample. In both samples, after rating solution-focused vignettes, participants experienced significantly more positive affect and less negative affect, compared to problem-focused vignettes. In addition, expectation</w:t>
      </w:r>
      <w:r w:rsidR="001820D3" w:rsidRPr="00F75FF8">
        <w:t xml:space="preserve">s for successfully working with a client </w:t>
      </w:r>
      <w:r w:rsidRPr="00F75FF8">
        <w:t xml:space="preserve">were significantly more positive. Effect sizes </w:t>
      </w:r>
      <w:r w:rsidR="00116703" w:rsidRPr="00F75FF8">
        <w:t>were large (Cohen’s d &gt; .8) for all outcomes, except for the effect size of negative affect in Sample 1, which was medium.</w:t>
      </w:r>
      <w:r w:rsidR="001F1C55" w:rsidRPr="00F75FF8">
        <w:t xml:space="preserve"> Figure </w:t>
      </w:r>
      <w:r w:rsidR="00530BF4" w:rsidRPr="00F75FF8">
        <w:t>1</w:t>
      </w:r>
      <w:r w:rsidR="001F1C55" w:rsidRPr="00F75FF8">
        <w:t xml:space="preserve"> illustrates the magnitude of the difference between conditions per outcome variable and sample.</w:t>
      </w:r>
    </w:p>
    <w:p w14:paraId="73A548F2" w14:textId="77777777" w:rsidR="00D31EC5" w:rsidRPr="00F75FF8" w:rsidRDefault="00D31EC5" w:rsidP="003D1288">
      <w:pPr>
        <w:spacing w:after="0" w:line="360" w:lineRule="auto"/>
        <w:contextualSpacing/>
        <w:rPr>
          <w:b/>
        </w:rPr>
      </w:pPr>
      <w:r w:rsidRPr="00F75FF8">
        <w:rPr>
          <w:b/>
        </w:rPr>
        <w:t>Table 3</w:t>
      </w:r>
    </w:p>
    <w:p w14:paraId="26EC64A0" w14:textId="563FA730" w:rsidR="00D31EC5" w:rsidRPr="00F75FF8" w:rsidRDefault="00D31EC5" w:rsidP="003D1288">
      <w:pPr>
        <w:spacing w:after="0" w:line="360" w:lineRule="auto"/>
        <w:contextualSpacing/>
        <w:rPr>
          <w:b/>
        </w:rPr>
      </w:pPr>
      <w:r w:rsidRPr="00F75FF8">
        <w:rPr>
          <w:b/>
        </w:rPr>
        <w:t xml:space="preserve">Effect of solution- vs. problem-focused vignettes on therapist </w:t>
      </w:r>
      <w:r w:rsidR="001820D3" w:rsidRPr="00F75FF8">
        <w:rPr>
          <w:b/>
        </w:rPr>
        <w:t>affect</w:t>
      </w:r>
      <w:r w:rsidRPr="00F75FF8">
        <w:rPr>
          <w:b/>
        </w:rPr>
        <w:t xml:space="preserve"> and </w:t>
      </w:r>
      <w:r w:rsidR="001820D3" w:rsidRPr="00F75FF8">
        <w:rPr>
          <w:b/>
        </w:rPr>
        <w:t xml:space="preserve">their </w:t>
      </w:r>
      <w:r w:rsidRPr="00F75FF8">
        <w:rPr>
          <w:b/>
        </w:rPr>
        <w:t>expectations</w:t>
      </w:r>
      <w:r w:rsidR="001820D3" w:rsidRPr="00F75FF8">
        <w:rPr>
          <w:b/>
        </w:rPr>
        <w:t xml:space="preserve"> for successfully working with a client</w:t>
      </w:r>
    </w:p>
    <w:tbl>
      <w:tblPr>
        <w:tblW w:w="9498" w:type="dxa"/>
        <w:tblLayout w:type="fixed"/>
        <w:tblCellMar>
          <w:left w:w="85" w:type="dxa"/>
          <w:right w:w="85" w:type="dxa"/>
        </w:tblCellMar>
        <w:tblLook w:val="04A0" w:firstRow="1" w:lastRow="0" w:firstColumn="1" w:lastColumn="0" w:noHBand="0" w:noVBand="1"/>
      </w:tblPr>
      <w:tblGrid>
        <w:gridCol w:w="993"/>
        <w:gridCol w:w="92"/>
        <w:gridCol w:w="900"/>
        <w:gridCol w:w="14"/>
        <w:gridCol w:w="978"/>
        <w:gridCol w:w="709"/>
        <w:gridCol w:w="709"/>
        <w:gridCol w:w="831"/>
        <w:gridCol w:w="19"/>
        <w:gridCol w:w="707"/>
        <w:gridCol w:w="285"/>
        <w:gridCol w:w="993"/>
        <w:gridCol w:w="708"/>
        <w:gridCol w:w="709"/>
        <w:gridCol w:w="851"/>
      </w:tblGrid>
      <w:tr w:rsidR="00D31EC5" w:rsidRPr="00F75FF8" w14:paraId="58A32AA3" w14:textId="77777777" w:rsidTr="00105037">
        <w:tc>
          <w:tcPr>
            <w:tcW w:w="1085" w:type="dxa"/>
            <w:gridSpan w:val="2"/>
            <w:tcBorders>
              <w:top w:val="single" w:sz="8" w:space="0" w:color="auto"/>
            </w:tcBorders>
          </w:tcPr>
          <w:p w14:paraId="55DD1994" w14:textId="77777777" w:rsidR="00D31EC5" w:rsidRPr="00F75FF8" w:rsidRDefault="00D31EC5" w:rsidP="003D1288">
            <w:pPr>
              <w:spacing w:after="0" w:line="360" w:lineRule="auto"/>
              <w:contextualSpacing/>
            </w:pPr>
          </w:p>
        </w:tc>
        <w:tc>
          <w:tcPr>
            <w:tcW w:w="914" w:type="dxa"/>
            <w:gridSpan w:val="2"/>
            <w:tcBorders>
              <w:top w:val="single" w:sz="8" w:space="0" w:color="auto"/>
            </w:tcBorders>
          </w:tcPr>
          <w:p w14:paraId="1E2B193C" w14:textId="77777777" w:rsidR="00D31EC5" w:rsidRPr="00F75FF8" w:rsidRDefault="00D31EC5" w:rsidP="003D1288">
            <w:pPr>
              <w:spacing w:after="0" w:line="360" w:lineRule="auto"/>
              <w:contextualSpacing/>
            </w:pPr>
          </w:p>
        </w:tc>
        <w:tc>
          <w:tcPr>
            <w:tcW w:w="3227" w:type="dxa"/>
            <w:gridSpan w:val="4"/>
            <w:tcBorders>
              <w:top w:val="single" w:sz="8" w:space="0" w:color="auto"/>
              <w:bottom w:val="single" w:sz="8" w:space="0" w:color="auto"/>
            </w:tcBorders>
          </w:tcPr>
          <w:p w14:paraId="7673DDCC" w14:textId="571C8C9F" w:rsidR="00D31EC5" w:rsidRPr="00F75FF8" w:rsidRDefault="00314390" w:rsidP="003D1288">
            <w:pPr>
              <w:spacing w:after="0" w:line="360" w:lineRule="auto"/>
              <w:contextualSpacing/>
            </w:pPr>
            <w:r>
              <w:t xml:space="preserve">Sample 1 </w:t>
            </w:r>
            <w:r>
              <w:br/>
              <w:t>(N</w:t>
            </w:r>
            <w:r w:rsidR="00D31EC5" w:rsidRPr="00F75FF8">
              <w:t xml:space="preserve"> = 33)</w:t>
            </w:r>
          </w:p>
        </w:tc>
        <w:tc>
          <w:tcPr>
            <w:tcW w:w="726" w:type="dxa"/>
            <w:gridSpan w:val="2"/>
            <w:tcBorders>
              <w:top w:val="single" w:sz="8" w:space="0" w:color="auto"/>
              <w:bottom w:val="single" w:sz="8" w:space="0" w:color="auto"/>
            </w:tcBorders>
          </w:tcPr>
          <w:p w14:paraId="5610D47E" w14:textId="77777777" w:rsidR="00D31EC5" w:rsidRPr="00F75FF8" w:rsidRDefault="00D31EC5" w:rsidP="003D1288">
            <w:pPr>
              <w:spacing w:after="0" w:line="360" w:lineRule="auto"/>
              <w:contextualSpacing/>
            </w:pPr>
          </w:p>
        </w:tc>
        <w:tc>
          <w:tcPr>
            <w:tcW w:w="3546" w:type="dxa"/>
            <w:gridSpan w:val="5"/>
            <w:tcBorders>
              <w:top w:val="single" w:sz="8" w:space="0" w:color="auto"/>
              <w:bottom w:val="single" w:sz="8" w:space="0" w:color="auto"/>
            </w:tcBorders>
          </w:tcPr>
          <w:p w14:paraId="5EB4C980" w14:textId="1A454FBE" w:rsidR="00D31EC5" w:rsidRPr="00F75FF8" w:rsidRDefault="00D31EC5" w:rsidP="00314390">
            <w:pPr>
              <w:spacing w:after="0" w:line="360" w:lineRule="auto"/>
              <w:contextualSpacing/>
            </w:pPr>
            <w:r w:rsidRPr="00F75FF8">
              <w:t xml:space="preserve">Sample 2 </w:t>
            </w:r>
            <w:r w:rsidRPr="00F75FF8">
              <w:br/>
              <w:t>(</w:t>
            </w:r>
            <w:r w:rsidR="00314390">
              <w:t>N</w:t>
            </w:r>
            <w:r w:rsidRPr="00F75FF8">
              <w:t xml:space="preserve"> = 29)</w:t>
            </w:r>
          </w:p>
        </w:tc>
      </w:tr>
      <w:tr w:rsidR="00D31EC5" w:rsidRPr="00F75FF8" w14:paraId="7E51C016" w14:textId="77777777" w:rsidTr="00C545E3">
        <w:tc>
          <w:tcPr>
            <w:tcW w:w="993" w:type="dxa"/>
            <w:tcBorders>
              <w:bottom w:val="single" w:sz="8" w:space="0" w:color="auto"/>
            </w:tcBorders>
          </w:tcPr>
          <w:p w14:paraId="06A781B7" w14:textId="77777777" w:rsidR="00D31EC5" w:rsidRPr="00F75FF8" w:rsidRDefault="00D31EC5" w:rsidP="003D1288">
            <w:pPr>
              <w:spacing w:after="0" w:line="360" w:lineRule="auto"/>
              <w:contextualSpacing/>
            </w:pPr>
          </w:p>
        </w:tc>
        <w:tc>
          <w:tcPr>
            <w:tcW w:w="992" w:type="dxa"/>
            <w:gridSpan w:val="2"/>
            <w:tcBorders>
              <w:top w:val="single" w:sz="8" w:space="0" w:color="auto"/>
              <w:bottom w:val="single" w:sz="8" w:space="0" w:color="auto"/>
            </w:tcBorders>
          </w:tcPr>
          <w:p w14:paraId="6327FC6E" w14:textId="77777777" w:rsidR="00D31EC5" w:rsidRPr="00F75FF8" w:rsidRDefault="00D31EC5" w:rsidP="003D1288">
            <w:pPr>
              <w:spacing w:after="0" w:line="360" w:lineRule="auto"/>
              <w:contextualSpacing/>
            </w:pPr>
            <w:r w:rsidRPr="00F75FF8">
              <w:t>Solution-focus</w:t>
            </w:r>
          </w:p>
          <w:p w14:paraId="100BF596" w14:textId="77777777" w:rsidR="00D31EC5" w:rsidRPr="00F75FF8" w:rsidRDefault="00D31EC5" w:rsidP="003D1288">
            <w:pPr>
              <w:spacing w:after="0" w:line="360" w:lineRule="auto"/>
              <w:contextualSpacing/>
            </w:pPr>
            <w:r w:rsidRPr="00F75FF8">
              <w:t>Mean (SD)</w:t>
            </w:r>
          </w:p>
        </w:tc>
        <w:tc>
          <w:tcPr>
            <w:tcW w:w="992" w:type="dxa"/>
            <w:gridSpan w:val="2"/>
            <w:tcBorders>
              <w:top w:val="single" w:sz="8" w:space="0" w:color="auto"/>
              <w:bottom w:val="single" w:sz="8" w:space="0" w:color="auto"/>
            </w:tcBorders>
          </w:tcPr>
          <w:p w14:paraId="35D92501" w14:textId="77777777" w:rsidR="00D31EC5" w:rsidRPr="00F75FF8" w:rsidRDefault="00D31EC5" w:rsidP="003D1288">
            <w:pPr>
              <w:spacing w:after="0" w:line="360" w:lineRule="auto"/>
              <w:contextualSpacing/>
            </w:pPr>
            <w:r w:rsidRPr="00F75FF8">
              <w:t>Problem-focus Mean (SD)</w:t>
            </w:r>
          </w:p>
        </w:tc>
        <w:tc>
          <w:tcPr>
            <w:tcW w:w="709" w:type="dxa"/>
            <w:tcBorders>
              <w:top w:val="single" w:sz="8" w:space="0" w:color="auto"/>
              <w:bottom w:val="single" w:sz="8" w:space="0" w:color="auto"/>
            </w:tcBorders>
          </w:tcPr>
          <w:p w14:paraId="666D62F7" w14:textId="77777777" w:rsidR="00D31EC5" w:rsidRPr="00F75FF8" w:rsidRDefault="00D31EC5" w:rsidP="003D1288">
            <w:pPr>
              <w:spacing w:after="0" w:line="360" w:lineRule="auto"/>
              <w:contextualSpacing/>
              <w:rPr>
                <w:i/>
              </w:rPr>
            </w:pPr>
            <w:r w:rsidRPr="00F75FF8">
              <w:rPr>
                <w:i/>
              </w:rPr>
              <w:t>t</w:t>
            </w:r>
          </w:p>
        </w:tc>
        <w:tc>
          <w:tcPr>
            <w:tcW w:w="709" w:type="dxa"/>
            <w:tcBorders>
              <w:top w:val="single" w:sz="8" w:space="0" w:color="auto"/>
              <w:bottom w:val="single" w:sz="8" w:space="0" w:color="auto"/>
            </w:tcBorders>
          </w:tcPr>
          <w:p w14:paraId="0D7A8223" w14:textId="77777777" w:rsidR="00D31EC5" w:rsidRPr="00F75FF8" w:rsidRDefault="00D31EC5" w:rsidP="003D1288">
            <w:pPr>
              <w:spacing w:after="0" w:line="360" w:lineRule="auto"/>
              <w:contextualSpacing/>
              <w:rPr>
                <w:i/>
              </w:rPr>
            </w:pPr>
            <w:r w:rsidRPr="00F75FF8">
              <w:rPr>
                <w:i/>
              </w:rPr>
              <w:t>p</w:t>
            </w:r>
          </w:p>
        </w:tc>
        <w:tc>
          <w:tcPr>
            <w:tcW w:w="850" w:type="dxa"/>
            <w:gridSpan w:val="2"/>
            <w:tcBorders>
              <w:top w:val="single" w:sz="8" w:space="0" w:color="auto"/>
              <w:bottom w:val="single" w:sz="8" w:space="0" w:color="auto"/>
            </w:tcBorders>
          </w:tcPr>
          <w:p w14:paraId="2FDF3B7A" w14:textId="4F6CD320" w:rsidR="00D31EC5" w:rsidRPr="00F75FF8" w:rsidRDefault="00D31EC5" w:rsidP="003D1288">
            <w:pPr>
              <w:spacing w:after="0" w:line="360" w:lineRule="auto"/>
              <w:contextualSpacing/>
            </w:pPr>
            <w:r w:rsidRPr="00F75FF8">
              <w:t>Cohen’s d</w:t>
            </w:r>
            <w:r w:rsidR="001820D3" w:rsidRPr="00F75FF8">
              <w:rPr>
                <w:vertAlign w:val="superscript"/>
              </w:rPr>
              <w:t>a</w:t>
            </w:r>
          </w:p>
        </w:tc>
        <w:tc>
          <w:tcPr>
            <w:tcW w:w="992" w:type="dxa"/>
            <w:gridSpan w:val="2"/>
            <w:tcBorders>
              <w:top w:val="single" w:sz="8" w:space="0" w:color="auto"/>
              <w:bottom w:val="single" w:sz="8" w:space="0" w:color="auto"/>
            </w:tcBorders>
          </w:tcPr>
          <w:p w14:paraId="21F98B18" w14:textId="77777777" w:rsidR="00D31EC5" w:rsidRPr="00F75FF8" w:rsidRDefault="00D31EC5" w:rsidP="003D1288">
            <w:pPr>
              <w:spacing w:after="0" w:line="360" w:lineRule="auto"/>
              <w:contextualSpacing/>
            </w:pPr>
            <w:r w:rsidRPr="00F75FF8">
              <w:t>Solution-focus</w:t>
            </w:r>
          </w:p>
          <w:p w14:paraId="7D59CE0A" w14:textId="77777777" w:rsidR="00D31EC5" w:rsidRPr="00F75FF8" w:rsidRDefault="00D31EC5" w:rsidP="003D1288">
            <w:pPr>
              <w:spacing w:after="0" w:line="360" w:lineRule="auto"/>
              <w:contextualSpacing/>
            </w:pPr>
            <w:r w:rsidRPr="00F75FF8">
              <w:t>Mean (SD)</w:t>
            </w:r>
          </w:p>
        </w:tc>
        <w:tc>
          <w:tcPr>
            <w:tcW w:w="993" w:type="dxa"/>
            <w:tcBorders>
              <w:top w:val="single" w:sz="8" w:space="0" w:color="auto"/>
              <w:bottom w:val="single" w:sz="8" w:space="0" w:color="auto"/>
            </w:tcBorders>
          </w:tcPr>
          <w:p w14:paraId="794249EB" w14:textId="77777777" w:rsidR="00D31EC5" w:rsidRPr="00F75FF8" w:rsidRDefault="00D31EC5" w:rsidP="003D1288">
            <w:pPr>
              <w:spacing w:after="0" w:line="360" w:lineRule="auto"/>
              <w:contextualSpacing/>
            </w:pPr>
            <w:r w:rsidRPr="00F75FF8">
              <w:t>Problem-focus</w:t>
            </w:r>
          </w:p>
          <w:p w14:paraId="7F1AB8F9" w14:textId="77777777" w:rsidR="00D31EC5" w:rsidRPr="00F75FF8" w:rsidRDefault="00D31EC5" w:rsidP="003D1288">
            <w:pPr>
              <w:spacing w:after="0" w:line="360" w:lineRule="auto"/>
              <w:contextualSpacing/>
            </w:pPr>
            <w:r w:rsidRPr="00F75FF8">
              <w:t>Mean (SD)</w:t>
            </w:r>
          </w:p>
        </w:tc>
        <w:tc>
          <w:tcPr>
            <w:tcW w:w="708" w:type="dxa"/>
            <w:tcBorders>
              <w:top w:val="single" w:sz="8" w:space="0" w:color="auto"/>
              <w:bottom w:val="single" w:sz="8" w:space="0" w:color="auto"/>
            </w:tcBorders>
          </w:tcPr>
          <w:p w14:paraId="3F372B5B" w14:textId="77777777" w:rsidR="00D31EC5" w:rsidRPr="00F75FF8" w:rsidRDefault="00D31EC5" w:rsidP="003D1288">
            <w:pPr>
              <w:spacing w:after="0" w:line="360" w:lineRule="auto"/>
              <w:contextualSpacing/>
              <w:rPr>
                <w:i/>
              </w:rPr>
            </w:pPr>
            <w:r w:rsidRPr="00F75FF8">
              <w:rPr>
                <w:i/>
              </w:rPr>
              <w:t>t</w:t>
            </w:r>
          </w:p>
        </w:tc>
        <w:tc>
          <w:tcPr>
            <w:tcW w:w="709" w:type="dxa"/>
            <w:tcBorders>
              <w:top w:val="single" w:sz="8" w:space="0" w:color="auto"/>
              <w:bottom w:val="single" w:sz="8" w:space="0" w:color="auto"/>
            </w:tcBorders>
          </w:tcPr>
          <w:p w14:paraId="4287287C" w14:textId="77777777" w:rsidR="00D31EC5" w:rsidRPr="00F75FF8" w:rsidRDefault="00D31EC5" w:rsidP="003D1288">
            <w:pPr>
              <w:spacing w:after="0" w:line="360" w:lineRule="auto"/>
              <w:contextualSpacing/>
              <w:rPr>
                <w:i/>
              </w:rPr>
            </w:pPr>
            <w:r w:rsidRPr="00F75FF8">
              <w:rPr>
                <w:i/>
              </w:rPr>
              <w:t>p</w:t>
            </w:r>
          </w:p>
        </w:tc>
        <w:tc>
          <w:tcPr>
            <w:tcW w:w="851" w:type="dxa"/>
            <w:tcBorders>
              <w:top w:val="single" w:sz="8" w:space="0" w:color="auto"/>
              <w:bottom w:val="single" w:sz="8" w:space="0" w:color="auto"/>
            </w:tcBorders>
          </w:tcPr>
          <w:p w14:paraId="56290280" w14:textId="4FDB7750" w:rsidR="00D31EC5" w:rsidRPr="00F75FF8" w:rsidRDefault="00D31EC5" w:rsidP="003D1288">
            <w:pPr>
              <w:spacing w:after="0" w:line="360" w:lineRule="auto"/>
              <w:contextualSpacing/>
            </w:pPr>
            <w:r w:rsidRPr="00F75FF8">
              <w:t>Cohen’s d</w:t>
            </w:r>
            <w:r w:rsidR="001820D3" w:rsidRPr="00F75FF8">
              <w:rPr>
                <w:vertAlign w:val="superscript"/>
              </w:rPr>
              <w:t>a</w:t>
            </w:r>
          </w:p>
        </w:tc>
      </w:tr>
      <w:tr w:rsidR="00D31EC5" w:rsidRPr="00F75FF8" w14:paraId="11B48D59" w14:textId="77777777" w:rsidTr="00C545E3">
        <w:tc>
          <w:tcPr>
            <w:tcW w:w="993" w:type="dxa"/>
            <w:tcBorders>
              <w:top w:val="single" w:sz="8" w:space="0" w:color="auto"/>
            </w:tcBorders>
          </w:tcPr>
          <w:p w14:paraId="21431929" w14:textId="77777777" w:rsidR="00D31EC5" w:rsidRPr="00F75FF8" w:rsidRDefault="00D31EC5" w:rsidP="003D1288">
            <w:pPr>
              <w:spacing w:after="0" w:line="360" w:lineRule="auto"/>
              <w:contextualSpacing/>
            </w:pPr>
            <w:r w:rsidRPr="00F75FF8">
              <w:t xml:space="preserve">Positive  </w:t>
            </w:r>
          </w:p>
          <w:p w14:paraId="2628F577" w14:textId="77777777" w:rsidR="00D31EC5" w:rsidRPr="00F75FF8" w:rsidRDefault="00D31EC5" w:rsidP="003D1288">
            <w:pPr>
              <w:spacing w:after="0" w:line="360" w:lineRule="auto"/>
              <w:contextualSpacing/>
            </w:pPr>
            <w:r w:rsidRPr="00F75FF8">
              <w:t xml:space="preserve">   Affect</w:t>
            </w:r>
          </w:p>
        </w:tc>
        <w:tc>
          <w:tcPr>
            <w:tcW w:w="992" w:type="dxa"/>
            <w:gridSpan w:val="2"/>
            <w:tcBorders>
              <w:top w:val="single" w:sz="8" w:space="0" w:color="auto"/>
            </w:tcBorders>
          </w:tcPr>
          <w:p w14:paraId="0C5D9938" w14:textId="77777777" w:rsidR="00D31EC5" w:rsidRPr="00F75FF8" w:rsidRDefault="00D31EC5" w:rsidP="003D1288">
            <w:pPr>
              <w:spacing w:after="0" w:line="360" w:lineRule="auto"/>
              <w:contextualSpacing/>
            </w:pPr>
            <w:r w:rsidRPr="00F75FF8">
              <w:t>53.39 (19.20)</w:t>
            </w:r>
          </w:p>
        </w:tc>
        <w:tc>
          <w:tcPr>
            <w:tcW w:w="992" w:type="dxa"/>
            <w:gridSpan w:val="2"/>
            <w:tcBorders>
              <w:top w:val="single" w:sz="8" w:space="0" w:color="auto"/>
            </w:tcBorders>
          </w:tcPr>
          <w:p w14:paraId="7DCBBBA7" w14:textId="77777777" w:rsidR="00D31EC5" w:rsidRPr="00F75FF8" w:rsidRDefault="00D31EC5" w:rsidP="003D1288">
            <w:pPr>
              <w:spacing w:after="0" w:line="360" w:lineRule="auto"/>
              <w:contextualSpacing/>
            </w:pPr>
            <w:r w:rsidRPr="00F75FF8">
              <w:t>38.01 (21.93)</w:t>
            </w:r>
          </w:p>
        </w:tc>
        <w:tc>
          <w:tcPr>
            <w:tcW w:w="709" w:type="dxa"/>
            <w:tcBorders>
              <w:top w:val="single" w:sz="8" w:space="0" w:color="auto"/>
            </w:tcBorders>
          </w:tcPr>
          <w:p w14:paraId="0BEAEC5C" w14:textId="77777777" w:rsidR="00D31EC5" w:rsidRPr="00F75FF8" w:rsidRDefault="00D31EC5" w:rsidP="003D1288">
            <w:pPr>
              <w:spacing w:after="0" w:line="360" w:lineRule="auto"/>
              <w:contextualSpacing/>
            </w:pPr>
            <w:r w:rsidRPr="00F75FF8">
              <w:t>6.71</w:t>
            </w:r>
          </w:p>
        </w:tc>
        <w:tc>
          <w:tcPr>
            <w:tcW w:w="709" w:type="dxa"/>
            <w:tcBorders>
              <w:top w:val="single" w:sz="8" w:space="0" w:color="auto"/>
            </w:tcBorders>
          </w:tcPr>
          <w:p w14:paraId="4E7A2E1B" w14:textId="77777777" w:rsidR="00D31EC5" w:rsidRPr="00F75FF8" w:rsidRDefault="00D31EC5" w:rsidP="003D1288">
            <w:pPr>
              <w:spacing w:after="0" w:line="360" w:lineRule="auto"/>
              <w:contextualSpacing/>
            </w:pPr>
            <w:r w:rsidRPr="00F75FF8">
              <w:t>&lt;.001</w:t>
            </w:r>
          </w:p>
        </w:tc>
        <w:tc>
          <w:tcPr>
            <w:tcW w:w="850" w:type="dxa"/>
            <w:gridSpan w:val="2"/>
            <w:tcBorders>
              <w:top w:val="single" w:sz="8" w:space="0" w:color="auto"/>
            </w:tcBorders>
          </w:tcPr>
          <w:p w14:paraId="4047B3DA" w14:textId="77777777" w:rsidR="00D31EC5" w:rsidRPr="00F75FF8" w:rsidRDefault="00D31EC5" w:rsidP="003D1288">
            <w:pPr>
              <w:spacing w:after="0" w:line="360" w:lineRule="auto"/>
              <w:contextualSpacing/>
            </w:pPr>
            <w:r w:rsidRPr="00F75FF8">
              <w:t>1.17</w:t>
            </w:r>
          </w:p>
        </w:tc>
        <w:tc>
          <w:tcPr>
            <w:tcW w:w="992" w:type="dxa"/>
            <w:gridSpan w:val="2"/>
            <w:tcBorders>
              <w:top w:val="single" w:sz="8" w:space="0" w:color="auto"/>
            </w:tcBorders>
          </w:tcPr>
          <w:p w14:paraId="19CB7735" w14:textId="77777777" w:rsidR="00D31EC5" w:rsidRPr="00F75FF8" w:rsidRDefault="00D31EC5" w:rsidP="003D1288">
            <w:pPr>
              <w:spacing w:after="0" w:line="360" w:lineRule="auto"/>
              <w:contextualSpacing/>
            </w:pPr>
            <w:r w:rsidRPr="00F75FF8">
              <w:t>56.17 (18.70)</w:t>
            </w:r>
          </w:p>
        </w:tc>
        <w:tc>
          <w:tcPr>
            <w:tcW w:w="993" w:type="dxa"/>
            <w:tcBorders>
              <w:top w:val="single" w:sz="8" w:space="0" w:color="auto"/>
            </w:tcBorders>
          </w:tcPr>
          <w:p w14:paraId="2DA8EAE5" w14:textId="77777777" w:rsidR="00D31EC5" w:rsidRPr="00F75FF8" w:rsidRDefault="00D31EC5" w:rsidP="003D1288">
            <w:pPr>
              <w:spacing w:after="0" w:line="360" w:lineRule="auto"/>
              <w:contextualSpacing/>
            </w:pPr>
            <w:r w:rsidRPr="00F75FF8">
              <w:t>40.11 (23.40)</w:t>
            </w:r>
          </w:p>
        </w:tc>
        <w:tc>
          <w:tcPr>
            <w:tcW w:w="708" w:type="dxa"/>
            <w:tcBorders>
              <w:top w:val="single" w:sz="8" w:space="0" w:color="auto"/>
            </w:tcBorders>
          </w:tcPr>
          <w:p w14:paraId="44482756" w14:textId="77777777" w:rsidR="00D31EC5" w:rsidRPr="00F75FF8" w:rsidRDefault="00D31EC5" w:rsidP="003D1288">
            <w:pPr>
              <w:spacing w:after="0" w:line="360" w:lineRule="auto"/>
              <w:contextualSpacing/>
            </w:pPr>
            <w:r w:rsidRPr="00F75FF8">
              <w:t>6.58</w:t>
            </w:r>
          </w:p>
        </w:tc>
        <w:tc>
          <w:tcPr>
            <w:tcW w:w="709" w:type="dxa"/>
            <w:tcBorders>
              <w:top w:val="single" w:sz="8" w:space="0" w:color="auto"/>
            </w:tcBorders>
          </w:tcPr>
          <w:p w14:paraId="1F19E769" w14:textId="77777777" w:rsidR="00D31EC5" w:rsidRPr="00F75FF8" w:rsidRDefault="00D31EC5" w:rsidP="003D1288">
            <w:pPr>
              <w:spacing w:after="0" w:line="360" w:lineRule="auto"/>
              <w:contextualSpacing/>
            </w:pPr>
            <w:r w:rsidRPr="00F75FF8">
              <w:t>&lt;.001</w:t>
            </w:r>
          </w:p>
        </w:tc>
        <w:tc>
          <w:tcPr>
            <w:tcW w:w="851" w:type="dxa"/>
            <w:tcBorders>
              <w:top w:val="single" w:sz="8" w:space="0" w:color="auto"/>
            </w:tcBorders>
          </w:tcPr>
          <w:p w14:paraId="3FCF6077" w14:textId="77777777" w:rsidR="00D31EC5" w:rsidRPr="00F75FF8" w:rsidRDefault="00D31EC5" w:rsidP="003D1288">
            <w:pPr>
              <w:spacing w:after="0" w:line="360" w:lineRule="auto"/>
              <w:contextualSpacing/>
            </w:pPr>
            <w:r w:rsidRPr="00F75FF8">
              <w:t>1.22</w:t>
            </w:r>
          </w:p>
        </w:tc>
      </w:tr>
      <w:tr w:rsidR="00D31EC5" w:rsidRPr="00F75FF8" w14:paraId="526CC6BA" w14:textId="77777777" w:rsidTr="00C545E3">
        <w:tc>
          <w:tcPr>
            <w:tcW w:w="993" w:type="dxa"/>
          </w:tcPr>
          <w:p w14:paraId="569F5A2F" w14:textId="77777777" w:rsidR="00D31EC5" w:rsidRPr="00F75FF8" w:rsidRDefault="00D31EC5" w:rsidP="003D1288">
            <w:pPr>
              <w:spacing w:after="0" w:line="360" w:lineRule="auto"/>
              <w:contextualSpacing/>
            </w:pPr>
            <w:r w:rsidRPr="00F75FF8">
              <w:t xml:space="preserve">Negative </w:t>
            </w:r>
          </w:p>
          <w:p w14:paraId="3A53A886" w14:textId="77777777" w:rsidR="00D31EC5" w:rsidRPr="00F75FF8" w:rsidRDefault="00D31EC5" w:rsidP="003D1288">
            <w:pPr>
              <w:spacing w:after="0" w:line="360" w:lineRule="auto"/>
              <w:contextualSpacing/>
            </w:pPr>
            <w:r w:rsidRPr="00F75FF8">
              <w:t xml:space="preserve">   Affect</w:t>
            </w:r>
          </w:p>
        </w:tc>
        <w:tc>
          <w:tcPr>
            <w:tcW w:w="992" w:type="dxa"/>
            <w:gridSpan w:val="2"/>
          </w:tcPr>
          <w:p w14:paraId="3674E24A" w14:textId="77777777" w:rsidR="00D31EC5" w:rsidRPr="00F75FF8" w:rsidRDefault="00D31EC5" w:rsidP="003D1288">
            <w:pPr>
              <w:spacing w:after="0" w:line="360" w:lineRule="auto"/>
              <w:contextualSpacing/>
            </w:pPr>
            <w:r w:rsidRPr="00F75FF8">
              <w:t>12.23 (9.98)</w:t>
            </w:r>
          </w:p>
        </w:tc>
        <w:tc>
          <w:tcPr>
            <w:tcW w:w="992" w:type="dxa"/>
            <w:gridSpan w:val="2"/>
          </w:tcPr>
          <w:p w14:paraId="3D1A00E8" w14:textId="77777777" w:rsidR="00D31EC5" w:rsidRPr="00F75FF8" w:rsidRDefault="00D31EC5" w:rsidP="003D1288">
            <w:pPr>
              <w:spacing w:after="0" w:line="360" w:lineRule="auto"/>
              <w:contextualSpacing/>
            </w:pPr>
            <w:r w:rsidRPr="00F75FF8">
              <w:t>19.13 (14.31)</w:t>
            </w:r>
          </w:p>
        </w:tc>
        <w:tc>
          <w:tcPr>
            <w:tcW w:w="709" w:type="dxa"/>
          </w:tcPr>
          <w:p w14:paraId="29A19DD2" w14:textId="77777777" w:rsidR="00D31EC5" w:rsidRPr="00F75FF8" w:rsidRDefault="00D31EC5" w:rsidP="003D1288">
            <w:pPr>
              <w:spacing w:after="0" w:line="360" w:lineRule="auto"/>
              <w:contextualSpacing/>
            </w:pPr>
            <w:r w:rsidRPr="00F75FF8">
              <w:t>-3.03</w:t>
            </w:r>
          </w:p>
        </w:tc>
        <w:tc>
          <w:tcPr>
            <w:tcW w:w="709" w:type="dxa"/>
          </w:tcPr>
          <w:p w14:paraId="38305D74" w14:textId="77777777" w:rsidR="00D31EC5" w:rsidRPr="00F75FF8" w:rsidRDefault="00D31EC5" w:rsidP="003D1288">
            <w:pPr>
              <w:spacing w:after="0" w:line="360" w:lineRule="auto"/>
              <w:contextualSpacing/>
            </w:pPr>
            <w:r w:rsidRPr="00F75FF8">
              <w:t>.001</w:t>
            </w:r>
          </w:p>
        </w:tc>
        <w:tc>
          <w:tcPr>
            <w:tcW w:w="850" w:type="dxa"/>
            <w:gridSpan w:val="2"/>
          </w:tcPr>
          <w:p w14:paraId="327DEEA7" w14:textId="77777777" w:rsidR="00D31EC5" w:rsidRPr="00F75FF8" w:rsidRDefault="00D31EC5" w:rsidP="003D1288">
            <w:pPr>
              <w:spacing w:after="0" w:line="360" w:lineRule="auto"/>
              <w:contextualSpacing/>
            </w:pPr>
            <w:r w:rsidRPr="00F75FF8">
              <w:t>-.63</w:t>
            </w:r>
          </w:p>
        </w:tc>
        <w:tc>
          <w:tcPr>
            <w:tcW w:w="992" w:type="dxa"/>
            <w:gridSpan w:val="2"/>
          </w:tcPr>
          <w:p w14:paraId="24394966" w14:textId="77777777" w:rsidR="00D31EC5" w:rsidRPr="00F75FF8" w:rsidRDefault="00D31EC5" w:rsidP="003D1288">
            <w:pPr>
              <w:spacing w:after="0" w:line="360" w:lineRule="auto"/>
              <w:contextualSpacing/>
            </w:pPr>
            <w:r w:rsidRPr="00F75FF8">
              <w:t>13.51 (11.57)</w:t>
            </w:r>
          </w:p>
        </w:tc>
        <w:tc>
          <w:tcPr>
            <w:tcW w:w="993" w:type="dxa"/>
          </w:tcPr>
          <w:p w14:paraId="44C18188" w14:textId="77777777" w:rsidR="00D31EC5" w:rsidRPr="00F75FF8" w:rsidRDefault="00D31EC5" w:rsidP="003D1288">
            <w:pPr>
              <w:spacing w:after="0" w:line="360" w:lineRule="auto"/>
              <w:contextualSpacing/>
            </w:pPr>
            <w:r w:rsidRPr="00F75FF8">
              <w:t>21.70 (13.43)</w:t>
            </w:r>
          </w:p>
        </w:tc>
        <w:tc>
          <w:tcPr>
            <w:tcW w:w="708" w:type="dxa"/>
          </w:tcPr>
          <w:p w14:paraId="4E931014" w14:textId="77777777" w:rsidR="00D31EC5" w:rsidRPr="00F75FF8" w:rsidRDefault="00D31EC5" w:rsidP="003D1288">
            <w:pPr>
              <w:spacing w:after="0" w:line="360" w:lineRule="auto"/>
              <w:contextualSpacing/>
            </w:pPr>
            <w:r w:rsidRPr="00F75FF8">
              <w:t>-4.78</w:t>
            </w:r>
          </w:p>
        </w:tc>
        <w:tc>
          <w:tcPr>
            <w:tcW w:w="709" w:type="dxa"/>
          </w:tcPr>
          <w:p w14:paraId="7ADCA8A7" w14:textId="77777777" w:rsidR="00D31EC5" w:rsidRPr="00F75FF8" w:rsidRDefault="00D31EC5" w:rsidP="003D1288">
            <w:pPr>
              <w:spacing w:after="0" w:line="360" w:lineRule="auto"/>
              <w:contextualSpacing/>
            </w:pPr>
            <w:r w:rsidRPr="00F75FF8">
              <w:t>&lt;.001</w:t>
            </w:r>
          </w:p>
        </w:tc>
        <w:tc>
          <w:tcPr>
            <w:tcW w:w="851" w:type="dxa"/>
          </w:tcPr>
          <w:p w14:paraId="7E3F0341" w14:textId="77777777" w:rsidR="00D31EC5" w:rsidRPr="00F75FF8" w:rsidRDefault="00D31EC5" w:rsidP="003D1288">
            <w:pPr>
              <w:spacing w:after="0" w:line="360" w:lineRule="auto"/>
              <w:contextualSpacing/>
            </w:pPr>
            <w:r w:rsidRPr="00F75FF8">
              <w:t>-.89</w:t>
            </w:r>
          </w:p>
        </w:tc>
      </w:tr>
      <w:tr w:rsidR="00D31EC5" w:rsidRPr="00F75FF8" w14:paraId="73485E2D" w14:textId="77777777" w:rsidTr="00C545E3">
        <w:trPr>
          <w:trHeight w:val="714"/>
        </w:trPr>
        <w:tc>
          <w:tcPr>
            <w:tcW w:w="993" w:type="dxa"/>
            <w:tcBorders>
              <w:bottom w:val="single" w:sz="8" w:space="0" w:color="auto"/>
            </w:tcBorders>
          </w:tcPr>
          <w:p w14:paraId="3210BFFD" w14:textId="77777777" w:rsidR="00D31EC5" w:rsidRPr="00F75FF8" w:rsidRDefault="00D31EC5" w:rsidP="003D1288">
            <w:pPr>
              <w:spacing w:after="0" w:line="360" w:lineRule="auto"/>
              <w:contextualSpacing/>
            </w:pPr>
            <w:r w:rsidRPr="00F75FF8">
              <w:t xml:space="preserve">Positive </w:t>
            </w:r>
          </w:p>
          <w:p w14:paraId="47A20E66" w14:textId="77777777" w:rsidR="00D31EC5" w:rsidRPr="00F75FF8" w:rsidRDefault="00D31EC5" w:rsidP="003D1288">
            <w:pPr>
              <w:spacing w:after="0" w:line="360" w:lineRule="auto"/>
              <w:contextualSpacing/>
            </w:pPr>
            <w:r w:rsidRPr="00F75FF8">
              <w:t xml:space="preserve">   </w:t>
            </w:r>
            <w:proofErr w:type="spellStart"/>
            <w:r w:rsidRPr="00F75FF8">
              <w:t>expec</w:t>
            </w:r>
            <w:proofErr w:type="spellEnd"/>
            <w:r w:rsidRPr="00F75FF8">
              <w:t>-</w:t>
            </w:r>
          </w:p>
          <w:p w14:paraId="2F0F2F74" w14:textId="77777777" w:rsidR="00D31EC5" w:rsidRPr="00F75FF8" w:rsidRDefault="00D31EC5" w:rsidP="003D1288">
            <w:pPr>
              <w:spacing w:after="0" w:line="360" w:lineRule="auto"/>
              <w:contextualSpacing/>
            </w:pPr>
            <w:r w:rsidRPr="00F75FF8">
              <w:t xml:space="preserve">   </w:t>
            </w:r>
            <w:proofErr w:type="spellStart"/>
            <w:r w:rsidRPr="00F75FF8">
              <w:t>tations</w:t>
            </w:r>
            <w:proofErr w:type="spellEnd"/>
            <w:r w:rsidRPr="00F75FF8">
              <w:t xml:space="preserve"> </w:t>
            </w:r>
          </w:p>
        </w:tc>
        <w:tc>
          <w:tcPr>
            <w:tcW w:w="992" w:type="dxa"/>
            <w:gridSpan w:val="2"/>
            <w:tcBorders>
              <w:bottom w:val="single" w:sz="8" w:space="0" w:color="auto"/>
            </w:tcBorders>
          </w:tcPr>
          <w:p w14:paraId="749C4B28" w14:textId="77777777" w:rsidR="00D31EC5" w:rsidRPr="00F75FF8" w:rsidRDefault="00D31EC5" w:rsidP="003D1288">
            <w:pPr>
              <w:spacing w:after="0" w:line="360" w:lineRule="auto"/>
              <w:contextualSpacing/>
            </w:pPr>
            <w:r w:rsidRPr="00F75FF8">
              <w:t>74.31 (12.95)</w:t>
            </w:r>
          </w:p>
        </w:tc>
        <w:tc>
          <w:tcPr>
            <w:tcW w:w="992" w:type="dxa"/>
            <w:gridSpan w:val="2"/>
            <w:tcBorders>
              <w:bottom w:val="single" w:sz="8" w:space="0" w:color="auto"/>
            </w:tcBorders>
          </w:tcPr>
          <w:p w14:paraId="2AFC2B74" w14:textId="77777777" w:rsidR="00D31EC5" w:rsidRPr="00F75FF8" w:rsidRDefault="00D31EC5" w:rsidP="003D1288">
            <w:pPr>
              <w:spacing w:after="0" w:line="360" w:lineRule="auto"/>
              <w:contextualSpacing/>
            </w:pPr>
            <w:r w:rsidRPr="00F75FF8">
              <w:t>64.56 (17.28)</w:t>
            </w:r>
          </w:p>
        </w:tc>
        <w:tc>
          <w:tcPr>
            <w:tcW w:w="709" w:type="dxa"/>
            <w:tcBorders>
              <w:bottom w:val="single" w:sz="8" w:space="0" w:color="auto"/>
            </w:tcBorders>
          </w:tcPr>
          <w:p w14:paraId="271BC69A" w14:textId="77777777" w:rsidR="00D31EC5" w:rsidRPr="00F75FF8" w:rsidRDefault="00D31EC5" w:rsidP="003D1288">
            <w:pPr>
              <w:spacing w:after="0" w:line="360" w:lineRule="auto"/>
              <w:contextualSpacing/>
            </w:pPr>
            <w:r w:rsidRPr="00F75FF8">
              <w:t>4.77</w:t>
            </w:r>
          </w:p>
        </w:tc>
        <w:tc>
          <w:tcPr>
            <w:tcW w:w="709" w:type="dxa"/>
            <w:tcBorders>
              <w:bottom w:val="single" w:sz="8" w:space="0" w:color="auto"/>
            </w:tcBorders>
          </w:tcPr>
          <w:p w14:paraId="6F9EC408" w14:textId="77777777" w:rsidR="00D31EC5" w:rsidRPr="00F75FF8" w:rsidRDefault="00D31EC5" w:rsidP="003D1288">
            <w:pPr>
              <w:spacing w:after="0" w:line="360" w:lineRule="auto"/>
              <w:contextualSpacing/>
            </w:pPr>
            <w:r w:rsidRPr="00F75FF8">
              <w:t>&lt;.001</w:t>
            </w:r>
          </w:p>
        </w:tc>
        <w:tc>
          <w:tcPr>
            <w:tcW w:w="850" w:type="dxa"/>
            <w:gridSpan w:val="2"/>
            <w:tcBorders>
              <w:bottom w:val="single" w:sz="8" w:space="0" w:color="auto"/>
            </w:tcBorders>
          </w:tcPr>
          <w:p w14:paraId="38D348B0" w14:textId="77777777" w:rsidR="00D31EC5" w:rsidRPr="00F75FF8" w:rsidRDefault="00D31EC5" w:rsidP="003D1288">
            <w:pPr>
              <w:spacing w:after="0" w:line="360" w:lineRule="auto"/>
              <w:contextualSpacing/>
            </w:pPr>
            <w:r w:rsidRPr="00F75FF8">
              <w:t>.83</w:t>
            </w:r>
          </w:p>
        </w:tc>
        <w:tc>
          <w:tcPr>
            <w:tcW w:w="992" w:type="dxa"/>
            <w:gridSpan w:val="2"/>
            <w:tcBorders>
              <w:bottom w:val="single" w:sz="8" w:space="0" w:color="auto"/>
            </w:tcBorders>
          </w:tcPr>
          <w:p w14:paraId="1C98636D" w14:textId="77777777" w:rsidR="00D31EC5" w:rsidRPr="00F75FF8" w:rsidRDefault="00D31EC5" w:rsidP="003D1288">
            <w:pPr>
              <w:spacing w:after="0" w:line="360" w:lineRule="auto"/>
              <w:contextualSpacing/>
            </w:pPr>
            <w:r w:rsidRPr="00F75FF8">
              <w:t>77.31 (15.80)</w:t>
            </w:r>
          </w:p>
        </w:tc>
        <w:tc>
          <w:tcPr>
            <w:tcW w:w="993" w:type="dxa"/>
            <w:tcBorders>
              <w:bottom w:val="single" w:sz="8" w:space="0" w:color="auto"/>
            </w:tcBorders>
          </w:tcPr>
          <w:p w14:paraId="1D2B1E1F" w14:textId="77777777" w:rsidR="00D31EC5" w:rsidRPr="00F75FF8" w:rsidRDefault="00D31EC5" w:rsidP="003D1288">
            <w:pPr>
              <w:spacing w:after="0" w:line="360" w:lineRule="auto"/>
              <w:contextualSpacing/>
            </w:pPr>
            <w:r w:rsidRPr="00F75FF8">
              <w:t>65.10 (18.69)</w:t>
            </w:r>
          </w:p>
        </w:tc>
        <w:tc>
          <w:tcPr>
            <w:tcW w:w="708" w:type="dxa"/>
            <w:tcBorders>
              <w:bottom w:val="single" w:sz="8" w:space="0" w:color="auto"/>
            </w:tcBorders>
          </w:tcPr>
          <w:p w14:paraId="1A2F56B8" w14:textId="77777777" w:rsidR="00D31EC5" w:rsidRPr="00F75FF8" w:rsidRDefault="00D31EC5" w:rsidP="003D1288">
            <w:pPr>
              <w:spacing w:after="0" w:line="360" w:lineRule="auto"/>
              <w:contextualSpacing/>
            </w:pPr>
            <w:r w:rsidRPr="00F75FF8">
              <w:t>6.64</w:t>
            </w:r>
          </w:p>
        </w:tc>
        <w:tc>
          <w:tcPr>
            <w:tcW w:w="709" w:type="dxa"/>
            <w:tcBorders>
              <w:bottom w:val="single" w:sz="8" w:space="0" w:color="auto"/>
            </w:tcBorders>
          </w:tcPr>
          <w:p w14:paraId="251E80F3" w14:textId="77777777" w:rsidR="00D31EC5" w:rsidRPr="00F75FF8" w:rsidRDefault="00D31EC5" w:rsidP="003D1288">
            <w:pPr>
              <w:spacing w:after="0" w:line="360" w:lineRule="auto"/>
              <w:contextualSpacing/>
            </w:pPr>
            <w:r w:rsidRPr="00F75FF8">
              <w:t>&lt;.001</w:t>
            </w:r>
          </w:p>
        </w:tc>
        <w:tc>
          <w:tcPr>
            <w:tcW w:w="851" w:type="dxa"/>
            <w:tcBorders>
              <w:bottom w:val="single" w:sz="8" w:space="0" w:color="auto"/>
            </w:tcBorders>
          </w:tcPr>
          <w:p w14:paraId="1E45B548" w14:textId="77777777" w:rsidR="00D31EC5" w:rsidRPr="00F75FF8" w:rsidRDefault="00D31EC5" w:rsidP="003D1288">
            <w:pPr>
              <w:spacing w:after="0" w:line="360" w:lineRule="auto"/>
              <w:contextualSpacing/>
            </w:pPr>
            <w:r w:rsidRPr="00F75FF8">
              <w:t>1.05</w:t>
            </w:r>
          </w:p>
        </w:tc>
      </w:tr>
    </w:tbl>
    <w:p w14:paraId="3A51C814" w14:textId="77777777" w:rsidR="00D31EC5" w:rsidRPr="00F75FF8" w:rsidRDefault="00D31EC5" w:rsidP="003D1288">
      <w:pPr>
        <w:spacing w:after="0" w:line="360" w:lineRule="auto"/>
        <w:contextualSpacing/>
      </w:pPr>
      <w:r w:rsidRPr="00F75FF8">
        <w:rPr>
          <w:i/>
        </w:rPr>
        <w:t>Note</w:t>
      </w:r>
      <w:r w:rsidRPr="00F75FF8">
        <w:t xml:space="preserve">. Results of paired samples t-tests for each sample. Outcome variables were rated on a scale of 0-100. Positive values for Cohen’s </w:t>
      </w:r>
      <w:r w:rsidRPr="00F75FF8">
        <w:rPr>
          <w:i/>
        </w:rPr>
        <w:t>d</w:t>
      </w:r>
      <w:r w:rsidRPr="00F75FF8">
        <w:t xml:space="preserve"> suggest greater scores in solution- relative to problem-focused vignettes, whereas negative values suggest lower scores in solution- relative to problem-focused vignettes.</w:t>
      </w:r>
    </w:p>
    <w:p w14:paraId="415C02A5" w14:textId="1C4564D4" w:rsidR="00AE321D" w:rsidRPr="00F75FF8" w:rsidRDefault="00D31EC5" w:rsidP="003D1288">
      <w:pPr>
        <w:spacing w:after="0" w:line="360" w:lineRule="auto"/>
        <w:contextualSpacing/>
        <w:rPr>
          <w:b/>
        </w:rPr>
      </w:pPr>
      <w:proofErr w:type="gramStart"/>
      <w:r w:rsidRPr="00F75FF8">
        <w:rPr>
          <w:vertAlign w:val="superscript"/>
        </w:rPr>
        <w:t>a</w:t>
      </w:r>
      <w:proofErr w:type="gramEnd"/>
      <w:r w:rsidRPr="00F75FF8">
        <w:t xml:space="preserve"> Cohen’s </w:t>
      </w:r>
      <w:r w:rsidRPr="00F75FF8">
        <w:rPr>
          <w:i/>
        </w:rPr>
        <w:t>d</w:t>
      </w:r>
      <w:r w:rsidRPr="00F75FF8">
        <w:t xml:space="preserve"> for a paired-samples t-test is calculated by dividing the mean difference by the standard deviation of the difference.</w:t>
      </w:r>
      <w:r w:rsidR="00AE321D" w:rsidRPr="00F75FF8">
        <w:rPr>
          <w:b/>
        </w:rPr>
        <w:br w:type="page"/>
      </w:r>
    </w:p>
    <w:p w14:paraId="0861A7ED" w14:textId="326E0253" w:rsidR="0027286F" w:rsidRPr="00F75FF8" w:rsidRDefault="0027286F" w:rsidP="003D1288">
      <w:pPr>
        <w:spacing w:after="0" w:line="360" w:lineRule="auto"/>
        <w:contextualSpacing/>
        <w:rPr>
          <w:b/>
        </w:rPr>
      </w:pPr>
      <w:r w:rsidRPr="00F75FF8">
        <w:rPr>
          <w:b/>
        </w:rPr>
        <w:t>Figure 1</w:t>
      </w:r>
    </w:p>
    <w:p w14:paraId="3735300B" w14:textId="2D1A4B49" w:rsidR="00530BF4" w:rsidRPr="00F75FF8" w:rsidRDefault="003E5F5B" w:rsidP="003D1288">
      <w:pPr>
        <w:spacing w:line="360" w:lineRule="auto"/>
      </w:pPr>
      <w:r w:rsidRPr="00F75FF8">
        <w:rPr>
          <w:i/>
        </w:rPr>
        <w:t>Mean differences between solution-focused and problem-focused vignettes</w:t>
      </w:r>
      <w:r w:rsidR="008E339A">
        <w:pict w14:anchorId="5FC5A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pt;height:240.6pt">
            <v:imagedata r:id="rId9" o:title="Figure1" cropbottom="2362f" cropright="535f"/>
          </v:shape>
        </w:pict>
      </w:r>
    </w:p>
    <w:p w14:paraId="672245AC" w14:textId="77777777" w:rsidR="003E5F5B" w:rsidRPr="00F75FF8" w:rsidRDefault="003E5F5B" w:rsidP="003D1288">
      <w:pPr>
        <w:spacing w:line="360" w:lineRule="auto"/>
      </w:pPr>
      <w:r w:rsidRPr="00F75FF8">
        <w:rPr>
          <w:i/>
        </w:rPr>
        <w:t>Note</w:t>
      </w:r>
      <w:r w:rsidRPr="00F75FF8">
        <w:t>. Outcome variables were measured on a scale of 0 to 100. Error bars represent 95% Confidence Intervals. Positive values suggest higher scores for solution- relative to problem-focused vignettes; negative values suggest lower scores for solution- relative to problem-focused vignettes.</w:t>
      </w:r>
    </w:p>
    <w:p w14:paraId="5D7999E8" w14:textId="77777777" w:rsidR="00735F6E" w:rsidRPr="00F75FF8" w:rsidRDefault="00735F6E" w:rsidP="00C545E3">
      <w:pPr>
        <w:spacing w:line="276" w:lineRule="auto"/>
        <w:contextualSpacing/>
      </w:pPr>
    </w:p>
    <w:p w14:paraId="4594C346" w14:textId="0BB6A250" w:rsidR="00AE321D" w:rsidRPr="00F75FF8" w:rsidRDefault="00AE321D">
      <w:pPr>
        <w:rPr>
          <w:rFonts w:cstheme="minorHAnsi"/>
          <w:b/>
        </w:rPr>
      </w:pPr>
    </w:p>
    <w:p w14:paraId="5695D988" w14:textId="01DE3B47" w:rsidR="00986CF3" w:rsidRPr="00F75FF8" w:rsidRDefault="00E5021C" w:rsidP="001231FD">
      <w:pPr>
        <w:spacing w:line="480" w:lineRule="auto"/>
        <w:jc w:val="center"/>
        <w:rPr>
          <w:rFonts w:cstheme="minorHAnsi"/>
          <w:b/>
        </w:rPr>
      </w:pPr>
      <w:r w:rsidRPr="00F75FF8">
        <w:rPr>
          <w:rFonts w:cstheme="minorHAnsi"/>
          <w:b/>
        </w:rPr>
        <w:t>Discussion</w:t>
      </w:r>
    </w:p>
    <w:p w14:paraId="338A53BD" w14:textId="17E4442C" w:rsidR="00136D9E" w:rsidRPr="00F75FF8" w:rsidRDefault="00E5021C" w:rsidP="001231FD">
      <w:pPr>
        <w:autoSpaceDE w:val="0"/>
        <w:autoSpaceDN w:val="0"/>
        <w:adjustRightInd w:val="0"/>
        <w:spacing w:after="0" w:line="480" w:lineRule="auto"/>
        <w:rPr>
          <w:rFonts w:cstheme="minorHAnsi"/>
          <w:szCs w:val="24"/>
        </w:rPr>
      </w:pPr>
      <w:r w:rsidRPr="00F75FF8">
        <w:rPr>
          <w:rFonts w:cstheme="minorHAnsi"/>
          <w:szCs w:val="24"/>
        </w:rPr>
        <w:t xml:space="preserve">The aim of the current vignette study was to compare the effects of solution-focused </w:t>
      </w:r>
      <w:r w:rsidR="0016098D" w:rsidRPr="00F75FF8">
        <w:rPr>
          <w:rFonts w:cstheme="minorHAnsi"/>
          <w:szCs w:val="24"/>
        </w:rPr>
        <w:t>versus</w:t>
      </w:r>
      <w:r w:rsidRPr="00F75FF8">
        <w:rPr>
          <w:rFonts w:cstheme="minorHAnsi"/>
          <w:szCs w:val="24"/>
        </w:rPr>
        <w:t xml:space="preserve"> problem-focused </w:t>
      </w:r>
      <w:r w:rsidR="0016098D" w:rsidRPr="00F75FF8">
        <w:rPr>
          <w:rFonts w:cstheme="minorHAnsi"/>
          <w:szCs w:val="24"/>
        </w:rPr>
        <w:t>case descriptions</w:t>
      </w:r>
      <w:r w:rsidRPr="00F75FF8">
        <w:rPr>
          <w:rFonts w:cstheme="minorHAnsi"/>
          <w:szCs w:val="24"/>
        </w:rPr>
        <w:t xml:space="preserve"> on therapists’ emotions</w:t>
      </w:r>
      <w:r w:rsidR="0070003E" w:rsidRPr="00F75FF8">
        <w:rPr>
          <w:rFonts w:cstheme="minorHAnsi"/>
          <w:szCs w:val="24"/>
        </w:rPr>
        <w:t xml:space="preserve"> and therapeutic optimism</w:t>
      </w:r>
      <w:r w:rsidRPr="00F75FF8">
        <w:rPr>
          <w:rFonts w:cstheme="minorHAnsi"/>
          <w:szCs w:val="24"/>
        </w:rPr>
        <w:t xml:space="preserve"> in a within-person comparison. Outcome variables were positive affect, negative affect, and therapi</w:t>
      </w:r>
      <w:r w:rsidR="001820D3" w:rsidRPr="00F75FF8">
        <w:rPr>
          <w:rFonts w:cstheme="minorHAnsi"/>
          <w:szCs w:val="24"/>
        </w:rPr>
        <w:t>sts’ expectations for successfully working with a client</w:t>
      </w:r>
      <w:r w:rsidRPr="00F75FF8">
        <w:rPr>
          <w:rFonts w:cstheme="minorHAnsi"/>
          <w:szCs w:val="24"/>
        </w:rPr>
        <w:t xml:space="preserve">. To test the hypotheses that </w:t>
      </w:r>
      <w:r w:rsidR="00136D9E" w:rsidRPr="00F75FF8">
        <w:rPr>
          <w:rFonts w:cstheme="minorHAnsi"/>
          <w:szCs w:val="24"/>
        </w:rPr>
        <w:t xml:space="preserve">reading </w:t>
      </w:r>
      <w:r w:rsidRPr="00F75FF8">
        <w:rPr>
          <w:rFonts w:cstheme="minorHAnsi"/>
          <w:szCs w:val="24"/>
        </w:rPr>
        <w:t xml:space="preserve">solution-focused </w:t>
      </w:r>
      <w:r w:rsidR="0016098D" w:rsidRPr="00F75FF8">
        <w:rPr>
          <w:rFonts w:cstheme="minorHAnsi"/>
          <w:szCs w:val="24"/>
        </w:rPr>
        <w:t>case descriptions</w:t>
      </w:r>
      <w:r w:rsidR="00136D9E" w:rsidRPr="00F75FF8">
        <w:rPr>
          <w:rFonts w:cstheme="minorHAnsi"/>
          <w:szCs w:val="24"/>
        </w:rPr>
        <w:t xml:space="preserve"> </w:t>
      </w:r>
      <w:r w:rsidRPr="00F75FF8">
        <w:rPr>
          <w:rFonts w:cstheme="minorHAnsi"/>
          <w:szCs w:val="24"/>
        </w:rPr>
        <w:t xml:space="preserve">would induce </w:t>
      </w:r>
      <w:r w:rsidR="00D41D4F" w:rsidRPr="00F75FF8">
        <w:rPr>
          <w:rFonts w:cstheme="minorHAnsi"/>
          <w:szCs w:val="24"/>
        </w:rPr>
        <w:t>higher</w:t>
      </w:r>
      <w:r w:rsidRPr="00F75FF8">
        <w:rPr>
          <w:rFonts w:cstheme="minorHAnsi"/>
          <w:szCs w:val="24"/>
        </w:rPr>
        <w:t xml:space="preserve"> positive affect, </w:t>
      </w:r>
      <w:r w:rsidR="00D41D4F" w:rsidRPr="00F75FF8">
        <w:rPr>
          <w:rFonts w:cstheme="minorHAnsi"/>
          <w:szCs w:val="24"/>
        </w:rPr>
        <w:t>lower</w:t>
      </w:r>
      <w:r w:rsidRPr="00F75FF8">
        <w:rPr>
          <w:rFonts w:cstheme="minorHAnsi"/>
          <w:szCs w:val="24"/>
        </w:rPr>
        <w:t xml:space="preserve"> negative affect, and </w:t>
      </w:r>
      <w:r w:rsidR="00D41D4F" w:rsidRPr="00F75FF8">
        <w:rPr>
          <w:rFonts w:cstheme="minorHAnsi"/>
          <w:szCs w:val="24"/>
        </w:rPr>
        <w:t>higher</w:t>
      </w:r>
      <w:r w:rsidRPr="00F75FF8">
        <w:rPr>
          <w:rFonts w:cstheme="minorHAnsi"/>
          <w:szCs w:val="24"/>
        </w:rPr>
        <w:t xml:space="preserve"> positive expectations </w:t>
      </w:r>
      <w:r w:rsidR="00D41D4F" w:rsidRPr="00F75FF8">
        <w:rPr>
          <w:rFonts w:cstheme="minorHAnsi"/>
          <w:szCs w:val="24"/>
        </w:rPr>
        <w:t>of</w:t>
      </w:r>
      <w:r w:rsidRPr="00F75FF8">
        <w:rPr>
          <w:rFonts w:cstheme="minorHAnsi"/>
          <w:szCs w:val="24"/>
        </w:rPr>
        <w:t xml:space="preserve"> treatment success</w:t>
      </w:r>
      <w:r w:rsidR="00136D9E" w:rsidRPr="00F75FF8">
        <w:rPr>
          <w:rFonts w:cstheme="minorHAnsi"/>
          <w:szCs w:val="24"/>
        </w:rPr>
        <w:t xml:space="preserve"> compared to problem-focused </w:t>
      </w:r>
      <w:r w:rsidR="0016098D" w:rsidRPr="00F75FF8">
        <w:rPr>
          <w:rFonts w:cstheme="minorHAnsi"/>
          <w:szCs w:val="24"/>
        </w:rPr>
        <w:t>case descriptions</w:t>
      </w:r>
      <w:r w:rsidRPr="00F75FF8">
        <w:rPr>
          <w:rFonts w:cstheme="minorHAnsi"/>
          <w:szCs w:val="24"/>
        </w:rPr>
        <w:t xml:space="preserve">, </w:t>
      </w:r>
      <w:r w:rsidR="00A55723" w:rsidRPr="00F75FF8">
        <w:rPr>
          <w:rFonts w:cstheme="minorHAnsi"/>
          <w:szCs w:val="24"/>
        </w:rPr>
        <w:t xml:space="preserve">participants </w:t>
      </w:r>
      <w:r w:rsidR="00136D9E" w:rsidRPr="00F75FF8">
        <w:rPr>
          <w:rFonts w:cstheme="minorHAnsi"/>
          <w:szCs w:val="24"/>
        </w:rPr>
        <w:t xml:space="preserve">were asked to imagine themselves as beginning therapists taking on potential clients. </w:t>
      </w:r>
      <w:r w:rsidR="00D41D4F" w:rsidRPr="00F75FF8">
        <w:rPr>
          <w:rFonts w:cstheme="minorHAnsi"/>
          <w:szCs w:val="24"/>
        </w:rPr>
        <w:t>Participants then</w:t>
      </w:r>
      <w:r w:rsidR="00136D9E" w:rsidRPr="00F75FF8">
        <w:rPr>
          <w:rFonts w:cstheme="minorHAnsi"/>
          <w:szCs w:val="24"/>
        </w:rPr>
        <w:t xml:space="preserve"> </w:t>
      </w:r>
      <w:r w:rsidR="00A55723" w:rsidRPr="00F75FF8">
        <w:rPr>
          <w:rFonts w:cstheme="minorHAnsi"/>
          <w:szCs w:val="24"/>
        </w:rPr>
        <w:t>rated four vignettes each (two solution-focused vignettes, and two problem-focused vignettes</w:t>
      </w:r>
      <w:r w:rsidR="001820D3" w:rsidRPr="00F75FF8">
        <w:rPr>
          <w:rFonts w:cstheme="minorHAnsi"/>
          <w:szCs w:val="24"/>
        </w:rPr>
        <w:t>) in</w:t>
      </w:r>
      <w:r w:rsidR="002E67C5" w:rsidRPr="00F75FF8">
        <w:rPr>
          <w:rFonts w:cstheme="minorHAnsi"/>
          <w:szCs w:val="24"/>
        </w:rPr>
        <w:t xml:space="preserve"> </w:t>
      </w:r>
      <w:r w:rsidR="001820D3" w:rsidRPr="00F75FF8">
        <w:rPr>
          <w:rFonts w:cstheme="minorHAnsi"/>
          <w:szCs w:val="24"/>
        </w:rPr>
        <w:t>counterbalance order</w:t>
      </w:r>
      <w:r w:rsidR="00A55723" w:rsidRPr="00F75FF8">
        <w:rPr>
          <w:rFonts w:cstheme="minorHAnsi"/>
          <w:szCs w:val="24"/>
        </w:rPr>
        <w:t>.</w:t>
      </w:r>
    </w:p>
    <w:p w14:paraId="3584ED26" w14:textId="6FBADF83" w:rsidR="00191D3A" w:rsidRPr="00F75FF8" w:rsidRDefault="00191D3A" w:rsidP="001231FD">
      <w:pPr>
        <w:autoSpaceDE w:val="0"/>
        <w:autoSpaceDN w:val="0"/>
        <w:adjustRightInd w:val="0"/>
        <w:spacing w:after="0" w:line="480" w:lineRule="auto"/>
        <w:rPr>
          <w:rFonts w:cstheme="minorHAnsi"/>
          <w:b/>
          <w:szCs w:val="24"/>
        </w:rPr>
      </w:pPr>
      <w:r w:rsidRPr="00F75FF8">
        <w:rPr>
          <w:rFonts w:cstheme="minorHAnsi"/>
          <w:b/>
          <w:szCs w:val="24"/>
        </w:rPr>
        <w:t>Findings</w:t>
      </w:r>
    </w:p>
    <w:p w14:paraId="1CE8A3A7" w14:textId="76E50046" w:rsidR="00E5021C" w:rsidRPr="00F75FF8" w:rsidRDefault="00A55723" w:rsidP="001231FD">
      <w:pPr>
        <w:autoSpaceDE w:val="0"/>
        <w:autoSpaceDN w:val="0"/>
        <w:adjustRightInd w:val="0"/>
        <w:spacing w:after="0" w:line="480" w:lineRule="auto"/>
        <w:ind w:firstLine="720"/>
        <w:rPr>
          <w:rFonts w:cstheme="minorHAnsi"/>
          <w:szCs w:val="24"/>
        </w:rPr>
      </w:pPr>
      <w:r w:rsidRPr="00F75FF8">
        <w:rPr>
          <w:rFonts w:cstheme="minorHAnsi"/>
          <w:szCs w:val="24"/>
        </w:rPr>
        <w:t xml:space="preserve">The study was replicated in two different samples. In sample 1, participants were </w:t>
      </w:r>
      <w:r w:rsidR="00197636" w:rsidRPr="00F75FF8">
        <w:rPr>
          <w:rFonts w:cstheme="minorHAnsi"/>
          <w:szCs w:val="24"/>
        </w:rPr>
        <w:t xml:space="preserve">psychology </w:t>
      </w:r>
      <w:r w:rsidRPr="00F75FF8">
        <w:rPr>
          <w:rFonts w:cstheme="minorHAnsi"/>
          <w:szCs w:val="24"/>
        </w:rPr>
        <w:t xml:space="preserve">or mental health care </w:t>
      </w:r>
      <w:r w:rsidR="00E5021C" w:rsidRPr="00F75FF8">
        <w:rPr>
          <w:rFonts w:cstheme="minorHAnsi"/>
          <w:szCs w:val="24"/>
        </w:rPr>
        <w:t>s</w:t>
      </w:r>
      <w:r w:rsidR="00197636" w:rsidRPr="00F75FF8">
        <w:rPr>
          <w:rFonts w:cstheme="minorHAnsi"/>
          <w:szCs w:val="24"/>
        </w:rPr>
        <w:t xml:space="preserve">tudents </w:t>
      </w:r>
      <w:r w:rsidR="00E5021C" w:rsidRPr="00F75FF8">
        <w:rPr>
          <w:rFonts w:cstheme="minorHAnsi"/>
          <w:szCs w:val="24"/>
        </w:rPr>
        <w:t xml:space="preserve">who had minimally completed </w:t>
      </w:r>
      <w:r w:rsidR="00197636" w:rsidRPr="00F75FF8">
        <w:rPr>
          <w:rFonts w:cstheme="minorHAnsi"/>
          <w:szCs w:val="24"/>
        </w:rPr>
        <w:t>a</w:t>
      </w:r>
      <w:r w:rsidRPr="00F75FF8">
        <w:rPr>
          <w:rFonts w:cstheme="minorHAnsi"/>
          <w:szCs w:val="24"/>
        </w:rPr>
        <w:t xml:space="preserve"> clinical skills training. In sample 2, participants were students of applied psychology who were in the midst of their </w:t>
      </w:r>
      <w:r w:rsidR="002E67C5" w:rsidRPr="00F75FF8">
        <w:rPr>
          <w:rFonts w:cstheme="minorHAnsi"/>
          <w:szCs w:val="24"/>
        </w:rPr>
        <w:t xml:space="preserve">clinical placements as </w:t>
      </w:r>
      <w:r w:rsidR="003F5A1E" w:rsidRPr="00F75FF8">
        <w:rPr>
          <w:rFonts w:cstheme="minorHAnsi"/>
          <w:szCs w:val="24"/>
        </w:rPr>
        <w:t>IAPT Psychological Well-being Practitioner</w:t>
      </w:r>
      <w:r w:rsidRPr="00F75FF8">
        <w:rPr>
          <w:rFonts w:cstheme="minorHAnsi"/>
          <w:szCs w:val="24"/>
        </w:rPr>
        <w:t>.</w:t>
      </w:r>
      <w:r w:rsidR="00D41D4F" w:rsidRPr="00F75FF8">
        <w:rPr>
          <w:rFonts w:cstheme="minorHAnsi"/>
          <w:szCs w:val="24"/>
        </w:rPr>
        <w:t xml:space="preserve"> </w:t>
      </w:r>
      <w:r w:rsidRPr="00F75FF8">
        <w:rPr>
          <w:rFonts w:cstheme="minorHAnsi"/>
          <w:szCs w:val="24"/>
        </w:rPr>
        <w:t xml:space="preserve">In both samples, the results were </w:t>
      </w:r>
      <w:r w:rsidR="00136D9E" w:rsidRPr="00F75FF8">
        <w:rPr>
          <w:rFonts w:cstheme="minorHAnsi"/>
          <w:szCs w:val="24"/>
        </w:rPr>
        <w:t xml:space="preserve">fully </w:t>
      </w:r>
      <w:r w:rsidRPr="00F75FF8">
        <w:rPr>
          <w:rFonts w:cstheme="minorHAnsi"/>
          <w:szCs w:val="24"/>
        </w:rPr>
        <w:t>in line with our hypotheses.</w:t>
      </w:r>
      <w:r w:rsidR="00136D9E" w:rsidRPr="00F75FF8">
        <w:rPr>
          <w:rFonts w:cstheme="minorHAnsi"/>
          <w:szCs w:val="24"/>
        </w:rPr>
        <w:t xml:space="preserve"> A</w:t>
      </w:r>
      <w:r w:rsidRPr="00F75FF8">
        <w:rPr>
          <w:rFonts w:cstheme="minorHAnsi"/>
          <w:szCs w:val="24"/>
        </w:rPr>
        <w:t xml:space="preserve">fter </w:t>
      </w:r>
      <w:r w:rsidR="0069556B" w:rsidRPr="00F75FF8">
        <w:rPr>
          <w:rFonts w:cstheme="minorHAnsi"/>
          <w:szCs w:val="24"/>
        </w:rPr>
        <w:t>reading</w:t>
      </w:r>
      <w:r w:rsidRPr="00F75FF8">
        <w:rPr>
          <w:rFonts w:cstheme="minorHAnsi"/>
          <w:szCs w:val="24"/>
        </w:rPr>
        <w:t xml:space="preserve"> solution-focused vignettes, participants </w:t>
      </w:r>
      <w:r w:rsidR="0069556B" w:rsidRPr="00F75FF8">
        <w:rPr>
          <w:rFonts w:cstheme="minorHAnsi"/>
          <w:szCs w:val="24"/>
        </w:rPr>
        <w:t xml:space="preserve">reported </w:t>
      </w:r>
      <w:r w:rsidRPr="00F75FF8">
        <w:rPr>
          <w:rFonts w:cstheme="minorHAnsi"/>
          <w:szCs w:val="24"/>
        </w:rPr>
        <w:t xml:space="preserve">significantly </w:t>
      </w:r>
      <w:r w:rsidR="0069556B" w:rsidRPr="00F75FF8">
        <w:rPr>
          <w:rFonts w:cstheme="minorHAnsi"/>
          <w:szCs w:val="24"/>
        </w:rPr>
        <w:t>higher</w:t>
      </w:r>
      <w:r w:rsidRPr="00F75FF8">
        <w:rPr>
          <w:rFonts w:cstheme="minorHAnsi"/>
          <w:szCs w:val="24"/>
        </w:rPr>
        <w:t xml:space="preserve"> positive affect and </w:t>
      </w:r>
      <w:r w:rsidR="00396D30" w:rsidRPr="00F75FF8">
        <w:rPr>
          <w:rFonts w:cstheme="minorHAnsi"/>
          <w:szCs w:val="24"/>
        </w:rPr>
        <w:t xml:space="preserve">significantly </w:t>
      </w:r>
      <w:r w:rsidR="0069556B" w:rsidRPr="00F75FF8">
        <w:rPr>
          <w:rFonts w:cstheme="minorHAnsi"/>
          <w:szCs w:val="24"/>
        </w:rPr>
        <w:t xml:space="preserve">lower negative affect, in addition to having </w:t>
      </w:r>
      <w:r w:rsidR="00136D9E" w:rsidRPr="00F75FF8">
        <w:rPr>
          <w:rFonts w:cstheme="minorHAnsi"/>
          <w:szCs w:val="24"/>
        </w:rPr>
        <w:t xml:space="preserve">significantly </w:t>
      </w:r>
      <w:r w:rsidR="0069556B" w:rsidRPr="00F75FF8">
        <w:rPr>
          <w:rFonts w:cstheme="minorHAnsi"/>
          <w:szCs w:val="24"/>
        </w:rPr>
        <w:t>higher</w:t>
      </w:r>
      <w:r w:rsidR="00136D9E" w:rsidRPr="00F75FF8">
        <w:rPr>
          <w:rFonts w:cstheme="minorHAnsi"/>
          <w:szCs w:val="24"/>
        </w:rPr>
        <w:t xml:space="preserve"> positive expectations for successful</w:t>
      </w:r>
      <w:r w:rsidR="001820D3" w:rsidRPr="00F75FF8">
        <w:rPr>
          <w:rFonts w:cstheme="minorHAnsi"/>
          <w:szCs w:val="24"/>
        </w:rPr>
        <w:t>ly working with a client</w:t>
      </w:r>
      <w:r w:rsidRPr="00F75FF8">
        <w:rPr>
          <w:rFonts w:cstheme="minorHAnsi"/>
          <w:szCs w:val="24"/>
        </w:rPr>
        <w:t xml:space="preserve">, compared to </w:t>
      </w:r>
      <w:r w:rsidR="0069556B" w:rsidRPr="00F75FF8">
        <w:rPr>
          <w:rFonts w:cstheme="minorHAnsi"/>
          <w:szCs w:val="24"/>
        </w:rPr>
        <w:t xml:space="preserve">after reading </w:t>
      </w:r>
      <w:r w:rsidRPr="00F75FF8">
        <w:rPr>
          <w:rFonts w:cstheme="minorHAnsi"/>
          <w:szCs w:val="24"/>
        </w:rPr>
        <w:t>problem-focused vignettes. Effect sizes were large (Cohen’s d &gt; .8) for all outcomes, except for the effect size of negative affect in Sample 1, which was medium</w:t>
      </w:r>
      <w:r w:rsidR="00D41D4F" w:rsidRPr="00F75FF8">
        <w:rPr>
          <w:rFonts w:cstheme="minorHAnsi"/>
          <w:szCs w:val="24"/>
        </w:rPr>
        <w:t xml:space="preserve"> (Cohen’s d = .63)</w:t>
      </w:r>
      <w:r w:rsidRPr="00F75FF8">
        <w:rPr>
          <w:rFonts w:cstheme="minorHAnsi"/>
          <w:szCs w:val="24"/>
        </w:rPr>
        <w:t>.</w:t>
      </w:r>
      <w:r w:rsidR="00186F8E" w:rsidRPr="00F75FF8">
        <w:rPr>
          <w:rFonts w:cstheme="minorHAnsi"/>
          <w:szCs w:val="24"/>
        </w:rPr>
        <w:tab/>
      </w:r>
    </w:p>
    <w:p w14:paraId="443ABA37" w14:textId="7FFA05FE" w:rsidR="00191D3A" w:rsidRPr="00F75FF8" w:rsidRDefault="00A66EC9" w:rsidP="001231FD">
      <w:pPr>
        <w:autoSpaceDE w:val="0"/>
        <w:autoSpaceDN w:val="0"/>
        <w:adjustRightInd w:val="0"/>
        <w:spacing w:after="0" w:line="480" w:lineRule="auto"/>
        <w:rPr>
          <w:rFonts w:cstheme="minorHAnsi"/>
          <w:b/>
          <w:szCs w:val="24"/>
        </w:rPr>
      </w:pPr>
      <w:r w:rsidRPr="00F75FF8">
        <w:rPr>
          <w:rFonts w:cstheme="minorHAnsi"/>
          <w:b/>
          <w:szCs w:val="24"/>
        </w:rPr>
        <w:t xml:space="preserve">Comparison with other studies </w:t>
      </w:r>
    </w:p>
    <w:p w14:paraId="152ED33D" w14:textId="3FFC1696" w:rsidR="00C52398" w:rsidRPr="00F75FF8" w:rsidRDefault="00F76B13" w:rsidP="001231FD">
      <w:pPr>
        <w:autoSpaceDE w:val="0"/>
        <w:autoSpaceDN w:val="0"/>
        <w:adjustRightInd w:val="0"/>
        <w:spacing w:after="0" w:line="480" w:lineRule="auto"/>
        <w:ind w:firstLine="720"/>
        <w:rPr>
          <w:rFonts w:cstheme="minorHAnsi"/>
          <w:szCs w:val="24"/>
        </w:rPr>
      </w:pPr>
      <w:r w:rsidRPr="00F75FF8">
        <w:rPr>
          <w:rFonts w:cstheme="minorHAnsi"/>
          <w:szCs w:val="24"/>
        </w:rPr>
        <w:t xml:space="preserve">To </w:t>
      </w:r>
      <w:r w:rsidR="0016098D" w:rsidRPr="00F75FF8">
        <w:rPr>
          <w:rFonts w:cstheme="minorHAnsi"/>
          <w:szCs w:val="24"/>
        </w:rPr>
        <w:t>the</w:t>
      </w:r>
      <w:r w:rsidRPr="00F75FF8">
        <w:rPr>
          <w:rFonts w:cstheme="minorHAnsi"/>
          <w:szCs w:val="24"/>
        </w:rPr>
        <w:t xml:space="preserve"> best </w:t>
      </w:r>
      <w:r w:rsidR="0016098D" w:rsidRPr="00F75FF8">
        <w:rPr>
          <w:rFonts w:cstheme="minorHAnsi"/>
          <w:szCs w:val="24"/>
        </w:rPr>
        <w:t xml:space="preserve">of our </w:t>
      </w:r>
      <w:r w:rsidRPr="00F75FF8">
        <w:rPr>
          <w:rFonts w:cstheme="minorHAnsi"/>
          <w:szCs w:val="24"/>
        </w:rPr>
        <w:t xml:space="preserve">knowledge, </w:t>
      </w:r>
      <w:r w:rsidR="00FA03B2" w:rsidRPr="00F75FF8">
        <w:rPr>
          <w:rFonts w:cstheme="minorHAnsi"/>
          <w:szCs w:val="24"/>
        </w:rPr>
        <w:t>this</w:t>
      </w:r>
      <w:r w:rsidR="00CA57EE" w:rsidRPr="00F75FF8">
        <w:rPr>
          <w:rFonts w:cstheme="minorHAnsi"/>
          <w:szCs w:val="24"/>
        </w:rPr>
        <w:t xml:space="preserve"> study</w:t>
      </w:r>
      <w:r w:rsidR="00FA03B2" w:rsidRPr="00F75FF8">
        <w:rPr>
          <w:rFonts w:cstheme="minorHAnsi"/>
          <w:szCs w:val="24"/>
        </w:rPr>
        <w:t xml:space="preserve"> is the first study to experimentally manipulate the </w:t>
      </w:r>
      <w:r w:rsidR="00CA57EE" w:rsidRPr="00F75FF8">
        <w:rPr>
          <w:rFonts w:cstheme="minorHAnsi"/>
          <w:szCs w:val="24"/>
        </w:rPr>
        <w:t xml:space="preserve">content of </w:t>
      </w:r>
      <w:r w:rsidR="00604779" w:rsidRPr="00F75FF8">
        <w:rPr>
          <w:rFonts w:cstheme="minorHAnsi"/>
          <w:szCs w:val="24"/>
        </w:rPr>
        <w:t>case</w:t>
      </w:r>
      <w:r w:rsidR="00CA57EE" w:rsidRPr="00F75FF8">
        <w:rPr>
          <w:rFonts w:cstheme="minorHAnsi"/>
          <w:szCs w:val="24"/>
        </w:rPr>
        <w:t xml:space="preserve"> descriptions in terms of their focus on strengths and solutions versus problems, thereby enabling an experimentally controlled</w:t>
      </w:r>
      <w:r w:rsidR="00FA03B2" w:rsidRPr="00F75FF8">
        <w:rPr>
          <w:rFonts w:cstheme="minorHAnsi"/>
          <w:szCs w:val="24"/>
        </w:rPr>
        <w:t xml:space="preserve"> </w:t>
      </w:r>
      <w:r w:rsidR="00CA57EE" w:rsidRPr="00F75FF8">
        <w:rPr>
          <w:rFonts w:cstheme="minorHAnsi"/>
          <w:szCs w:val="24"/>
        </w:rPr>
        <w:t>assessment of the isolated impact of solution- versus problem-focus</w:t>
      </w:r>
      <w:r w:rsidR="00FA03B2" w:rsidRPr="00F75FF8">
        <w:rPr>
          <w:rFonts w:cstheme="minorHAnsi"/>
          <w:szCs w:val="24"/>
        </w:rPr>
        <w:t xml:space="preserve"> on </w:t>
      </w:r>
      <w:r w:rsidR="00FA03B2" w:rsidRPr="00F75FF8">
        <w:rPr>
          <w:rFonts w:cstheme="minorHAnsi"/>
          <w:i/>
          <w:szCs w:val="24"/>
        </w:rPr>
        <w:t>therapist</w:t>
      </w:r>
      <w:r w:rsidR="00FA03B2" w:rsidRPr="00F75FF8">
        <w:rPr>
          <w:rFonts w:cstheme="minorHAnsi"/>
          <w:szCs w:val="24"/>
        </w:rPr>
        <w:t xml:space="preserve"> </w:t>
      </w:r>
      <w:r w:rsidR="001820D3" w:rsidRPr="00F75FF8">
        <w:rPr>
          <w:rFonts w:cstheme="minorHAnsi"/>
          <w:szCs w:val="24"/>
        </w:rPr>
        <w:t>emotions</w:t>
      </w:r>
      <w:r w:rsidR="00FA03B2" w:rsidRPr="00F75FF8">
        <w:rPr>
          <w:rFonts w:cstheme="minorHAnsi"/>
          <w:szCs w:val="24"/>
        </w:rPr>
        <w:t xml:space="preserve"> and </w:t>
      </w:r>
      <w:r w:rsidR="00CA57EE" w:rsidRPr="00F75FF8">
        <w:rPr>
          <w:rFonts w:cstheme="minorHAnsi"/>
          <w:szCs w:val="24"/>
        </w:rPr>
        <w:t>hope</w:t>
      </w:r>
      <w:r w:rsidR="00FA03B2" w:rsidRPr="00F75FF8">
        <w:rPr>
          <w:rFonts w:cstheme="minorHAnsi"/>
          <w:szCs w:val="24"/>
        </w:rPr>
        <w:t xml:space="preserve"> for treatment</w:t>
      </w:r>
      <w:r w:rsidR="002E7753" w:rsidRPr="00F75FF8">
        <w:rPr>
          <w:rFonts w:cstheme="minorHAnsi"/>
          <w:szCs w:val="24"/>
        </w:rPr>
        <w:t xml:space="preserve">. </w:t>
      </w:r>
      <w:r w:rsidR="00CA57EE" w:rsidRPr="00F75FF8">
        <w:rPr>
          <w:rFonts w:cstheme="minorHAnsi"/>
          <w:szCs w:val="24"/>
        </w:rPr>
        <w:t>Even though no direct comparisons are available</w:t>
      </w:r>
      <w:r w:rsidR="002E7753" w:rsidRPr="00F75FF8">
        <w:rPr>
          <w:rFonts w:cstheme="minorHAnsi"/>
          <w:szCs w:val="24"/>
        </w:rPr>
        <w:t xml:space="preserve">, </w:t>
      </w:r>
      <w:r w:rsidR="009333B4" w:rsidRPr="00F75FF8">
        <w:rPr>
          <w:rFonts w:cstheme="minorHAnsi"/>
          <w:szCs w:val="24"/>
        </w:rPr>
        <w:t xml:space="preserve">the </w:t>
      </w:r>
      <w:r w:rsidR="00CA57EE" w:rsidRPr="00F75FF8">
        <w:rPr>
          <w:rFonts w:cstheme="minorHAnsi"/>
          <w:szCs w:val="24"/>
        </w:rPr>
        <w:t>finding</w:t>
      </w:r>
      <w:r w:rsidR="009333B4" w:rsidRPr="00F75FF8">
        <w:rPr>
          <w:rFonts w:cstheme="minorHAnsi"/>
          <w:szCs w:val="24"/>
        </w:rPr>
        <w:t xml:space="preserve"> that solution-focused case descriptions elicited more positive affect</w:t>
      </w:r>
      <w:r w:rsidR="00A20D0A" w:rsidRPr="00F75FF8">
        <w:rPr>
          <w:rFonts w:cstheme="minorHAnsi"/>
          <w:szCs w:val="24"/>
        </w:rPr>
        <w:t>, less negative affect,</w:t>
      </w:r>
      <w:r w:rsidR="009333B4" w:rsidRPr="00F75FF8">
        <w:rPr>
          <w:rFonts w:cstheme="minorHAnsi"/>
          <w:szCs w:val="24"/>
        </w:rPr>
        <w:t xml:space="preserve"> and higher expectancies for successful treatment</w:t>
      </w:r>
      <w:r w:rsidR="00CA57EE" w:rsidRPr="00F75FF8">
        <w:rPr>
          <w:rFonts w:cstheme="minorHAnsi"/>
          <w:szCs w:val="24"/>
        </w:rPr>
        <w:t>,</w:t>
      </w:r>
      <w:r w:rsidR="009333B4" w:rsidRPr="00F75FF8">
        <w:rPr>
          <w:rFonts w:cstheme="minorHAnsi"/>
          <w:szCs w:val="24"/>
        </w:rPr>
        <w:t xml:space="preserve"> compared to problem-focused case descriptions </w:t>
      </w:r>
      <w:r w:rsidR="00CA57EE" w:rsidRPr="00F75FF8">
        <w:rPr>
          <w:rFonts w:cstheme="minorHAnsi"/>
          <w:szCs w:val="24"/>
        </w:rPr>
        <w:t>resonates</w:t>
      </w:r>
      <w:r w:rsidR="009333B4" w:rsidRPr="00F75FF8">
        <w:rPr>
          <w:rFonts w:cstheme="minorHAnsi"/>
          <w:szCs w:val="24"/>
        </w:rPr>
        <w:t xml:space="preserve"> </w:t>
      </w:r>
      <w:r w:rsidR="002E7753" w:rsidRPr="00F75FF8">
        <w:rPr>
          <w:rFonts w:cstheme="minorHAnsi"/>
          <w:szCs w:val="24"/>
        </w:rPr>
        <w:t xml:space="preserve">with </w:t>
      </w:r>
      <w:r w:rsidR="00A20D0A" w:rsidRPr="00F75FF8">
        <w:rPr>
          <w:rFonts w:cstheme="minorHAnsi"/>
          <w:szCs w:val="24"/>
        </w:rPr>
        <w:t xml:space="preserve">a number  of </w:t>
      </w:r>
      <w:r w:rsidR="002E7753" w:rsidRPr="00F75FF8">
        <w:rPr>
          <w:rFonts w:cstheme="minorHAnsi"/>
          <w:szCs w:val="24"/>
        </w:rPr>
        <w:t xml:space="preserve">studies </w:t>
      </w:r>
      <w:r w:rsidR="00A20D0A" w:rsidRPr="00F75FF8">
        <w:rPr>
          <w:rFonts w:cstheme="minorHAnsi"/>
          <w:szCs w:val="24"/>
        </w:rPr>
        <w:t>investigating</w:t>
      </w:r>
      <w:r w:rsidR="002E7753" w:rsidRPr="00F75FF8">
        <w:rPr>
          <w:rFonts w:cstheme="minorHAnsi"/>
          <w:szCs w:val="24"/>
        </w:rPr>
        <w:t xml:space="preserve"> the impact of solution- versus problem-focused questions on </w:t>
      </w:r>
      <w:r w:rsidR="002E7753" w:rsidRPr="00F75FF8">
        <w:rPr>
          <w:rFonts w:cstheme="minorHAnsi"/>
          <w:i/>
          <w:szCs w:val="24"/>
        </w:rPr>
        <w:t>client</w:t>
      </w:r>
      <w:r w:rsidR="009333B4" w:rsidRPr="00F75FF8">
        <w:rPr>
          <w:rFonts w:cstheme="minorHAnsi"/>
          <w:i/>
          <w:szCs w:val="24"/>
        </w:rPr>
        <w:t xml:space="preserve">s’ </w:t>
      </w:r>
      <w:r w:rsidR="002E7753" w:rsidRPr="00F75FF8">
        <w:rPr>
          <w:rFonts w:cstheme="minorHAnsi"/>
          <w:szCs w:val="24"/>
        </w:rPr>
        <w:t>emotions</w:t>
      </w:r>
      <w:r w:rsidR="009333B4" w:rsidRPr="00F75FF8">
        <w:rPr>
          <w:rFonts w:cstheme="minorHAnsi"/>
          <w:szCs w:val="24"/>
        </w:rPr>
        <w:t xml:space="preserve"> </w:t>
      </w:r>
      <w:r w:rsidR="00C52398" w:rsidRPr="00F75FF8">
        <w:rPr>
          <w:rFonts w:cstheme="minorHAnsi"/>
          <w:szCs w:val="24"/>
        </w:rPr>
        <w:fldChar w:fldCharType="begin" w:fldLock="1"/>
      </w:r>
      <w:r w:rsidR="007E51C8" w:rsidRPr="00F75FF8">
        <w:rPr>
          <w:rFonts w:cstheme="minorHAnsi"/>
          <w:szCs w:val="24"/>
        </w:rPr>
        <w:instrText>ADDIN CSL_CITATION {"citationItems":[{"id":"ITEM-1","itemData":{"DOI":"10.1080/17521882.2018.1489868","ISSN":"1752-1882","abstract":"ABSTRACT Past research has found that solution-focused (SF) coaching questions led to more positive outcomes than problem-focused (PF) coaching questions. Another body of research (Broaden and Build Theory; Fredrickson, B. L. (1998). What good are positive emotions? Review of General Psychology, 2(3), 300–319) posits that positive emotions promote AQ2the discovery of novel ideas and actions including goal attainment and positive change. These theoretical frameworks have influenced coaching practitioner literature, but no research has explored their conjoint effects. We explore these by randomly allocating 512 participants in comparing (1) PF coaching questions with (2) SF coaching questions with (3) positive affect (PA) induction with (4) a SF plus PA condition (SF + PA). The broad findings of this study were that PF questions performed the worst on all measures, and that PA induction and SF coaching questions were equally effective at enhancing positive affect, increasing self-efficacy, enhancing goal approach and developing action steps. These results show, that while positive affect makes a valuable contribution to coaching outcomes, combining PA induction with SF questions produces superior outcomes than PA or SF questions alone in terms of self- efficacy, goal approach and action steps. While this research supports the central tenets of Broaden and Build Theory in terms of coaching outcomes, just making people feel good is not enough for truly effective coaching practice. ARTICLE HISTORY Received 5 October 2017 Accepted 13 June 2018 KEYWORDS Broaden and build theory; solution-focused; coaching; positive affect; evidence- based coaching Practice","author":[{"dropping-particle":"","family":"Grant","given":"Anthony M.","non-dropping-particle":"","parse-names":false,"suffix":""},{"dropping-particle":"","family":"O’Connor","given":"Sean A.","non-dropping-particle":"","parse-names":false,"suffix":""}],"container-title":"Coaching: An International Journal of Theory, Research and Practice","id":"ITEM-1","issue":"2","issued":{"date-parts":[["2018","7","3"]]},"page":"165-185","publisher":"Taylor &amp; Francis","title":"Broadening and building solution-focused coaching: feeling good is not enough","type":"article-journal","volume":"11"},"uris":["http://www.mendeley.com/documents/?uuid=c6f81ae1-6299-4759-9856-440433eb875b"]},{"id":"ITEM-2","itemData":{"DOI":"10.1521/jsyt.2012.31.2.21","ISSN":"1195-4396","abstract":"This study compared the effects of problem-focused and solution-focused coaching questions on positive and negative affect, self-efficacy, goal approach, and action planning. A total of 225 participants were randomly assigned to either a problem-focused or solution-focused coaching condition. All participants described a real-life problem that they wanted to solve and set a goal to solve that problem. They then completed a set of measures that assessed levels of positive and negative affect, self-efficacy, and goal attainment. In the problem-focused coaching condition 108 participants then responded to a number of problem-focused coaching questions and then completed a second set of measures. The 117 participants in a solution-focused coaching session completed a mirror image of the problem-focused condition, responding to solution-focused questions including the “Miracle Question.” Both the problem-focused and the solution-focused coaching conditions were effective at enhancing goal approach. However, the solution-focused group had significantly greater increases in goal approach compared to the problem-focused group. Problem-focused questions did not impact on positive or negative affect or self-efficacy. In contrast the solution-focused approach significantly increased positive affect, decreased negative affect, and increased self-efficacy. In addition, the solution-focused group generated significantly more actions steps to help them reach their goal. Although real-life coaching conversations are not solely solution-focused or solely problem-focused, agents of change should aim for a solution-focused theme in their work if they wish to conduct effective goal-focused sessions.","author":[{"dropping-particle":"","family":"Grant","given":"Anthony M.","non-dropping-particle":"","parse-names":false,"suffix":""}],"container-title":"Journal of Systemic Therapies","id":"ITEM-2","issue":"2","issued":{"date-parts":[["2012","6"]]},"page":"21-35","title":"Making positive change: A randomized study comparing solution-focused vs. problem-focused coaching questions","type":"article-journal","volume":"31"},"uris":["http://www.mendeley.com/documents/?uuid=778fc7cc-84bb-4361-9c4e-92ae390d34c1"]},{"id":"ITEM-3","itemData":{"DOI":"10.1111/jmft.12140","ISSN":"0194472X","abstract":"© 2015 American Association for Marriage and Family Therapy. In therapeutic conversations, questions can be considered as interventions in their own right. This study is a cross-cultural replication of Grant (Journal of Systemic Therapies, 2012, 31, 2, 21) study on the effects of different types of questions on various clinically relevant variables. A total of 204 students of a Spanish university described a real-life problem that they wanted to solve and were then randomly assigned to either a solution-focused or a problem-focused questions condition. Before and after answering the questions, they completed a set of measures that assessed positive and negative affect, self-efficacy, and goal attainment. Solution-focused questions produced a significantly greater increase in self-efficacy, goal approach, and action steps than problem-focused questions, and a significantly greater decrease in negative affect, providing further empirical support to solution-focused practices.","author":[{"dropping-particle":"","family":"Neipp","given":"Marie-Carmen","non-dropping-particle":"","parse-names":false,"suffix":""},{"dropping-particle":"","family":"Beyebach","given":"Mark","non-dropping-particle":"","parse-names":false,"suffix":""},{"dropping-particle":"","family":"Nuñez","given":"Rosa M.","non-dropping-particle":"","parse-names":false,"suffix":""},{"dropping-particle":"","family":"Martínez-González","given":"Marie-Carmen","non-dropping-particle":"","parse-names":false,"suffix":""}],"container-title":"Journal of Marital and Family Therapy","id":"ITEM-3","issue":"3","issued":{"date-parts":[["2016","7"]]},"page":"525-535","title":"The effect of solution-focused versus problem-focused questions: A replication","type":"article-journal","volume":"42"},"uris":["http://www.mendeley.com/documents/?uuid=09f9818c-2e7a-4335-914b-cafd58d51d2a"]}],"mendeley":{"formattedCitation":"(Grant, 2012; Grant &amp; O’Connor, 2018; Neipp et al., 2016)","manualFormatting":"(see Grant &amp; O’Connor, 2018 for an overview)","plainTextFormattedCitation":"(Grant, 2012; Grant &amp; O’Connor, 2018; Neipp et al., 2016)","previouslyFormattedCitation":"(Grant, 2012; Grant &amp; O’Connor, 2018; Neipp et al., 2016)"},"properties":{"noteIndex":0},"schema":"https://github.com/citation-style-language/schema/raw/master/csl-citation.json"}</w:instrText>
      </w:r>
      <w:r w:rsidR="00C52398" w:rsidRPr="00F75FF8">
        <w:rPr>
          <w:rFonts w:cstheme="minorHAnsi"/>
          <w:szCs w:val="24"/>
        </w:rPr>
        <w:fldChar w:fldCharType="separate"/>
      </w:r>
      <w:r w:rsidR="00C52398" w:rsidRPr="00F75FF8">
        <w:rPr>
          <w:rFonts w:cstheme="minorHAnsi"/>
          <w:noProof/>
          <w:szCs w:val="24"/>
        </w:rPr>
        <w:t>(see Grant &amp; O’Connor, 2018 for an overview)</w:t>
      </w:r>
      <w:r w:rsidR="00C52398" w:rsidRPr="00F75FF8">
        <w:rPr>
          <w:rFonts w:cstheme="minorHAnsi"/>
          <w:szCs w:val="24"/>
        </w:rPr>
        <w:fldChar w:fldCharType="end"/>
      </w:r>
      <w:r w:rsidR="00C52398" w:rsidRPr="00F75FF8">
        <w:rPr>
          <w:rFonts w:cstheme="minorHAnsi"/>
          <w:szCs w:val="24"/>
        </w:rPr>
        <w:t>. Most of</w:t>
      </w:r>
      <w:r w:rsidR="00C23895" w:rsidRPr="00F75FF8">
        <w:rPr>
          <w:rFonts w:cstheme="minorHAnsi"/>
          <w:szCs w:val="24"/>
        </w:rPr>
        <w:t xml:space="preserve"> these studies focused on short-</w:t>
      </w:r>
      <w:r w:rsidR="00C52398" w:rsidRPr="00F75FF8">
        <w:rPr>
          <w:rFonts w:cstheme="minorHAnsi"/>
          <w:szCs w:val="24"/>
        </w:rPr>
        <w:t xml:space="preserve">term change (pre-post session outcomes), used questionnaires rather than interviews, and </w:t>
      </w:r>
      <w:r w:rsidR="00A20D0A" w:rsidRPr="00F75FF8">
        <w:rPr>
          <w:rFonts w:cstheme="minorHAnsi"/>
          <w:szCs w:val="24"/>
        </w:rPr>
        <w:t>used</w:t>
      </w:r>
      <w:r w:rsidR="00C52398" w:rsidRPr="00F75FF8">
        <w:rPr>
          <w:rFonts w:cstheme="minorHAnsi"/>
          <w:szCs w:val="24"/>
        </w:rPr>
        <w:t xml:space="preserve"> </w:t>
      </w:r>
      <w:r w:rsidR="00A20D0A" w:rsidRPr="00F75FF8">
        <w:rPr>
          <w:rFonts w:cstheme="minorHAnsi"/>
          <w:szCs w:val="24"/>
        </w:rPr>
        <w:t>convenience samples (</w:t>
      </w:r>
      <w:r w:rsidR="006C3D7F" w:rsidRPr="00F75FF8">
        <w:rPr>
          <w:rFonts w:cstheme="minorHAnsi"/>
          <w:szCs w:val="24"/>
        </w:rPr>
        <w:t xml:space="preserve">i.e., </w:t>
      </w:r>
      <w:r w:rsidR="00501187" w:rsidRPr="00F75FF8">
        <w:rPr>
          <w:rFonts w:cstheme="minorHAnsi"/>
          <w:szCs w:val="24"/>
        </w:rPr>
        <w:t>psychology</w:t>
      </w:r>
      <w:r w:rsidR="00C52398" w:rsidRPr="00F75FF8">
        <w:rPr>
          <w:rFonts w:cstheme="minorHAnsi"/>
          <w:szCs w:val="24"/>
        </w:rPr>
        <w:t xml:space="preserve"> students </w:t>
      </w:r>
      <w:r w:rsidR="00A20D0A" w:rsidRPr="00F75FF8">
        <w:rPr>
          <w:rFonts w:cstheme="minorHAnsi"/>
          <w:szCs w:val="24"/>
        </w:rPr>
        <w:t>rather than clients with mental health problems)</w:t>
      </w:r>
      <w:r w:rsidR="00FA03B2" w:rsidRPr="00F75FF8">
        <w:rPr>
          <w:rFonts w:cstheme="minorHAnsi"/>
          <w:szCs w:val="24"/>
        </w:rPr>
        <w:t xml:space="preserve">. </w:t>
      </w:r>
      <w:r w:rsidR="00E56FB9" w:rsidRPr="00F75FF8">
        <w:rPr>
          <w:rFonts w:cstheme="minorHAnsi"/>
          <w:szCs w:val="24"/>
        </w:rPr>
        <w:t>T</w:t>
      </w:r>
      <w:r w:rsidR="00FA03B2" w:rsidRPr="00F75FF8">
        <w:rPr>
          <w:rFonts w:cstheme="minorHAnsi"/>
          <w:szCs w:val="24"/>
        </w:rPr>
        <w:t>hese studies</w:t>
      </w:r>
      <w:r w:rsidR="00C52398" w:rsidRPr="00F75FF8">
        <w:rPr>
          <w:rFonts w:cstheme="minorHAnsi"/>
          <w:szCs w:val="24"/>
        </w:rPr>
        <w:t xml:space="preserve"> generally found that solution-focused questions </w:t>
      </w:r>
      <w:r w:rsidR="00E56FB9" w:rsidRPr="00F75FF8">
        <w:rPr>
          <w:rFonts w:cstheme="minorHAnsi"/>
          <w:szCs w:val="24"/>
        </w:rPr>
        <w:t>were associated with</w:t>
      </w:r>
      <w:r w:rsidR="00C52398" w:rsidRPr="00F75FF8">
        <w:rPr>
          <w:rFonts w:cstheme="minorHAnsi"/>
          <w:szCs w:val="24"/>
        </w:rPr>
        <w:t xml:space="preserve"> </w:t>
      </w:r>
      <w:r w:rsidR="00E56FB9" w:rsidRPr="00F75FF8">
        <w:rPr>
          <w:rFonts w:cstheme="minorHAnsi"/>
          <w:szCs w:val="24"/>
        </w:rPr>
        <w:t>more</w:t>
      </w:r>
      <w:r w:rsidR="00C52398" w:rsidRPr="00F75FF8">
        <w:rPr>
          <w:rFonts w:cstheme="minorHAnsi"/>
          <w:szCs w:val="24"/>
        </w:rPr>
        <w:t xml:space="preserve"> </w:t>
      </w:r>
      <w:r w:rsidR="00501187" w:rsidRPr="00F75FF8">
        <w:rPr>
          <w:rFonts w:cstheme="minorHAnsi"/>
          <w:szCs w:val="24"/>
        </w:rPr>
        <w:t>positive affect</w:t>
      </w:r>
      <w:r w:rsidR="00E56FB9" w:rsidRPr="00F75FF8">
        <w:rPr>
          <w:rFonts w:cstheme="minorHAnsi"/>
          <w:szCs w:val="24"/>
        </w:rPr>
        <w:t>,</w:t>
      </w:r>
      <w:r w:rsidR="00501187" w:rsidRPr="00F75FF8">
        <w:rPr>
          <w:rFonts w:cstheme="minorHAnsi"/>
          <w:szCs w:val="24"/>
        </w:rPr>
        <w:t xml:space="preserve"> </w:t>
      </w:r>
      <w:r w:rsidR="00E56FB9" w:rsidRPr="00F75FF8">
        <w:rPr>
          <w:rFonts w:cstheme="minorHAnsi"/>
          <w:szCs w:val="24"/>
        </w:rPr>
        <w:t xml:space="preserve">lower negative affect, </w:t>
      </w:r>
      <w:r w:rsidR="00501187" w:rsidRPr="00F75FF8">
        <w:rPr>
          <w:rFonts w:cstheme="minorHAnsi"/>
          <w:szCs w:val="24"/>
        </w:rPr>
        <w:t xml:space="preserve">and </w:t>
      </w:r>
      <w:r w:rsidR="00E56FB9" w:rsidRPr="00F75FF8">
        <w:rPr>
          <w:rFonts w:cstheme="minorHAnsi"/>
          <w:szCs w:val="24"/>
        </w:rPr>
        <w:t xml:space="preserve">higher ratings of </w:t>
      </w:r>
      <w:r w:rsidR="00501187" w:rsidRPr="00F75FF8">
        <w:rPr>
          <w:rFonts w:cstheme="minorHAnsi"/>
          <w:szCs w:val="24"/>
        </w:rPr>
        <w:t xml:space="preserve">goal attainment, </w:t>
      </w:r>
      <w:r w:rsidR="00E56FB9" w:rsidRPr="00F75FF8">
        <w:rPr>
          <w:rFonts w:cstheme="minorHAnsi"/>
          <w:szCs w:val="24"/>
        </w:rPr>
        <w:t>c</w:t>
      </w:r>
      <w:r w:rsidR="00501187" w:rsidRPr="00F75FF8">
        <w:rPr>
          <w:rFonts w:cstheme="minorHAnsi"/>
          <w:szCs w:val="24"/>
        </w:rPr>
        <w:t>ompared to problem-focused questions.</w:t>
      </w:r>
      <w:r w:rsidR="00C26AF6" w:rsidRPr="00F75FF8">
        <w:rPr>
          <w:rFonts w:cstheme="minorHAnsi"/>
          <w:szCs w:val="24"/>
        </w:rPr>
        <w:t xml:space="preserve">  </w:t>
      </w:r>
    </w:p>
    <w:p w14:paraId="24E11499" w14:textId="399EC60F" w:rsidR="00C23895" w:rsidRPr="00F75FF8" w:rsidRDefault="008E283A" w:rsidP="001231FD">
      <w:pPr>
        <w:autoSpaceDE w:val="0"/>
        <w:autoSpaceDN w:val="0"/>
        <w:adjustRightInd w:val="0"/>
        <w:spacing w:after="0" w:line="480" w:lineRule="auto"/>
        <w:ind w:firstLine="720"/>
        <w:rPr>
          <w:rFonts w:cstheme="minorHAnsi"/>
          <w:szCs w:val="24"/>
        </w:rPr>
      </w:pPr>
      <w:r w:rsidRPr="00F75FF8">
        <w:rPr>
          <w:rFonts w:cstheme="minorHAnsi"/>
          <w:szCs w:val="24"/>
        </w:rPr>
        <w:t xml:space="preserve">In sum, the findings of the current study </w:t>
      </w:r>
      <w:r w:rsidR="00C23895" w:rsidRPr="00F75FF8">
        <w:rPr>
          <w:rFonts w:cstheme="minorHAnsi"/>
          <w:szCs w:val="24"/>
        </w:rPr>
        <w:t>complement</w:t>
      </w:r>
      <w:r w:rsidRPr="00F75FF8">
        <w:rPr>
          <w:rFonts w:cstheme="minorHAnsi"/>
          <w:szCs w:val="24"/>
        </w:rPr>
        <w:t xml:space="preserve"> the available literature</w:t>
      </w:r>
      <w:r w:rsidR="00BA0E05" w:rsidRPr="00F75FF8">
        <w:rPr>
          <w:rFonts w:cstheme="minorHAnsi"/>
          <w:szCs w:val="24"/>
        </w:rPr>
        <w:t xml:space="preserve">. </w:t>
      </w:r>
      <w:r w:rsidR="00C23895" w:rsidRPr="00F75FF8">
        <w:rPr>
          <w:rFonts w:cstheme="minorHAnsi"/>
          <w:szCs w:val="24"/>
        </w:rPr>
        <w:t>Where our</w:t>
      </w:r>
      <w:r w:rsidR="009333B4" w:rsidRPr="00F75FF8">
        <w:rPr>
          <w:rFonts w:cstheme="minorHAnsi"/>
          <w:szCs w:val="24"/>
        </w:rPr>
        <w:t xml:space="preserve"> experimental</w:t>
      </w:r>
      <w:r w:rsidR="00C23895" w:rsidRPr="00F75FF8">
        <w:rPr>
          <w:rFonts w:cstheme="minorHAnsi"/>
          <w:szCs w:val="24"/>
        </w:rPr>
        <w:t xml:space="preserve"> study links solution- and strengths-focused case descriptions to higher positive emotions and expectancies for treatment</w:t>
      </w:r>
      <w:r w:rsidR="00E56FB9" w:rsidRPr="00F75FF8">
        <w:rPr>
          <w:rFonts w:cstheme="minorHAnsi"/>
          <w:szCs w:val="24"/>
        </w:rPr>
        <w:t xml:space="preserve"> in therapists</w:t>
      </w:r>
      <w:r w:rsidR="00C23895" w:rsidRPr="00F75FF8">
        <w:rPr>
          <w:rFonts w:cstheme="minorHAnsi"/>
          <w:szCs w:val="24"/>
        </w:rPr>
        <w:t xml:space="preserve">, other studies </w:t>
      </w:r>
      <w:r w:rsidR="00E56FB9" w:rsidRPr="00F75FF8">
        <w:rPr>
          <w:rFonts w:cstheme="minorHAnsi"/>
          <w:szCs w:val="24"/>
        </w:rPr>
        <w:t>have reported beneficial effects of solution-focused questions on positive emotions in clients.</w:t>
      </w:r>
    </w:p>
    <w:p w14:paraId="7FC3666B" w14:textId="5BFD0947" w:rsidR="00191D3A" w:rsidRPr="00F75FF8" w:rsidRDefault="00C741D4" w:rsidP="001231FD">
      <w:pPr>
        <w:autoSpaceDE w:val="0"/>
        <w:autoSpaceDN w:val="0"/>
        <w:adjustRightInd w:val="0"/>
        <w:spacing w:after="0" w:line="480" w:lineRule="auto"/>
        <w:rPr>
          <w:rFonts w:cstheme="minorHAnsi"/>
          <w:b/>
          <w:szCs w:val="24"/>
        </w:rPr>
      </w:pPr>
      <w:r w:rsidRPr="00F75FF8">
        <w:rPr>
          <w:rFonts w:cstheme="minorHAnsi"/>
          <w:b/>
          <w:szCs w:val="24"/>
        </w:rPr>
        <w:t>Implications</w:t>
      </w:r>
    </w:p>
    <w:p w14:paraId="50A47A68" w14:textId="24D7237F" w:rsidR="001648DA" w:rsidRPr="00F75FF8" w:rsidRDefault="00D41D4F" w:rsidP="001231FD">
      <w:pPr>
        <w:autoSpaceDE w:val="0"/>
        <w:autoSpaceDN w:val="0"/>
        <w:adjustRightInd w:val="0"/>
        <w:spacing w:after="0" w:line="480" w:lineRule="auto"/>
        <w:ind w:firstLine="720"/>
        <w:rPr>
          <w:rFonts w:cstheme="minorHAnsi"/>
          <w:szCs w:val="24"/>
        </w:rPr>
      </w:pPr>
      <w:r w:rsidRPr="00F75FF8">
        <w:rPr>
          <w:rFonts w:cstheme="minorHAnsi"/>
          <w:szCs w:val="24"/>
        </w:rPr>
        <w:t>The resu</w:t>
      </w:r>
      <w:r w:rsidR="002E5751" w:rsidRPr="00F75FF8">
        <w:rPr>
          <w:rFonts w:cstheme="minorHAnsi"/>
          <w:szCs w:val="24"/>
        </w:rPr>
        <w:t xml:space="preserve">lts of this study </w:t>
      </w:r>
      <w:r w:rsidR="00E314AC" w:rsidRPr="00F75FF8">
        <w:rPr>
          <w:rFonts w:cstheme="minorHAnsi"/>
          <w:szCs w:val="24"/>
        </w:rPr>
        <w:t>suggest</w:t>
      </w:r>
      <w:r w:rsidR="002E5751" w:rsidRPr="00F75FF8">
        <w:rPr>
          <w:rFonts w:cstheme="minorHAnsi"/>
          <w:szCs w:val="24"/>
        </w:rPr>
        <w:t xml:space="preserve"> that information about clients gathered during the intake </w:t>
      </w:r>
      <w:r w:rsidR="006C3D7F" w:rsidRPr="00F75FF8">
        <w:rPr>
          <w:rFonts w:cstheme="minorHAnsi"/>
          <w:szCs w:val="24"/>
        </w:rPr>
        <w:t>assessment</w:t>
      </w:r>
      <w:r w:rsidR="002E5751" w:rsidRPr="00F75FF8">
        <w:rPr>
          <w:rFonts w:cstheme="minorHAnsi"/>
          <w:szCs w:val="24"/>
        </w:rPr>
        <w:t xml:space="preserve"> and subsequently presented in an intake report may have a significant impact on therapists’ emotions and their expectations for treatment success, including how much they would like to work with a client. </w:t>
      </w:r>
      <w:r w:rsidR="00ED70FB" w:rsidRPr="00F75FF8">
        <w:rPr>
          <w:rFonts w:cstheme="minorHAnsi"/>
          <w:szCs w:val="24"/>
        </w:rPr>
        <w:t xml:space="preserve">Gathering detailed information about clients’ </w:t>
      </w:r>
      <w:r w:rsidR="002E5751" w:rsidRPr="00F75FF8">
        <w:rPr>
          <w:rFonts w:cstheme="minorHAnsi"/>
          <w:szCs w:val="24"/>
        </w:rPr>
        <w:t>preferred future,</w:t>
      </w:r>
      <w:r w:rsidR="003A433C" w:rsidRPr="00F75FF8">
        <w:rPr>
          <w:rFonts w:cstheme="minorHAnsi"/>
          <w:szCs w:val="24"/>
        </w:rPr>
        <w:t xml:space="preserve"> their</w:t>
      </w:r>
      <w:r w:rsidR="002E5751" w:rsidRPr="00F75FF8">
        <w:rPr>
          <w:rFonts w:cstheme="minorHAnsi"/>
          <w:szCs w:val="24"/>
        </w:rPr>
        <w:t xml:space="preserve"> strengths, and </w:t>
      </w:r>
      <w:r w:rsidR="003A433C" w:rsidRPr="00F75FF8">
        <w:rPr>
          <w:rFonts w:cstheme="minorHAnsi"/>
          <w:szCs w:val="24"/>
        </w:rPr>
        <w:t xml:space="preserve">exceptions to problems (moments during which the problem is absent or less pronounced, or moments during which they can cope better) may help therapists to feel more positive about chances of </w:t>
      </w:r>
      <w:r w:rsidR="00ED70FB" w:rsidRPr="00F75FF8">
        <w:rPr>
          <w:rFonts w:cstheme="minorHAnsi"/>
          <w:szCs w:val="24"/>
        </w:rPr>
        <w:t>successfully collaborating with clients</w:t>
      </w:r>
      <w:r w:rsidR="003A433C" w:rsidRPr="00F75FF8">
        <w:rPr>
          <w:rFonts w:cstheme="minorHAnsi"/>
          <w:szCs w:val="24"/>
        </w:rPr>
        <w:t>.</w:t>
      </w:r>
      <w:r w:rsidR="00614FB3" w:rsidRPr="00F75FF8">
        <w:rPr>
          <w:rFonts w:cstheme="minorHAnsi"/>
          <w:szCs w:val="24"/>
        </w:rPr>
        <w:t xml:space="preserve"> </w:t>
      </w:r>
      <w:r w:rsidR="00955062" w:rsidRPr="00F75FF8">
        <w:rPr>
          <w:rFonts w:cstheme="minorHAnsi"/>
          <w:szCs w:val="24"/>
        </w:rPr>
        <w:t>In addition, t</w:t>
      </w:r>
      <w:r w:rsidR="001648DA" w:rsidRPr="00F75FF8">
        <w:rPr>
          <w:rFonts w:cstheme="minorHAnsi"/>
          <w:szCs w:val="24"/>
        </w:rPr>
        <w:t>herapists may want to systematically add a section on client strengths to their intake formulation</w:t>
      </w:r>
      <w:r w:rsidR="00C8485E" w:rsidRPr="00F75FF8">
        <w:rPr>
          <w:rFonts w:cstheme="minorHAnsi"/>
          <w:szCs w:val="24"/>
        </w:rPr>
        <w:t xml:space="preserve">, and pay attention to formulating </w:t>
      </w:r>
      <w:r w:rsidR="00955062" w:rsidRPr="00F75FF8">
        <w:rPr>
          <w:rFonts w:cstheme="minorHAnsi"/>
          <w:szCs w:val="24"/>
        </w:rPr>
        <w:t>detailed</w:t>
      </w:r>
      <w:r w:rsidR="00C8485E" w:rsidRPr="00F75FF8">
        <w:rPr>
          <w:rFonts w:cstheme="minorHAnsi"/>
          <w:szCs w:val="24"/>
        </w:rPr>
        <w:t>, approach-related goals, as this may lead to better therapist attitudes towards</w:t>
      </w:r>
      <w:r w:rsidR="0016098D" w:rsidRPr="00F75FF8">
        <w:rPr>
          <w:rFonts w:cstheme="minorHAnsi"/>
          <w:szCs w:val="24"/>
        </w:rPr>
        <w:t xml:space="preserve"> the course of</w:t>
      </w:r>
      <w:r w:rsidR="00C8485E" w:rsidRPr="00F75FF8">
        <w:rPr>
          <w:rFonts w:cstheme="minorHAnsi"/>
          <w:szCs w:val="24"/>
        </w:rPr>
        <w:t xml:space="preserve"> therapy. Training therapists to be mindful of their initial responses after assessments, and </w:t>
      </w:r>
      <w:r w:rsidR="00F725CB" w:rsidRPr="00F75FF8">
        <w:rPr>
          <w:rFonts w:cstheme="minorHAnsi"/>
          <w:szCs w:val="24"/>
        </w:rPr>
        <w:t>focusing</w:t>
      </w:r>
      <w:r w:rsidR="00C8485E" w:rsidRPr="00F75FF8">
        <w:rPr>
          <w:rFonts w:cstheme="minorHAnsi"/>
          <w:szCs w:val="24"/>
        </w:rPr>
        <w:t xml:space="preserve"> supervision on these </w:t>
      </w:r>
      <w:r w:rsidR="006C3D7F" w:rsidRPr="00F75FF8">
        <w:rPr>
          <w:rFonts w:cstheme="minorHAnsi"/>
          <w:szCs w:val="24"/>
        </w:rPr>
        <w:t>initial responses</w:t>
      </w:r>
      <w:r w:rsidR="00C8485E" w:rsidRPr="00F75FF8">
        <w:rPr>
          <w:rFonts w:cstheme="minorHAnsi"/>
          <w:szCs w:val="24"/>
        </w:rPr>
        <w:t xml:space="preserve"> may be helpful</w:t>
      </w:r>
      <w:r w:rsidR="00955062" w:rsidRPr="00F75FF8">
        <w:rPr>
          <w:rFonts w:cstheme="minorHAnsi"/>
          <w:szCs w:val="24"/>
        </w:rPr>
        <w:t xml:space="preserve"> to prevent negative downstream effects of first </w:t>
      </w:r>
      <w:r w:rsidR="00E0356F" w:rsidRPr="00F75FF8">
        <w:rPr>
          <w:rFonts w:cstheme="minorHAnsi"/>
          <w:szCs w:val="24"/>
        </w:rPr>
        <w:t xml:space="preserve">(problem-saturated) </w:t>
      </w:r>
      <w:r w:rsidR="00955062" w:rsidRPr="00F75FF8">
        <w:rPr>
          <w:rFonts w:cstheme="minorHAnsi"/>
          <w:szCs w:val="24"/>
        </w:rPr>
        <w:t>impressions</w:t>
      </w:r>
      <w:r w:rsidR="00C8485E" w:rsidRPr="00F75FF8">
        <w:rPr>
          <w:rFonts w:cstheme="minorHAnsi"/>
          <w:szCs w:val="24"/>
        </w:rPr>
        <w:t>.</w:t>
      </w:r>
    </w:p>
    <w:p w14:paraId="556EDA7C" w14:textId="6F98AE16" w:rsidR="00852191" w:rsidRPr="00F75FF8" w:rsidRDefault="0016098D" w:rsidP="001231FD">
      <w:pPr>
        <w:autoSpaceDE w:val="0"/>
        <w:autoSpaceDN w:val="0"/>
        <w:adjustRightInd w:val="0"/>
        <w:spacing w:after="0" w:line="480" w:lineRule="auto"/>
        <w:ind w:firstLine="720"/>
        <w:rPr>
          <w:rFonts w:cstheme="minorHAnsi"/>
          <w:szCs w:val="24"/>
          <w:lang w:val="en-GB"/>
        </w:rPr>
      </w:pPr>
      <w:r w:rsidRPr="00F75FF8">
        <w:rPr>
          <w:rFonts w:cstheme="minorHAnsi"/>
          <w:szCs w:val="24"/>
        </w:rPr>
        <w:t>T</w:t>
      </w:r>
      <w:r w:rsidR="00EF0387" w:rsidRPr="00F75FF8">
        <w:rPr>
          <w:rFonts w:cstheme="minorHAnsi"/>
          <w:szCs w:val="24"/>
        </w:rPr>
        <w:t>aking</w:t>
      </w:r>
      <w:r w:rsidR="00614FB3" w:rsidRPr="00F75FF8">
        <w:rPr>
          <w:rFonts w:cstheme="minorHAnsi"/>
          <w:szCs w:val="24"/>
        </w:rPr>
        <w:t xml:space="preserve"> a strengths-based view</w:t>
      </w:r>
      <w:r w:rsidR="00AB209F" w:rsidRPr="00F75FF8">
        <w:rPr>
          <w:rFonts w:cstheme="minorHAnsi"/>
          <w:szCs w:val="24"/>
        </w:rPr>
        <w:t xml:space="preserve"> and cultivating positive affect</w:t>
      </w:r>
      <w:r w:rsidR="00AB209F" w:rsidRPr="00F75FF8">
        <w:rPr>
          <w:rFonts w:cstheme="minorHAnsi"/>
          <w:szCs w:val="24"/>
          <w:lang w:val="en-GB"/>
        </w:rPr>
        <w:t xml:space="preserve"> </w:t>
      </w:r>
      <w:r w:rsidR="00614FB3" w:rsidRPr="00F75FF8">
        <w:rPr>
          <w:rFonts w:cstheme="minorHAnsi"/>
          <w:szCs w:val="24"/>
        </w:rPr>
        <w:t>may</w:t>
      </w:r>
      <w:r w:rsidRPr="00F75FF8">
        <w:rPr>
          <w:rFonts w:cstheme="minorHAnsi"/>
          <w:szCs w:val="24"/>
        </w:rPr>
        <w:t xml:space="preserve"> also</w:t>
      </w:r>
      <w:r w:rsidR="00614FB3" w:rsidRPr="00F75FF8">
        <w:rPr>
          <w:rFonts w:cstheme="minorHAnsi"/>
          <w:szCs w:val="24"/>
        </w:rPr>
        <w:t xml:space="preserve"> </w:t>
      </w:r>
      <w:r w:rsidR="00B51755" w:rsidRPr="00F75FF8">
        <w:rPr>
          <w:rFonts w:cstheme="minorHAnsi"/>
          <w:szCs w:val="24"/>
          <w:lang w:val="en-GB"/>
        </w:rPr>
        <w:t>help to preserve mental well-being and to prevent burnout in therapists</w:t>
      </w:r>
      <w:r w:rsidR="0078012C" w:rsidRPr="00F75FF8">
        <w:rPr>
          <w:rFonts w:cstheme="minorHAnsi"/>
          <w:szCs w:val="24"/>
          <w:lang w:val="en-GB"/>
        </w:rPr>
        <w:t xml:space="preserve"> </w:t>
      </w:r>
      <w:r w:rsidR="0078012C" w:rsidRPr="00F75FF8">
        <w:rPr>
          <w:rFonts w:cstheme="minorHAnsi"/>
          <w:szCs w:val="24"/>
          <w:lang w:val="en-GB"/>
        </w:rPr>
        <w:fldChar w:fldCharType="begin" w:fldLock="1"/>
      </w:r>
      <w:r w:rsidR="001A1C82" w:rsidRPr="00F75FF8">
        <w:rPr>
          <w:rFonts w:cstheme="minorHAnsi"/>
          <w:szCs w:val="24"/>
          <w:lang w:val="en-GB"/>
        </w:rPr>
        <w:instrText>ADDIN CSL_CITATION {"citationItems":[{"id":"ITEM-1","itemData":{"DOI":"10.1111/1467-9280.00431","ISSN":"0956-7976","PMID":"11934003","abstract":"The broaden-and-build theory of positive emotions predicts that positive emotions broaden the scopes of attention and cognition, and, by consequence, initiate upward spirals toward increasing emotional well-being. The present study assessed this prediction by testing whether positive affect and broad-minded coping reciprocally and prospectively predict one another. One hundred thirty-eight college students completed self-report measures of affect and coping at two assessment periods 5 weeks apart. As hypothesized, regression analyses showed that initial positive affect, but not negative affect, predicted improved broad-minded coping, and initial broad-minded coping predicted increased positive affect, but not reductions in negative affect. Further mediational analyses showed that positive affect and broad-minded coping serially enhanced one another. These findings provide prospective evidence to support the prediction that positive emotions initiate upward spirals toward enhanced emotional well-being. Implications for clinical practice and health promotion are discussed. Copyright © 2002 American Psychological Society.","author":[{"dropping-particle":"","family":"Fredrickson","given":"Barbara L.","non-dropping-particle":"","parse-names":false,"suffix":""},{"dropping-particle":"","family":"Joiner","given":"Thomas","non-dropping-particle":"","parse-names":false,"suffix":""}],"container-title":"Psychological Science","id":"ITEM-1","issue":"2","issued":{"date-parts":[["2002","3","6"]]},"page":"172-175","title":"Positive Emotions Trigger Upward Spirals Toward Emotional Well-Being","type":"article-journal","volume":"13"},"uris":["http://www.mendeley.com/documents/?uuid=4d730ea5-6e14-462d-8d23-77b3c47c3334"]},{"id":"ITEM-2","itemData":{"DOI":"10.1007/978-3-319-58763-9_9","ISBN":"9783319587639","abstract":"Positive emotions can do more than feel good in the moment. In this chapter, we first explain why positive emotions are not easily separable from cognition. We present the broaden-and-build theory and related evidence, which suggests that at least some positive emotions foster broadened, flexible mindsets. We then review evidence that repeated positive emotions, and their accompanying broadened mindsets, over time allow individuals to accrue more enduring personal and social resources for future well-being. We additionally explain the benefits of positive emotions in the face of life's difficulties, potential reciprocal relations between positive emotions and characteristics of broader well-being, and nuances involved in experiencing daily positive emotions. Altogether, much evidence indicates that the mindsets of positive emotions, though fleeting, offer valuable contributions toward lasting well-being.","author":[{"dropping-particle":"","family":"Kiken","given":"Laura G.","non-dropping-particle":"","parse-names":false,"suffix":""},{"dropping-particle":"","family":"Fredrickson","given":"Barbara L.","non-dropping-particle":"","parse-names":false,"suffix":""}],"container-title":"The Happy Mind: Cognitive Contributions to Well-Being","id":"ITEM-2","issued":{"date-parts":[["2017","6","28"]]},"page":"157-175","publisher":"Springer International Publishing","publisher-place":"Cham","title":"Cognitive Aspects of Positive Emotions: A Broader View for Well-Being","type":"chapter"},"uris":["http://www.mendeley.com/documents/?uuid=516a3cd1-bc53-33b2-8a62-7afad1999003"]}],"mendeley":{"formattedCitation":"(Fredrickson &amp; Joiner, 2002; Kiken &amp; Fredrickson, 2017)","manualFormatting":"(Fredrickson &amp; Joiner, 2002; Kiken &amp; Fredrickson, 2017)","plainTextFormattedCitation":"(Fredrickson &amp; Joiner, 2002; Kiken &amp; Fredrickson, 2017)","previouslyFormattedCitation":"(Fredrickson &amp; Joiner, 2002; Kiken &amp; Fredrickson, 2017)"},"properties":{"noteIndex":0},"schema":"https://github.com/citation-style-language/schema/raw/master/csl-citation.json"}</w:instrText>
      </w:r>
      <w:r w:rsidR="0078012C" w:rsidRPr="00F75FF8">
        <w:rPr>
          <w:rFonts w:cstheme="minorHAnsi"/>
          <w:szCs w:val="24"/>
          <w:lang w:val="en-GB"/>
        </w:rPr>
        <w:fldChar w:fldCharType="separate"/>
      </w:r>
      <w:r w:rsidR="0078012C" w:rsidRPr="00F75FF8">
        <w:rPr>
          <w:rFonts w:cstheme="minorHAnsi"/>
          <w:noProof/>
          <w:szCs w:val="24"/>
          <w:lang w:val="en-GB"/>
        </w:rPr>
        <w:t>(Fredrickson &amp; Joiner, 2002; Kiken &amp; Fredrickson, 2017)</w:t>
      </w:r>
      <w:r w:rsidR="0078012C" w:rsidRPr="00F75FF8">
        <w:rPr>
          <w:rFonts w:cstheme="minorHAnsi"/>
          <w:szCs w:val="24"/>
          <w:lang w:val="en-GB"/>
        </w:rPr>
        <w:fldChar w:fldCharType="end"/>
      </w:r>
      <w:r w:rsidR="00B51755" w:rsidRPr="00F75FF8">
        <w:rPr>
          <w:rFonts w:cstheme="minorHAnsi"/>
          <w:szCs w:val="24"/>
          <w:lang w:val="en-GB"/>
        </w:rPr>
        <w:t>.</w:t>
      </w:r>
      <w:r w:rsidR="00F47391" w:rsidRPr="00F75FF8">
        <w:rPr>
          <w:rFonts w:cstheme="minorHAnsi"/>
          <w:szCs w:val="24"/>
          <w:lang w:val="en-GB"/>
        </w:rPr>
        <w:t xml:space="preserve"> </w:t>
      </w:r>
      <w:r w:rsidR="00BC2296" w:rsidRPr="00F75FF8">
        <w:rPr>
          <w:rFonts w:cstheme="minorHAnsi"/>
          <w:szCs w:val="24"/>
          <w:lang w:val="en-GB"/>
        </w:rPr>
        <w:t>T</w:t>
      </w:r>
      <w:r w:rsidR="00F47391" w:rsidRPr="00F75FF8">
        <w:rPr>
          <w:rFonts w:cstheme="minorHAnsi"/>
          <w:szCs w:val="24"/>
          <w:lang w:val="en-GB"/>
        </w:rPr>
        <w:t>here is increasing recognition of the challenges of preserving workforce well</w:t>
      </w:r>
      <w:r w:rsidR="00396D30" w:rsidRPr="00F75FF8">
        <w:rPr>
          <w:rFonts w:cstheme="minorHAnsi"/>
          <w:szCs w:val="24"/>
          <w:lang w:val="en-GB"/>
        </w:rPr>
        <w:t>-</w:t>
      </w:r>
      <w:r w:rsidR="00F47391" w:rsidRPr="00F75FF8">
        <w:rPr>
          <w:rFonts w:cstheme="minorHAnsi"/>
          <w:szCs w:val="24"/>
          <w:lang w:val="en-GB"/>
        </w:rPr>
        <w:t>being in often pressurised health services environments</w:t>
      </w:r>
      <w:r w:rsidR="00BC2296" w:rsidRPr="00F75FF8">
        <w:rPr>
          <w:rFonts w:cstheme="minorHAnsi"/>
          <w:szCs w:val="24"/>
          <w:lang w:val="en-GB"/>
        </w:rPr>
        <w:t>,</w:t>
      </w:r>
      <w:r w:rsidR="00F47391" w:rsidRPr="00F75FF8">
        <w:rPr>
          <w:rFonts w:cstheme="minorHAnsi"/>
          <w:szCs w:val="24"/>
          <w:lang w:val="en-GB"/>
        </w:rPr>
        <w:t xml:space="preserve"> and that a failure to </w:t>
      </w:r>
      <w:r w:rsidR="00396D30" w:rsidRPr="00F75FF8">
        <w:rPr>
          <w:rFonts w:cstheme="minorHAnsi"/>
          <w:szCs w:val="24"/>
          <w:lang w:val="en-GB"/>
        </w:rPr>
        <w:t>do so</w:t>
      </w:r>
      <w:r w:rsidR="00F47391" w:rsidRPr="00F75FF8">
        <w:rPr>
          <w:rFonts w:cstheme="minorHAnsi"/>
          <w:szCs w:val="24"/>
          <w:lang w:val="en-GB"/>
        </w:rPr>
        <w:t xml:space="preserve"> can lead to poorer clinical outcomes and higher rates of </w:t>
      </w:r>
      <w:r w:rsidR="00803593" w:rsidRPr="00F75FF8">
        <w:rPr>
          <w:rFonts w:cstheme="minorHAnsi"/>
          <w:szCs w:val="24"/>
          <w:lang w:val="en-GB"/>
        </w:rPr>
        <w:t xml:space="preserve">workforce </w:t>
      </w:r>
      <w:r w:rsidR="00F47391" w:rsidRPr="00F75FF8">
        <w:rPr>
          <w:rFonts w:cstheme="minorHAnsi"/>
          <w:szCs w:val="24"/>
          <w:lang w:val="en-GB"/>
        </w:rPr>
        <w:t xml:space="preserve">absenteeism, presenteeism, and turnover </w:t>
      </w:r>
      <w:r w:rsidR="00803593" w:rsidRPr="00F75FF8">
        <w:rPr>
          <w:rFonts w:cstheme="minorHAnsi"/>
          <w:szCs w:val="24"/>
          <w:lang w:val="en-GB"/>
        </w:rPr>
        <w:fldChar w:fldCharType="begin" w:fldLock="1"/>
      </w:r>
      <w:r w:rsidR="005B3741" w:rsidRPr="00F75FF8">
        <w:rPr>
          <w:rFonts w:cstheme="minorHAnsi"/>
          <w:szCs w:val="24"/>
          <w:lang w:val="en-GB"/>
        </w:rPr>
        <w:instrText>ADDIN CSL_CITATION {"citationItems":[{"id":"ITEM-1","itemData":{"DOI":"10.1136/BMJOPEN-2021-052778","ISSN":"2044-6055","PMID":"35105577","abstract":"Objective To explore the relationships between leader support, staff influence over decisions, work pressure and patient satisfaction.\n\nDesign A cross-sectional study of large National Health Service (NHS) datasets in England in 2010.\n\nSetting and participants 158 NHS acute hospital trusts in England (n=63 156) from all staff groups.\n\nPrimary and secondary outcome measures Survey data measuring leader support, staff influence over decision making, staff work pressure and objective outcome data measuring patient satisfaction.\n\nResults Multilevel serial mediation analysis showed a significantly positive association between leader support and staff influence over decisions ( B =0.74, SE =0.07, p &lt;0.01). Furthermore, staff influence over decisions showed a negative association with staff work pressure ( B =−0.84, SE =0.41, p &lt;0.05) which in turn was negatively linked to patient satisfaction ( B =−17.50, SE =4.34, p &lt;0.01). Serial mediation showed a positive indirect effect of leader support on patient satisfaction via staff influence over decisions and work pressure ( B =10.96, SE =5.55, p &lt;0.05).\n\nConclusions and implications Our results provide evidence that leader support influences patient satisfaction through shaping staff experience, particularly staff influence over decisions and work pressure. Patients’ care is dependent on the health, well-being, and effectiveness of the NHS workforce. That, in turn, is determined by the extent to which leaders are supportive in ensuring that work environments are managed in a way which protects the well-being of staff.\n\nData may be obtained from a third party and are not publicly available. NHS Inpatient Data are publicly available via the UK Data Service. NHS staff survey data are publicly available via the Survey Coordination Centre, Picker Institute while the individual level data are available upon reasonable request.","author":[{"dropping-particle":"","family":"West","given":"Thomas H.R.","non-dropping-particle":"","parse-names":false,"suffix":""},{"dropping-particle":"","family":"Daher","given":"Pascale","non-dropping-particle":"","parse-names":false,"suffix":""},{"dropping-particle":"","family":"Dawson","given":"Jeremy F.","non-dropping-particle":"","parse-names":false,"suffix":""},{"dropping-particle":"","family":"Lyubovnikova","given":"Joanne","non-dropping-particle":"","parse-names":false,"suffix":""},{"dropping-particle":"","family":"Buttigieg","given":"Sandra C.","non-dropping-particle":"","parse-names":false,"suffix":""},{"dropping-particle":"","family":"West","given":"Michael A.","non-dropping-particle":"","parse-names":false,"suffix":""}],"container-title":"BMJ Open","id":"ITEM-1","issue":"2","issued":{"date-parts":[["2022","2","1"]]},"page":"e052778","publisher":"British Medical Journal Publishing Group","title":"The relationship between leader support, staff influence over decision making, work pressure and patient satisfaction: a cross-sectional analysis of NHS datasets in England","type":"article-journal","volume":"12"},"uris":["http://www.mendeley.com/documents/?uuid=3c81ce5c-2550-311e-b27c-fbadbd4dc401"]}],"mendeley":{"formattedCitation":"(West et al., 2022)","plainTextFormattedCitation":"(West et al., 2022)","previouslyFormattedCitation":"(West et al., 2022)"},"properties":{"noteIndex":0},"schema":"https://github.com/citation-style-language/schema/raw/master/csl-citation.json"}</w:instrText>
      </w:r>
      <w:r w:rsidR="00803593" w:rsidRPr="00F75FF8">
        <w:rPr>
          <w:rFonts w:cstheme="minorHAnsi"/>
          <w:szCs w:val="24"/>
          <w:lang w:val="en-GB"/>
        </w:rPr>
        <w:fldChar w:fldCharType="separate"/>
      </w:r>
      <w:r w:rsidR="00803593" w:rsidRPr="00F75FF8">
        <w:rPr>
          <w:rFonts w:cstheme="minorHAnsi"/>
          <w:noProof/>
          <w:szCs w:val="24"/>
          <w:lang w:val="en-GB"/>
        </w:rPr>
        <w:t>(West et al., 2022)</w:t>
      </w:r>
      <w:r w:rsidR="00803593" w:rsidRPr="00F75FF8">
        <w:rPr>
          <w:rFonts w:cstheme="minorHAnsi"/>
          <w:szCs w:val="24"/>
          <w:lang w:val="en-GB"/>
        </w:rPr>
        <w:fldChar w:fldCharType="end"/>
      </w:r>
      <w:r w:rsidR="00FF6E60" w:rsidRPr="00F75FF8">
        <w:rPr>
          <w:rFonts w:cstheme="minorHAnsi"/>
          <w:szCs w:val="24"/>
          <w:lang w:val="en-GB"/>
        </w:rPr>
        <w:t xml:space="preserve">. </w:t>
      </w:r>
      <w:r w:rsidR="00F47391" w:rsidRPr="00F75FF8">
        <w:rPr>
          <w:rFonts w:cstheme="minorHAnsi"/>
          <w:szCs w:val="24"/>
          <w:lang w:val="en-GB"/>
        </w:rPr>
        <w:t xml:space="preserve">The present results provide preliminary evidence that </w:t>
      </w:r>
      <w:r w:rsidR="00AF1B2C" w:rsidRPr="00F75FF8">
        <w:rPr>
          <w:rFonts w:cstheme="minorHAnsi"/>
          <w:szCs w:val="24"/>
          <w:lang w:val="en-GB"/>
        </w:rPr>
        <w:t>supporting</w:t>
      </w:r>
      <w:r w:rsidR="00F47391" w:rsidRPr="00F75FF8">
        <w:rPr>
          <w:rFonts w:cstheme="minorHAnsi"/>
          <w:szCs w:val="24"/>
          <w:lang w:val="en-GB"/>
        </w:rPr>
        <w:t xml:space="preserve"> therapists</w:t>
      </w:r>
      <w:r w:rsidR="00AF1B2C" w:rsidRPr="00F75FF8">
        <w:rPr>
          <w:rFonts w:cstheme="minorHAnsi"/>
          <w:szCs w:val="24"/>
          <w:lang w:val="en-GB"/>
        </w:rPr>
        <w:t xml:space="preserve"> to</w:t>
      </w:r>
      <w:r w:rsidR="00F47391" w:rsidRPr="00F75FF8">
        <w:rPr>
          <w:rFonts w:cstheme="minorHAnsi"/>
          <w:szCs w:val="24"/>
          <w:lang w:val="en-GB"/>
        </w:rPr>
        <w:t xml:space="preserve"> frame clients</w:t>
      </w:r>
      <w:r w:rsidR="008F78D8" w:rsidRPr="00F75FF8">
        <w:rPr>
          <w:rFonts w:cstheme="minorHAnsi"/>
          <w:szCs w:val="24"/>
          <w:lang w:val="en-GB"/>
        </w:rPr>
        <w:t>’</w:t>
      </w:r>
      <w:r w:rsidR="00F47391" w:rsidRPr="00F75FF8">
        <w:rPr>
          <w:rFonts w:cstheme="minorHAnsi"/>
          <w:szCs w:val="24"/>
          <w:lang w:val="en-GB"/>
        </w:rPr>
        <w:t xml:space="preserve"> initial assessments </w:t>
      </w:r>
      <w:r w:rsidR="00AF1B2C" w:rsidRPr="00F75FF8">
        <w:rPr>
          <w:rFonts w:cstheme="minorHAnsi"/>
          <w:szCs w:val="24"/>
          <w:lang w:val="en-GB"/>
        </w:rPr>
        <w:t xml:space="preserve">in solution-focused ways could be one way to </w:t>
      </w:r>
      <w:r w:rsidR="003E5F5B" w:rsidRPr="00F75FF8">
        <w:rPr>
          <w:rFonts w:cstheme="minorHAnsi"/>
          <w:szCs w:val="24"/>
          <w:lang w:val="en-GB"/>
        </w:rPr>
        <w:t xml:space="preserve">cultivate positive affect and </w:t>
      </w:r>
      <w:r w:rsidR="00AF1B2C" w:rsidRPr="00F75FF8">
        <w:rPr>
          <w:rFonts w:cstheme="minorHAnsi"/>
          <w:szCs w:val="24"/>
          <w:lang w:val="en-GB"/>
        </w:rPr>
        <w:t>preserve workforce well</w:t>
      </w:r>
      <w:r w:rsidR="00396D30" w:rsidRPr="00F75FF8">
        <w:rPr>
          <w:rFonts w:cstheme="minorHAnsi"/>
          <w:szCs w:val="24"/>
          <w:lang w:val="en-GB"/>
        </w:rPr>
        <w:t>-</w:t>
      </w:r>
      <w:r w:rsidR="00AF1B2C" w:rsidRPr="00F75FF8">
        <w:rPr>
          <w:rFonts w:cstheme="minorHAnsi"/>
          <w:szCs w:val="24"/>
          <w:lang w:val="en-GB"/>
        </w:rPr>
        <w:t xml:space="preserve">being. </w:t>
      </w:r>
    </w:p>
    <w:p w14:paraId="240BD0D4" w14:textId="032222F3" w:rsidR="003A433C" w:rsidRPr="00F75FF8" w:rsidRDefault="003A433C" w:rsidP="001231FD">
      <w:pPr>
        <w:autoSpaceDE w:val="0"/>
        <w:autoSpaceDN w:val="0"/>
        <w:adjustRightInd w:val="0"/>
        <w:spacing w:after="0" w:line="480" w:lineRule="auto"/>
        <w:ind w:firstLine="720"/>
        <w:rPr>
          <w:rFonts w:cstheme="minorHAnsi"/>
          <w:szCs w:val="24"/>
        </w:rPr>
      </w:pPr>
      <w:r w:rsidRPr="00F75FF8">
        <w:rPr>
          <w:rFonts w:cstheme="minorHAnsi"/>
          <w:szCs w:val="24"/>
        </w:rPr>
        <w:t xml:space="preserve">Given that </w:t>
      </w:r>
      <w:r w:rsidR="00A66E06" w:rsidRPr="00F75FF8">
        <w:rPr>
          <w:rFonts w:cstheme="minorHAnsi"/>
          <w:szCs w:val="24"/>
        </w:rPr>
        <w:t xml:space="preserve">a </w:t>
      </w:r>
      <w:r w:rsidR="00B51755" w:rsidRPr="00F75FF8">
        <w:rPr>
          <w:rFonts w:cstheme="minorHAnsi"/>
          <w:szCs w:val="24"/>
        </w:rPr>
        <w:t>previous stu</w:t>
      </w:r>
      <w:r w:rsidR="00A66E06" w:rsidRPr="00F75FF8">
        <w:rPr>
          <w:rFonts w:cstheme="minorHAnsi"/>
          <w:szCs w:val="24"/>
        </w:rPr>
        <w:t>dy</w:t>
      </w:r>
      <w:r w:rsidRPr="00F75FF8">
        <w:rPr>
          <w:rFonts w:cstheme="minorHAnsi"/>
          <w:szCs w:val="24"/>
          <w:lang w:val="en-GB"/>
        </w:rPr>
        <w:t xml:space="preserve"> found that </w:t>
      </w:r>
      <w:r w:rsidR="00A66E06" w:rsidRPr="00F75FF8">
        <w:rPr>
          <w:rFonts w:cstheme="minorHAnsi"/>
          <w:szCs w:val="24"/>
          <w:lang w:val="en-GB"/>
        </w:rPr>
        <w:t xml:space="preserve">therapists’ </w:t>
      </w:r>
      <w:r w:rsidR="00A66EC9" w:rsidRPr="00F75FF8">
        <w:rPr>
          <w:rFonts w:cstheme="minorHAnsi"/>
          <w:szCs w:val="24"/>
          <w:lang w:val="en-GB"/>
        </w:rPr>
        <w:t>hope</w:t>
      </w:r>
      <w:r w:rsidR="00B51755" w:rsidRPr="00F75FF8">
        <w:rPr>
          <w:rFonts w:cstheme="minorHAnsi"/>
          <w:szCs w:val="24"/>
          <w:lang w:val="en-GB"/>
        </w:rPr>
        <w:t xml:space="preserve"> for treatment</w:t>
      </w:r>
      <w:r w:rsidR="00A66EC9" w:rsidRPr="00F75FF8">
        <w:rPr>
          <w:rFonts w:cstheme="minorHAnsi"/>
          <w:szCs w:val="24"/>
          <w:lang w:val="en-GB"/>
        </w:rPr>
        <w:t xml:space="preserve"> </w:t>
      </w:r>
      <w:r w:rsidRPr="00F75FF8">
        <w:rPr>
          <w:rFonts w:cstheme="minorHAnsi"/>
          <w:szCs w:val="24"/>
          <w:lang w:val="en-GB"/>
        </w:rPr>
        <w:t>positively predicted</w:t>
      </w:r>
      <w:r w:rsidR="00A66EC9" w:rsidRPr="00F75FF8">
        <w:rPr>
          <w:rFonts w:cstheme="minorHAnsi"/>
          <w:szCs w:val="24"/>
          <w:lang w:val="en-GB"/>
        </w:rPr>
        <w:t xml:space="preserve"> treatment outcomes </w:t>
      </w:r>
      <w:r w:rsidR="00A66EC9" w:rsidRPr="00F75FF8">
        <w:rPr>
          <w:rFonts w:cstheme="minorHAnsi"/>
          <w:szCs w:val="24"/>
          <w:lang w:val="en-GB"/>
        </w:rPr>
        <w:fldChar w:fldCharType="begin" w:fldLock="1"/>
      </w:r>
      <w:r w:rsidR="0024096C" w:rsidRPr="00F75FF8">
        <w:rPr>
          <w:rFonts w:cstheme="minorHAnsi"/>
          <w:szCs w:val="24"/>
          <w:lang w:val="en-GB"/>
        </w:rPr>
        <w:instrText>ADDIN CSL_CITATION {"citationItems":[{"id":"ITEM-1","itemData":{"DOI":"10.1080/10503307.2010.497508","ISBN":"1050-3307","ISSN":"1050-3307","PMID":"20714970","abstract":"The current study examined whether clients' perceptions of hope and therapists' hope in their clients were associated with therapy outcomes. The authors conducted a naturalistic study of brief therapy with 10 therapists and 43 adult clients. Client-rated hope significantly increased after one session of therapy. However, no significant relationship was found between pretherapy client-rated hope and first-session symptom change. Further, client-rated hope at any point in therapy was not significantly related to therapy outcomes. Therapists' hope in their clients after the first and last sessions was significantly related to client outcomes. Implications for therapy practice and research are offered.","author":[{"dropping-particle":"","family":"Coppock","given":"Timothy E","non-dropping-particle":"","parse-names":false,"suffix":""},{"dropping-particle":"","family":"Owen","given":"Jesse J","non-dropping-particle":"","parse-names":false,"suffix":""},{"dropping-particle":"","family":"Zagarskas","given":"Elena","non-dropping-particle":"","parse-names":false,"suffix":""},{"dropping-particle":"","family":"Schmidt","given":"Melissa","non-dropping-particle":"","parse-names":false,"suffix":""}],"container-title":"Psychotherapy Research","id":"ITEM-1","issue":"6","issued":{"date-parts":[["2010","11"]]},"page":"619-626","title":"The relationship between therapist and client hope with therapy outcomes","type":"article-journal","volume":"20"},"uris":["http://www.mendeley.com/documents/?uuid=ef4e82e8-825e-4672-a930-4a95e7e1eac4"]}],"mendeley":{"formattedCitation":"(Coppock et al., 2010)","plainTextFormattedCitation":"(Coppock et al., 2010)","previouslyFormattedCitation":"(Coppock et al., 2010)"},"properties":{"noteIndex":0},"schema":"https://github.com/citation-style-language/schema/raw/master/csl-citation.json"}</w:instrText>
      </w:r>
      <w:r w:rsidR="00A66EC9" w:rsidRPr="00F75FF8">
        <w:rPr>
          <w:rFonts w:cstheme="minorHAnsi"/>
          <w:szCs w:val="24"/>
          <w:lang w:val="en-GB"/>
        </w:rPr>
        <w:fldChar w:fldCharType="separate"/>
      </w:r>
      <w:r w:rsidR="00A66E06" w:rsidRPr="00F75FF8">
        <w:rPr>
          <w:rFonts w:cstheme="minorHAnsi"/>
          <w:noProof/>
          <w:szCs w:val="24"/>
          <w:lang w:val="en-GB"/>
        </w:rPr>
        <w:t>(Coppock et al., 2010)</w:t>
      </w:r>
      <w:r w:rsidR="00A66EC9" w:rsidRPr="00F75FF8">
        <w:rPr>
          <w:rFonts w:cstheme="minorHAnsi"/>
          <w:szCs w:val="24"/>
        </w:rPr>
        <w:fldChar w:fldCharType="end"/>
      </w:r>
      <w:r w:rsidRPr="00F75FF8">
        <w:rPr>
          <w:rFonts w:cstheme="minorHAnsi"/>
          <w:szCs w:val="24"/>
        </w:rPr>
        <w:t xml:space="preserve">, clients </w:t>
      </w:r>
      <w:r w:rsidR="00396D30" w:rsidRPr="00F75FF8">
        <w:rPr>
          <w:rFonts w:cstheme="minorHAnsi"/>
          <w:szCs w:val="24"/>
        </w:rPr>
        <w:t xml:space="preserve">too </w:t>
      </w:r>
      <w:r w:rsidRPr="00F75FF8">
        <w:rPr>
          <w:rFonts w:cstheme="minorHAnsi"/>
          <w:szCs w:val="24"/>
        </w:rPr>
        <w:t>may benefit from therapists feeling more positive</w:t>
      </w:r>
      <w:r w:rsidR="00A66EC9" w:rsidRPr="00F75FF8">
        <w:rPr>
          <w:rFonts w:cstheme="minorHAnsi"/>
          <w:szCs w:val="24"/>
          <w:lang w:val="en-GB"/>
        </w:rPr>
        <w:t>.</w:t>
      </w:r>
      <w:r w:rsidRPr="00F75FF8">
        <w:rPr>
          <w:rFonts w:cstheme="minorHAnsi"/>
          <w:szCs w:val="24"/>
          <w:lang w:val="en-GB"/>
        </w:rPr>
        <w:t xml:space="preserve"> </w:t>
      </w:r>
      <w:r w:rsidR="00BC64BA" w:rsidRPr="00F75FF8">
        <w:rPr>
          <w:rFonts w:cstheme="minorHAnsi"/>
          <w:szCs w:val="24"/>
          <w:lang w:val="en-GB"/>
        </w:rPr>
        <w:t xml:space="preserve">In a grounded-theory study on the function of therapists’ in-session positive emotions, therapists themselves identified </w:t>
      </w:r>
      <w:r w:rsidR="00E314AC" w:rsidRPr="00F75FF8">
        <w:rPr>
          <w:rFonts w:cstheme="minorHAnsi"/>
          <w:szCs w:val="24"/>
          <w:lang w:val="en-GB"/>
        </w:rPr>
        <w:t xml:space="preserve">their </w:t>
      </w:r>
      <w:r w:rsidR="00BC64BA" w:rsidRPr="00F75FF8">
        <w:rPr>
          <w:rFonts w:cstheme="minorHAnsi"/>
          <w:szCs w:val="24"/>
          <w:lang w:val="en-GB"/>
        </w:rPr>
        <w:t>positive emotions as contributing to</w:t>
      </w:r>
      <w:r w:rsidR="00E45EFE" w:rsidRPr="00F75FF8">
        <w:rPr>
          <w:rFonts w:cstheme="minorHAnsi"/>
          <w:szCs w:val="24"/>
          <w:lang w:val="en-GB"/>
        </w:rPr>
        <w:t xml:space="preserve"> increased</w:t>
      </w:r>
      <w:r w:rsidR="00BC64BA" w:rsidRPr="00F75FF8">
        <w:rPr>
          <w:rFonts w:cstheme="minorHAnsi"/>
          <w:szCs w:val="24"/>
          <w:lang w:val="en-GB"/>
        </w:rPr>
        <w:t xml:space="preserve"> </w:t>
      </w:r>
      <w:r w:rsidR="00E45EFE" w:rsidRPr="00F75FF8">
        <w:rPr>
          <w:rFonts w:cstheme="minorHAnsi"/>
          <w:szCs w:val="24"/>
          <w:lang w:val="en-GB"/>
        </w:rPr>
        <w:t xml:space="preserve">in-session awareness, </w:t>
      </w:r>
      <w:r w:rsidR="00BC64BA" w:rsidRPr="00F75FF8">
        <w:rPr>
          <w:rFonts w:cstheme="minorHAnsi"/>
          <w:szCs w:val="24"/>
          <w:lang w:val="en-GB"/>
        </w:rPr>
        <w:t>daring and resourcefulness</w:t>
      </w:r>
      <w:r w:rsidR="00E314AC" w:rsidRPr="00F75FF8">
        <w:rPr>
          <w:rFonts w:cstheme="minorHAnsi"/>
          <w:szCs w:val="24"/>
          <w:lang w:val="en-GB"/>
        </w:rPr>
        <w:t xml:space="preserve"> on their side</w:t>
      </w:r>
      <w:r w:rsidR="00E45EFE" w:rsidRPr="00F75FF8">
        <w:rPr>
          <w:rFonts w:cstheme="minorHAnsi"/>
          <w:szCs w:val="24"/>
          <w:lang w:val="en-GB"/>
        </w:rPr>
        <w:t xml:space="preserve"> </w:t>
      </w:r>
      <w:r w:rsidR="00500583" w:rsidRPr="00F75FF8">
        <w:rPr>
          <w:rFonts w:cstheme="minorHAnsi"/>
          <w:szCs w:val="24"/>
          <w:lang w:val="en-GB"/>
        </w:rPr>
        <w:fldChar w:fldCharType="begin" w:fldLock="1"/>
      </w:r>
      <w:r w:rsidR="00A04A6A" w:rsidRPr="00F75FF8">
        <w:rPr>
          <w:rFonts w:cstheme="minorHAnsi"/>
          <w:szCs w:val="24"/>
          <w:lang w:val="en-GB"/>
        </w:rPr>
        <w:instrText>ADDIN CSL_CITATION {"citationItems":[{"id":"ITEM-1","itemData":{"DOI":"10.1080/14733145.2013.790455","ISSN":"1746-1405","abstract":"Aim: The therapist's feelings play a remarkable role in contemporary models of psychotherapy. However, these models are biased towards negative feelings. The present study explores therapists' personal experience with positive emotion in-session. Method: A grounded theory analysis was conducted of interviews with 26 Brazilian psychotherapists. Results: Clinicians derive positive affect from the client's input in treatment, from their own input, and from the personal relationship with the client. Therapist positive emotion adds to the material that can be worked on in-session by providing interpersonal events in the relationship with the client. It can improve therapist input in treatment by increasing in-session awareness, resourcefulness and daring and by cuing efforts for professional development. It enhances involvement in the relationship with the client by prompting compassion and closeness in the dyad. Its effects may spill over and contribute to the therapist's personal thriving. Discussion: These results are discussed in light of what positive psychology can add to current work on therapist effects in the treatment process. © 2013 © 2013 British Association for Counselling and Psychotherapy.","author":[{"dropping-particle":"","family":"Vandenberghe","given":"Luc","non-dropping-particle":"","parse-names":false,"suffix":""},{"dropping-particle":"","family":"Silvestre","given":"Rafaela Luiza Silva","non-dropping-particle":"","parse-names":false,"suffix":""}],"container-title":"Counselling and Psychotherapy Research","id":"ITEM-1","issue":"2","issued":{"date-parts":[["2014","6","1"]]},"page":"119-127","publisher":"John Wiley &amp; Sons, Ltd","title":"Therapists' positive emotions in-session: Why they happen and what they are good for","type":"article-journal","volume":"14"},"uris":["http://www.mendeley.com/documents/?uuid=5308e9b7-023f-39e4-ac6e-5d4534b1136e"]}],"mendeley":{"formattedCitation":"(Vandenberghe &amp; Silvestre, 2014)","plainTextFormattedCitation":"(Vandenberghe &amp; Silvestre, 2014)","previouslyFormattedCitation":"(Vandenberghe &amp; Silvestre, 2014)"},"properties":{"noteIndex":0},"schema":"https://github.com/citation-style-language/schema/raw/master/csl-citation.json"}</w:instrText>
      </w:r>
      <w:r w:rsidR="00500583" w:rsidRPr="00F75FF8">
        <w:rPr>
          <w:rFonts w:cstheme="minorHAnsi"/>
          <w:szCs w:val="24"/>
          <w:lang w:val="en-GB"/>
        </w:rPr>
        <w:fldChar w:fldCharType="separate"/>
      </w:r>
      <w:r w:rsidR="00500583" w:rsidRPr="00F75FF8">
        <w:rPr>
          <w:rFonts w:cstheme="minorHAnsi"/>
          <w:noProof/>
          <w:szCs w:val="24"/>
          <w:lang w:val="en-GB"/>
        </w:rPr>
        <w:t>(Vandenberghe &amp; Silvestre, 2014)</w:t>
      </w:r>
      <w:r w:rsidR="00500583" w:rsidRPr="00F75FF8">
        <w:rPr>
          <w:rFonts w:cstheme="minorHAnsi"/>
          <w:szCs w:val="24"/>
          <w:lang w:val="en-GB"/>
        </w:rPr>
        <w:fldChar w:fldCharType="end"/>
      </w:r>
      <w:r w:rsidR="00BC64BA" w:rsidRPr="00F75FF8">
        <w:rPr>
          <w:rFonts w:cstheme="minorHAnsi"/>
          <w:szCs w:val="24"/>
          <w:lang w:val="en-GB"/>
        </w:rPr>
        <w:t xml:space="preserve">. </w:t>
      </w:r>
      <w:r w:rsidR="00B51755" w:rsidRPr="00F75FF8">
        <w:rPr>
          <w:rFonts w:cstheme="minorHAnsi"/>
          <w:szCs w:val="24"/>
          <w:lang w:val="en-GB"/>
        </w:rPr>
        <w:t>In addition, being asked about strengths and other positive information during the intak</w:t>
      </w:r>
      <w:r w:rsidR="00002DE0" w:rsidRPr="00F75FF8">
        <w:rPr>
          <w:rFonts w:cstheme="minorHAnsi"/>
          <w:szCs w:val="24"/>
          <w:lang w:val="en-GB"/>
        </w:rPr>
        <w:t>e procedure may increase client</w:t>
      </w:r>
      <w:r w:rsidR="00B51755" w:rsidRPr="00F75FF8">
        <w:rPr>
          <w:rFonts w:cstheme="minorHAnsi"/>
          <w:szCs w:val="24"/>
          <w:lang w:val="en-GB"/>
        </w:rPr>
        <w:t>s</w:t>
      </w:r>
      <w:r w:rsidR="00002DE0" w:rsidRPr="00F75FF8">
        <w:rPr>
          <w:rFonts w:cstheme="minorHAnsi"/>
          <w:szCs w:val="24"/>
          <w:lang w:val="en-GB"/>
        </w:rPr>
        <w:t>’</w:t>
      </w:r>
      <w:r w:rsidR="00B51755" w:rsidRPr="00F75FF8">
        <w:rPr>
          <w:rFonts w:cstheme="minorHAnsi"/>
          <w:szCs w:val="24"/>
          <w:lang w:val="en-GB"/>
        </w:rPr>
        <w:t xml:space="preserve"> own hope for treatment. </w:t>
      </w:r>
      <w:r w:rsidR="00A66E06" w:rsidRPr="00F75FF8">
        <w:rPr>
          <w:rFonts w:cstheme="minorHAnsi"/>
          <w:szCs w:val="24"/>
          <w:lang w:val="en-GB"/>
        </w:rPr>
        <w:t xml:space="preserve">A recent study found that clients’ </w:t>
      </w:r>
      <w:r w:rsidR="00A66E06" w:rsidRPr="00F75FF8">
        <w:rPr>
          <w:rFonts w:cstheme="minorHAnsi"/>
          <w:i/>
          <w:szCs w:val="24"/>
          <w:lang w:val="en-GB"/>
        </w:rPr>
        <w:t xml:space="preserve">hope for counselling </w:t>
      </w:r>
      <w:r w:rsidR="00A66E06" w:rsidRPr="00F75FF8">
        <w:rPr>
          <w:rFonts w:cstheme="minorHAnsi"/>
          <w:szCs w:val="24"/>
          <w:lang w:val="en-GB"/>
        </w:rPr>
        <w:t xml:space="preserve">(i.e., </w:t>
      </w:r>
      <w:r w:rsidR="00E314AC" w:rsidRPr="00F75FF8">
        <w:rPr>
          <w:rFonts w:cstheme="minorHAnsi"/>
          <w:szCs w:val="24"/>
          <w:lang w:val="en-GB"/>
        </w:rPr>
        <w:t xml:space="preserve">hope that is </w:t>
      </w:r>
      <w:r w:rsidR="00A66E06" w:rsidRPr="00F75FF8">
        <w:rPr>
          <w:rFonts w:cstheme="minorHAnsi"/>
          <w:szCs w:val="24"/>
          <w:lang w:val="en-GB"/>
        </w:rPr>
        <w:t xml:space="preserve">domain-specific to treatment rather than general or trait hope) predicted decreases in distress </w:t>
      </w:r>
      <w:r w:rsidR="00A66E06" w:rsidRPr="00F75FF8">
        <w:rPr>
          <w:rFonts w:cstheme="minorHAnsi"/>
          <w:szCs w:val="24"/>
          <w:lang w:val="en-GB"/>
        </w:rPr>
        <w:fldChar w:fldCharType="begin" w:fldLock="1"/>
      </w:r>
      <w:r w:rsidR="001A1C82" w:rsidRPr="00F75FF8">
        <w:rPr>
          <w:rFonts w:cstheme="minorHAnsi"/>
          <w:szCs w:val="24"/>
          <w:lang w:val="en-GB"/>
        </w:rPr>
        <w:instrText>ADDIN CSL_CITATION {"citationItems":[{"id":"ITEM-1","itemData":{"DOI":"10.1177/00110000211033255","ISSN":"0011-0000","abstract":"Researchers have demonstrated links between general hope and symptoms of distress. Findings like these are important given the conceptual role of hope in psychotherapy theories like Frank and Frank’s contextual model. Existing literature, however, has involved researchers employing general hope measures despite hope being variable across domains rather than a general trait. The purpose of this study was to explore the relationships between hope for counseling and clients’ outcomes as well as the working alliance. Self-report data were collected from 103 clients in a doctoral training clinic. Evidence (from multilevel modeling) demonstrated that increases in working alliance predict increases in hope for counseling over the course of treatment and that increases in hope for counseling significantly predict decreases in distress over the course of counseling when working alliance and session number are controlled. We discuss implications for clinical practice and positively-oriented work in counseling psychology.","author":[{"dropping-particle":"","family":"Bartholomew","given":"Theodore T.","non-dropping-particle":"","parse-names":false,"suffix":""},{"dropping-particle":"","family":"Joy","given":"Eileen E.","non-dropping-particle":"","parse-names":false,"suffix":""},{"dropping-particle":"","family":"Gundel","given":"Brittany E.","non-dropping-particle":"","parse-names":false,"suffix":""}],"container-title":"The Counseling Psychologist","id":"ITEM-1","issue":"8","issued":{"date-parts":[["2021","11","11"]]},"page":"1126-1146","publisher":"SAGE PublicationsSage CA: Los Angeles, CA","title":"Clients’ Hope for Counseling as a Predictor of Outcome in Psychotherapy","type":"article-journal","volume":"49"},"uris":["http://www.mendeley.com/documents/?uuid=ad136e3f-f99f-3542-8dac-9b581b69af9b"]}],"mendeley":{"formattedCitation":"(Bartholomew et al., 2021)","plainTextFormattedCitation":"(Bartholomew et al., 2021)","previouslyFormattedCitation":"(Bartholomew et al., 2021)"},"properties":{"noteIndex":0},"schema":"https://github.com/citation-style-language/schema/raw/master/csl-citation.json"}</w:instrText>
      </w:r>
      <w:r w:rsidR="00A66E06" w:rsidRPr="00F75FF8">
        <w:rPr>
          <w:rFonts w:cstheme="minorHAnsi"/>
          <w:szCs w:val="24"/>
          <w:lang w:val="en-GB"/>
        </w:rPr>
        <w:fldChar w:fldCharType="separate"/>
      </w:r>
      <w:r w:rsidR="00A66E06" w:rsidRPr="00F75FF8">
        <w:rPr>
          <w:rFonts w:cstheme="minorHAnsi"/>
          <w:noProof/>
          <w:szCs w:val="24"/>
          <w:lang w:val="en-GB"/>
        </w:rPr>
        <w:t>(Bartholomew et al., 2021)</w:t>
      </w:r>
      <w:r w:rsidR="00A66E06" w:rsidRPr="00F75FF8">
        <w:rPr>
          <w:rFonts w:cstheme="minorHAnsi"/>
          <w:szCs w:val="24"/>
          <w:lang w:val="en-GB"/>
        </w:rPr>
        <w:fldChar w:fldCharType="end"/>
      </w:r>
      <w:r w:rsidR="00A66E06" w:rsidRPr="00F75FF8">
        <w:rPr>
          <w:rFonts w:cstheme="minorHAnsi"/>
          <w:szCs w:val="24"/>
          <w:lang w:val="en-GB"/>
        </w:rPr>
        <w:t>.</w:t>
      </w:r>
      <w:r w:rsidR="005C1314" w:rsidRPr="00F75FF8">
        <w:rPr>
          <w:rFonts w:cstheme="minorHAnsi"/>
          <w:szCs w:val="24"/>
          <w:lang w:val="en-GB"/>
        </w:rPr>
        <w:t xml:space="preserve"> </w:t>
      </w:r>
      <w:r w:rsidR="00E314AC" w:rsidRPr="00F75FF8">
        <w:rPr>
          <w:rFonts w:cstheme="minorHAnsi"/>
          <w:szCs w:val="24"/>
          <w:lang w:val="en-GB"/>
        </w:rPr>
        <w:t>Moreover, a</w:t>
      </w:r>
      <w:r w:rsidR="00632EDA" w:rsidRPr="00F75FF8">
        <w:rPr>
          <w:rFonts w:cstheme="minorHAnsi"/>
          <w:szCs w:val="24"/>
          <w:lang w:val="en-GB"/>
        </w:rPr>
        <w:t>ccording to</w:t>
      </w:r>
      <w:r w:rsidRPr="00F75FF8">
        <w:rPr>
          <w:rFonts w:cstheme="minorHAnsi"/>
          <w:szCs w:val="24"/>
          <w:lang w:val="en-GB"/>
        </w:rPr>
        <w:t xml:space="preserve"> theories about</w:t>
      </w:r>
      <w:r w:rsidR="001C3D9E" w:rsidRPr="00F75FF8">
        <w:rPr>
          <w:rFonts w:cstheme="minorHAnsi"/>
          <w:szCs w:val="24"/>
          <w:lang w:val="en-GB"/>
        </w:rPr>
        <w:t xml:space="preserve"> the function of positive emotions, </w:t>
      </w:r>
      <w:r w:rsidR="00B51755" w:rsidRPr="00F75FF8">
        <w:rPr>
          <w:rFonts w:cstheme="minorHAnsi"/>
          <w:szCs w:val="24"/>
          <w:lang w:val="en-GB"/>
        </w:rPr>
        <w:t>people</w:t>
      </w:r>
      <w:r w:rsidR="00632EDA" w:rsidRPr="00F75FF8">
        <w:rPr>
          <w:rFonts w:cstheme="minorHAnsi"/>
          <w:szCs w:val="24"/>
          <w:lang w:val="en-GB"/>
        </w:rPr>
        <w:t xml:space="preserve"> </w:t>
      </w:r>
      <w:r w:rsidR="00E675E9" w:rsidRPr="00F75FF8">
        <w:rPr>
          <w:rFonts w:cstheme="minorHAnsi"/>
          <w:szCs w:val="24"/>
          <w:lang w:val="en-GB"/>
        </w:rPr>
        <w:t>who</w:t>
      </w:r>
      <w:r w:rsidR="00632EDA" w:rsidRPr="00F75FF8">
        <w:rPr>
          <w:rFonts w:cstheme="minorHAnsi"/>
          <w:szCs w:val="24"/>
          <w:lang w:val="en-GB"/>
        </w:rPr>
        <w:t xml:space="preserve"> feel more hopeful and optimistic are likely to persist longer and find more ways to deal with treatment obstacles </w:t>
      </w:r>
      <w:r w:rsidR="00A04A6A" w:rsidRPr="00F75FF8">
        <w:rPr>
          <w:rFonts w:cstheme="minorHAnsi"/>
          <w:szCs w:val="24"/>
          <w:lang w:val="en-GB"/>
        </w:rPr>
        <w:fldChar w:fldCharType="begin" w:fldLock="1"/>
      </w:r>
      <w:r w:rsidR="001A1C82" w:rsidRPr="00F75FF8">
        <w:rPr>
          <w:rFonts w:cstheme="minorHAnsi"/>
          <w:szCs w:val="24"/>
          <w:lang w:val="en-GB"/>
        </w:rPr>
        <w:instrText>ADDIN CSL_CITATION {"citationItems":[{"id":"ITEM-1","itemData":{"DOI":"10.1207/S15327965PLI1304_01","ISBN":"1532-7965\\r1047-840X","ISSN":"1047-840X","PMID":"9208665","abstract":"Hope is defined as the perceived capability to derive pathways to desired goals, and motivate oneself via agency thinking to use those pathways. The adult and child hope scales that are derived from hope theory are described. Hope theory is compared to theories of learned optimism, optimism, self-efficacy, and self-esteem. Higher hope consistently is related to better outcomes in academics, athletics, physical health, psy- chological adjustment, and psychotherapy. Processes that lessen hope in children and adults are reviewed. Using the hope theory definition, no evidence is found for “false” hope. Future research is encouraged in regard to accurately enhancing hope in medi- cal feedbackandhelping people to pursue those goals for which they are best suited.","author":[{"dropping-particle":"","family":"Snyder","given":"C. R.","non-dropping-particle":"","parse-names":false,"suffix":""}],"container-title":"Psychological Inquiry","id":"ITEM-1","issue":"4","issued":{"date-parts":[["2002","10"]]},"page":"249-275","title":"TARGET ARTICLE: Hope Theory: Rainbows in the Mind","type":"article-journal","volume":"13"},"uris":["http://www.mendeley.com/documents/?uuid=d5daa83f-9f98-46b1-a75a-37d800b3c265"]},{"id":"ITEM-2","itemData":{"DOI":"10.1023/A:1005547730153","ISSN":"01475916 (ISSN)","abstract":"A cognitive, two-component model of hope proposed by Snyder and colleagues is reviewed. Hope is defined as the perceived capability to (1) derive pathways to desired goals and (2) motivate oneself via agentic thinking to initiate and sustain movement along those pathways. The roles of these pathways and agency components of hope theory are described along with similarities and differences relative to other motivational and emotional theories, including optimism, self-efficacy, self-esteem, and problem solving. The goal focus, agentic thought, and pathways thought of hope theory are used as a framework for understanding the adaptive processes in the various phases of cognitive-behavior therapies, including relapse prevention. It is concluded that hope theory offers a valuable overarching framework for understanding common factors in behavior therapies.","author":[{"dropping-particle":"","family":"Snyder","given":"C. R.","non-dropping-particle":"","parse-names":false,"suffix":""},{"dropping-particle":"","family":"Ilardi","given":"Stephen S.","non-dropping-particle":"","parse-names":false,"suffix":""},{"dropping-particle":"","family":"Cheavens","given":"Jen","non-dropping-particle":"","parse-names":false,"suffix":""},{"dropping-particle":"","family":"Michael","given":"Scott T.","non-dropping-particle":"","parse-names":false,"suffix":""},{"dropping-particle":"","family":"Yamhure","given":"Laura","non-dropping-particle":"","parse-names":false,"suffix":""},{"dropping-particle":"","family":"Sympson","given":"Susie","non-dropping-particle":"","parse-names":false,"suffix":""}],"container-title":"Cognitive Therapy and Research","id":"ITEM-2","issued":{"date-parts":[["2000"]]},"page":"747-762","title":"The Role of Hope in Cognitive-Behavior Therapies","type":"article-journal","volume":"24"},"uris":["http://www.mendeley.com/documents/?uuid=2dc36f70-02c4-45bb-9929-2deea668d0b1"]},{"id":"ITEM-3","itemData":{"DOI":"10.1007/978-3-319-58763-9_9","ISBN":"9783319587639","abstract":"Positive emotions can do more than feel good in the moment. In this chapter, we first explain why positive emotions are not easily separable from cognition. We present the broaden-and-build theory and related evidence, which suggests that at least some positive emotions foster broadened, flexible mindsets. We then review evidence that repeated positive emotions, and their accompanying broadened mindsets, over time allow individuals to accrue more enduring personal and social resources for future well-being. We additionally explain the benefits of positive emotions in the face of life's difficulties, potential reciprocal relations between positive emotions and characteristics of broader well-being, and nuances involved in experiencing daily positive emotions. Altogether, much evidence indicates that the mindsets of positive emotions, though fleeting, offer valuable contributions toward lasting well-being.","author":[{"dropping-particle":"","family":"Kiken","given":"Laura G.","non-dropping-particle":"","parse-names":false,"suffix":""},{"dropping-particle":"","family":"Fredrickson","given":"Barbara L.","non-dropping-particle":"","parse-names":false,"suffix":""}],"container-title":"The Happy Mind: Cognitive Contributions to Well-Being","id":"ITEM-3","issued":{"date-parts":[["2017","6","28"]]},"page":"157-175","publisher":"Springer International Publishing","publisher-place":"Cham","title":"Cognitive Aspects of Positive Emotions: A Broader View for Well-Being","type":"chapter"},"uris":["http://www.mendeley.com/documents/?uuid=516a3cd1-bc53-33b2-8a62-7afad1999003"]},{"id":"ITEM-4","itemData":{"DOI":"10.1080/17521882.2018.1489868","ISSN":"1752-1882","abstract":"ABSTRACT Past research has found that solution-focused (SF) coaching questions led to more positive outcomes than problem-focused (PF) coaching questions. Another body of research (Broaden and Build Theory; Fredrickson, B. L. (1998). What good are positive emotions? Review of General Psychology, 2(3), 300–319) posits that positive emotions promote AQ2the discovery of novel ideas and actions including goal attainment and positive change. These theoretical frameworks have influenced coaching practitioner literature, but no research has explored their conjoint effects. We explore these by randomly allocating 512 participants in comparing (1) PF coaching questions with (2) SF coaching questions with (3) positive affect (PA) induction with (4) a SF plus PA condition (SF + PA). The broad findings of this study were that PF questions performed the worst on all measures, and that PA induction and SF coaching questions were equally effective at enhancing positive affect, increasing self-efficacy, enhancing goal approach and developing action steps. These results show, that while positive affect makes a valuable contribution to coaching outcomes, combining PA induction with SF questions produces superior outcomes than PA or SF questions alone in terms of self- efficacy, goal approach and action steps. While this research supports the central tenets of Broaden and Build Theory in terms of coaching outcomes, just making people feel good is not enough for truly effective coaching practice. ARTICLE HISTORY Received 5 October 2017 Accepted 13 June 2018 KEYWORDS Broaden and build theory; solution-focused; coaching; positive affect; evidence- based coaching Practice","author":[{"dropping-particle":"","family":"Grant","given":"Anthony M.","non-dropping-particle":"","parse-names":false,"suffix":""},{"dropping-particle":"","family":"O’Connor","given":"Sean A.","non-dropping-particle":"","parse-names":false,"suffix":""}],"container-title":"Coaching: An International Journal of Theory, Research and Practice","id":"ITEM-4","issue":"2","issued":{"date-parts":[["2018","7","3"]]},"page":"165-185","publisher":"Taylor &amp; Francis","title":"Broadening and building solution-focused coaching: feeling good is not enough","type":"article-journal","volume":"11"},"uris":["http://www.mendeley.com/documents/?uuid=c6f81ae1-6299-4759-9856-440433eb875b"]},{"id":"ITEM-5","itemData":{"DOI":"10.1098/rstb.2004.1512","ISBN":"0962-8436","abstract":"The broaden-and-build theory describes the form and function of a subset of positive emotions, including joy, interest, contentment and love. A key proposition is that these positive emotions broaden an individual's momentary thought-action repertoire: joy sparks the urge to play, interest sparks the urge to explore, contentment sparks the urge to savour and integrate, and love sparks a recurring cycle of each of these urges within safe, close relationships. The broadened mindsets arising from these positive emotions are contrasted to the narrowed mindsets sparked by many negative emotions (i.e. specific action tendencies, such as attack or flee). A second key proposition concerns the consequences of these broadened mindsets: by broadening an individual's momentary thought-action repertoire-whether through play, exploration or similar activities-positive emotions promote discovery of novel and creative actions, ideas and social bonds, which in turn build that individual's personal resources; ranging from physical and intellectual resources, to social and psychological resources. Importantly, these resources function as reserves that can be drawn on later to improve the odds of successful coping and survival. This chapter reviews the latest empirical evidence supporting the broaden-and-build theory and draws out implications the theory holds for optimizing health and well-being.","author":[{"dropping-particle":"","family":"Fredrickson","given":"B L","non-dropping-particle":"","parse-names":false,"suffix":""}],"container-title":"Philosophical Transactions of the Royal Society of London Series B-Biological Sciences","id":"ITEM-5","issue":"1449","issued":{"date-parts":[["2004"]]},"language":"English","note":"ISI Document Delivery No.: 856QL\nTimes Cited: 19\nCited Reference Count: 97","page":"1367-1377","title":"The broaden-and-build theory of positive emotions","type":"article-journal","volume":"359"},"uris":["http://www.mendeley.com/documents/?uuid=56bf519b-1c38-4a4f-98d7-692f89884159"]},{"id":"ITEM-6","itemData":{"DOI":"10.1080/08870446.2017.1320798","ISSN":"0887-0446","abstract":"Positive health behaviors such as physical activity can prevent or reverse many chronic conditions, yet a majority of people fall short of leading a healthy lifestyle. Recent discoveries in affective science point to promising approaches to circumvent barriers to lifestyle change. Here we present a new theoretical framework that integrates scientific knowledge about positive affect with that on implicit processes. The upward spiral theory of lifestyle change explains how positive affect can facilitate long-term adherence to positive health behaviors. The inner loop of this spiral model identifies nonconscious motives as a central mechanism of behavioral maintenance. Positive affect experienced during health behaviors increases incentive salience for cues associated with those behaviors, which in turn, implicitly guides attention and the everyday decisions to repeat those behaviors. The outer loop represents the evidence-backed claim, based on Fredrickson's broaden-and-build theory, that positive affect builds a suite of endogenous resources, which in turn amplify the positive affect experienced during positive health behaviors and strengthen the nonconscious motives. We offer published and preliminary evidence in favor of the theory, contrast it to other dominant theories of health behavior change, and highlight attendant implications for interventions that merit testing. Keywords positive affect; nonconscious; health behavior change; broaden-and-build By 2020, the World Health Organization expects that chronic diseases (e.g., cardiovascular disease, diabetes, asthma, arthritis, and cancer) will account for almost three-quarters of all deaths worldwide (World Health Organization, 2002). In the U.S. alone, by the time adults reach age 50, 70% have been diagnosed with one or more chronic health conditions that can reduce their quality of life, workforce participation, and lifespan (CDC &amp; AARP, 2013; CDC, AARP, &amp; AMA, 2009). Chronic diseases are also responsible for runaway healthcare costs that burden households, businesses, and governments, and this impact is rapidly","author":[{"dropping-particle":"","family":"Cappellen","given":"Patty","non-dropping-particle":"Van","parse-names</w:instrText>
      </w:r>
      <w:r w:rsidR="001A1C82" w:rsidRPr="00F75FF8">
        <w:rPr>
          <w:rFonts w:cstheme="minorHAnsi"/>
          <w:szCs w:val="24"/>
          <w:lang w:val="nl-NL"/>
        </w:rPr>
        <w:instrText>":false,"suffix":""},{"dropping-particle":"","family":"Rice","given":"Elise L","non-dropping-particle":"","parse-names":false,"suffix":""},{"dropping-particle":"","family":"Catalino","given":"Lahnna I","non-dropping-particle":"","parse-names":false,"suffix":""},{"dropping-particle":"","family":"Fredrickson","given":"Barbara L","non-dropping-particle":"","parse-names":false,"suffix":""}],"container-title":"Psychology &amp; Health","id":"ITEM-6","issue":"1","issued":{"date-parts":[["2018","1","2"]]},"page":"77-97","title":"Positive affective processes underlie positive health behaviour change","type":"article-journal","volume":"33"},"uris":["http://www.mendeley.com/documents/?uuid=c9ca9cee-4664-39c8-9f05-8ec8795be5ab"]}],"mendeley":{"formattedCitation":"(Fredrickson, 2004; Grant &amp; O’Connor, 2018; Kiken &amp; Fredrickson, 2017; Snyder, 2002; Snyder et al., 2000; Van Cappellen et al., 2018)","manualFormatting":"(Fredrickson, 2004; Grant &amp; O’Connor, 2018; Kiken &amp; Fredrickson, 2017; Snyder et al., 2000; Snyder, 2002; Van Cappellen et al., 2018)","plainTextFormattedCitation":"(Fredrickson, 2004; Grant &amp; O’Connor, 2018; Kiken &amp; Fredrickson, 2017; Snyder, 2002; Snyder et al., 2000; Van Cappellen et al., 2018)","previouslyFormattedCitation":"(Fredrickson, 2004; Grant &amp; O’Connor, 2018; Kiken &amp; Fredrickson, 2017; Snyder, 2002; Snyder et al., 2000; Van Cappellen et al., 2018)"},"properties":{"noteIndex":0},"schema":"https://github.com/citation-style-language/schema/raw/master/csl-citation.json"}</w:instrText>
      </w:r>
      <w:r w:rsidR="00A04A6A" w:rsidRPr="00F75FF8">
        <w:rPr>
          <w:rFonts w:cstheme="minorHAnsi"/>
          <w:szCs w:val="24"/>
          <w:lang w:val="en-GB"/>
        </w:rPr>
        <w:fldChar w:fldCharType="separate"/>
      </w:r>
      <w:r w:rsidR="0078012C" w:rsidRPr="00F75FF8">
        <w:rPr>
          <w:rFonts w:cstheme="minorHAnsi"/>
          <w:noProof/>
          <w:szCs w:val="24"/>
          <w:lang w:val="nl-NL"/>
        </w:rPr>
        <w:t>(Fredrickson, 2004; Grant &amp; O’Connor, 2018; Kiken &amp; Fredrickson, 2017; Snyder et al., 2000; Snyder, 2002; Van Cappellen et al., 2018)</w:t>
      </w:r>
      <w:r w:rsidR="00A04A6A" w:rsidRPr="00F75FF8">
        <w:rPr>
          <w:rFonts w:cstheme="minorHAnsi"/>
          <w:szCs w:val="24"/>
          <w:lang w:val="en-GB"/>
        </w:rPr>
        <w:fldChar w:fldCharType="end"/>
      </w:r>
      <w:r w:rsidR="00A04A6A" w:rsidRPr="00F75FF8">
        <w:rPr>
          <w:rFonts w:cstheme="minorHAnsi"/>
          <w:szCs w:val="24"/>
          <w:lang w:val="nl-NL"/>
        </w:rPr>
        <w:t>.</w:t>
      </w:r>
      <w:r w:rsidR="00632EDA" w:rsidRPr="00F75FF8">
        <w:rPr>
          <w:rFonts w:cstheme="minorHAnsi"/>
          <w:szCs w:val="24"/>
          <w:lang w:val="nl-NL"/>
        </w:rPr>
        <w:t xml:space="preserve"> </w:t>
      </w:r>
      <w:r w:rsidR="00E314AC" w:rsidRPr="00F75FF8">
        <w:rPr>
          <w:rFonts w:cstheme="minorHAnsi"/>
          <w:szCs w:val="24"/>
        </w:rPr>
        <w:t>This, in turn, should</w:t>
      </w:r>
      <w:r w:rsidR="00007C4A" w:rsidRPr="00F75FF8">
        <w:rPr>
          <w:rFonts w:cstheme="minorHAnsi"/>
          <w:szCs w:val="24"/>
        </w:rPr>
        <w:t xml:space="preserve"> apply to both client and therapist</w:t>
      </w:r>
      <w:r w:rsidR="00D323D9" w:rsidRPr="00F75FF8">
        <w:rPr>
          <w:rFonts w:cstheme="minorHAnsi"/>
          <w:szCs w:val="24"/>
        </w:rPr>
        <w:t>, thereby</w:t>
      </w:r>
      <w:r w:rsidR="00007C4A" w:rsidRPr="00F75FF8">
        <w:rPr>
          <w:rFonts w:cstheme="minorHAnsi"/>
          <w:szCs w:val="24"/>
        </w:rPr>
        <w:t xml:space="preserve"> </w:t>
      </w:r>
      <w:r w:rsidR="00D323D9" w:rsidRPr="00F75FF8">
        <w:rPr>
          <w:rFonts w:cstheme="minorHAnsi"/>
          <w:szCs w:val="24"/>
        </w:rPr>
        <w:t xml:space="preserve">benefitting </w:t>
      </w:r>
      <w:r w:rsidR="00E314AC" w:rsidRPr="00F75FF8">
        <w:rPr>
          <w:rFonts w:cstheme="minorHAnsi"/>
          <w:szCs w:val="24"/>
        </w:rPr>
        <w:t>treatment outcomes.</w:t>
      </w:r>
    </w:p>
    <w:p w14:paraId="57CD9ABB" w14:textId="4A18EBFB" w:rsidR="006F55E8" w:rsidRPr="00F75FF8" w:rsidRDefault="00852191" w:rsidP="001231FD">
      <w:pPr>
        <w:autoSpaceDE w:val="0"/>
        <w:autoSpaceDN w:val="0"/>
        <w:adjustRightInd w:val="0"/>
        <w:spacing w:after="0" w:line="480" w:lineRule="auto"/>
        <w:rPr>
          <w:rFonts w:cstheme="minorHAnsi"/>
          <w:b/>
          <w:szCs w:val="24"/>
        </w:rPr>
      </w:pPr>
      <w:r w:rsidRPr="00F75FF8">
        <w:rPr>
          <w:rFonts w:cstheme="minorHAnsi"/>
          <w:b/>
          <w:szCs w:val="24"/>
        </w:rPr>
        <w:t xml:space="preserve">Strengths, </w:t>
      </w:r>
      <w:r w:rsidR="00C741D4" w:rsidRPr="00F75FF8">
        <w:rPr>
          <w:rFonts w:cstheme="minorHAnsi"/>
          <w:b/>
          <w:szCs w:val="24"/>
        </w:rPr>
        <w:t>Limitations</w:t>
      </w:r>
      <w:r w:rsidRPr="00F75FF8">
        <w:rPr>
          <w:rFonts w:cstheme="minorHAnsi"/>
          <w:b/>
          <w:szCs w:val="24"/>
        </w:rPr>
        <w:t xml:space="preserve"> and Suggestions for future research</w:t>
      </w:r>
      <w:r w:rsidR="00A66EC9" w:rsidRPr="00F75FF8">
        <w:rPr>
          <w:rFonts w:cstheme="minorHAnsi"/>
          <w:b/>
          <w:szCs w:val="24"/>
        </w:rPr>
        <w:t xml:space="preserve"> </w:t>
      </w:r>
    </w:p>
    <w:p w14:paraId="3F772000" w14:textId="32B7CA9F" w:rsidR="00C741D4" w:rsidRPr="00F75FF8" w:rsidRDefault="00C815F6" w:rsidP="001231FD">
      <w:pPr>
        <w:autoSpaceDE w:val="0"/>
        <w:autoSpaceDN w:val="0"/>
        <w:adjustRightInd w:val="0"/>
        <w:spacing w:after="0" w:line="480" w:lineRule="auto"/>
        <w:ind w:firstLine="720"/>
        <w:rPr>
          <w:rFonts w:cstheme="minorHAnsi"/>
          <w:szCs w:val="24"/>
        </w:rPr>
      </w:pPr>
      <w:r w:rsidRPr="00F75FF8">
        <w:rPr>
          <w:rFonts w:cstheme="minorHAnsi"/>
          <w:szCs w:val="24"/>
        </w:rPr>
        <w:t xml:space="preserve">Strengths </w:t>
      </w:r>
      <w:r w:rsidR="006F55E8" w:rsidRPr="00F75FF8">
        <w:rPr>
          <w:rFonts w:cstheme="minorHAnsi"/>
          <w:szCs w:val="24"/>
        </w:rPr>
        <w:t>include</w:t>
      </w:r>
      <w:r w:rsidRPr="00F75FF8">
        <w:rPr>
          <w:rFonts w:cstheme="minorHAnsi"/>
          <w:szCs w:val="24"/>
        </w:rPr>
        <w:t xml:space="preserve"> the study’s within-subject design, which eliminated random noise between conditions</w:t>
      </w:r>
      <w:r w:rsidR="006F55E8" w:rsidRPr="00F75FF8">
        <w:rPr>
          <w:rFonts w:cstheme="minorHAnsi"/>
          <w:szCs w:val="24"/>
        </w:rPr>
        <w:t>. Another strength is</w:t>
      </w:r>
      <w:r w:rsidRPr="00F75FF8">
        <w:rPr>
          <w:rFonts w:cstheme="minorHAnsi"/>
          <w:szCs w:val="24"/>
        </w:rPr>
        <w:t xml:space="preserve"> </w:t>
      </w:r>
      <w:r w:rsidR="006F55E8" w:rsidRPr="00F75FF8">
        <w:rPr>
          <w:rFonts w:cstheme="minorHAnsi"/>
          <w:szCs w:val="24"/>
        </w:rPr>
        <w:t xml:space="preserve">the high degree of control achieved through carefully matching the content of descriptions </w:t>
      </w:r>
      <w:r w:rsidR="00F37BCC" w:rsidRPr="00F75FF8">
        <w:rPr>
          <w:rFonts w:cstheme="minorHAnsi"/>
          <w:szCs w:val="24"/>
        </w:rPr>
        <w:t>and</w:t>
      </w:r>
      <w:r w:rsidR="006F55E8" w:rsidRPr="00F75FF8">
        <w:rPr>
          <w:rFonts w:cstheme="minorHAnsi"/>
          <w:szCs w:val="24"/>
        </w:rPr>
        <w:t xml:space="preserve"> counterbalancing the order of vignettes</w:t>
      </w:r>
      <w:r w:rsidR="008F3CFD" w:rsidRPr="00F75FF8">
        <w:rPr>
          <w:rFonts w:cstheme="minorHAnsi"/>
          <w:szCs w:val="24"/>
        </w:rPr>
        <w:t xml:space="preserve">. </w:t>
      </w:r>
      <w:r w:rsidR="00F37BCC" w:rsidRPr="00F75FF8">
        <w:rPr>
          <w:rFonts w:cstheme="minorHAnsi"/>
          <w:szCs w:val="24"/>
        </w:rPr>
        <w:t>In addition</w:t>
      </w:r>
      <w:r w:rsidR="008F3CFD" w:rsidRPr="00F75FF8">
        <w:rPr>
          <w:rFonts w:cstheme="minorHAnsi"/>
          <w:szCs w:val="24"/>
        </w:rPr>
        <w:t xml:space="preserve">, </w:t>
      </w:r>
      <w:r w:rsidRPr="00F75FF8">
        <w:rPr>
          <w:rFonts w:cstheme="minorHAnsi"/>
          <w:szCs w:val="24"/>
        </w:rPr>
        <w:t>we</w:t>
      </w:r>
      <w:r w:rsidR="008F3CFD" w:rsidRPr="00F75FF8">
        <w:rPr>
          <w:rFonts w:cstheme="minorHAnsi"/>
          <w:szCs w:val="24"/>
        </w:rPr>
        <w:t xml:space="preserve"> directly</w:t>
      </w:r>
      <w:r w:rsidRPr="00F75FF8">
        <w:rPr>
          <w:rFonts w:cstheme="minorHAnsi"/>
          <w:szCs w:val="24"/>
        </w:rPr>
        <w:t xml:space="preserve"> replicated </w:t>
      </w:r>
      <w:r w:rsidR="008F3CFD" w:rsidRPr="00F75FF8">
        <w:rPr>
          <w:rFonts w:cstheme="minorHAnsi"/>
          <w:szCs w:val="24"/>
        </w:rPr>
        <w:t xml:space="preserve">the </w:t>
      </w:r>
      <w:r w:rsidRPr="00F75FF8">
        <w:rPr>
          <w:rFonts w:cstheme="minorHAnsi"/>
          <w:szCs w:val="24"/>
        </w:rPr>
        <w:t xml:space="preserve">results in two different samples. </w:t>
      </w:r>
    </w:p>
    <w:p w14:paraId="446CB8DE" w14:textId="70350986" w:rsidR="00C741D4" w:rsidRPr="00F75FF8" w:rsidRDefault="00C815F6" w:rsidP="001231FD">
      <w:pPr>
        <w:autoSpaceDE w:val="0"/>
        <w:autoSpaceDN w:val="0"/>
        <w:adjustRightInd w:val="0"/>
        <w:spacing w:after="0" w:line="480" w:lineRule="auto"/>
        <w:ind w:firstLine="720"/>
        <w:rPr>
          <w:rFonts w:cstheme="minorHAnsi"/>
          <w:szCs w:val="24"/>
        </w:rPr>
      </w:pPr>
      <w:r w:rsidRPr="00F75FF8">
        <w:rPr>
          <w:rFonts w:cstheme="minorHAnsi"/>
          <w:szCs w:val="24"/>
          <w:lang w:val="en-GB"/>
        </w:rPr>
        <w:t xml:space="preserve">Limitations include the </w:t>
      </w:r>
      <w:r w:rsidR="00AB2D62" w:rsidRPr="00F75FF8">
        <w:rPr>
          <w:rFonts w:cstheme="minorHAnsi"/>
          <w:szCs w:val="24"/>
          <w:lang w:val="en-GB"/>
        </w:rPr>
        <w:t>following: First,</w:t>
      </w:r>
      <w:r w:rsidRPr="00F75FF8">
        <w:rPr>
          <w:rFonts w:cstheme="minorHAnsi"/>
          <w:szCs w:val="24"/>
          <w:lang w:val="en-GB"/>
        </w:rPr>
        <w:t xml:space="preserve"> t</w:t>
      </w:r>
      <w:r w:rsidR="007B2024" w:rsidRPr="00F75FF8">
        <w:rPr>
          <w:rFonts w:cstheme="minorHAnsi"/>
          <w:szCs w:val="24"/>
          <w:lang w:val="en-GB"/>
        </w:rPr>
        <w:t>he current study</w:t>
      </w:r>
      <w:r w:rsidR="00B53C0D" w:rsidRPr="00F75FF8">
        <w:rPr>
          <w:rFonts w:cstheme="minorHAnsi"/>
          <w:szCs w:val="24"/>
          <w:lang w:val="en-GB"/>
        </w:rPr>
        <w:t xml:space="preserve"> is an analogue study, using students </w:t>
      </w:r>
      <w:r w:rsidR="005169D7" w:rsidRPr="00F75FF8">
        <w:rPr>
          <w:rFonts w:cstheme="minorHAnsi"/>
          <w:szCs w:val="24"/>
          <w:lang w:val="en-GB"/>
        </w:rPr>
        <w:t>in</w:t>
      </w:r>
      <w:r w:rsidR="00B53C0D" w:rsidRPr="00F75FF8">
        <w:rPr>
          <w:rFonts w:cstheme="minorHAnsi"/>
          <w:szCs w:val="24"/>
          <w:lang w:val="en-GB"/>
        </w:rPr>
        <w:t xml:space="preserve"> clinical training</w:t>
      </w:r>
      <w:r w:rsidR="007B2024" w:rsidRPr="00F75FF8">
        <w:rPr>
          <w:rFonts w:cstheme="minorHAnsi"/>
          <w:szCs w:val="24"/>
          <w:lang w:val="en-GB"/>
        </w:rPr>
        <w:t xml:space="preserve"> </w:t>
      </w:r>
      <w:r w:rsidR="005169D7" w:rsidRPr="00F75FF8">
        <w:rPr>
          <w:rFonts w:cstheme="minorHAnsi"/>
          <w:szCs w:val="24"/>
          <w:lang w:val="en-GB"/>
        </w:rPr>
        <w:t xml:space="preserve">programmes </w:t>
      </w:r>
      <w:r w:rsidR="00B53C0D" w:rsidRPr="00F75FF8">
        <w:rPr>
          <w:rFonts w:cstheme="minorHAnsi"/>
          <w:szCs w:val="24"/>
          <w:lang w:val="en-GB"/>
        </w:rPr>
        <w:t xml:space="preserve">as participants, instead of fully qualified therapists. This </w:t>
      </w:r>
      <w:r w:rsidR="007B2024" w:rsidRPr="00F75FF8">
        <w:rPr>
          <w:rFonts w:cstheme="minorHAnsi"/>
          <w:szCs w:val="24"/>
          <w:lang w:val="en-GB"/>
        </w:rPr>
        <w:t>choice was</w:t>
      </w:r>
      <w:r w:rsidR="00B53C0D" w:rsidRPr="00F75FF8">
        <w:rPr>
          <w:rFonts w:cstheme="minorHAnsi"/>
          <w:szCs w:val="24"/>
          <w:lang w:val="en-GB"/>
        </w:rPr>
        <w:t xml:space="preserve"> largely due to convenience</w:t>
      </w:r>
      <w:r w:rsidR="002B1778" w:rsidRPr="00F75FF8">
        <w:rPr>
          <w:rFonts w:cstheme="minorHAnsi"/>
          <w:szCs w:val="24"/>
          <w:lang w:val="en-GB"/>
        </w:rPr>
        <w:t>, with fully trained therap</w:t>
      </w:r>
      <w:r w:rsidRPr="00F75FF8">
        <w:rPr>
          <w:rFonts w:cstheme="minorHAnsi"/>
          <w:szCs w:val="24"/>
          <w:lang w:val="en-GB"/>
        </w:rPr>
        <w:t>ists being difficult to recruit</w:t>
      </w:r>
      <w:r w:rsidR="00F37BCC" w:rsidRPr="00F75FF8">
        <w:rPr>
          <w:rFonts w:cstheme="minorHAnsi"/>
          <w:szCs w:val="24"/>
          <w:lang w:val="en-GB"/>
        </w:rPr>
        <w:t xml:space="preserve"> given current time-</w:t>
      </w:r>
      <w:r w:rsidR="00B53C0D" w:rsidRPr="00F75FF8">
        <w:rPr>
          <w:rFonts w:cstheme="minorHAnsi"/>
          <w:szCs w:val="24"/>
          <w:lang w:val="en-GB"/>
        </w:rPr>
        <w:t xml:space="preserve">budgeting pressures in the </w:t>
      </w:r>
      <w:r w:rsidR="002B1778" w:rsidRPr="00F75FF8">
        <w:rPr>
          <w:rFonts w:cstheme="minorHAnsi"/>
          <w:szCs w:val="24"/>
          <w:lang w:val="en-GB"/>
        </w:rPr>
        <w:t xml:space="preserve">field of </w:t>
      </w:r>
      <w:r w:rsidR="00B53C0D" w:rsidRPr="00F75FF8">
        <w:rPr>
          <w:rFonts w:cstheme="minorHAnsi"/>
          <w:szCs w:val="24"/>
          <w:lang w:val="en-GB"/>
        </w:rPr>
        <w:t>mental health care</w:t>
      </w:r>
      <w:r w:rsidR="002B1778" w:rsidRPr="00F75FF8">
        <w:rPr>
          <w:rFonts w:cstheme="minorHAnsi"/>
          <w:szCs w:val="24"/>
          <w:lang w:val="en-GB"/>
        </w:rPr>
        <w:t xml:space="preserve">. The fact that results in sample 2 </w:t>
      </w:r>
      <w:r w:rsidR="00F37BCC" w:rsidRPr="00F75FF8">
        <w:rPr>
          <w:rFonts w:cstheme="minorHAnsi"/>
          <w:szCs w:val="24"/>
          <w:lang w:val="en-GB"/>
        </w:rPr>
        <w:t>(where</w:t>
      </w:r>
      <w:r w:rsidR="002B1778" w:rsidRPr="00F75FF8">
        <w:rPr>
          <w:rFonts w:cstheme="minorHAnsi"/>
          <w:szCs w:val="24"/>
          <w:lang w:val="en-GB"/>
        </w:rPr>
        <w:t xml:space="preserve"> students </w:t>
      </w:r>
      <w:r w:rsidR="00F37BCC" w:rsidRPr="00F75FF8">
        <w:rPr>
          <w:rFonts w:cstheme="minorHAnsi"/>
          <w:szCs w:val="24"/>
          <w:lang w:val="en-GB"/>
        </w:rPr>
        <w:t>had</w:t>
      </w:r>
      <w:r w:rsidRPr="00F75FF8">
        <w:rPr>
          <w:rFonts w:cstheme="minorHAnsi"/>
          <w:szCs w:val="24"/>
          <w:lang w:val="en-GB"/>
        </w:rPr>
        <w:t xml:space="preserve"> </w:t>
      </w:r>
      <w:r w:rsidR="00F37BCC" w:rsidRPr="00F75FF8">
        <w:rPr>
          <w:rFonts w:cstheme="minorHAnsi"/>
          <w:szCs w:val="24"/>
          <w:lang w:val="en-GB"/>
        </w:rPr>
        <w:t xml:space="preserve">higher levels of practical experience) </w:t>
      </w:r>
      <w:r w:rsidR="002B1778" w:rsidRPr="00F75FF8">
        <w:rPr>
          <w:rFonts w:cstheme="minorHAnsi"/>
          <w:szCs w:val="24"/>
          <w:lang w:val="en-GB"/>
        </w:rPr>
        <w:t xml:space="preserve">fully replicated the results </w:t>
      </w:r>
      <w:r w:rsidR="00E314AC" w:rsidRPr="00F75FF8">
        <w:rPr>
          <w:rFonts w:cstheme="minorHAnsi"/>
          <w:szCs w:val="24"/>
          <w:lang w:val="en-GB"/>
        </w:rPr>
        <w:t xml:space="preserve">found </w:t>
      </w:r>
      <w:r w:rsidR="002B1778" w:rsidRPr="00F75FF8">
        <w:rPr>
          <w:rFonts w:cstheme="minorHAnsi"/>
          <w:szCs w:val="24"/>
          <w:lang w:val="en-GB"/>
        </w:rPr>
        <w:t xml:space="preserve">in sample 1 suggests that </w:t>
      </w:r>
      <w:r w:rsidR="00583D5D" w:rsidRPr="00F75FF8">
        <w:rPr>
          <w:rFonts w:cstheme="minorHAnsi"/>
          <w:szCs w:val="24"/>
          <w:lang w:val="en-GB"/>
        </w:rPr>
        <w:t xml:space="preserve">practical </w:t>
      </w:r>
      <w:r w:rsidR="002B1778" w:rsidRPr="00F75FF8">
        <w:rPr>
          <w:rFonts w:cstheme="minorHAnsi"/>
          <w:szCs w:val="24"/>
          <w:lang w:val="en-GB"/>
        </w:rPr>
        <w:t xml:space="preserve">experience may not be a very relevant factor. Nevertheless, it would be interesting to investigate whether the beneficial impact of positive information on therapists’ emotions changes with long-term experience in the work field. </w:t>
      </w:r>
      <w:r w:rsidR="00AB2D62" w:rsidRPr="00F75FF8">
        <w:rPr>
          <w:rFonts w:cstheme="minorHAnsi"/>
          <w:szCs w:val="24"/>
          <w:lang w:val="en-GB"/>
        </w:rPr>
        <w:t>Second,</w:t>
      </w:r>
      <w:r w:rsidRPr="00F75FF8">
        <w:rPr>
          <w:rFonts w:cstheme="minorHAnsi"/>
          <w:szCs w:val="24"/>
          <w:lang w:val="en-GB"/>
        </w:rPr>
        <w:t xml:space="preserve"> no ‘blended’ vignettes were included (i.e., vignettes with an equal balance on problem- and solution-focused information). The reason for not including </w:t>
      </w:r>
      <w:r w:rsidR="006F55E8" w:rsidRPr="00F75FF8">
        <w:rPr>
          <w:rFonts w:cstheme="minorHAnsi"/>
          <w:szCs w:val="24"/>
          <w:lang w:val="en-GB"/>
        </w:rPr>
        <w:t>‘</w:t>
      </w:r>
      <w:r w:rsidRPr="00F75FF8">
        <w:rPr>
          <w:rFonts w:cstheme="minorHAnsi"/>
          <w:szCs w:val="24"/>
          <w:lang w:val="en-GB"/>
        </w:rPr>
        <w:t>blended</w:t>
      </w:r>
      <w:r w:rsidR="006F55E8" w:rsidRPr="00F75FF8">
        <w:rPr>
          <w:rFonts w:cstheme="minorHAnsi"/>
          <w:szCs w:val="24"/>
          <w:lang w:val="en-GB"/>
        </w:rPr>
        <w:t>’</w:t>
      </w:r>
      <w:r w:rsidRPr="00F75FF8">
        <w:rPr>
          <w:rFonts w:cstheme="minorHAnsi"/>
          <w:szCs w:val="24"/>
          <w:lang w:val="en-GB"/>
        </w:rPr>
        <w:t xml:space="preserve"> vignettes was that we wanted to ensure similar word counts within the context of this within-subject design with repeated measurements, and vignettes would have needed to be significantly longer to meaningfully include both types of information.</w:t>
      </w:r>
      <w:r w:rsidR="00A66E06" w:rsidRPr="00F75FF8">
        <w:rPr>
          <w:rFonts w:cstheme="minorHAnsi"/>
          <w:szCs w:val="24"/>
          <w:lang w:val="en-GB"/>
        </w:rPr>
        <w:t xml:space="preserve"> </w:t>
      </w:r>
      <w:r w:rsidR="00AB2D62" w:rsidRPr="00F75FF8">
        <w:rPr>
          <w:rFonts w:cstheme="minorHAnsi"/>
          <w:szCs w:val="24"/>
          <w:lang w:val="en-GB"/>
        </w:rPr>
        <w:t>Third</w:t>
      </w:r>
      <w:r w:rsidR="00A66E06" w:rsidRPr="00F75FF8">
        <w:rPr>
          <w:rFonts w:cstheme="minorHAnsi"/>
          <w:szCs w:val="24"/>
          <w:lang w:val="en-GB"/>
        </w:rPr>
        <w:t>, t</w:t>
      </w:r>
      <w:r w:rsidR="00D02BA7" w:rsidRPr="00F75FF8">
        <w:rPr>
          <w:rFonts w:cstheme="minorHAnsi"/>
          <w:szCs w:val="24"/>
          <w:lang w:val="en-GB"/>
        </w:rPr>
        <w:t xml:space="preserve">he results of the current vignette provide only a short-term snap-shot of </w:t>
      </w:r>
      <w:r w:rsidR="00DF4657" w:rsidRPr="00F75FF8">
        <w:rPr>
          <w:rFonts w:cstheme="minorHAnsi"/>
          <w:szCs w:val="24"/>
          <w:lang w:val="en-GB"/>
        </w:rPr>
        <w:t xml:space="preserve">the impact of first impressions </w:t>
      </w:r>
      <w:r w:rsidR="00AB209F" w:rsidRPr="00F75FF8">
        <w:rPr>
          <w:rFonts w:cstheme="minorHAnsi"/>
          <w:szCs w:val="24"/>
          <w:lang w:val="en-GB"/>
        </w:rPr>
        <w:t>on student</w:t>
      </w:r>
      <w:r w:rsidR="008A5B84" w:rsidRPr="00F75FF8">
        <w:rPr>
          <w:rFonts w:cstheme="minorHAnsi"/>
          <w:szCs w:val="24"/>
          <w:lang w:val="en-GB"/>
        </w:rPr>
        <w:t xml:space="preserve"> therapists’</w:t>
      </w:r>
      <w:r w:rsidR="00D02BA7" w:rsidRPr="00F75FF8">
        <w:rPr>
          <w:rFonts w:cstheme="minorHAnsi"/>
          <w:szCs w:val="24"/>
          <w:lang w:val="en-GB"/>
        </w:rPr>
        <w:t xml:space="preserve"> emotional experience that cannot be directly linked to long-term mental h</w:t>
      </w:r>
      <w:r w:rsidR="005C1314" w:rsidRPr="00F75FF8">
        <w:rPr>
          <w:rFonts w:cstheme="minorHAnsi"/>
          <w:szCs w:val="24"/>
          <w:lang w:val="en-GB"/>
        </w:rPr>
        <w:t>e</w:t>
      </w:r>
      <w:r w:rsidR="00D02BA7" w:rsidRPr="00F75FF8">
        <w:rPr>
          <w:rFonts w:cstheme="minorHAnsi"/>
          <w:szCs w:val="24"/>
          <w:lang w:val="en-GB"/>
        </w:rPr>
        <w:t xml:space="preserve">alth outcomes or to treatment </w:t>
      </w:r>
      <w:r w:rsidR="00AB2D62" w:rsidRPr="00F75FF8">
        <w:rPr>
          <w:rFonts w:cstheme="minorHAnsi"/>
          <w:szCs w:val="24"/>
          <w:lang w:val="en-GB"/>
        </w:rPr>
        <w:t>success</w:t>
      </w:r>
      <w:r w:rsidR="00D02BA7" w:rsidRPr="00F75FF8">
        <w:rPr>
          <w:rFonts w:cstheme="minorHAnsi"/>
          <w:szCs w:val="24"/>
          <w:lang w:val="en-GB"/>
        </w:rPr>
        <w:t>.</w:t>
      </w:r>
      <w:r w:rsidR="00DF4657" w:rsidRPr="00F75FF8">
        <w:rPr>
          <w:rFonts w:cstheme="minorHAnsi"/>
          <w:szCs w:val="24"/>
          <w:lang w:val="en-GB"/>
        </w:rPr>
        <w:t xml:space="preserve"> </w:t>
      </w:r>
      <w:r w:rsidR="00AB2D62" w:rsidRPr="00F75FF8">
        <w:rPr>
          <w:rFonts w:cstheme="minorHAnsi"/>
          <w:szCs w:val="24"/>
          <w:lang w:val="en-GB"/>
        </w:rPr>
        <w:t>Nevertheless, e</w:t>
      </w:r>
      <w:r w:rsidR="00861FBD" w:rsidRPr="00F75FF8">
        <w:rPr>
          <w:rFonts w:cstheme="minorHAnsi"/>
          <w:szCs w:val="24"/>
          <w:lang w:val="en-GB"/>
        </w:rPr>
        <w:t>ven though we could not identify research on the impact of first impressions in clinical practice</w:t>
      </w:r>
      <w:r w:rsidR="00DF4657" w:rsidRPr="00F75FF8">
        <w:rPr>
          <w:rFonts w:cstheme="minorHAnsi"/>
          <w:szCs w:val="24"/>
          <w:lang w:val="en-GB"/>
        </w:rPr>
        <w:t xml:space="preserve">, research in other fields indicates that first impressions </w:t>
      </w:r>
      <w:r w:rsidR="0024096C" w:rsidRPr="00F75FF8">
        <w:rPr>
          <w:rFonts w:cstheme="minorHAnsi"/>
          <w:szCs w:val="24"/>
          <w:lang w:val="en-GB"/>
        </w:rPr>
        <w:t>can have lasting impact and are</w:t>
      </w:r>
      <w:r w:rsidR="00DF4657" w:rsidRPr="00F75FF8">
        <w:rPr>
          <w:rFonts w:cstheme="minorHAnsi"/>
          <w:szCs w:val="24"/>
          <w:lang w:val="en-GB"/>
        </w:rPr>
        <w:t xml:space="preserve"> slow to update</w:t>
      </w:r>
      <w:r w:rsidR="00861FBD" w:rsidRPr="00F75FF8">
        <w:rPr>
          <w:rFonts w:cstheme="minorHAnsi"/>
          <w:szCs w:val="24"/>
          <w:lang w:val="en-GB"/>
        </w:rPr>
        <w:t xml:space="preserve">, with initial assessments </w:t>
      </w:r>
      <w:r w:rsidR="005169D7" w:rsidRPr="00F75FF8">
        <w:rPr>
          <w:rFonts w:cstheme="minorHAnsi"/>
          <w:szCs w:val="24"/>
          <w:lang w:val="en-GB"/>
        </w:rPr>
        <w:t>disproportionally</w:t>
      </w:r>
      <w:r w:rsidR="00861FBD" w:rsidRPr="00F75FF8">
        <w:rPr>
          <w:rFonts w:cstheme="minorHAnsi"/>
          <w:szCs w:val="24"/>
          <w:lang w:val="en-GB"/>
        </w:rPr>
        <w:t xml:space="preserve"> influencing managers’</w:t>
      </w:r>
      <w:r w:rsidR="00DF4657" w:rsidRPr="00F75FF8">
        <w:rPr>
          <w:rFonts w:cstheme="minorHAnsi"/>
          <w:szCs w:val="24"/>
          <w:lang w:val="en-GB"/>
        </w:rPr>
        <w:t xml:space="preserve"> </w:t>
      </w:r>
      <w:r w:rsidR="00861FBD" w:rsidRPr="00F75FF8">
        <w:rPr>
          <w:rFonts w:cstheme="minorHAnsi"/>
          <w:szCs w:val="24"/>
          <w:lang w:val="en-GB"/>
        </w:rPr>
        <w:t xml:space="preserve">promotion-related </w:t>
      </w:r>
      <w:r w:rsidR="00DF4657" w:rsidRPr="00F75FF8">
        <w:rPr>
          <w:rFonts w:cstheme="minorHAnsi"/>
          <w:szCs w:val="24"/>
          <w:lang w:val="en-GB"/>
        </w:rPr>
        <w:t>decision-making for up to six years</w:t>
      </w:r>
      <w:r w:rsidR="00861FBD" w:rsidRPr="00F75FF8">
        <w:rPr>
          <w:rFonts w:cstheme="minorHAnsi"/>
          <w:szCs w:val="24"/>
          <w:lang w:val="en-GB"/>
        </w:rPr>
        <w:t xml:space="preserve"> </w:t>
      </w:r>
      <w:r w:rsidR="0024096C" w:rsidRPr="00F75FF8">
        <w:rPr>
          <w:rFonts w:cstheme="minorHAnsi"/>
          <w:szCs w:val="24"/>
          <w:lang w:val="en-GB"/>
        </w:rPr>
        <w:fldChar w:fldCharType="begin" w:fldLock="1"/>
      </w:r>
      <w:r w:rsidR="001A1C82" w:rsidRPr="00F75FF8">
        <w:rPr>
          <w:rFonts w:cstheme="minorHAnsi"/>
          <w:szCs w:val="24"/>
          <w:lang w:val="en-GB"/>
        </w:rPr>
        <w:instrText>ADDIN CSL_CITATION {"citationItems":[{"id":"ITEM-1","itemData":{"DOI":"10.1287/mnsc.2020.3703","ISSN":"0025-1909","abstract":"This paper examines whether and for how long managers’ initial assessments of employee ability influence promotion decisions. Using archival data from minor league professional baseball, we find that, controlling for performance, initial assessments are associated with promotion decisions for at least six years after the initial assessments were made. We also find that initial assessments are positively associated with future performance at the outset of a player’s career, but the association becomes insignificant after a player accumulates on-the-job experience. We show that the weight on initial assessments for promotion decisions declines as additional on-the-job performance signals are observed, reflecting the declining relative informativeness of initial assessments about future ability. We construct a proxy for relative informativeness based on coefficients from regressions of future performance on initial assessments and observed performance. When we compare the implied relative weight on initial assessments for promotion decisions to our proxy for relative informativeness, we find initial assessments receive greater relative weight than implied by informativeness overall and across experience and job-level partitions. Our results suggest managers update initial beliefs about worker ability slowly given available performance measures.","author":[{"dropping-particle":"","family":"Black","given":"Dirk E.","non-dropping-particle":"","parse-names":false,"suffix":""},{"dropping-particle":"","family":"Vance","given":"Marshall D.","non-dropping-particle":"","parse-names":false,"suffix":""}],"container-title":"Management Science","id":"ITEM-1","issue":"7","issued":{"date-parts":[["2021","7","6"]]},"page":"4556-4576","publisher":"INFORMS","title":"Do First Impressions Last? The Impact of Initial Assessments and Subsequent Performance on Promotion Decisions","type":"article-journal","volume":"67"},"uris":["http://www.mendeley.com/documents/?uuid=2832113f-72b0-38c2-aac1-c899a573c116"]}],"mendeley":{"formattedCitation":"(Black &amp; Vance, 2021)","plainTextFormattedCitation":"(Black &amp; Vance, 2021)","previouslyFormattedCitation":"(Black &amp; Vance, 2021)"},"properties":{"noteIndex":0},"schema":"https://github.com/citation-style-language/schema/raw/master/csl-citation.json"}</w:instrText>
      </w:r>
      <w:r w:rsidR="0024096C" w:rsidRPr="00F75FF8">
        <w:rPr>
          <w:rFonts w:cstheme="minorHAnsi"/>
          <w:szCs w:val="24"/>
          <w:lang w:val="en-GB"/>
        </w:rPr>
        <w:fldChar w:fldCharType="separate"/>
      </w:r>
      <w:r w:rsidR="001A1C82" w:rsidRPr="00F75FF8">
        <w:rPr>
          <w:rFonts w:cstheme="minorHAnsi"/>
          <w:noProof/>
          <w:szCs w:val="24"/>
          <w:lang w:val="en-GB"/>
        </w:rPr>
        <w:t>(Black &amp; Vance, 2021)</w:t>
      </w:r>
      <w:r w:rsidR="0024096C" w:rsidRPr="00F75FF8">
        <w:rPr>
          <w:rFonts w:cstheme="minorHAnsi"/>
          <w:szCs w:val="24"/>
          <w:lang w:val="en-GB"/>
        </w:rPr>
        <w:fldChar w:fldCharType="end"/>
      </w:r>
      <w:r w:rsidR="00DF4657" w:rsidRPr="00F75FF8">
        <w:rPr>
          <w:rFonts w:cstheme="minorHAnsi"/>
          <w:szCs w:val="24"/>
          <w:lang w:val="en-GB"/>
        </w:rPr>
        <w:t>.</w:t>
      </w:r>
      <w:r w:rsidR="00AB2D62" w:rsidRPr="00F75FF8">
        <w:t xml:space="preserve"> Fourth, </w:t>
      </w:r>
      <w:r w:rsidR="00AB2D62" w:rsidRPr="00F75FF8">
        <w:rPr>
          <w:rFonts w:cstheme="minorHAnsi"/>
          <w:szCs w:val="24"/>
        </w:rPr>
        <w:t>we did not explicitly check if participants saw through the façade and realized the true purpose of the study.</w:t>
      </w:r>
      <w:r w:rsidR="00754DD7" w:rsidRPr="00F75FF8">
        <w:rPr>
          <w:rFonts w:cstheme="minorHAnsi"/>
          <w:szCs w:val="24"/>
        </w:rPr>
        <w:t xml:space="preserve"> </w:t>
      </w:r>
    </w:p>
    <w:p w14:paraId="39F97F0C" w14:textId="6F2D09FD" w:rsidR="00C741D4" w:rsidRPr="00F75FF8" w:rsidRDefault="00D02BA7" w:rsidP="001231FD">
      <w:pPr>
        <w:autoSpaceDE w:val="0"/>
        <w:autoSpaceDN w:val="0"/>
        <w:adjustRightInd w:val="0"/>
        <w:spacing w:after="0" w:line="480" w:lineRule="auto"/>
        <w:ind w:firstLine="720"/>
        <w:rPr>
          <w:rFonts w:cstheme="minorHAnsi"/>
          <w:szCs w:val="24"/>
          <w:lang w:val="en-GB"/>
        </w:rPr>
      </w:pPr>
      <w:r w:rsidRPr="00F75FF8">
        <w:rPr>
          <w:rFonts w:cstheme="minorHAnsi"/>
          <w:szCs w:val="24"/>
        </w:rPr>
        <w:t>Taking into account the limitations mentioned above, s</w:t>
      </w:r>
      <w:r w:rsidR="00C741D4" w:rsidRPr="00F75FF8">
        <w:rPr>
          <w:rFonts w:cstheme="minorHAnsi"/>
          <w:szCs w:val="24"/>
        </w:rPr>
        <w:t>uggestions for future research</w:t>
      </w:r>
      <w:r w:rsidR="007B2024" w:rsidRPr="00F75FF8">
        <w:rPr>
          <w:rFonts w:cstheme="minorHAnsi"/>
          <w:szCs w:val="24"/>
        </w:rPr>
        <w:t xml:space="preserve"> include the following: First, </w:t>
      </w:r>
      <w:r w:rsidR="008F3CFD" w:rsidRPr="00F75FF8">
        <w:rPr>
          <w:rFonts w:cstheme="minorHAnsi"/>
          <w:szCs w:val="24"/>
        </w:rPr>
        <w:t xml:space="preserve">findings should be </w:t>
      </w:r>
      <w:r w:rsidR="007B2024" w:rsidRPr="00F75FF8">
        <w:rPr>
          <w:rFonts w:cstheme="minorHAnsi"/>
          <w:szCs w:val="24"/>
          <w:lang w:val="en-GB"/>
        </w:rPr>
        <w:t>replicate</w:t>
      </w:r>
      <w:r w:rsidR="008F3CFD" w:rsidRPr="00F75FF8">
        <w:rPr>
          <w:rFonts w:cstheme="minorHAnsi"/>
          <w:szCs w:val="24"/>
          <w:lang w:val="en-GB"/>
        </w:rPr>
        <w:t>d</w:t>
      </w:r>
      <w:r w:rsidR="007B2024" w:rsidRPr="00F75FF8">
        <w:rPr>
          <w:rFonts w:cstheme="minorHAnsi"/>
          <w:szCs w:val="24"/>
          <w:lang w:val="en-GB"/>
        </w:rPr>
        <w:t xml:space="preserve"> in fully trained therapists. </w:t>
      </w:r>
      <w:r w:rsidR="00BC2296" w:rsidRPr="00F75FF8">
        <w:rPr>
          <w:rFonts w:cstheme="minorHAnsi"/>
          <w:szCs w:val="24"/>
          <w:lang w:val="en-GB"/>
        </w:rPr>
        <w:t xml:space="preserve">Research could also investigate to what extent different levels of therapist experience impact therapists’ emotional responses. </w:t>
      </w:r>
      <w:r w:rsidR="007B2024" w:rsidRPr="00F75FF8">
        <w:rPr>
          <w:rFonts w:cstheme="minorHAnsi"/>
          <w:szCs w:val="24"/>
          <w:lang w:val="en-GB"/>
        </w:rPr>
        <w:t>Second,</w:t>
      </w:r>
      <w:r w:rsidR="00E675E9" w:rsidRPr="00F75FF8">
        <w:rPr>
          <w:rFonts w:cstheme="minorHAnsi"/>
          <w:szCs w:val="24"/>
          <w:lang w:val="en-GB"/>
        </w:rPr>
        <w:t xml:space="preserve"> to make inclusion of positive information more relevant to institutions providing problem-focused treatments, studies should compare solution- and problem-focused intake approaches to ‘blended’ intake formats, in which a problem-focus is amplified with information on strengths and better moments.</w:t>
      </w:r>
      <w:r w:rsidR="002B1778" w:rsidRPr="00F75FF8">
        <w:rPr>
          <w:rFonts w:cstheme="minorHAnsi"/>
          <w:szCs w:val="24"/>
          <w:lang w:val="en-GB"/>
        </w:rPr>
        <w:t xml:space="preserve"> </w:t>
      </w:r>
      <w:r w:rsidR="00E675E9" w:rsidRPr="00F75FF8">
        <w:rPr>
          <w:rFonts w:cstheme="minorHAnsi"/>
          <w:szCs w:val="24"/>
          <w:lang w:val="en-GB"/>
        </w:rPr>
        <w:t xml:space="preserve">Third, </w:t>
      </w:r>
      <w:r w:rsidR="007B2024" w:rsidRPr="00F75FF8">
        <w:rPr>
          <w:rFonts w:cstheme="minorHAnsi"/>
          <w:szCs w:val="24"/>
          <w:lang w:val="en-GB"/>
        </w:rPr>
        <w:t xml:space="preserve">future studies should systematically compare the effects of solution- and problem-focused intake procedures in real-life clinical settings, </w:t>
      </w:r>
      <w:r w:rsidR="00E675E9" w:rsidRPr="00F75FF8">
        <w:rPr>
          <w:rFonts w:cstheme="minorHAnsi"/>
          <w:szCs w:val="24"/>
          <w:lang w:val="en-GB"/>
        </w:rPr>
        <w:t>investigating the</w:t>
      </w:r>
      <w:r w:rsidR="007B2024" w:rsidRPr="00F75FF8">
        <w:rPr>
          <w:rFonts w:cstheme="minorHAnsi"/>
          <w:szCs w:val="24"/>
          <w:lang w:val="en-GB"/>
        </w:rPr>
        <w:t xml:space="preserve"> effects of these intake procedures on client</w:t>
      </w:r>
      <w:r w:rsidR="00E675E9" w:rsidRPr="00F75FF8">
        <w:rPr>
          <w:rFonts w:cstheme="minorHAnsi"/>
          <w:szCs w:val="24"/>
          <w:lang w:val="en-GB"/>
        </w:rPr>
        <w:t>s’</w:t>
      </w:r>
      <w:r w:rsidR="007B2024" w:rsidRPr="00F75FF8">
        <w:rPr>
          <w:rFonts w:cstheme="minorHAnsi"/>
          <w:szCs w:val="24"/>
          <w:lang w:val="en-GB"/>
        </w:rPr>
        <w:t xml:space="preserve"> and therapist</w:t>
      </w:r>
      <w:r w:rsidR="00E675E9" w:rsidRPr="00F75FF8">
        <w:rPr>
          <w:rFonts w:cstheme="minorHAnsi"/>
          <w:szCs w:val="24"/>
          <w:lang w:val="en-GB"/>
        </w:rPr>
        <w:t>s’ levels of</w:t>
      </w:r>
      <w:r w:rsidR="007B2024" w:rsidRPr="00F75FF8">
        <w:rPr>
          <w:rFonts w:cstheme="minorHAnsi"/>
          <w:szCs w:val="24"/>
          <w:lang w:val="en-GB"/>
        </w:rPr>
        <w:t xml:space="preserve"> </w:t>
      </w:r>
      <w:r w:rsidR="007651FB" w:rsidRPr="00F75FF8">
        <w:rPr>
          <w:rFonts w:cstheme="minorHAnsi"/>
          <w:szCs w:val="24"/>
          <w:lang w:val="en-GB"/>
        </w:rPr>
        <w:t xml:space="preserve">hope, </w:t>
      </w:r>
      <w:r w:rsidR="00E675E9" w:rsidRPr="00F75FF8">
        <w:rPr>
          <w:rFonts w:cstheme="minorHAnsi"/>
          <w:szCs w:val="24"/>
          <w:lang w:val="en-GB"/>
        </w:rPr>
        <w:t>optimism</w:t>
      </w:r>
      <w:r w:rsidR="007651FB" w:rsidRPr="00F75FF8">
        <w:rPr>
          <w:rFonts w:cstheme="minorHAnsi"/>
          <w:szCs w:val="24"/>
          <w:lang w:val="en-GB"/>
        </w:rPr>
        <w:t xml:space="preserve"> and well-being</w:t>
      </w:r>
      <w:r w:rsidR="007B2024" w:rsidRPr="00F75FF8">
        <w:rPr>
          <w:rFonts w:cstheme="minorHAnsi"/>
          <w:szCs w:val="24"/>
          <w:lang w:val="en-GB"/>
        </w:rPr>
        <w:t xml:space="preserve"> as well as </w:t>
      </w:r>
      <w:r w:rsidR="00E675E9" w:rsidRPr="00F75FF8">
        <w:rPr>
          <w:rFonts w:cstheme="minorHAnsi"/>
          <w:szCs w:val="24"/>
          <w:lang w:val="en-GB"/>
        </w:rPr>
        <w:t xml:space="preserve">on </w:t>
      </w:r>
      <w:r w:rsidR="007651FB" w:rsidRPr="00F75FF8">
        <w:rPr>
          <w:rFonts w:cstheme="minorHAnsi"/>
          <w:szCs w:val="24"/>
          <w:lang w:val="en-GB"/>
        </w:rPr>
        <w:t>long-term</w:t>
      </w:r>
      <w:r w:rsidR="007B2024" w:rsidRPr="00F75FF8">
        <w:rPr>
          <w:rFonts w:cstheme="minorHAnsi"/>
          <w:szCs w:val="24"/>
          <w:lang w:val="en-GB"/>
        </w:rPr>
        <w:t xml:space="preserve"> clinical outcomes.</w:t>
      </w:r>
      <w:r w:rsidR="00BC2296" w:rsidRPr="00F75FF8">
        <w:rPr>
          <w:rFonts w:cstheme="minorHAnsi"/>
          <w:szCs w:val="24"/>
          <w:lang w:val="en-GB"/>
        </w:rPr>
        <w:t xml:space="preserve"> </w:t>
      </w:r>
      <w:r w:rsidR="00AD3AEF" w:rsidRPr="00F75FF8">
        <w:rPr>
          <w:rFonts w:cstheme="minorHAnsi"/>
          <w:szCs w:val="24"/>
          <w:lang w:val="en-GB"/>
        </w:rPr>
        <w:t>Fourth</w:t>
      </w:r>
      <w:r w:rsidR="00BC2296" w:rsidRPr="00F75FF8">
        <w:rPr>
          <w:rFonts w:cstheme="minorHAnsi"/>
          <w:szCs w:val="24"/>
          <w:lang w:val="en-GB"/>
        </w:rPr>
        <w:t xml:space="preserve">, it would be interesting to investigate the impact of different intake assessment </w:t>
      </w:r>
      <w:r w:rsidR="00AD3AEF" w:rsidRPr="00F75FF8">
        <w:rPr>
          <w:rFonts w:cstheme="minorHAnsi"/>
          <w:szCs w:val="24"/>
          <w:lang w:val="en-GB"/>
        </w:rPr>
        <w:t>formats</w:t>
      </w:r>
      <w:r w:rsidR="00BC2296" w:rsidRPr="00F75FF8">
        <w:rPr>
          <w:rFonts w:cstheme="minorHAnsi"/>
          <w:szCs w:val="24"/>
          <w:lang w:val="en-GB"/>
        </w:rPr>
        <w:t xml:space="preserve"> on clients’ emotional responses.</w:t>
      </w:r>
    </w:p>
    <w:p w14:paraId="35900908" w14:textId="786E13A3" w:rsidR="00C741D4" w:rsidRPr="00F75FF8" w:rsidRDefault="00C741D4" w:rsidP="001231FD">
      <w:pPr>
        <w:autoSpaceDE w:val="0"/>
        <w:autoSpaceDN w:val="0"/>
        <w:adjustRightInd w:val="0"/>
        <w:spacing w:after="0" w:line="480" w:lineRule="auto"/>
        <w:rPr>
          <w:rFonts w:cstheme="minorHAnsi"/>
          <w:szCs w:val="24"/>
        </w:rPr>
      </w:pPr>
      <w:r w:rsidRPr="00F75FF8">
        <w:rPr>
          <w:rFonts w:cstheme="minorHAnsi"/>
          <w:b/>
          <w:szCs w:val="24"/>
        </w:rPr>
        <w:t>Conclusion</w:t>
      </w:r>
      <w:r w:rsidR="00823431" w:rsidRPr="00F75FF8">
        <w:rPr>
          <w:rFonts w:cstheme="minorHAnsi"/>
          <w:b/>
          <w:szCs w:val="24"/>
        </w:rPr>
        <w:t>s</w:t>
      </w:r>
    </w:p>
    <w:p w14:paraId="5F1E069E" w14:textId="6C607CEE" w:rsidR="0064051A" w:rsidRPr="00F75FF8" w:rsidRDefault="00762D10" w:rsidP="001231FD">
      <w:pPr>
        <w:autoSpaceDE w:val="0"/>
        <w:autoSpaceDN w:val="0"/>
        <w:adjustRightInd w:val="0"/>
        <w:spacing w:after="0" w:line="480" w:lineRule="auto"/>
        <w:rPr>
          <w:rFonts w:cstheme="minorHAnsi"/>
          <w:szCs w:val="24"/>
          <w:lang w:val="en-GB"/>
        </w:rPr>
      </w:pPr>
      <w:r w:rsidRPr="00F75FF8">
        <w:rPr>
          <w:rFonts w:cstheme="minorHAnsi"/>
          <w:szCs w:val="24"/>
          <w:lang w:val="en-GB"/>
        </w:rPr>
        <w:t xml:space="preserve">The current study suggests that eliciting </w:t>
      </w:r>
      <w:r w:rsidR="00500583" w:rsidRPr="00F75FF8">
        <w:rPr>
          <w:rFonts w:cstheme="minorHAnsi"/>
          <w:szCs w:val="24"/>
          <w:lang w:val="en-GB"/>
        </w:rPr>
        <w:t>and</w:t>
      </w:r>
      <w:r w:rsidRPr="00F75FF8">
        <w:rPr>
          <w:rFonts w:cstheme="minorHAnsi"/>
          <w:szCs w:val="24"/>
          <w:lang w:val="en-GB"/>
        </w:rPr>
        <w:t xml:space="preserve"> providing information about</w:t>
      </w:r>
      <w:r w:rsidR="00500583" w:rsidRPr="00F75FF8">
        <w:rPr>
          <w:rFonts w:cstheme="minorHAnsi"/>
          <w:szCs w:val="24"/>
          <w:lang w:val="en-GB"/>
        </w:rPr>
        <w:t xml:space="preserve"> clients that highlights their strengths and includes identification of problem-free areas may be </w:t>
      </w:r>
      <w:r w:rsidR="00C0183A" w:rsidRPr="00F75FF8">
        <w:rPr>
          <w:rFonts w:cstheme="minorHAnsi"/>
          <w:szCs w:val="24"/>
          <w:lang w:val="en-GB"/>
        </w:rPr>
        <w:t>beneficial</w:t>
      </w:r>
      <w:r w:rsidR="00500583" w:rsidRPr="00F75FF8">
        <w:rPr>
          <w:rFonts w:cstheme="minorHAnsi"/>
          <w:szCs w:val="24"/>
          <w:lang w:val="en-GB"/>
        </w:rPr>
        <w:t xml:space="preserve"> </w:t>
      </w:r>
      <w:r w:rsidR="00C0183A" w:rsidRPr="00F75FF8">
        <w:rPr>
          <w:rFonts w:cstheme="minorHAnsi"/>
          <w:szCs w:val="24"/>
          <w:lang w:val="en-GB"/>
        </w:rPr>
        <w:t>for increasing</w:t>
      </w:r>
      <w:r w:rsidR="00500583" w:rsidRPr="00F75FF8">
        <w:rPr>
          <w:rFonts w:cstheme="minorHAnsi"/>
          <w:szCs w:val="24"/>
          <w:lang w:val="en-GB"/>
        </w:rPr>
        <w:t xml:space="preserve"> </w:t>
      </w:r>
      <w:r w:rsidR="00C0183A" w:rsidRPr="00F75FF8">
        <w:rPr>
          <w:rFonts w:cstheme="minorHAnsi"/>
          <w:szCs w:val="24"/>
          <w:lang w:val="en-GB"/>
        </w:rPr>
        <w:t xml:space="preserve">therapists’ </w:t>
      </w:r>
      <w:r w:rsidR="00500583" w:rsidRPr="00F75FF8">
        <w:rPr>
          <w:rFonts w:cstheme="minorHAnsi"/>
          <w:szCs w:val="24"/>
          <w:lang w:val="en-GB"/>
        </w:rPr>
        <w:t xml:space="preserve">positive emotions and hope for successful </w:t>
      </w:r>
      <w:r w:rsidR="005169D7" w:rsidRPr="00F75FF8">
        <w:rPr>
          <w:rFonts w:cstheme="minorHAnsi"/>
          <w:szCs w:val="24"/>
          <w:lang w:val="en-GB"/>
        </w:rPr>
        <w:t>collaboration</w:t>
      </w:r>
      <w:r w:rsidR="00C0183A" w:rsidRPr="00F75FF8">
        <w:rPr>
          <w:rFonts w:cstheme="minorHAnsi"/>
          <w:szCs w:val="24"/>
          <w:lang w:val="en-GB"/>
        </w:rPr>
        <w:t xml:space="preserve"> with clients</w:t>
      </w:r>
      <w:r w:rsidR="00500583" w:rsidRPr="00F75FF8">
        <w:rPr>
          <w:rFonts w:cstheme="minorHAnsi"/>
          <w:szCs w:val="24"/>
          <w:lang w:val="en-GB"/>
        </w:rPr>
        <w:t xml:space="preserve">. Examples of information that may be useful to include </w:t>
      </w:r>
      <w:r w:rsidR="00C0183A" w:rsidRPr="00F75FF8">
        <w:rPr>
          <w:rFonts w:cstheme="minorHAnsi"/>
          <w:szCs w:val="24"/>
          <w:lang w:val="en-GB"/>
        </w:rPr>
        <w:t xml:space="preserve">during intake </w:t>
      </w:r>
      <w:r w:rsidR="005169D7" w:rsidRPr="00F75FF8">
        <w:rPr>
          <w:rFonts w:cstheme="minorHAnsi"/>
          <w:szCs w:val="24"/>
          <w:lang w:val="en-GB"/>
        </w:rPr>
        <w:t>assessments</w:t>
      </w:r>
      <w:r w:rsidR="00C0183A" w:rsidRPr="00F75FF8">
        <w:rPr>
          <w:rFonts w:cstheme="minorHAnsi"/>
          <w:szCs w:val="24"/>
          <w:lang w:val="en-GB"/>
        </w:rPr>
        <w:t xml:space="preserve"> </w:t>
      </w:r>
      <w:r w:rsidR="00500583" w:rsidRPr="00F75FF8">
        <w:rPr>
          <w:rFonts w:cstheme="minorHAnsi"/>
          <w:szCs w:val="24"/>
          <w:lang w:val="en-GB"/>
        </w:rPr>
        <w:t xml:space="preserve">are clients’ </w:t>
      </w:r>
      <w:r w:rsidRPr="00F75FF8">
        <w:rPr>
          <w:rFonts w:cstheme="minorHAnsi"/>
          <w:szCs w:val="24"/>
          <w:lang w:val="en-GB"/>
        </w:rPr>
        <w:t>strengths, exceptions to problems, and positively formulated goal</w:t>
      </w:r>
      <w:r w:rsidR="00C0183A" w:rsidRPr="00F75FF8">
        <w:rPr>
          <w:rFonts w:cstheme="minorHAnsi"/>
          <w:szCs w:val="24"/>
          <w:lang w:val="en-GB"/>
        </w:rPr>
        <w:t>s</w:t>
      </w:r>
      <w:r w:rsidRPr="00F75FF8">
        <w:rPr>
          <w:rFonts w:cstheme="minorHAnsi"/>
          <w:szCs w:val="24"/>
          <w:lang w:val="en-GB"/>
        </w:rPr>
        <w:t xml:space="preserve"> that provide a detailed image of the life that clients envision after therapy</w:t>
      </w:r>
      <w:r w:rsidR="00500583" w:rsidRPr="00F75FF8">
        <w:rPr>
          <w:rFonts w:cstheme="minorHAnsi"/>
          <w:szCs w:val="24"/>
          <w:lang w:val="en-GB"/>
        </w:rPr>
        <w:t xml:space="preserve">. </w:t>
      </w:r>
    </w:p>
    <w:p w14:paraId="371459BE" w14:textId="431A4BB1" w:rsidR="00645B33" w:rsidRPr="00F75FF8" w:rsidRDefault="00645B33">
      <w:pPr>
        <w:rPr>
          <w:rFonts w:cstheme="minorHAnsi"/>
          <w:szCs w:val="24"/>
          <w:lang w:val="en-GB"/>
        </w:rPr>
      </w:pPr>
    </w:p>
    <w:p w14:paraId="6AC76BD6" w14:textId="62D6A701" w:rsidR="008A5B84" w:rsidRPr="00F75FF8" w:rsidRDefault="00645B33" w:rsidP="00645B33">
      <w:pPr>
        <w:autoSpaceDE w:val="0"/>
        <w:autoSpaceDN w:val="0"/>
        <w:adjustRightInd w:val="0"/>
        <w:spacing w:after="0" w:line="480" w:lineRule="auto"/>
        <w:jc w:val="center"/>
        <w:rPr>
          <w:rFonts w:cstheme="minorHAnsi"/>
          <w:b/>
          <w:szCs w:val="24"/>
          <w:lang w:val="en-GB"/>
        </w:rPr>
      </w:pPr>
      <w:r w:rsidRPr="00F75FF8">
        <w:rPr>
          <w:rFonts w:cstheme="minorHAnsi"/>
          <w:b/>
          <w:szCs w:val="24"/>
          <w:lang w:val="en-GB"/>
        </w:rPr>
        <w:t>Ethics statement</w:t>
      </w:r>
    </w:p>
    <w:p w14:paraId="1DF0BADC" w14:textId="7A66D60B" w:rsidR="00832631" w:rsidRPr="00F75FF8" w:rsidRDefault="00645B33" w:rsidP="001231FD">
      <w:pPr>
        <w:autoSpaceDE w:val="0"/>
        <w:autoSpaceDN w:val="0"/>
        <w:adjustRightInd w:val="0"/>
        <w:spacing w:after="0" w:line="480" w:lineRule="auto"/>
        <w:rPr>
          <w:rFonts w:ascii="Times New Roman" w:hAnsi="Times New Roman" w:cs="Times New Roman"/>
          <w:sz w:val="24"/>
          <w:szCs w:val="24"/>
        </w:rPr>
      </w:pPr>
      <w:r w:rsidRPr="00F75FF8">
        <w:rPr>
          <w:rFonts w:cstheme="minorHAnsi"/>
          <w:szCs w:val="24"/>
          <w:lang w:val="en-GB"/>
        </w:rPr>
        <w:t xml:space="preserve">The authors have abided by the Ethical Principles of Psychologists and Code of Conduct as set out by the BABCP and BPS. </w:t>
      </w:r>
      <w:r w:rsidRPr="00F75FF8">
        <w:rPr>
          <w:rFonts w:cstheme="minorHAnsi"/>
          <w:szCs w:val="24"/>
        </w:rPr>
        <w:t xml:space="preserve">Ethical committees of </w:t>
      </w:r>
      <w:r w:rsidR="008E339A">
        <w:rPr>
          <w:rFonts w:cstheme="minorHAnsi"/>
          <w:szCs w:val="24"/>
        </w:rPr>
        <w:t>Maastricht University</w:t>
      </w:r>
      <w:r w:rsidR="007651FB" w:rsidRPr="00F75FF8">
        <w:rPr>
          <w:rFonts w:cstheme="minorHAnsi"/>
          <w:szCs w:val="24"/>
        </w:rPr>
        <w:t xml:space="preserve"> </w:t>
      </w:r>
      <w:r w:rsidRPr="00F75FF8">
        <w:rPr>
          <w:rFonts w:cstheme="minorHAnsi"/>
          <w:szCs w:val="24"/>
        </w:rPr>
        <w:t xml:space="preserve">and </w:t>
      </w:r>
      <w:r w:rsidR="008E339A">
        <w:rPr>
          <w:rFonts w:cstheme="minorHAnsi"/>
          <w:szCs w:val="24"/>
        </w:rPr>
        <w:t>University of Exeter</w:t>
      </w:r>
      <w:bookmarkStart w:id="0" w:name="_GoBack"/>
      <w:bookmarkEnd w:id="0"/>
      <w:r w:rsidRPr="00F75FF8">
        <w:rPr>
          <w:rFonts w:cstheme="minorHAnsi"/>
          <w:szCs w:val="24"/>
        </w:rPr>
        <w:t xml:space="preserve"> both approved the study (reference numbers ERCPN_177_04_03_2017 and eCLESPsy000217, respectively).</w:t>
      </w:r>
    </w:p>
    <w:p w14:paraId="50460068" w14:textId="34CBEDEA" w:rsidR="00645B33" w:rsidRPr="00F75FF8" w:rsidRDefault="008A5B84" w:rsidP="005B3741">
      <w:pPr>
        <w:spacing w:line="480" w:lineRule="auto"/>
        <w:jc w:val="center"/>
        <w:rPr>
          <w:b/>
        </w:rPr>
      </w:pPr>
      <w:r w:rsidRPr="00F75FF8">
        <w:br w:type="page"/>
      </w:r>
      <w:r w:rsidR="00645B33" w:rsidRPr="00F75FF8">
        <w:rPr>
          <w:b/>
        </w:rPr>
        <w:t>References</w:t>
      </w:r>
    </w:p>
    <w:p w14:paraId="5975FA4B" w14:textId="676C4CD5" w:rsidR="00B502FE" w:rsidRPr="00F75FF8" w:rsidRDefault="008A5B84" w:rsidP="00B502FE">
      <w:pPr>
        <w:widowControl w:val="0"/>
        <w:autoSpaceDE w:val="0"/>
        <w:autoSpaceDN w:val="0"/>
        <w:adjustRightInd w:val="0"/>
        <w:spacing w:line="480" w:lineRule="auto"/>
        <w:ind w:left="480" w:hanging="480"/>
        <w:rPr>
          <w:rFonts w:ascii="Calibri" w:hAnsi="Calibri" w:cs="Calibri"/>
          <w:noProof/>
          <w:szCs w:val="24"/>
        </w:rPr>
      </w:pPr>
      <w:r w:rsidRPr="00F75FF8">
        <w:fldChar w:fldCharType="begin" w:fldLock="1"/>
      </w:r>
      <w:r w:rsidRPr="00F75FF8">
        <w:instrText xml:space="preserve">ADDIN Mendeley Bibliography CSL_BIBLIOGRAPHY </w:instrText>
      </w:r>
      <w:r w:rsidRPr="00F75FF8">
        <w:fldChar w:fldCharType="separate"/>
      </w:r>
      <w:r w:rsidR="00B502FE" w:rsidRPr="00F75FF8">
        <w:rPr>
          <w:rFonts w:ascii="Calibri" w:hAnsi="Calibri" w:cs="Calibri"/>
          <w:b/>
          <w:bCs/>
          <w:noProof/>
          <w:szCs w:val="24"/>
        </w:rPr>
        <w:t>American Psychological Association</w:t>
      </w:r>
      <w:r w:rsidR="00B502FE" w:rsidRPr="00F75FF8">
        <w:rPr>
          <w:rFonts w:ascii="Calibri" w:hAnsi="Calibri" w:cs="Calibri"/>
          <w:noProof/>
          <w:szCs w:val="24"/>
        </w:rPr>
        <w:t xml:space="preserve">. (2021). </w:t>
      </w:r>
      <w:r w:rsidR="00B502FE" w:rsidRPr="00F75FF8">
        <w:rPr>
          <w:rFonts w:ascii="Calibri" w:hAnsi="Calibri" w:cs="Calibri"/>
          <w:i/>
          <w:iCs/>
          <w:noProof/>
          <w:szCs w:val="24"/>
        </w:rPr>
        <w:t>Professional Practice Guidelines for Evidence-Based Psychological Practice in Health Care</w:t>
      </w:r>
      <w:r w:rsidR="00B502FE" w:rsidRPr="00F75FF8">
        <w:rPr>
          <w:rFonts w:ascii="Calibri" w:hAnsi="Calibri" w:cs="Calibri"/>
          <w:noProof/>
          <w:szCs w:val="24"/>
        </w:rPr>
        <w:t xml:space="preserve"> (Issue February). https://www.apa.org/about/policy/evidence-based-psychological-practice-health-care.pdf</w:t>
      </w:r>
    </w:p>
    <w:p w14:paraId="1E0FED82" w14:textId="7AA9ABDE"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Bannink, F.</w:t>
      </w:r>
      <w:r w:rsidR="005169D7" w:rsidRPr="00F75FF8">
        <w:rPr>
          <w:rFonts w:ascii="Calibri" w:hAnsi="Calibri" w:cs="Calibri"/>
          <w:b/>
          <w:bCs/>
          <w:noProof/>
          <w:szCs w:val="24"/>
        </w:rPr>
        <w:t xml:space="preserve"> P.</w:t>
      </w:r>
      <w:r w:rsidRPr="00F75FF8">
        <w:rPr>
          <w:rFonts w:ascii="Calibri" w:hAnsi="Calibri" w:cs="Calibri"/>
          <w:noProof/>
          <w:szCs w:val="24"/>
        </w:rPr>
        <w:t xml:space="preserve"> (2014). Positive CBT: From Reducing Distress to Building Success. </w:t>
      </w:r>
      <w:r w:rsidRPr="00F75FF8">
        <w:rPr>
          <w:rFonts w:ascii="Calibri" w:hAnsi="Calibri" w:cs="Calibri"/>
          <w:i/>
          <w:iCs/>
          <w:noProof/>
          <w:szCs w:val="24"/>
        </w:rPr>
        <w:t>Journal of Contemporary Psychotherapy</w:t>
      </w:r>
      <w:r w:rsidRPr="00F75FF8">
        <w:rPr>
          <w:rFonts w:ascii="Calibri" w:hAnsi="Calibri" w:cs="Calibri"/>
          <w:noProof/>
          <w:szCs w:val="24"/>
        </w:rPr>
        <w:t xml:space="preserve">, </w:t>
      </w:r>
      <w:r w:rsidRPr="00F75FF8">
        <w:rPr>
          <w:rFonts w:ascii="Calibri" w:hAnsi="Calibri" w:cs="Calibri"/>
          <w:i/>
          <w:iCs/>
          <w:noProof/>
          <w:szCs w:val="24"/>
        </w:rPr>
        <w:t>44</w:t>
      </w:r>
      <w:r w:rsidRPr="00F75FF8">
        <w:rPr>
          <w:rFonts w:ascii="Calibri" w:hAnsi="Calibri" w:cs="Calibri"/>
          <w:noProof/>
          <w:szCs w:val="24"/>
        </w:rPr>
        <w:t>(1), 1–8. https://doi.org/10.1007/s10879-013-9239-7</w:t>
      </w:r>
    </w:p>
    <w:p w14:paraId="64175B08"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Bannink, F. P.</w:t>
      </w:r>
      <w:r w:rsidRPr="00F75FF8">
        <w:rPr>
          <w:rFonts w:ascii="Calibri" w:hAnsi="Calibri" w:cs="Calibri"/>
          <w:noProof/>
          <w:szCs w:val="24"/>
        </w:rPr>
        <w:t xml:space="preserve"> (2007). Solution-Focused Brief Therapy. </w:t>
      </w:r>
      <w:r w:rsidRPr="00F75FF8">
        <w:rPr>
          <w:rFonts w:ascii="Calibri" w:hAnsi="Calibri" w:cs="Calibri"/>
          <w:i/>
          <w:iCs/>
          <w:noProof/>
          <w:szCs w:val="24"/>
        </w:rPr>
        <w:t>Journal of Contemporary Psychotherapy</w:t>
      </w:r>
      <w:r w:rsidRPr="00F75FF8">
        <w:rPr>
          <w:rFonts w:ascii="Calibri" w:hAnsi="Calibri" w:cs="Calibri"/>
          <w:noProof/>
          <w:szCs w:val="24"/>
        </w:rPr>
        <w:t xml:space="preserve">, </w:t>
      </w:r>
      <w:r w:rsidRPr="00F75FF8">
        <w:rPr>
          <w:rFonts w:ascii="Calibri" w:hAnsi="Calibri" w:cs="Calibri"/>
          <w:i/>
          <w:iCs/>
          <w:noProof/>
          <w:szCs w:val="24"/>
        </w:rPr>
        <w:t>37</w:t>
      </w:r>
      <w:r w:rsidRPr="00F75FF8">
        <w:rPr>
          <w:rFonts w:ascii="Calibri" w:hAnsi="Calibri" w:cs="Calibri"/>
          <w:noProof/>
          <w:szCs w:val="24"/>
        </w:rPr>
        <w:t>(2), 87–94. https://doi.org/10.1007/s10879-006-9040-y</w:t>
      </w:r>
    </w:p>
    <w:p w14:paraId="6F0C34B2"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lang w:val="nl-NL"/>
        </w:rPr>
        <w:t>Bannink, F. P., &amp; Geschwind, N.</w:t>
      </w:r>
      <w:r w:rsidRPr="00F75FF8">
        <w:rPr>
          <w:rFonts w:ascii="Calibri" w:hAnsi="Calibri" w:cs="Calibri"/>
          <w:noProof/>
          <w:szCs w:val="24"/>
          <w:lang w:val="nl-NL"/>
        </w:rPr>
        <w:t xml:space="preserve"> (2021). </w:t>
      </w:r>
      <w:r w:rsidRPr="00F75FF8">
        <w:rPr>
          <w:rFonts w:ascii="Calibri" w:hAnsi="Calibri" w:cs="Calibri"/>
          <w:i/>
          <w:iCs/>
          <w:noProof/>
          <w:szCs w:val="24"/>
        </w:rPr>
        <w:t>Positive CBT. Individual and group treatment protocols for positive cognitive behavioral therapy</w:t>
      </w:r>
      <w:r w:rsidRPr="00F75FF8">
        <w:rPr>
          <w:rFonts w:ascii="Calibri" w:hAnsi="Calibri" w:cs="Calibri"/>
          <w:noProof/>
          <w:szCs w:val="24"/>
        </w:rPr>
        <w:t>. Hogrefe Publishing. https://www.hogrefe.com/us/shop/positive-cbt-93628.html</w:t>
      </w:r>
    </w:p>
    <w:p w14:paraId="424E74FE"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Bartholomew, T. T., Joy, E. E., &amp; Gundel, B. E.</w:t>
      </w:r>
      <w:r w:rsidRPr="00F75FF8">
        <w:rPr>
          <w:rFonts w:ascii="Calibri" w:hAnsi="Calibri" w:cs="Calibri"/>
          <w:noProof/>
          <w:szCs w:val="24"/>
        </w:rPr>
        <w:t xml:space="preserve"> (2021). Clients’ Hope for Counseling as a Predictor of Outcome in Psychotherapy. </w:t>
      </w:r>
      <w:r w:rsidRPr="00F75FF8">
        <w:rPr>
          <w:rFonts w:ascii="Calibri" w:hAnsi="Calibri" w:cs="Calibri"/>
          <w:i/>
          <w:iCs/>
          <w:noProof/>
          <w:szCs w:val="24"/>
        </w:rPr>
        <w:t>The Counseling Psychologist</w:t>
      </w:r>
      <w:r w:rsidRPr="00F75FF8">
        <w:rPr>
          <w:rFonts w:ascii="Calibri" w:hAnsi="Calibri" w:cs="Calibri"/>
          <w:noProof/>
          <w:szCs w:val="24"/>
        </w:rPr>
        <w:t xml:space="preserve">, </w:t>
      </w:r>
      <w:r w:rsidRPr="00F75FF8">
        <w:rPr>
          <w:rFonts w:ascii="Calibri" w:hAnsi="Calibri" w:cs="Calibri"/>
          <w:i/>
          <w:iCs/>
          <w:noProof/>
          <w:szCs w:val="24"/>
        </w:rPr>
        <w:t>49</w:t>
      </w:r>
      <w:r w:rsidRPr="00F75FF8">
        <w:rPr>
          <w:rFonts w:ascii="Calibri" w:hAnsi="Calibri" w:cs="Calibri"/>
          <w:noProof/>
          <w:szCs w:val="24"/>
        </w:rPr>
        <w:t>(8), 1126–1146. https://doi.org/10.1177/00110000211033255</w:t>
      </w:r>
    </w:p>
    <w:p w14:paraId="56EB168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Black, D. E., &amp; Vance, M. D.</w:t>
      </w:r>
      <w:r w:rsidRPr="00F75FF8">
        <w:rPr>
          <w:rFonts w:ascii="Calibri" w:hAnsi="Calibri" w:cs="Calibri"/>
          <w:noProof/>
          <w:szCs w:val="24"/>
        </w:rPr>
        <w:t xml:space="preserve"> (2021). Do First Impressions Last? The Impact of Initial Assessments and Subsequent Performance on Promotion Decisions. </w:t>
      </w:r>
      <w:r w:rsidRPr="00F75FF8">
        <w:rPr>
          <w:rFonts w:ascii="Calibri" w:hAnsi="Calibri" w:cs="Calibri"/>
          <w:i/>
          <w:iCs/>
          <w:noProof/>
          <w:szCs w:val="24"/>
        </w:rPr>
        <w:t>Management Science</w:t>
      </w:r>
      <w:r w:rsidRPr="00F75FF8">
        <w:rPr>
          <w:rFonts w:ascii="Calibri" w:hAnsi="Calibri" w:cs="Calibri"/>
          <w:noProof/>
          <w:szCs w:val="24"/>
        </w:rPr>
        <w:t xml:space="preserve">, </w:t>
      </w:r>
      <w:r w:rsidRPr="00F75FF8">
        <w:rPr>
          <w:rFonts w:ascii="Calibri" w:hAnsi="Calibri" w:cs="Calibri"/>
          <w:i/>
          <w:iCs/>
          <w:noProof/>
          <w:szCs w:val="24"/>
        </w:rPr>
        <w:t>67</w:t>
      </w:r>
      <w:r w:rsidRPr="00F75FF8">
        <w:rPr>
          <w:rFonts w:ascii="Calibri" w:hAnsi="Calibri" w:cs="Calibri"/>
          <w:noProof/>
          <w:szCs w:val="24"/>
        </w:rPr>
        <w:t>(7), 4556–4576. https://doi.org/10.1287/mnsc.2020.3703</w:t>
      </w:r>
    </w:p>
    <w:p w14:paraId="13CB31BA"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Brown, K. W., &amp; Ryan, R. M.</w:t>
      </w:r>
      <w:r w:rsidRPr="00F75FF8">
        <w:rPr>
          <w:rFonts w:ascii="Calibri" w:hAnsi="Calibri" w:cs="Calibri"/>
          <w:noProof/>
          <w:szCs w:val="24"/>
        </w:rPr>
        <w:t xml:space="preserve"> (2003). The benefits of being present: Mindfulness and its role in psychological well-being. </w:t>
      </w:r>
      <w:r w:rsidRPr="00F75FF8">
        <w:rPr>
          <w:rFonts w:ascii="Calibri" w:hAnsi="Calibri" w:cs="Calibri"/>
          <w:i/>
          <w:iCs/>
          <w:noProof/>
          <w:szCs w:val="24"/>
        </w:rPr>
        <w:t>Journal of Personality and Social Psychology</w:t>
      </w:r>
      <w:r w:rsidRPr="00F75FF8">
        <w:rPr>
          <w:rFonts w:ascii="Calibri" w:hAnsi="Calibri" w:cs="Calibri"/>
          <w:noProof/>
          <w:szCs w:val="24"/>
        </w:rPr>
        <w:t xml:space="preserve">, </w:t>
      </w:r>
      <w:r w:rsidRPr="00F75FF8">
        <w:rPr>
          <w:rFonts w:ascii="Calibri" w:hAnsi="Calibri" w:cs="Calibri"/>
          <w:i/>
          <w:iCs/>
          <w:noProof/>
          <w:szCs w:val="24"/>
        </w:rPr>
        <w:t>84</w:t>
      </w:r>
      <w:r w:rsidRPr="00F75FF8">
        <w:rPr>
          <w:rFonts w:ascii="Calibri" w:hAnsi="Calibri" w:cs="Calibri"/>
          <w:noProof/>
          <w:szCs w:val="24"/>
        </w:rPr>
        <w:t>(4), 822–848. https://doi.org/10.1037/0022-3514.84.4.822</w:t>
      </w:r>
    </w:p>
    <w:p w14:paraId="753F5E65"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Centre for Academic Success; Birmingham City University</w:t>
      </w:r>
      <w:r w:rsidRPr="00F75FF8">
        <w:rPr>
          <w:rFonts w:ascii="Calibri" w:hAnsi="Calibri" w:cs="Calibri"/>
          <w:noProof/>
          <w:szCs w:val="24"/>
        </w:rPr>
        <w:t xml:space="preserve">. (2017). </w:t>
      </w:r>
      <w:r w:rsidRPr="00F75FF8">
        <w:rPr>
          <w:rFonts w:ascii="Calibri" w:hAnsi="Calibri" w:cs="Calibri"/>
          <w:i/>
          <w:iCs/>
          <w:noProof/>
          <w:szCs w:val="24"/>
        </w:rPr>
        <w:t>Advice on Exploratory Factor Analysis</w:t>
      </w:r>
      <w:r w:rsidRPr="00F75FF8">
        <w:rPr>
          <w:rFonts w:ascii="Calibri" w:hAnsi="Calibri" w:cs="Calibri"/>
          <w:noProof/>
          <w:szCs w:val="24"/>
        </w:rPr>
        <w:t>. http://www.open-access.bcu.ac.uk/6076/1/__staff_shares_storage 500mb_Library_ID112668_Stats Advisory_New Statistics Workshops_18ExploratoryFactorAnalysis_ExploratoryFactorAnalysis4.pdf</w:t>
      </w:r>
    </w:p>
    <w:p w14:paraId="1B1540E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Chartonas, D., Kyratsous, M., Dracass, S., Lee, T., &amp; Bhui, K.</w:t>
      </w:r>
      <w:r w:rsidRPr="00F75FF8">
        <w:rPr>
          <w:rFonts w:ascii="Calibri" w:hAnsi="Calibri" w:cs="Calibri"/>
          <w:noProof/>
          <w:szCs w:val="24"/>
        </w:rPr>
        <w:t xml:space="preserve"> (2017). Personality disorder: Still the patients psychiatrists dislike? </w:t>
      </w:r>
      <w:r w:rsidRPr="00F75FF8">
        <w:rPr>
          <w:rFonts w:ascii="Calibri" w:hAnsi="Calibri" w:cs="Calibri"/>
          <w:i/>
          <w:iCs/>
          <w:noProof/>
          <w:szCs w:val="24"/>
        </w:rPr>
        <w:t>British Journal of Psychiatry Bulletin</w:t>
      </w:r>
      <w:r w:rsidRPr="00F75FF8">
        <w:rPr>
          <w:rFonts w:ascii="Calibri" w:hAnsi="Calibri" w:cs="Calibri"/>
          <w:noProof/>
          <w:szCs w:val="24"/>
        </w:rPr>
        <w:t xml:space="preserve">, </w:t>
      </w:r>
      <w:r w:rsidRPr="00F75FF8">
        <w:rPr>
          <w:rFonts w:ascii="Calibri" w:hAnsi="Calibri" w:cs="Calibri"/>
          <w:i/>
          <w:iCs/>
          <w:noProof/>
          <w:szCs w:val="24"/>
        </w:rPr>
        <w:t>41</w:t>
      </w:r>
      <w:r w:rsidRPr="00F75FF8">
        <w:rPr>
          <w:rFonts w:ascii="Calibri" w:hAnsi="Calibri" w:cs="Calibri"/>
          <w:noProof/>
          <w:szCs w:val="24"/>
        </w:rPr>
        <w:t>(1), 12–17. https://doi.org/10.1192/pb.bp.115.052456</w:t>
      </w:r>
    </w:p>
    <w:p w14:paraId="1966B8B4"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Coppock, T. E., Owen, J. J., Zagarskas, E., &amp; Schmidt, M.</w:t>
      </w:r>
      <w:r w:rsidRPr="00F75FF8">
        <w:rPr>
          <w:rFonts w:ascii="Calibri" w:hAnsi="Calibri" w:cs="Calibri"/>
          <w:noProof/>
          <w:szCs w:val="24"/>
        </w:rPr>
        <w:t xml:space="preserve"> (2010). The relationship between therapist and client hope with therapy outcomes. </w:t>
      </w:r>
      <w:r w:rsidRPr="00F75FF8">
        <w:rPr>
          <w:rFonts w:ascii="Calibri" w:hAnsi="Calibri" w:cs="Calibri"/>
          <w:i/>
          <w:iCs/>
          <w:noProof/>
          <w:szCs w:val="24"/>
        </w:rPr>
        <w:t>Psychotherapy Research</w:t>
      </w:r>
      <w:r w:rsidRPr="00F75FF8">
        <w:rPr>
          <w:rFonts w:ascii="Calibri" w:hAnsi="Calibri" w:cs="Calibri"/>
          <w:noProof/>
          <w:szCs w:val="24"/>
        </w:rPr>
        <w:t xml:space="preserve">, </w:t>
      </w:r>
      <w:r w:rsidRPr="00F75FF8">
        <w:rPr>
          <w:rFonts w:ascii="Calibri" w:hAnsi="Calibri" w:cs="Calibri"/>
          <w:i/>
          <w:iCs/>
          <w:noProof/>
          <w:szCs w:val="24"/>
        </w:rPr>
        <w:t>20</w:t>
      </w:r>
      <w:r w:rsidRPr="00F75FF8">
        <w:rPr>
          <w:rFonts w:ascii="Calibri" w:hAnsi="Calibri" w:cs="Calibri"/>
          <w:noProof/>
          <w:szCs w:val="24"/>
        </w:rPr>
        <w:t>(6), 619–626. https://doi.org/10.1080/10503307.2010.497508</w:t>
      </w:r>
    </w:p>
    <w:p w14:paraId="14C89760"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de Shazer, S., Dolan, Y., Korman, H., Trepper, T., McCollum, E., &amp; Berg, I. K.</w:t>
      </w:r>
      <w:r w:rsidRPr="00F75FF8">
        <w:rPr>
          <w:rFonts w:ascii="Calibri" w:hAnsi="Calibri" w:cs="Calibri"/>
          <w:noProof/>
          <w:szCs w:val="24"/>
        </w:rPr>
        <w:t xml:space="preserve"> (2021). More Than Miracles : The State of the Art of Solution-Focused Brief Therapy. </w:t>
      </w:r>
      <w:r w:rsidRPr="00F75FF8">
        <w:rPr>
          <w:rFonts w:ascii="Calibri" w:hAnsi="Calibri" w:cs="Calibri"/>
          <w:i/>
          <w:iCs/>
          <w:noProof/>
          <w:szCs w:val="24"/>
        </w:rPr>
        <w:t>More Than Miracles</w:t>
      </w:r>
      <w:r w:rsidRPr="00F75FF8">
        <w:rPr>
          <w:rFonts w:ascii="Calibri" w:hAnsi="Calibri" w:cs="Calibri"/>
          <w:noProof/>
          <w:szCs w:val="24"/>
        </w:rPr>
        <w:t>. https://doi.org/10.4324/9781003125600</w:t>
      </w:r>
    </w:p>
    <w:p w14:paraId="6E640A60"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Dunn, B. D.</w:t>
      </w:r>
      <w:r w:rsidRPr="00F75FF8">
        <w:rPr>
          <w:rFonts w:ascii="Calibri" w:hAnsi="Calibri" w:cs="Calibri"/>
          <w:noProof/>
          <w:szCs w:val="24"/>
        </w:rPr>
        <w:t xml:space="preserve"> (2019). Augmenting cognitive behavioural therapy to build positive mood in depression. In J. Gruber (Ed.), </w:t>
      </w:r>
      <w:r w:rsidRPr="00F75FF8">
        <w:rPr>
          <w:rFonts w:ascii="Calibri" w:hAnsi="Calibri" w:cs="Calibri"/>
          <w:i/>
          <w:iCs/>
          <w:noProof/>
          <w:szCs w:val="24"/>
        </w:rPr>
        <w:t>Oxford handbook of positive emotion and psychopathology</w:t>
      </w:r>
      <w:r w:rsidRPr="00F75FF8">
        <w:rPr>
          <w:rFonts w:ascii="Calibri" w:hAnsi="Calibri" w:cs="Calibri"/>
          <w:noProof/>
          <w:szCs w:val="24"/>
        </w:rPr>
        <w:t xml:space="preserve"> (pp. 539–560). Oxford University Press. https://doi.org/10.1093/oxfordhb/9780190653200.013.33</w:t>
      </w:r>
    </w:p>
    <w:p w14:paraId="0EEEF02D"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Farber, B. A., &amp; Doolin, E. M.</w:t>
      </w:r>
      <w:r w:rsidRPr="00F75FF8">
        <w:rPr>
          <w:rFonts w:ascii="Calibri" w:hAnsi="Calibri" w:cs="Calibri"/>
          <w:noProof/>
          <w:szCs w:val="24"/>
        </w:rPr>
        <w:t xml:space="preserve"> (2011). Positive Regard and Affirmation. In J. C. Norcross (Ed.), </w:t>
      </w:r>
      <w:r w:rsidRPr="00F75FF8">
        <w:rPr>
          <w:rFonts w:ascii="Calibri" w:hAnsi="Calibri" w:cs="Calibri"/>
          <w:i/>
          <w:iCs/>
          <w:noProof/>
          <w:szCs w:val="24"/>
        </w:rPr>
        <w:t>Psychotherapy Relationships That Work: Evidence-Based Responsiveness</w:t>
      </w:r>
      <w:r w:rsidRPr="00F75FF8">
        <w:rPr>
          <w:rFonts w:ascii="Calibri" w:hAnsi="Calibri" w:cs="Calibri"/>
          <w:noProof/>
          <w:szCs w:val="24"/>
        </w:rPr>
        <w:t xml:space="preserve"> (pp. 168–186). Oxford University Press. https://doi.org/10.1093/acprof:oso/9780199737208.003.0008</w:t>
      </w:r>
    </w:p>
    <w:p w14:paraId="7F80A604"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Faul, F., Erdfelder, E., Buchner, A., &amp; Lang, A.-G.</w:t>
      </w:r>
      <w:r w:rsidRPr="00F75FF8">
        <w:rPr>
          <w:rFonts w:ascii="Calibri" w:hAnsi="Calibri" w:cs="Calibri"/>
          <w:noProof/>
          <w:szCs w:val="24"/>
        </w:rPr>
        <w:t xml:space="preserve"> (2009). Statistical power analyses using G*Power 3.1: tests for correlation and regression analyses. </w:t>
      </w:r>
      <w:r w:rsidRPr="00F75FF8">
        <w:rPr>
          <w:rFonts w:ascii="Calibri" w:hAnsi="Calibri" w:cs="Calibri"/>
          <w:i/>
          <w:iCs/>
          <w:noProof/>
          <w:szCs w:val="24"/>
        </w:rPr>
        <w:t>Behavior Research Methods</w:t>
      </w:r>
      <w:r w:rsidRPr="00F75FF8">
        <w:rPr>
          <w:rFonts w:ascii="Calibri" w:hAnsi="Calibri" w:cs="Calibri"/>
          <w:noProof/>
          <w:szCs w:val="24"/>
        </w:rPr>
        <w:t xml:space="preserve">, </w:t>
      </w:r>
      <w:r w:rsidRPr="00F75FF8">
        <w:rPr>
          <w:rFonts w:ascii="Calibri" w:hAnsi="Calibri" w:cs="Calibri"/>
          <w:i/>
          <w:iCs/>
          <w:noProof/>
          <w:szCs w:val="24"/>
        </w:rPr>
        <w:t>41</w:t>
      </w:r>
      <w:r w:rsidRPr="00F75FF8">
        <w:rPr>
          <w:rFonts w:ascii="Calibri" w:hAnsi="Calibri" w:cs="Calibri"/>
          <w:noProof/>
          <w:szCs w:val="24"/>
        </w:rPr>
        <w:t>(4), 1149–1160. https://doi.org/10.3758/BRM.41.4.1149</w:t>
      </w:r>
    </w:p>
    <w:p w14:paraId="056DE616"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Fredrickson, B. L.</w:t>
      </w:r>
      <w:r w:rsidRPr="00F75FF8">
        <w:rPr>
          <w:rFonts w:ascii="Calibri" w:hAnsi="Calibri" w:cs="Calibri"/>
          <w:noProof/>
          <w:szCs w:val="24"/>
        </w:rPr>
        <w:t xml:space="preserve"> (2001). The role of positive emotions in positive psychology - The broaden-and-build theory of positive emotions. </w:t>
      </w:r>
      <w:r w:rsidRPr="00F75FF8">
        <w:rPr>
          <w:rFonts w:ascii="Calibri" w:hAnsi="Calibri" w:cs="Calibri"/>
          <w:i/>
          <w:iCs/>
          <w:noProof/>
          <w:szCs w:val="24"/>
        </w:rPr>
        <w:t>American Psychologist</w:t>
      </w:r>
      <w:r w:rsidRPr="00F75FF8">
        <w:rPr>
          <w:rFonts w:ascii="Calibri" w:hAnsi="Calibri" w:cs="Calibri"/>
          <w:noProof/>
          <w:szCs w:val="24"/>
        </w:rPr>
        <w:t xml:space="preserve">, </w:t>
      </w:r>
      <w:r w:rsidRPr="00F75FF8">
        <w:rPr>
          <w:rFonts w:ascii="Calibri" w:hAnsi="Calibri" w:cs="Calibri"/>
          <w:i/>
          <w:iCs/>
          <w:noProof/>
          <w:szCs w:val="24"/>
        </w:rPr>
        <w:t>56</w:t>
      </w:r>
      <w:r w:rsidRPr="00F75FF8">
        <w:rPr>
          <w:rFonts w:ascii="Calibri" w:hAnsi="Calibri" w:cs="Calibri"/>
          <w:noProof/>
          <w:szCs w:val="24"/>
        </w:rPr>
        <w:t>(3), 218–226. https://doi.org/10.1037//0003-066X.56.3.218</w:t>
      </w:r>
    </w:p>
    <w:p w14:paraId="64208C9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Fredrickson, B. L.</w:t>
      </w:r>
      <w:r w:rsidRPr="00F75FF8">
        <w:rPr>
          <w:rFonts w:ascii="Calibri" w:hAnsi="Calibri" w:cs="Calibri"/>
          <w:noProof/>
          <w:szCs w:val="24"/>
        </w:rPr>
        <w:t xml:space="preserve"> (2004). The broaden-and-build theory of positive emotions. </w:t>
      </w:r>
      <w:r w:rsidRPr="00F75FF8">
        <w:rPr>
          <w:rFonts w:ascii="Calibri" w:hAnsi="Calibri" w:cs="Calibri"/>
          <w:i/>
          <w:iCs/>
          <w:noProof/>
          <w:szCs w:val="24"/>
        </w:rPr>
        <w:t>Philosophical Transactions of the Royal Society of London Series B-Biological Sciences</w:t>
      </w:r>
      <w:r w:rsidRPr="00F75FF8">
        <w:rPr>
          <w:rFonts w:ascii="Calibri" w:hAnsi="Calibri" w:cs="Calibri"/>
          <w:noProof/>
          <w:szCs w:val="24"/>
        </w:rPr>
        <w:t xml:space="preserve">, </w:t>
      </w:r>
      <w:r w:rsidRPr="00F75FF8">
        <w:rPr>
          <w:rFonts w:ascii="Calibri" w:hAnsi="Calibri" w:cs="Calibri"/>
          <w:i/>
          <w:iCs/>
          <w:noProof/>
          <w:szCs w:val="24"/>
        </w:rPr>
        <w:t>359</w:t>
      </w:r>
      <w:r w:rsidRPr="00F75FF8">
        <w:rPr>
          <w:rFonts w:ascii="Calibri" w:hAnsi="Calibri" w:cs="Calibri"/>
          <w:noProof/>
          <w:szCs w:val="24"/>
        </w:rPr>
        <w:t>(1449), 1367–1377. https://doi.org/10.1098/rstb.2004.1512</w:t>
      </w:r>
    </w:p>
    <w:p w14:paraId="4FBD87D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Fredrickson, B. L., &amp; Joiner, T.</w:t>
      </w:r>
      <w:r w:rsidRPr="00F75FF8">
        <w:rPr>
          <w:rFonts w:ascii="Calibri" w:hAnsi="Calibri" w:cs="Calibri"/>
          <w:noProof/>
          <w:szCs w:val="24"/>
        </w:rPr>
        <w:t xml:space="preserve"> (2002). Positive Emotions Trigger Upward Spirals Toward Emotional Well-Being. </w:t>
      </w:r>
      <w:r w:rsidRPr="00F75FF8">
        <w:rPr>
          <w:rFonts w:ascii="Calibri" w:hAnsi="Calibri" w:cs="Calibri"/>
          <w:i/>
          <w:iCs/>
          <w:noProof/>
          <w:szCs w:val="24"/>
        </w:rPr>
        <w:t>Psychological Science</w:t>
      </w:r>
      <w:r w:rsidRPr="00F75FF8">
        <w:rPr>
          <w:rFonts w:ascii="Calibri" w:hAnsi="Calibri" w:cs="Calibri"/>
          <w:noProof/>
          <w:szCs w:val="24"/>
        </w:rPr>
        <w:t xml:space="preserve">, </w:t>
      </w:r>
      <w:r w:rsidRPr="00F75FF8">
        <w:rPr>
          <w:rFonts w:ascii="Calibri" w:hAnsi="Calibri" w:cs="Calibri"/>
          <w:i/>
          <w:iCs/>
          <w:noProof/>
          <w:szCs w:val="24"/>
        </w:rPr>
        <w:t>13</w:t>
      </w:r>
      <w:r w:rsidRPr="00F75FF8">
        <w:rPr>
          <w:rFonts w:ascii="Calibri" w:hAnsi="Calibri" w:cs="Calibri"/>
          <w:noProof/>
          <w:szCs w:val="24"/>
        </w:rPr>
        <w:t>(2), 172–175. https://doi.org/10.1111/1467-9280.00431</w:t>
      </w:r>
    </w:p>
    <w:p w14:paraId="35104168"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Furnham, A., &amp; Boo, H. C.</w:t>
      </w:r>
      <w:r w:rsidRPr="00F75FF8">
        <w:rPr>
          <w:rFonts w:ascii="Calibri" w:hAnsi="Calibri" w:cs="Calibri"/>
          <w:noProof/>
          <w:szCs w:val="24"/>
        </w:rPr>
        <w:t xml:space="preserve"> (2011). A literature review of the anchoring effect. </w:t>
      </w:r>
      <w:r w:rsidRPr="00F75FF8">
        <w:rPr>
          <w:rFonts w:ascii="Calibri" w:hAnsi="Calibri" w:cs="Calibri"/>
          <w:i/>
          <w:iCs/>
          <w:noProof/>
          <w:szCs w:val="24"/>
        </w:rPr>
        <w:t>Journal of Socio-Economics</w:t>
      </w:r>
      <w:r w:rsidRPr="00F75FF8">
        <w:rPr>
          <w:rFonts w:ascii="Calibri" w:hAnsi="Calibri" w:cs="Calibri"/>
          <w:noProof/>
          <w:szCs w:val="24"/>
        </w:rPr>
        <w:t xml:space="preserve">, </w:t>
      </w:r>
      <w:r w:rsidRPr="00F75FF8">
        <w:rPr>
          <w:rFonts w:ascii="Calibri" w:hAnsi="Calibri" w:cs="Calibri"/>
          <w:i/>
          <w:iCs/>
          <w:noProof/>
          <w:szCs w:val="24"/>
        </w:rPr>
        <w:t>40</w:t>
      </w:r>
      <w:r w:rsidRPr="00F75FF8">
        <w:rPr>
          <w:rFonts w:ascii="Calibri" w:hAnsi="Calibri" w:cs="Calibri"/>
          <w:noProof/>
          <w:szCs w:val="24"/>
        </w:rPr>
        <w:t>(1), 35–42. https://doi.org/10.1016/j.socec.2010.10.008</w:t>
      </w:r>
    </w:p>
    <w:p w14:paraId="4BA9FC83"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Grant, A. M.</w:t>
      </w:r>
      <w:r w:rsidRPr="00F75FF8">
        <w:rPr>
          <w:rFonts w:ascii="Calibri" w:hAnsi="Calibri" w:cs="Calibri"/>
          <w:noProof/>
          <w:szCs w:val="24"/>
        </w:rPr>
        <w:t xml:space="preserve"> (2012). Making positive change: A randomized study comparing solution-focused vs. problem-focused coaching questions. </w:t>
      </w:r>
      <w:r w:rsidRPr="00F75FF8">
        <w:rPr>
          <w:rFonts w:ascii="Calibri" w:hAnsi="Calibri" w:cs="Calibri"/>
          <w:i/>
          <w:iCs/>
          <w:noProof/>
          <w:szCs w:val="24"/>
        </w:rPr>
        <w:t>Journal of Systemic Therapies</w:t>
      </w:r>
      <w:r w:rsidRPr="00F75FF8">
        <w:rPr>
          <w:rFonts w:ascii="Calibri" w:hAnsi="Calibri" w:cs="Calibri"/>
          <w:noProof/>
          <w:szCs w:val="24"/>
        </w:rPr>
        <w:t xml:space="preserve">, </w:t>
      </w:r>
      <w:r w:rsidRPr="00F75FF8">
        <w:rPr>
          <w:rFonts w:ascii="Calibri" w:hAnsi="Calibri" w:cs="Calibri"/>
          <w:i/>
          <w:iCs/>
          <w:noProof/>
          <w:szCs w:val="24"/>
        </w:rPr>
        <w:t>31</w:t>
      </w:r>
      <w:r w:rsidRPr="00F75FF8">
        <w:rPr>
          <w:rFonts w:ascii="Calibri" w:hAnsi="Calibri" w:cs="Calibri"/>
          <w:noProof/>
          <w:szCs w:val="24"/>
        </w:rPr>
        <w:t>(2), 21–35. https://doi.org/10.1521/jsyt.2012.31.2.21</w:t>
      </w:r>
    </w:p>
    <w:p w14:paraId="5348FD3D"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Grant, A. M., &amp; O’Connor, S. A.</w:t>
      </w:r>
      <w:r w:rsidRPr="00F75FF8">
        <w:rPr>
          <w:rFonts w:ascii="Calibri" w:hAnsi="Calibri" w:cs="Calibri"/>
          <w:noProof/>
          <w:szCs w:val="24"/>
        </w:rPr>
        <w:t xml:space="preserve"> (2018). Broadening and building solution-focused coaching: feeling good is not enough. </w:t>
      </w:r>
      <w:r w:rsidRPr="00F75FF8">
        <w:rPr>
          <w:rFonts w:ascii="Calibri" w:hAnsi="Calibri" w:cs="Calibri"/>
          <w:i/>
          <w:iCs/>
          <w:noProof/>
          <w:szCs w:val="24"/>
        </w:rPr>
        <w:t>Coaching: An International Journal of Theory, Research and Practice</w:t>
      </w:r>
      <w:r w:rsidRPr="00F75FF8">
        <w:rPr>
          <w:rFonts w:ascii="Calibri" w:hAnsi="Calibri" w:cs="Calibri"/>
          <w:noProof/>
          <w:szCs w:val="24"/>
        </w:rPr>
        <w:t xml:space="preserve">, </w:t>
      </w:r>
      <w:r w:rsidRPr="00F75FF8">
        <w:rPr>
          <w:rFonts w:ascii="Calibri" w:hAnsi="Calibri" w:cs="Calibri"/>
          <w:i/>
          <w:iCs/>
          <w:noProof/>
          <w:szCs w:val="24"/>
        </w:rPr>
        <w:t>11</w:t>
      </w:r>
      <w:r w:rsidRPr="00F75FF8">
        <w:rPr>
          <w:rFonts w:ascii="Calibri" w:hAnsi="Calibri" w:cs="Calibri"/>
          <w:noProof/>
          <w:szCs w:val="24"/>
        </w:rPr>
        <w:t>(2), 165–185. https://doi.org/10.1080/17521882.2018.1489868</w:t>
      </w:r>
    </w:p>
    <w:p w14:paraId="3227EA39"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Kiken, L. G., &amp; Fredrickson, B. L.</w:t>
      </w:r>
      <w:r w:rsidRPr="00F75FF8">
        <w:rPr>
          <w:rFonts w:ascii="Calibri" w:hAnsi="Calibri" w:cs="Calibri"/>
          <w:noProof/>
          <w:szCs w:val="24"/>
        </w:rPr>
        <w:t xml:space="preserve"> (2017). Cognitive Aspects of Positive Emotions: A Broader View for Well-Being. In </w:t>
      </w:r>
      <w:r w:rsidRPr="00F75FF8">
        <w:rPr>
          <w:rFonts w:ascii="Calibri" w:hAnsi="Calibri" w:cs="Calibri"/>
          <w:i/>
          <w:iCs/>
          <w:noProof/>
          <w:szCs w:val="24"/>
        </w:rPr>
        <w:t>The Happy Mind: Cognitive Contributions to Well-Being</w:t>
      </w:r>
      <w:r w:rsidRPr="00F75FF8">
        <w:rPr>
          <w:rFonts w:ascii="Calibri" w:hAnsi="Calibri" w:cs="Calibri"/>
          <w:noProof/>
          <w:szCs w:val="24"/>
        </w:rPr>
        <w:t xml:space="preserve"> (pp. 157–175). Springer International Publishing. https://doi.org/10.1007/978-3-319-58763-9_9</w:t>
      </w:r>
    </w:p>
    <w:p w14:paraId="4051571C"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Kuyken, W., Padesky, C. a., &amp; Dudley, R.</w:t>
      </w:r>
      <w:r w:rsidRPr="00F75FF8">
        <w:rPr>
          <w:rFonts w:ascii="Calibri" w:hAnsi="Calibri" w:cs="Calibri"/>
          <w:noProof/>
          <w:szCs w:val="24"/>
        </w:rPr>
        <w:t xml:space="preserve"> (2009). Collaborative Case Conceptualization: Working Effectively with Clients in Cognitive-Behavioral Therapy. In </w:t>
      </w:r>
      <w:r w:rsidRPr="00F75FF8">
        <w:rPr>
          <w:rFonts w:ascii="Calibri" w:hAnsi="Calibri" w:cs="Calibri"/>
          <w:i/>
          <w:iCs/>
          <w:noProof/>
          <w:szCs w:val="24"/>
        </w:rPr>
        <w:t>Behavioural and Cognitive Psychotherapy</w:t>
      </w:r>
      <w:r w:rsidRPr="00F75FF8">
        <w:rPr>
          <w:rFonts w:ascii="Calibri" w:hAnsi="Calibri" w:cs="Calibri"/>
          <w:noProof/>
          <w:szCs w:val="24"/>
        </w:rPr>
        <w:t>. The Guilford Press. https://doi.org/10.1017/S1352465808004815</w:t>
      </w:r>
    </w:p>
    <w:p w14:paraId="0B87B52D"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Lam, D. C. K., Poplavskaya, E. V., Salkovskis, P. M., Hogg, L. I., &amp; Panting, H.</w:t>
      </w:r>
      <w:r w:rsidRPr="00F75FF8">
        <w:rPr>
          <w:rFonts w:ascii="Calibri" w:hAnsi="Calibri" w:cs="Calibri"/>
          <w:noProof/>
          <w:szCs w:val="24"/>
        </w:rPr>
        <w:t xml:space="preserve"> (2016). An experimental Investigation of the Impact of Personality Disorder Diagnosis on Clinicians: Can We See Past the Borderline? </w:t>
      </w:r>
      <w:r w:rsidRPr="00F75FF8">
        <w:rPr>
          <w:rFonts w:ascii="Calibri" w:hAnsi="Calibri" w:cs="Calibri"/>
          <w:i/>
          <w:iCs/>
          <w:noProof/>
          <w:szCs w:val="24"/>
        </w:rPr>
        <w:t>Behavioural and Cognitive Psychotherapy</w:t>
      </w:r>
      <w:r w:rsidRPr="00F75FF8">
        <w:rPr>
          <w:rFonts w:ascii="Calibri" w:hAnsi="Calibri" w:cs="Calibri"/>
          <w:noProof/>
          <w:szCs w:val="24"/>
        </w:rPr>
        <w:t xml:space="preserve">, </w:t>
      </w:r>
      <w:r w:rsidRPr="00F75FF8">
        <w:rPr>
          <w:rFonts w:ascii="Calibri" w:hAnsi="Calibri" w:cs="Calibri"/>
          <w:i/>
          <w:iCs/>
          <w:noProof/>
          <w:szCs w:val="24"/>
        </w:rPr>
        <w:t>44</w:t>
      </w:r>
      <w:r w:rsidRPr="00F75FF8">
        <w:rPr>
          <w:rFonts w:ascii="Calibri" w:hAnsi="Calibri" w:cs="Calibri"/>
          <w:noProof/>
          <w:szCs w:val="24"/>
        </w:rPr>
        <w:t>(3), 361–373. https://doi.org/10.1017/S1352465815000351</w:t>
      </w:r>
    </w:p>
    <w:p w14:paraId="703E375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lang w:val="nl-NL"/>
        </w:rPr>
      </w:pPr>
      <w:r w:rsidRPr="00F75FF8">
        <w:rPr>
          <w:rFonts w:ascii="Calibri" w:hAnsi="Calibri" w:cs="Calibri"/>
          <w:b/>
          <w:bCs/>
          <w:noProof/>
          <w:szCs w:val="24"/>
        </w:rPr>
        <w:t>Meyer, L., &amp; Melchert, T. P.</w:t>
      </w:r>
      <w:r w:rsidRPr="00F75FF8">
        <w:rPr>
          <w:rFonts w:ascii="Calibri" w:hAnsi="Calibri" w:cs="Calibri"/>
          <w:noProof/>
          <w:szCs w:val="24"/>
        </w:rPr>
        <w:t xml:space="preserve"> (2011). Examining the content of mental health intake assessments from a biopsychosocial perspective. </w:t>
      </w:r>
      <w:r w:rsidRPr="00F75FF8">
        <w:rPr>
          <w:rFonts w:ascii="Calibri" w:hAnsi="Calibri" w:cs="Calibri"/>
          <w:i/>
          <w:iCs/>
          <w:noProof/>
          <w:szCs w:val="24"/>
          <w:lang w:val="nl-NL"/>
        </w:rPr>
        <w:t>Journal of Psychotherapy Integration</w:t>
      </w:r>
      <w:r w:rsidRPr="00F75FF8">
        <w:rPr>
          <w:rFonts w:ascii="Calibri" w:hAnsi="Calibri" w:cs="Calibri"/>
          <w:noProof/>
          <w:szCs w:val="24"/>
          <w:lang w:val="nl-NL"/>
        </w:rPr>
        <w:t xml:space="preserve">, </w:t>
      </w:r>
      <w:r w:rsidRPr="00F75FF8">
        <w:rPr>
          <w:rFonts w:ascii="Calibri" w:hAnsi="Calibri" w:cs="Calibri"/>
          <w:i/>
          <w:iCs/>
          <w:noProof/>
          <w:szCs w:val="24"/>
          <w:lang w:val="nl-NL"/>
        </w:rPr>
        <w:t>21</w:t>
      </w:r>
      <w:r w:rsidRPr="00F75FF8">
        <w:rPr>
          <w:rFonts w:ascii="Calibri" w:hAnsi="Calibri" w:cs="Calibri"/>
          <w:noProof/>
          <w:szCs w:val="24"/>
          <w:lang w:val="nl-NL"/>
        </w:rPr>
        <w:t>(1), 70–89. https://doi.org/10.1037/a0022907</w:t>
      </w:r>
    </w:p>
    <w:p w14:paraId="1DDD129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lang w:val="nl-NL"/>
        </w:rPr>
        <w:t>Moerbeek, M., van Breukelen, G. J. P., &amp; Berger, M. P. F.</w:t>
      </w:r>
      <w:r w:rsidRPr="00F75FF8">
        <w:rPr>
          <w:rFonts w:ascii="Calibri" w:hAnsi="Calibri" w:cs="Calibri"/>
          <w:noProof/>
          <w:szCs w:val="24"/>
          <w:lang w:val="nl-NL"/>
        </w:rPr>
        <w:t xml:space="preserve"> (2003). </w:t>
      </w:r>
      <w:r w:rsidRPr="00F75FF8">
        <w:rPr>
          <w:rFonts w:ascii="Calibri" w:hAnsi="Calibri" w:cs="Calibri"/>
          <w:noProof/>
          <w:szCs w:val="24"/>
        </w:rPr>
        <w:t xml:space="preserve">A comparison between traditional methods and multilevel regression for the analysis of multicenter intervention studies. </w:t>
      </w:r>
      <w:r w:rsidRPr="00F75FF8">
        <w:rPr>
          <w:rFonts w:ascii="Calibri" w:hAnsi="Calibri" w:cs="Calibri"/>
          <w:i/>
          <w:iCs/>
          <w:noProof/>
          <w:szCs w:val="24"/>
        </w:rPr>
        <w:t>Journal of Clinical Epidemiology</w:t>
      </w:r>
      <w:r w:rsidRPr="00F75FF8">
        <w:rPr>
          <w:rFonts w:ascii="Calibri" w:hAnsi="Calibri" w:cs="Calibri"/>
          <w:noProof/>
          <w:szCs w:val="24"/>
        </w:rPr>
        <w:t xml:space="preserve">, </w:t>
      </w:r>
      <w:r w:rsidRPr="00F75FF8">
        <w:rPr>
          <w:rFonts w:ascii="Calibri" w:hAnsi="Calibri" w:cs="Calibri"/>
          <w:i/>
          <w:iCs/>
          <w:noProof/>
          <w:szCs w:val="24"/>
        </w:rPr>
        <w:t>56</w:t>
      </w:r>
      <w:r w:rsidRPr="00F75FF8">
        <w:rPr>
          <w:rFonts w:ascii="Calibri" w:hAnsi="Calibri" w:cs="Calibri"/>
          <w:noProof/>
          <w:szCs w:val="24"/>
        </w:rPr>
        <w:t>(4), 341–350. https://doi.org/10.1016/S0895-4356(03)00007-6</w:t>
      </w:r>
    </w:p>
    <w:p w14:paraId="451E0D22"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Neipp, M.-C., Beyebach, M., Nuñez, R. M., &amp; Martínez-González, M.-C.</w:t>
      </w:r>
      <w:r w:rsidRPr="00F75FF8">
        <w:rPr>
          <w:rFonts w:ascii="Calibri" w:hAnsi="Calibri" w:cs="Calibri"/>
          <w:noProof/>
          <w:szCs w:val="24"/>
        </w:rPr>
        <w:t xml:space="preserve"> (2016). The effect of solution-focused versus problem-focused questions: A replication. </w:t>
      </w:r>
      <w:r w:rsidRPr="00F75FF8">
        <w:rPr>
          <w:rFonts w:ascii="Calibri" w:hAnsi="Calibri" w:cs="Calibri"/>
          <w:i/>
          <w:iCs/>
          <w:noProof/>
          <w:szCs w:val="24"/>
        </w:rPr>
        <w:t>Journal of Marital and Family Therapy</w:t>
      </w:r>
      <w:r w:rsidRPr="00F75FF8">
        <w:rPr>
          <w:rFonts w:ascii="Calibri" w:hAnsi="Calibri" w:cs="Calibri"/>
          <w:noProof/>
          <w:szCs w:val="24"/>
        </w:rPr>
        <w:t xml:space="preserve">, </w:t>
      </w:r>
      <w:r w:rsidRPr="00F75FF8">
        <w:rPr>
          <w:rFonts w:ascii="Calibri" w:hAnsi="Calibri" w:cs="Calibri"/>
          <w:i/>
          <w:iCs/>
          <w:noProof/>
          <w:szCs w:val="24"/>
        </w:rPr>
        <w:t>42</w:t>
      </w:r>
      <w:r w:rsidRPr="00F75FF8">
        <w:rPr>
          <w:rFonts w:ascii="Calibri" w:hAnsi="Calibri" w:cs="Calibri"/>
          <w:noProof/>
          <w:szCs w:val="24"/>
        </w:rPr>
        <w:t>(3), 525–535. https://doi.org/10.1111/jmft.12140</w:t>
      </w:r>
    </w:p>
    <w:p w14:paraId="2CEA9DA1"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Noblett, J. E., Lawrence, R., &amp; Smith, J. G.</w:t>
      </w:r>
      <w:r w:rsidRPr="00F75FF8">
        <w:rPr>
          <w:rFonts w:ascii="Calibri" w:hAnsi="Calibri" w:cs="Calibri"/>
          <w:noProof/>
          <w:szCs w:val="24"/>
        </w:rPr>
        <w:t xml:space="preserve"> (2015). The attitudes of general hospital doctors toward patients with comorbid mental illness. </w:t>
      </w:r>
      <w:r w:rsidRPr="00F75FF8">
        <w:rPr>
          <w:rFonts w:ascii="Calibri" w:hAnsi="Calibri" w:cs="Calibri"/>
          <w:i/>
          <w:iCs/>
          <w:noProof/>
          <w:szCs w:val="24"/>
        </w:rPr>
        <w:t>International Journal of Psychiatry in Medicine</w:t>
      </w:r>
      <w:r w:rsidRPr="00F75FF8">
        <w:rPr>
          <w:rFonts w:ascii="Calibri" w:hAnsi="Calibri" w:cs="Calibri"/>
          <w:noProof/>
          <w:szCs w:val="24"/>
        </w:rPr>
        <w:t xml:space="preserve">, </w:t>
      </w:r>
      <w:r w:rsidRPr="00F75FF8">
        <w:rPr>
          <w:rFonts w:ascii="Calibri" w:hAnsi="Calibri" w:cs="Calibri"/>
          <w:i/>
          <w:iCs/>
          <w:noProof/>
          <w:szCs w:val="24"/>
        </w:rPr>
        <w:t>50</w:t>
      </w:r>
      <w:r w:rsidRPr="00F75FF8">
        <w:rPr>
          <w:rFonts w:ascii="Calibri" w:hAnsi="Calibri" w:cs="Calibri"/>
          <w:noProof/>
          <w:szCs w:val="24"/>
        </w:rPr>
        <w:t>(4), 370–382. https://doi.org/10.1177/0091217415612721</w:t>
      </w:r>
    </w:p>
    <w:p w14:paraId="3FADFFE2"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lang w:val="nl-NL"/>
        </w:rPr>
      </w:pPr>
      <w:r w:rsidRPr="00F75FF8">
        <w:rPr>
          <w:rFonts w:ascii="Calibri" w:hAnsi="Calibri" w:cs="Calibri"/>
          <w:b/>
          <w:bCs/>
          <w:noProof/>
          <w:szCs w:val="24"/>
        </w:rPr>
        <w:t>Padesky, C., &amp; Mooney, K.</w:t>
      </w:r>
      <w:r w:rsidRPr="00F75FF8">
        <w:rPr>
          <w:rFonts w:ascii="Calibri" w:hAnsi="Calibri" w:cs="Calibri"/>
          <w:noProof/>
          <w:szCs w:val="24"/>
        </w:rPr>
        <w:t xml:space="preserve"> (2012). Strengths-based cognitive-behavioural therapy: a four-step model to build resilience. </w:t>
      </w:r>
      <w:r w:rsidRPr="00F75FF8">
        <w:rPr>
          <w:rFonts w:ascii="Calibri" w:hAnsi="Calibri" w:cs="Calibri"/>
          <w:i/>
          <w:iCs/>
          <w:noProof/>
          <w:szCs w:val="24"/>
          <w:lang w:val="nl-NL"/>
        </w:rPr>
        <w:t>Clinical Psychology &amp; Psychotherapy</w:t>
      </w:r>
      <w:r w:rsidRPr="00F75FF8">
        <w:rPr>
          <w:rFonts w:ascii="Calibri" w:hAnsi="Calibri" w:cs="Calibri"/>
          <w:noProof/>
          <w:szCs w:val="24"/>
          <w:lang w:val="nl-NL"/>
        </w:rPr>
        <w:t xml:space="preserve">, </w:t>
      </w:r>
      <w:r w:rsidRPr="00F75FF8">
        <w:rPr>
          <w:rFonts w:ascii="Calibri" w:hAnsi="Calibri" w:cs="Calibri"/>
          <w:i/>
          <w:iCs/>
          <w:noProof/>
          <w:szCs w:val="24"/>
          <w:lang w:val="nl-NL"/>
        </w:rPr>
        <w:t>19</w:t>
      </w:r>
      <w:r w:rsidRPr="00F75FF8">
        <w:rPr>
          <w:rFonts w:ascii="Calibri" w:hAnsi="Calibri" w:cs="Calibri"/>
          <w:noProof/>
          <w:szCs w:val="24"/>
          <w:lang w:val="nl-NL"/>
        </w:rPr>
        <w:t>(4), 283–290. https://doi.org/10.1002/cpp.1795</w:t>
      </w:r>
    </w:p>
    <w:p w14:paraId="113E4524"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lang w:val="nl-NL"/>
        </w:rPr>
        <w:t>Snyder, C. R.</w:t>
      </w:r>
      <w:r w:rsidRPr="00F75FF8">
        <w:rPr>
          <w:rFonts w:ascii="Calibri" w:hAnsi="Calibri" w:cs="Calibri"/>
          <w:noProof/>
          <w:szCs w:val="24"/>
          <w:lang w:val="nl-NL"/>
        </w:rPr>
        <w:t xml:space="preserve"> (2002). </w:t>
      </w:r>
      <w:r w:rsidRPr="00F75FF8">
        <w:rPr>
          <w:rFonts w:ascii="Calibri" w:hAnsi="Calibri" w:cs="Calibri"/>
          <w:noProof/>
          <w:szCs w:val="24"/>
        </w:rPr>
        <w:t xml:space="preserve">TARGET ARTICLE: Hope Theory: Rainbows in the Mind. </w:t>
      </w:r>
      <w:r w:rsidRPr="00F75FF8">
        <w:rPr>
          <w:rFonts w:ascii="Calibri" w:hAnsi="Calibri" w:cs="Calibri"/>
          <w:i/>
          <w:iCs/>
          <w:noProof/>
          <w:szCs w:val="24"/>
        </w:rPr>
        <w:t>Psychological Inquiry</w:t>
      </w:r>
      <w:r w:rsidRPr="00F75FF8">
        <w:rPr>
          <w:rFonts w:ascii="Calibri" w:hAnsi="Calibri" w:cs="Calibri"/>
          <w:noProof/>
          <w:szCs w:val="24"/>
        </w:rPr>
        <w:t xml:space="preserve">, </w:t>
      </w:r>
      <w:r w:rsidRPr="00F75FF8">
        <w:rPr>
          <w:rFonts w:ascii="Calibri" w:hAnsi="Calibri" w:cs="Calibri"/>
          <w:i/>
          <w:iCs/>
          <w:noProof/>
          <w:szCs w:val="24"/>
        </w:rPr>
        <w:t>13</w:t>
      </w:r>
      <w:r w:rsidRPr="00F75FF8">
        <w:rPr>
          <w:rFonts w:ascii="Calibri" w:hAnsi="Calibri" w:cs="Calibri"/>
          <w:noProof/>
          <w:szCs w:val="24"/>
        </w:rPr>
        <w:t>(4), 249–275. https://doi.org/10.1207/S15327965PLI1304_01</w:t>
      </w:r>
    </w:p>
    <w:p w14:paraId="1CEF26DC"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Snyder, C. R., Ilardi, S. S., Cheavens, J., Michael, S. T., Yamhure, L., &amp; Sympson, S.</w:t>
      </w:r>
      <w:r w:rsidRPr="00F75FF8">
        <w:rPr>
          <w:rFonts w:ascii="Calibri" w:hAnsi="Calibri" w:cs="Calibri"/>
          <w:noProof/>
          <w:szCs w:val="24"/>
        </w:rPr>
        <w:t xml:space="preserve"> (2000). The Role of Hope in Cognitive-Behavior Therapies. </w:t>
      </w:r>
      <w:r w:rsidRPr="00F75FF8">
        <w:rPr>
          <w:rFonts w:ascii="Calibri" w:hAnsi="Calibri" w:cs="Calibri"/>
          <w:i/>
          <w:iCs/>
          <w:noProof/>
          <w:szCs w:val="24"/>
        </w:rPr>
        <w:t>Cognitive Therapy and Research</w:t>
      </w:r>
      <w:r w:rsidRPr="00F75FF8">
        <w:rPr>
          <w:rFonts w:ascii="Calibri" w:hAnsi="Calibri" w:cs="Calibri"/>
          <w:noProof/>
          <w:szCs w:val="24"/>
        </w:rPr>
        <w:t xml:space="preserve">, </w:t>
      </w:r>
      <w:r w:rsidRPr="00F75FF8">
        <w:rPr>
          <w:rFonts w:ascii="Calibri" w:hAnsi="Calibri" w:cs="Calibri"/>
          <w:i/>
          <w:iCs/>
          <w:noProof/>
          <w:szCs w:val="24"/>
        </w:rPr>
        <w:t>24</w:t>
      </w:r>
      <w:r w:rsidRPr="00F75FF8">
        <w:rPr>
          <w:rFonts w:ascii="Calibri" w:hAnsi="Calibri" w:cs="Calibri"/>
          <w:noProof/>
          <w:szCs w:val="24"/>
        </w:rPr>
        <w:t>, 747–762. https://doi.org/10.1023/A:1005547730153</w:t>
      </w:r>
    </w:p>
    <w:p w14:paraId="1DB282EA"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Tversky, A., &amp; Kahneman, D.</w:t>
      </w:r>
      <w:r w:rsidRPr="00F75FF8">
        <w:rPr>
          <w:rFonts w:ascii="Calibri" w:hAnsi="Calibri" w:cs="Calibri"/>
          <w:noProof/>
          <w:szCs w:val="24"/>
        </w:rPr>
        <w:t xml:space="preserve"> (1974). Judgment under uncertainty: heuristics and biases. Biases in judgments reveal some heuristics of thinking under uncertainty. </w:t>
      </w:r>
      <w:r w:rsidRPr="00F75FF8">
        <w:rPr>
          <w:rFonts w:ascii="Calibri" w:hAnsi="Calibri" w:cs="Calibri"/>
          <w:i/>
          <w:iCs/>
          <w:noProof/>
          <w:szCs w:val="24"/>
        </w:rPr>
        <w:t>Science</w:t>
      </w:r>
      <w:r w:rsidRPr="00F75FF8">
        <w:rPr>
          <w:rFonts w:ascii="Calibri" w:hAnsi="Calibri" w:cs="Calibri"/>
          <w:noProof/>
          <w:szCs w:val="24"/>
        </w:rPr>
        <w:t xml:space="preserve">, </w:t>
      </w:r>
      <w:r w:rsidRPr="00F75FF8">
        <w:rPr>
          <w:rFonts w:ascii="Calibri" w:hAnsi="Calibri" w:cs="Calibri"/>
          <w:i/>
          <w:iCs/>
          <w:noProof/>
          <w:szCs w:val="24"/>
        </w:rPr>
        <w:t>185</w:t>
      </w:r>
      <w:r w:rsidRPr="00F75FF8">
        <w:rPr>
          <w:rFonts w:ascii="Calibri" w:hAnsi="Calibri" w:cs="Calibri"/>
          <w:noProof/>
          <w:szCs w:val="24"/>
        </w:rPr>
        <w:t>(4157), 1124–1131.</w:t>
      </w:r>
    </w:p>
    <w:p w14:paraId="64551F4D"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Van Cappellen, P., Rice, E. L., Catalino, L. I., &amp; Fredrickson, B. L.</w:t>
      </w:r>
      <w:r w:rsidRPr="00F75FF8">
        <w:rPr>
          <w:rFonts w:ascii="Calibri" w:hAnsi="Calibri" w:cs="Calibri"/>
          <w:noProof/>
          <w:szCs w:val="24"/>
        </w:rPr>
        <w:t xml:space="preserve"> (2018). Positive affective processes underlie positive health behaviour change. </w:t>
      </w:r>
      <w:r w:rsidRPr="00F75FF8">
        <w:rPr>
          <w:rFonts w:ascii="Calibri" w:hAnsi="Calibri" w:cs="Calibri"/>
          <w:i/>
          <w:iCs/>
          <w:noProof/>
          <w:szCs w:val="24"/>
        </w:rPr>
        <w:t>Psychology &amp; Health</w:t>
      </w:r>
      <w:r w:rsidRPr="00F75FF8">
        <w:rPr>
          <w:rFonts w:ascii="Calibri" w:hAnsi="Calibri" w:cs="Calibri"/>
          <w:noProof/>
          <w:szCs w:val="24"/>
        </w:rPr>
        <w:t xml:space="preserve">, </w:t>
      </w:r>
      <w:r w:rsidRPr="00F75FF8">
        <w:rPr>
          <w:rFonts w:ascii="Calibri" w:hAnsi="Calibri" w:cs="Calibri"/>
          <w:i/>
          <w:iCs/>
          <w:noProof/>
          <w:szCs w:val="24"/>
        </w:rPr>
        <w:t>33</w:t>
      </w:r>
      <w:r w:rsidRPr="00F75FF8">
        <w:rPr>
          <w:rFonts w:ascii="Calibri" w:hAnsi="Calibri" w:cs="Calibri"/>
          <w:noProof/>
          <w:szCs w:val="24"/>
        </w:rPr>
        <w:t>(1), 77–97. https://doi.org/10.1080/08870446.2017.1320798</w:t>
      </w:r>
    </w:p>
    <w:p w14:paraId="309EB413"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szCs w:val="24"/>
        </w:rPr>
      </w:pPr>
      <w:r w:rsidRPr="00F75FF8">
        <w:rPr>
          <w:rFonts w:ascii="Calibri" w:hAnsi="Calibri" w:cs="Calibri"/>
          <w:b/>
          <w:bCs/>
          <w:noProof/>
          <w:szCs w:val="24"/>
        </w:rPr>
        <w:t>Vandenberghe, L., &amp; Silvestre, R. L. S.</w:t>
      </w:r>
      <w:r w:rsidRPr="00F75FF8">
        <w:rPr>
          <w:rFonts w:ascii="Calibri" w:hAnsi="Calibri" w:cs="Calibri"/>
          <w:noProof/>
          <w:szCs w:val="24"/>
        </w:rPr>
        <w:t xml:space="preserve"> (2014). Therapists’ positive emotions in-session: Why they happen and what they are good for. </w:t>
      </w:r>
      <w:r w:rsidRPr="00F75FF8">
        <w:rPr>
          <w:rFonts w:ascii="Calibri" w:hAnsi="Calibri" w:cs="Calibri"/>
          <w:i/>
          <w:iCs/>
          <w:noProof/>
          <w:szCs w:val="24"/>
        </w:rPr>
        <w:t>Counselling and Psychotherapy Research</w:t>
      </w:r>
      <w:r w:rsidRPr="00F75FF8">
        <w:rPr>
          <w:rFonts w:ascii="Calibri" w:hAnsi="Calibri" w:cs="Calibri"/>
          <w:noProof/>
          <w:szCs w:val="24"/>
        </w:rPr>
        <w:t xml:space="preserve">, </w:t>
      </w:r>
      <w:r w:rsidRPr="00F75FF8">
        <w:rPr>
          <w:rFonts w:ascii="Calibri" w:hAnsi="Calibri" w:cs="Calibri"/>
          <w:i/>
          <w:iCs/>
          <w:noProof/>
          <w:szCs w:val="24"/>
        </w:rPr>
        <w:t>14</w:t>
      </w:r>
      <w:r w:rsidRPr="00F75FF8">
        <w:rPr>
          <w:rFonts w:ascii="Calibri" w:hAnsi="Calibri" w:cs="Calibri"/>
          <w:noProof/>
          <w:szCs w:val="24"/>
        </w:rPr>
        <w:t>(2), 119–127. https://doi.org/10.1080/14733145.2013.790455</w:t>
      </w:r>
    </w:p>
    <w:p w14:paraId="536F1458" w14:textId="77777777" w:rsidR="00B502FE" w:rsidRPr="00F75FF8" w:rsidRDefault="00B502FE" w:rsidP="00B502FE">
      <w:pPr>
        <w:widowControl w:val="0"/>
        <w:autoSpaceDE w:val="0"/>
        <w:autoSpaceDN w:val="0"/>
        <w:adjustRightInd w:val="0"/>
        <w:spacing w:line="480" w:lineRule="auto"/>
        <w:ind w:left="480" w:hanging="480"/>
        <w:rPr>
          <w:rFonts w:ascii="Calibri" w:hAnsi="Calibri" w:cs="Calibri"/>
          <w:noProof/>
        </w:rPr>
      </w:pPr>
      <w:r w:rsidRPr="00F75FF8">
        <w:rPr>
          <w:rFonts w:ascii="Calibri" w:hAnsi="Calibri" w:cs="Calibri"/>
          <w:b/>
          <w:bCs/>
          <w:noProof/>
          <w:szCs w:val="24"/>
        </w:rPr>
        <w:t>West, T. H. R., Daher, P., Dawson, J. F., Lyubovnikova, J., Buttigieg, S. C., &amp; West, M. A.</w:t>
      </w:r>
      <w:r w:rsidRPr="00F75FF8">
        <w:rPr>
          <w:rFonts w:ascii="Calibri" w:hAnsi="Calibri" w:cs="Calibri"/>
          <w:noProof/>
          <w:szCs w:val="24"/>
        </w:rPr>
        <w:t xml:space="preserve"> (2022). The relationship between leader support, staff influence over decision making, work pressure and patient satisfaction: a cross-sectional analysis of NHS datasets in England. </w:t>
      </w:r>
      <w:r w:rsidRPr="00F75FF8">
        <w:rPr>
          <w:rFonts w:ascii="Calibri" w:hAnsi="Calibri" w:cs="Calibri"/>
          <w:i/>
          <w:iCs/>
          <w:noProof/>
          <w:szCs w:val="24"/>
        </w:rPr>
        <w:t>BMJ Open</w:t>
      </w:r>
      <w:r w:rsidRPr="00F75FF8">
        <w:rPr>
          <w:rFonts w:ascii="Calibri" w:hAnsi="Calibri" w:cs="Calibri"/>
          <w:noProof/>
          <w:szCs w:val="24"/>
        </w:rPr>
        <w:t xml:space="preserve">, </w:t>
      </w:r>
      <w:r w:rsidRPr="00F75FF8">
        <w:rPr>
          <w:rFonts w:ascii="Calibri" w:hAnsi="Calibri" w:cs="Calibri"/>
          <w:i/>
          <w:iCs/>
          <w:noProof/>
          <w:szCs w:val="24"/>
        </w:rPr>
        <w:t>12</w:t>
      </w:r>
      <w:r w:rsidRPr="00F75FF8">
        <w:rPr>
          <w:rFonts w:ascii="Calibri" w:hAnsi="Calibri" w:cs="Calibri"/>
          <w:noProof/>
          <w:szCs w:val="24"/>
        </w:rPr>
        <w:t>(2), e052778. https://doi.org/10.1136/BMJOPEN-2021-052778</w:t>
      </w:r>
    </w:p>
    <w:p w14:paraId="2E8473F0" w14:textId="2E175243" w:rsidR="00645B33" w:rsidRPr="00F75FF8" w:rsidRDefault="008A5B84" w:rsidP="001231FD">
      <w:pPr>
        <w:spacing w:line="480" w:lineRule="auto"/>
        <w:contextualSpacing/>
      </w:pPr>
      <w:r w:rsidRPr="00F75FF8">
        <w:fldChar w:fldCharType="end"/>
      </w:r>
    </w:p>
    <w:p w14:paraId="4FBBA8DC" w14:textId="77777777" w:rsidR="00645B33" w:rsidRPr="00F75FF8" w:rsidRDefault="00645B33">
      <w:r w:rsidRPr="00F75FF8">
        <w:br w:type="page"/>
      </w:r>
    </w:p>
    <w:p w14:paraId="4175D302" w14:textId="00D39EF3" w:rsidR="005D409A" w:rsidRPr="00F75FF8" w:rsidRDefault="005D409A" w:rsidP="005D409A">
      <w:pPr>
        <w:contextualSpacing/>
        <w:jc w:val="center"/>
      </w:pPr>
      <w:r w:rsidRPr="00F75FF8">
        <w:t>Appendix</w:t>
      </w:r>
    </w:p>
    <w:p w14:paraId="51857943" w14:textId="77777777" w:rsidR="005D409A" w:rsidRPr="00F75FF8" w:rsidRDefault="005D409A" w:rsidP="005D409A">
      <w:pPr>
        <w:contextualSpacing/>
        <w:jc w:val="center"/>
      </w:pPr>
    </w:p>
    <w:p w14:paraId="602CC147" w14:textId="0889E6E5" w:rsidR="005D409A" w:rsidRPr="00F75FF8" w:rsidRDefault="005D409A" w:rsidP="005D409A">
      <w:pPr>
        <w:numPr>
          <w:ilvl w:val="0"/>
          <w:numId w:val="3"/>
        </w:numPr>
        <w:contextualSpacing/>
        <w:jc w:val="center"/>
        <w:rPr>
          <w:b/>
        </w:rPr>
      </w:pPr>
      <w:r w:rsidRPr="00F75FF8">
        <w:rPr>
          <w:b/>
        </w:rPr>
        <w:t>Examples of Solution-focused vignettes</w:t>
      </w:r>
    </w:p>
    <w:p w14:paraId="2D6B9F2E" w14:textId="77777777" w:rsidR="005D409A" w:rsidRPr="00F75FF8" w:rsidRDefault="005D409A" w:rsidP="00C545E3">
      <w:pPr>
        <w:ind w:left="720"/>
        <w:contextualSpacing/>
        <w:rPr>
          <w:b/>
        </w:rPr>
      </w:pPr>
    </w:p>
    <w:p w14:paraId="2FFF9A8F" w14:textId="77777777" w:rsidR="005D409A" w:rsidRPr="00F75FF8" w:rsidRDefault="005D409A" w:rsidP="005D409A">
      <w:pPr>
        <w:contextualSpacing/>
        <w:rPr>
          <w:b/>
          <w:bCs/>
          <w:lang w:val="en-GB"/>
        </w:rPr>
      </w:pPr>
      <w:r w:rsidRPr="00F75FF8">
        <w:rPr>
          <w:b/>
          <w:bCs/>
          <w:lang w:val="en-GB"/>
        </w:rPr>
        <w:t>Dean McCoy, male, 28 years old, train conductor.</w:t>
      </w:r>
    </w:p>
    <w:p w14:paraId="7BD92AA6" w14:textId="77777777" w:rsidR="005D409A" w:rsidRPr="00F75FF8" w:rsidRDefault="005D409A" w:rsidP="005D409A">
      <w:pPr>
        <w:contextualSpacing/>
        <w:rPr>
          <w:lang w:val="en-GB"/>
        </w:rPr>
      </w:pPr>
    </w:p>
    <w:p w14:paraId="5546262D" w14:textId="77777777" w:rsidR="005D409A" w:rsidRPr="00F75FF8" w:rsidRDefault="005D409A" w:rsidP="005D409A">
      <w:pPr>
        <w:contextualSpacing/>
        <w:rPr>
          <w:lang w:val="en-GB"/>
        </w:rPr>
      </w:pPr>
      <w:r w:rsidRPr="00F75FF8">
        <w:rPr>
          <w:b/>
          <w:bCs/>
          <w:lang w:val="en-GB"/>
        </w:rPr>
        <w:t>1 Short Problem Description</w:t>
      </w:r>
    </w:p>
    <w:p w14:paraId="7F33808F" w14:textId="77777777" w:rsidR="005D409A" w:rsidRPr="00F75FF8" w:rsidRDefault="005D409A" w:rsidP="005D409A">
      <w:pPr>
        <w:contextualSpacing/>
        <w:rPr>
          <w:lang w:val="en-GB"/>
        </w:rPr>
      </w:pPr>
      <w:r w:rsidRPr="00F75FF8">
        <w:rPr>
          <w:lang w:val="en-GB"/>
        </w:rPr>
        <w:t>Dean has sought help through his medical officer because he has been feeling irritable, worn out, anxious, has trouble concentrating, as well as fleeting suicidal thoughts (no concrete plans, though). These problems started 2 months ago, when he found out that his girlfriend cheated on him and he subsequently left her. He went on sick leave 3,5 weeks ago, because he was unable to focus on his work and received a warning from his boss after nearly causing an accident.</w:t>
      </w:r>
    </w:p>
    <w:p w14:paraId="75D7E395" w14:textId="77777777" w:rsidR="005D409A" w:rsidRPr="00F75FF8" w:rsidRDefault="005D409A" w:rsidP="005D409A">
      <w:pPr>
        <w:contextualSpacing/>
        <w:rPr>
          <w:lang w:val="en-GB"/>
        </w:rPr>
      </w:pPr>
    </w:p>
    <w:p w14:paraId="7642D239" w14:textId="77777777" w:rsidR="005D409A" w:rsidRPr="00F75FF8" w:rsidRDefault="005D409A" w:rsidP="005D409A">
      <w:pPr>
        <w:contextualSpacing/>
        <w:rPr>
          <w:lang w:val="en-GB"/>
        </w:rPr>
      </w:pPr>
      <w:r w:rsidRPr="00F75FF8">
        <w:rPr>
          <w:b/>
          <w:bCs/>
          <w:lang w:val="en-GB"/>
        </w:rPr>
        <w:t>2 Goal Formulation</w:t>
      </w:r>
    </w:p>
    <w:p w14:paraId="7C87C1B9" w14:textId="77777777" w:rsidR="005D409A" w:rsidRPr="00F75FF8" w:rsidRDefault="005D409A" w:rsidP="005D409A">
      <w:pPr>
        <w:contextualSpacing/>
        <w:rPr>
          <w:lang w:val="en-GB"/>
        </w:rPr>
      </w:pPr>
      <w:r w:rsidRPr="00F75FF8">
        <w:rPr>
          <w:lang w:val="en-GB"/>
        </w:rPr>
        <w:t>In the best case scenario, Dean will be head conductor (he always believed that he was hard working enough to achieve this), be in a loving relationship with someone, and have a family that brings him joy and that he can take care of. He will feel independent and secure enough to travel around the world – something he has always wanted to do. He will then feel positive and self-confident. He rates this scenario as the ideal situation (10 on the scale of 10 [ideal] to 0 [the opposite]).</w:t>
      </w:r>
    </w:p>
    <w:p w14:paraId="7F1FE17F" w14:textId="77777777" w:rsidR="005D409A" w:rsidRPr="00F75FF8" w:rsidRDefault="005D409A" w:rsidP="005D409A">
      <w:pPr>
        <w:ind w:firstLine="720"/>
        <w:contextualSpacing/>
        <w:rPr>
          <w:lang w:val="en-GB"/>
        </w:rPr>
      </w:pPr>
      <w:r w:rsidRPr="00F75FF8">
        <w:rPr>
          <w:lang w:val="en-GB"/>
        </w:rPr>
        <w:t>As a result of therapy, Dean wishes to improve his current situation to an 8 out of 10. At an 8, he will be able to concentrate, he will feel energized and confident in what the future holds, and he will be the outgoing person he used to be before his problems started. He will be confident about meeting new people and start meeting girls, maybe through an online dating platform. He will also be back in his job as train conductor. With regard to his family, Dean will skype with his twin brother in Australia more often, and visit his parents approximately once a week. Furthermore, at an 8, Dean will meet up with friends twice a week and go to the mountain biking club meetings on Sundays.</w:t>
      </w:r>
    </w:p>
    <w:p w14:paraId="051AB8C1" w14:textId="77777777" w:rsidR="005D409A" w:rsidRPr="00F75FF8" w:rsidRDefault="005D409A" w:rsidP="005D409A">
      <w:pPr>
        <w:ind w:firstLine="720"/>
        <w:contextualSpacing/>
        <w:rPr>
          <w:lang w:val="en-GB"/>
        </w:rPr>
      </w:pPr>
    </w:p>
    <w:p w14:paraId="6D2E8214" w14:textId="77777777" w:rsidR="005D409A" w:rsidRPr="00F75FF8" w:rsidRDefault="005D409A" w:rsidP="005D409A">
      <w:pPr>
        <w:contextualSpacing/>
        <w:rPr>
          <w:lang w:val="en-GB"/>
        </w:rPr>
      </w:pPr>
      <w:r w:rsidRPr="00F75FF8">
        <w:rPr>
          <w:b/>
          <w:bCs/>
          <w:lang w:val="en-GB"/>
        </w:rPr>
        <w:t>3 Better moments / Exceptions to problems</w:t>
      </w:r>
    </w:p>
    <w:p w14:paraId="2C411B6C" w14:textId="77777777" w:rsidR="005D409A" w:rsidRPr="00F75FF8" w:rsidRDefault="005D409A" w:rsidP="005D409A">
      <w:pPr>
        <w:contextualSpacing/>
        <w:rPr>
          <w:lang w:val="en-GB"/>
        </w:rPr>
      </w:pPr>
      <w:r w:rsidRPr="00F75FF8">
        <w:rPr>
          <w:lang w:val="en-GB"/>
        </w:rPr>
        <w:t>Dean used to enjoy going to the mountain biking club meetings. Although he has not been for a couple of months now, the memory of attending it every week is a happy thought. He likes his work as a train conductor; this is exactly the job he dreamt of when he was a little boy. He has a good relationship with some of the colleagues there. When he speaks with his twin brother Alex, they can laugh together and share jokes, which temporarily lifts his mood. With one of his friends, who is divorced, he can talk about his current difficulties and then feels understood. When his mother drives the 30 km to his home just to bring him home cooked lunch, he feels cared for.</w:t>
      </w:r>
    </w:p>
    <w:p w14:paraId="58C5D646" w14:textId="77777777" w:rsidR="005D409A" w:rsidRPr="00F75FF8" w:rsidRDefault="005D409A" w:rsidP="005D409A">
      <w:pPr>
        <w:contextualSpacing/>
        <w:rPr>
          <w:lang w:val="en-GB"/>
        </w:rPr>
      </w:pPr>
    </w:p>
    <w:p w14:paraId="38BA25AE" w14:textId="77777777" w:rsidR="005D409A" w:rsidRPr="00F75FF8" w:rsidRDefault="005D409A" w:rsidP="005D409A">
      <w:pPr>
        <w:contextualSpacing/>
        <w:rPr>
          <w:lang w:val="en-GB"/>
        </w:rPr>
      </w:pPr>
      <w:r w:rsidRPr="00F75FF8">
        <w:rPr>
          <w:b/>
          <w:bCs/>
          <w:lang w:val="en-GB"/>
        </w:rPr>
        <w:t>4 Scaling of Improvement</w:t>
      </w:r>
    </w:p>
    <w:p w14:paraId="58444D6A" w14:textId="77777777" w:rsidR="005D409A" w:rsidRPr="00F75FF8" w:rsidRDefault="005D409A" w:rsidP="005D409A">
      <w:pPr>
        <w:contextualSpacing/>
        <w:rPr>
          <w:lang w:val="en-GB"/>
        </w:rPr>
      </w:pPr>
      <w:r w:rsidRPr="00F75FF8">
        <w:t>Currently, a typical day for Dean mainly consists of watching TV. Occasionally, he has a check-up with his medical officer. Sometimes, he manages to visit his parents. For Dean, a typical day is at a 3 (and not lower) because he realizes that he does have things in his life that he is grateful of: his caring parents, his brother, his job that he believes he will be able to get back to, and the friends he has had since high school.</w:t>
      </w:r>
    </w:p>
    <w:p w14:paraId="4F5AC71B" w14:textId="77777777" w:rsidR="005D409A" w:rsidRPr="00F75FF8" w:rsidRDefault="005D409A" w:rsidP="005D409A">
      <w:pPr>
        <w:ind w:firstLine="720"/>
        <w:contextualSpacing/>
        <w:rPr>
          <w:lang w:val="en-GB"/>
        </w:rPr>
      </w:pPr>
      <w:r w:rsidRPr="00F75FF8">
        <w:t>First signs of him improving (a 4 out of 10), he believes, are feeling slightly more energetic, asking one of his mates over for a Netflix evening, and attending the mountain bike club meetings.</w:t>
      </w:r>
    </w:p>
    <w:p w14:paraId="68952A5A" w14:textId="77777777" w:rsidR="005D409A" w:rsidRPr="00F75FF8" w:rsidRDefault="005D409A" w:rsidP="005D409A">
      <w:pPr>
        <w:contextualSpacing/>
        <w:rPr>
          <w:lang w:val="en-GB"/>
        </w:rPr>
      </w:pPr>
    </w:p>
    <w:p w14:paraId="72A18E64" w14:textId="77777777" w:rsidR="005D409A" w:rsidRPr="00F75FF8" w:rsidRDefault="005D409A" w:rsidP="005D409A">
      <w:pPr>
        <w:contextualSpacing/>
      </w:pPr>
      <w:r w:rsidRPr="00F75FF8">
        <w:rPr>
          <w:b/>
          <w:bCs/>
        </w:rPr>
        <w:t>Julia Keller, female, 29 years, assistant teacher. </w:t>
      </w:r>
      <w:r w:rsidRPr="00F75FF8">
        <w:br/>
      </w:r>
      <w:r w:rsidRPr="00F75FF8">
        <w:br/>
      </w:r>
      <w:r w:rsidRPr="00F75FF8">
        <w:rPr>
          <w:b/>
          <w:bCs/>
        </w:rPr>
        <w:t>1 Short Problem Description </w:t>
      </w:r>
      <w:r w:rsidRPr="00F75FF8">
        <w:br/>
        <w:t>Julia has symptoms of depression that were triggered by a miscarriage (10 months ago), followed by her fiancé breaking up with her (8 months ago). She had to reduce her work hours because of her lack of energy. At home, she sleeps a lot but still feels drained. She reports feeling estranged from herself because she does not feel any emotions, just numbness. When her friend, Helen, who comes and picks her up to go to work, had to remind her to shower for work, Julia realized that she needs help. Her aim is to get on and reengage with life.</w:t>
      </w:r>
      <w:r w:rsidRPr="00F75FF8">
        <w:br/>
      </w:r>
      <w:r w:rsidRPr="00F75FF8">
        <w:br/>
      </w:r>
      <w:r w:rsidRPr="00F75FF8">
        <w:rPr>
          <w:b/>
          <w:bCs/>
        </w:rPr>
        <w:t>2 Goal Formulation</w:t>
      </w:r>
      <w:r w:rsidRPr="00F75FF8">
        <w:br/>
        <w:t>In the ideal situation, Julia will feel energetic and confident again. She will work full-time and enjoy her position as teaching assistant – especially the interaction with the children. She will contribute to the teaching plans with her own ideas for the music lessons, and write her own songs for the class. Also, she wants to give back to Helen. She knows that Helen has problems of her own and she wants to support her, just as Helen has supported Julia. She will also open herself up to different experiences and people; she will try out new hobbies such as joining a choir or learning to dance. She rates this scenario as the ideal situation (10 on the scale of 10 [ideal] to 0 [the opposite]). </w:t>
      </w:r>
    </w:p>
    <w:p w14:paraId="3AE08DD0" w14:textId="77777777" w:rsidR="005D409A" w:rsidRPr="00F75FF8" w:rsidRDefault="005D409A" w:rsidP="005D409A">
      <w:pPr>
        <w:ind w:firstLine="720"/>
        <w:contextualSpacing/>
      </w:pPr>
      <w:r w:rsidRPr="00F75FF8">
        <w:t>As a result of therapy, Julia wishes to improve her situation to a 7,5 out of 10. At a 7,5, she will work 6 hours a day and have enough energy left to engage in pleasant activities. She will experiment with music and feel inspired by new songs she hears. She will be baby-sitting Helen’s children twice a month, and she will feel confident in her ability to make further progress by herself.</w:t>
      </w:r>
    </w:p>
    <w:p w14:paraId="53AD253A" w14:textId="77777777" w:rsidR="005D409A" w:rsidRPr="00F75FF8" w:rsidRDefault="005D409A" w:rsidP="005D409A">
      <w:pPr>
        <w:ind w:firstLine="720"/>
        <w:contextualSpacing/>
      </w:pPr>
    </w:p>
    <w:p w14:paraId="3479F28B" w14:textId="77777777" w:rsidR="005D409A" w:rsidRPr="00F75FF8" w:rsidRDefault="005D409A" w:rsidP="005D409A">
      <w:pPr>
        <w:contextualSpacing/>
      </w:pPr>
      <w:r w:rsidRPr="00F75FF8">
        <w:rPr>
          <w:b/>
          <w:bCs/>
        </w:rPr>
        <w:t>3 Better moments / exceptions to problems</w:t>
      </w:r>
      <w:r w:rsidRPr="00F75FF8">
        <w:br/>
        <w:t>A couple of weeks ago, a colleague at work complimented her on one of the songs she wrote for the class last year. He asked whether he might be able to use it for the end of year theatre performance. This made her feel proud and accomplished. </w:t>
      </w:r>
    </w:p>
    <w:p w14:paraId="455A9B7B" w14:textId="77777777" w:rsidR="005D409A" w:rsidRPr="00F75FF8" w:rsidRDefault="005D409A" w:rsidP="005D409A">
      <w:pPr>
        <w:ind w:firstLine="720"/>
        <w:contextualSpacing/>
      </w:pPr>
      <w:r w:rsidRPr="00F75FF8">
        <w:t>Last week, one of the children in her class came to sit on her lap and gave her a hug, out of nowhere. Even though the feeling was very fleeting, unexpectedly connecting with the child and feeling its innocence and warmth made her feel slightly cheerful.</w:t>
      </w:r>
    </w:p>
    <w:p w14:paraId="400BA77C" w14:textId="77777777" w:rsidR="005D409A" w:rsidRPr="00F75FF8" w:rsidRDefault="005D409A" w:rsidP="005D409A">
      <w:pPr>
        <w:ind w:firstLine="720"/>
        <w:contextualSpacing/>
      </w:pPr>
      <w:r w:rsidRPr="00F75FF8">
        <w:t>When asked to identify better moments, Julia notices that she feels slightly better and more energetic when she takes care of her rabbit in the evenings. She enjoys stroking its soft fur, with the rabbit’s long whiskers tickling her cheek as it sniffs her face. When the rabbit closes its eyes and snuggles up closer to her, she gets a sense of being wanted and needed.</w:t>
      </w:r>
      <w:r w:rsidRPr="00F75FF8">
        <w:br/>
      </w:r>
      <w:r w:rsidRPr="00F75FF8">
        <w:br/>
      </w:r>
      <w:r w:rsidRPr="00F75FF8">
        <w:rPr>
          <w:b/>
          <w:bCs/>
        </w:rPr>
        <w:t>4 Scaling of Improvement </w:t>
      </w:r>
      <w:r w:rsidRPr="00F75FF8">
        <w:br/>
        <w:t>Julia currently positions her situation at a 3 on the scale of 10 (ideal) to 0 (the opposite). Helen and her consistent support play an important role in preventing her from feeling any worse. With the help from Helen, Julia feels like she has been able to preserve a small reserve of strength, which has kept her going in the last couple of months. The love for her job is also a motivator; she knows that her job can make her happy and recognizes how lucky she is to have it. </w:t>
      </w:r>
    </w:p>
    <w:p w14:paraId="1A2505CF" w14:textId="77777777" w:rsidR="005D409A" w:rsidRPr="00F75FF8" w:rsidRDefault="005D409A" w:rsidP="005D409A">
      <w:pPr>
        <w:ind w:firstLine="720"/>
        <w:contextualSpacing/>
      </w:pPr>
      <w:r w:rsidRPr="00F75FF8">
        <w:t>For Julia, the next sign of improvement will be returning to work for one additional hour per day. Previously, her work has always invigorated and inspired her. She will ask whether she can teach the youngest class of children in this extra hour, because this is the age group she likes best, and feels that she is best at connecting with.</w:t>
      </w:r>
    </w:p>
    <w:p w14:paraId="195C8DCC" w14:textId="75BFDF97" w:rsidR="005D409A" w:rsidRPr="00F75FF8" w:rsidRDefault="005D409A" w:rsidP="005D409A">
      <w:pPr>
        <w:rPr>
          <w:b/>
        </w:rPr>
      </w:pPr>
    </w:p>
    <w:p w14:paraId="5CF1AA80" w14:textId="77777777" w:rsidR="005D409A" w:rsidRPr="00F75FF8" w:rsidRDefault="005D409A" w:rsidP="005D409A">
      <w:pPr>
        <w:rPr>
          <w:b/>
        </w:rPr>
      </w:pPr>
    </w:p>
    <w:p w14:paraId="0EB89C69" w14:textId="14C68633" w:rsidR="005D409A" w:rsidRPr="00F75FF8" w:rsidRDefault="005D409A" w:rsidP="005D409A">
      <w:pPr>
        <w:numPr>
          <w:ilvl w:val="0"/>
          <w:numId w:val="3"/>
        </w:numPr>
        <w:contextualSpacing/>
        <w:jc w:val="center"/>
        <w:rPr>
          <w:b/>
        </w:rPr>
      </w:pPr>
      <w:r w:rsidRPr="00F75FF8">
        <w:rPr>
          <w:b/>
        </w:rPr>
        <w:t>Examples of problem-focused vignettes</w:t>
      </w:r>
    </w:p>
    <w:p w14:paraId="1F1707E1" w14:textId="77777777" w:rsidR="005D409A" w:rsidRPr="00F75FF8" w:rsidRDefault="005D409A" w:rsidP="00C545E3">
      <w:pPr>
        <w:contextualSpacing/>
        <w:rPr>
          <w:b/>
        </w:rPr>
      </w:pPr>
    </w:p>
    <w:p w14:paraId="5B551EB1" w14:textId="77777777" w:rsidR="005D409A" w:rsidRPr="00F75FF8" w:rsidRDefault="005D409A" w:rsidP="005D409A">
      <w:pPr>
        <w:contextualSpacing/>
      </w:pPr>
      <w:r w:rsidRPr="00F75FF8">
        <w:rPr>
          <w:b/>
          <w:bCs/>
        </w:rPr>
        <w:t>Dean McCoy, male, 28 years old, train conductor.</w:t>
      </w:r>
      <w:r w:rsidRPr="00F75FF8">
        <w:br/>
        <w:t> </w:t>
      </w:r>
      <w:r w:rsidRPr="00F75FF8">
        <w:br/>
      </w:r>
      <w:r w:rsidRPr="00F75FF8">
        <w:rPr>
          <w:b/>
          <w:bCs/>
        </w:rPr>
        <w:t>Anamnesis of the current complaints:</w:t>
      </w:r>
      <w:r w:rsidRPr="00F75FF8">
        <w:br/>
        <w:t>Dean was referred by his medical officer due to complaints that resembled a depressive episode. He has been on sick leave for three and a half weeks because he is not able to function at work. His problems at work began when his superior noticed that he was very inattentive and absentminded. After an incident where the railroad switches were passed over too late and Dean did not halt the train soon enough, his superior gave him a warning. Also, Dean has had some conflicts with co-workers, because they were “getting on his nerves” and he could not refrain from reacting. His supervisor told him about his concerns regarding the client’s (mental) health, and advised him to visit the railway medical officer. The medical officer worried about his behavior at work, as well as other problems that Dean reported he was experiencing outside of work.</w:t>
      </w:r>
    </w:p>
    <w:p w14:paraId="6B874F21" w14:textId="77777777" w:rsidR="005D409A" w:rsidRPr="00F75FF8" w:rsidRDefault="005D409A" w:rsidP="005D409A">
      <w:pPr>
        <w:ind w:firstLine="720"/>
        <w:contextualSpacing/>
      </w:pPr>
      <w:r w:rsidRPr="00F75FF8">
        <w:t>Dean believes the problems started 2 months ago, when his girlfriend cheated on him and he left her. Simple things such as buying groceries, doing sports, and running errands started to take up all of his energy. He felt very empty, ashamed, and disappointed in life. They had been together for seven years and were planning to start a family. He thought that she loved him, but “clearly this was always just a show, and I fell for it”. The client is afraid that he will not be able to find or trust someone else. On top of that, he does not have the energy to go out and meet new people. His fear for the future also causes feelings of anxiety that he has never experienced before. He notices this when he is in large crowds: he often feels a sudden impulse to get away from all the noise and crowdedness.</w:t>
      </w:r>
    </w:p>
    <w:p w14:paraId="40F3953B" w14:textId="77777777" w:rsidR="005D409A" w:rsidRPr="00F75FF8" w:rsidRDefault="005D409A" w:rsidP="005D409A">
      <w:pPr>
        <w:contextualSpacing/>
      </w:pPr>
      <w:r w:rsidRPr="00F75FF8">
        <w:t>Dean explains that in the few weeks before he went on sick leave, he started to stay home all on weekdays after his shifts. During weekends, he sometimes still visited his parents. Since he is on sick leave, he prefers to stay inside and reports spending most of his time watching TV or sleeping. It feels like nothing is truly important to him currently. He mentions that the thought has crossed his mind that he may be better off not living anymore, but reports not to have concrete plans. Dean would like to feel good again and not feel so alone.</w:t>
      </w:r>
      <w:r w:rsidRPr="00F75FF8">
        <w:br/>
      </w:r>
      <w:r w:rsidRPr="00F75FF8">
        <w:br/>
      </w:r>
      <w:r w:rsidRPr="00F75FF8">
        <w:rPr>
          <w:b/>
          <w:bCs/>
        </w:rPr>
        <w:t>Relevant Developmental Information:</w:t>
      </w:r>
      <w:r w:rsidRPr="00F75FF8">
        <w:br/>
        <w:t>Dean has a twin brother who lives in Australia and is currently trying to set up his own business. Their parents (John and Jenny McCoy) are still together and live 30 miles from Dean’s apartment. They are both retired, but his mother volunteers at a local refugee center. He remembers his childhood very positively: he was always together with his twin brother, and their family undertook many fun activities. They often went outside to play in the park, or had friends from school coming over. He still has a strong bond with both his father and mother, but he does not like to tell them much about his problems. He thinks that because his brother is so independent and “out there” living his life, his parents expect him to do just as well in life. Dean believes that he is not able to live up to such expectations: “I cannot keep either job or girlfriend”.</w:t>
      </w:r>
      <w:r w:rsidRPr="00F75FF8">
        <w:br/>
      </w:r>
      <w:r w:rsidRPr="00F75FF8">
        <w:br/>
      </w:r>
      <w:r w:rsidRPr="00F75FF8">
        <w:rPr>
          <w:b/>
          <w:bCs/>
        </w:rPr>
        <w:t>Medical History:</w:t>
      </w:r>
      <w:r w:rsidRPr="00F75FF8">
        <w:br/>
        <w:t>The client reports experiencing severe abdominal cramps since a few weeks. He has visited his GP because the pain would not subside with generic drugs (ibuprofen). No medical explanation was found however.</w:t>
      </w:r>
      <w:r w:rsidRPr="00F75FF8">
        <w:br/>
      </w:r>
      <w:r w:rsidRPr="00F75FF8">
        <w:rPr>
          <w:b/>
          <w:bCs/>
        </w:rPr>
        <w:t>Psychiatric History:</w:t>
      </w:r>
      <w:r w:rsidRPr="00F75FF8">
        <w:br/>
        <w:t>Dean has never had a diagnosis of mental health problems, nor has he received treatment.</w:t>
      </w:r>
    </w:p>
    <w:p w14:paraId="5BB0D62B" w14:textId="519602CD" w:rsidR="005D409A" w:rsidRPr="00F75FF8" w:rsidRDefault="005D409A" w:rsidP="005D409A">
      <w:pPr>
        <w:contextualSpacing/>
      </w:pPr>
    </w:p>
    <w:p w14:paraId="02F657EE" w14:textId="77777777" w:rsidR="005D409A" w:rsidRPr="00F75FF8" w:rsidRDefault="005D409A" w:rsidP="005D409A">
      <w:pPr>
        <w:contextualSpacing/>
      </w:pPr>
    </w:p>
    <w:p w14:paraId="2A151261" w14:textId="77777777" w:rsidR="005D409A" w:rsidRPr="00F75FF8" w:rsidRDefault="005D409A" w:rsidP="005D409A">
      <w:pPr>
        <w:contextualSpacing/>
      </w:pPr>
      <w:r w:rsidRPr="00F75FF8">
        <w:rPr>
          <w:b/>
          <w:bCs/>
        </w:rPr>
        <w:t>Julia Keller, female, 29 years, assistant teacher.</w:t>
      </w:r>
      <w:r w:rsidRPr="00F75FF8">
        <w:br/>
        <w:t> </w:t>
      </w:r>
      <w:r w:rsidRPr="00F75FF8">
        <w:br/>
      </w:r>
      <w:r w:rsidRPr="00F75FF8">
        <w:rPr>
          <w:b/>
          <w:bCs/>
        </w:rPr>
        <w:t>Anamnesis of the Current Complaints:</w:t>
      </w:r>
      <w:r w:rsidRPr="00F75FF8">
        <w:br/>
        <w:t>Julia reports a loss of emotions and feeling absolutely drained since about 8 months. 10 months ago, she had a miscarriage, and her fiancé broke up with her shortly after. She has difficulties getting up in the morning even though she sleeps a lot. She has reduced her hours at work because of lack of energy. She currently works 3 days a week and these days are always a struggle. On the days that she does not work, she naps throughout the day, but never feels well rested and feels like her energy is continuously drained, even though she tries to preserve as much energy as possible. She has gained 10 kg in the past 8 months and feels disgusted by her weight gain but reports that she no longer has the motivation to fight against it. Her fiancé broke up with her 8 months ago. She still has bridal magazines in her living-room. Sometimes she reads them to try and make herself cry, but she just feels numb and very distant from everybody. She has one good friend who makes an effort but Julia feels like she is pushing her friend away and believes that she is unworthy and does not deserve a friend. Julia would like to stop feeling so tired and numb, and be able to participate in life again. </w:t>
      </w:r>
    </w:p>
    <w:p w14:paraId="056ED627" w14:textId="77777777" w:rsidR="005D409A" w:rsidRPr="00F75FF8" w:rsidRDefault="005D409A" w:rsidP="005D409A">
      <w:pPr>
        <w:contextualSpacing/>
      </w:pPr>
    </w:p>
    <w:p w14:paraId="081A5184" w14:textId="77777777" w:rsidR="005D409A" w:rsidRPr="00F75FF8" w:rsidRDefault="005D409A" w:rsidP="005D409A">
      <w:pPr>
        <w:contextualSpacing/>
      </w:pPr>
      <w:r w:rsidRPr="00F75FF8">
        <w:rPr>
          <w:b/>
          <w:bCs/>
        </w:rPr>
        <w:t>Relevant Developmental Data:</w:t>
      </w:r>
      <w:r w:rsidRPr="00F75FF8">
        <w:br/>
        <w:t>Julia grew up with her parents. They had struggled to conceive and did not have her, an only child, until they were both in their 40s. Her father died of prostate cancer 5 years ago and her mother lives with her new partner in the United States. They are not very close, but they telephone every couple of weeks and are not estranged. Julia remembers being embarrassed by her parents for being so much older than those of her peers. Although she was never particularly good at school, she had friends and enjoyed her musical hobbies. She describes herself as a somewhat introverted person who values culture and is helpful and reliable.</w:t>
      </w:r>
    </w:p>
    <w:p w14:paraId="74B5E308" w14:textId="77777777" w:rsidR="005D409A" w:rsidRPr="005D409A" w:rsidRDefault="005D409A" w:rsidP="005D409A">
      <w:pPr>
        <w:ind w:firstLine="720"/>
        <w:contextualSpacing/>
      </w:pPr>
      <w:r w:rsidRPr="00F75FF8">
        <w:t>In high-school she met her ex-fiancé, and they were together for almost 10 years. They studied at University together and moved in soon after. When she got pregnant he proposed to her. They had planned to marry after the birth. But when Julia experienced a miscarriage in the fifth month of pregnancy her fiancé left soon after, explaining that he was unwilling to settle down for the life that they had created and that the loss of the baby gave him his chance to start over. Julia did not have many friends, having spent most of her time with her fiancé and his friends, so she was left dealing with the loss of the child and the relationship largely on her own.</w:t>
      </w:r>
      <w:r w:rsidRPr="00F75FF8">
        <w:br/>
        <w:t> </w:t>
      </w:r>
      <w:r w:rsidRPr="00F75FF8">
        <w:br/>
      </w:r>
      <w:r w:rsidRPr="00F75FF8">
        <w:rPr>
          <w:b/>
          <w:bCs/>
        </w:rPr>
        <w:t>Medical History:</w:t>
      </w:r>
      <w:r w:rsidRPr="00F75FF8">
        <w:br/>
        <w:t>Outside the miscarriage, Julia has only been hospitalized once for a broken arm in childhood and is not aware of any hereditary diseases in her family history.</w:t>
      </w:r>
      <w:r w:rsidRPr="00F75FF8">
        <w:br/>
        <w:t> </w:t>
      </w:r>
      <w:r w:rsidRPr="00F75FF8">
        <w:br/>
      </w:r>
      <w:r w:rsidRPr="00F75FF8">
        <w:rPr>
          <w:b/>
          <w:bCs/>
        </w:rPr>
        <w:t>Psychiatric History:</w:t>
      </w:r>
      <w:r w:rsidRPr="00F75FF8">
        <w:br/>
        <w:t>Julia is unaware of any family psychiatric history and has not been to a therapist before.</w:t>
      </w:r>
    </w:p>
    <w:p w14:paraId="387865FB" w14:textId="2D704573" w:rsidR="00B624B8" w:rsidRDefault="00B624B8" w:rsidP="001231FD">
      <w:pPr>
        <w:spacing w:line="480" w:lineRule="auto"/>
        <w:contextualSpacing/>
      </w:pPr>
    </w:p>
    <w:sectPr w:rsidR="00B624B8" w:rsidSect="000C4050">
      <w:headerReference w:type="default" r:id="rId10"/>
      <w:footerReference w:type="default" r:id="rId1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C129" w16cex:dateUtc="2022-04-08T11:08:00Z"/>
  <w16cex:commentExtensible w16cex:durableId="25FAC12A" w16cex:dateUtc="2022-02-21T13:10:00Z"/>
  <w16cex:commentExtensible w16cex:durableId="25FAC12B" w16cex:dateUtc="2022-04-08T09:28:00Z"/>
  <w16cex:commentExtensible w16cex:durableId="25FAC360" w16cex:dateUtc="2022-04-08T13:21:00Z"/>
  <w16cex:commentExtensible w16cex:durableId="25FAC12C" w16cex:dateUtc="2022-04-08T12:35:00Z"/>
  <w16cex:commentExtensible w16cex:durableId="25FAC3D7" w16cex:dateUtc="2022-04-08T13:23:00Z"/>
  <w16cex:commentExtensible w16cex:durableId="25FAC3BC" w16cex:dateUtc="2022-04-08T13:22:00Z"/>
  <w16cex:commentExtensible w16cex:durableId="25FAC12D" w16cex:dateUtc="2022-04-07T15:53:00Z"/>
  <w16cex:commentExtensible w16cex:durableId="25FAC49E" w16cex:dateUtc="2022-04-08T13:26:00Z"/>
  <w16cex:commentExtensible w16cex:durableId="25FAC50E" w16cex:dateUtc="2022-04-08T13:28:00Z"/>
  <w16cex:commentExtensible w16cex:durableId="25FAC7A6" w16cex:dateUtc="2022-04-08T13:39:00Z"/>
  <w16cex:commentExtensible w16cex:durableId="25FAC12E" w16cex:dateUtc="2022-04-04T09:42:00Z"/>
  <w16cex:commentExtensible w16cex:durableId="25FAC12F" w16cex:dateUtc="2022-04-04T09:46:00Z"/>
  <w16cex:commentExtensible w16cex:durableId="25FAC130" w16cex:dateUtc="2022-04-04T10:21:00Z"/>
  <w16cex:commentExtensible w16cex:durableId="25FAC8E1" w16cex:dateUtc="2022-04-08T13:44:00Z"/>
  <w16cex:commentExtensible w16cex:durableId="25FAC131" w16cex:dateUtc="2022-04-08T13:58:00Z"/>
  <w16cex:commentExtensible w16cex:durableId="25FACA6B" w16cex:dateUtc="2022-04-08T13:51:00Z"/>
  <w16cex:commentExtensible w16cex:durableId="25FAC132" w16cex:dateUtc="2022-04-04T10:39:00Z"/>
  <w16cex:commentExtensible w16cex:durableId="25FAC133" w16cex:dateUtc="2022-04-07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147DA4" w16cid:durableId="25FAC129"/>
  <w16cid:commentId w16cid:paraId="6F27BC3F" w16cid:durableId="25FAC12A"/>
  <w16cid:commentId w16cid:paraId="1B5B7BF3" w16cid:durableId="25FAC12B"/>
  <w16cid:commentId w16cid:paraId="4C653911" w16cid:durableId="25FAC360"/>
  <w16cid:commentId w16cid:paraId="12EFBE08" w16cid:durableId="25FAC12C"/>
  <w16cid:commentId w16cid:paraId="486E63B1" w16cid:durableId="25FAC3D7"/>
  <w16cid:commentId w16cid:paraId="03D22E80" w16cid:durableId="25FAC3BC"/>
  <w16cid:commentId w16cid:paraId="45C6BEE6" w16cid:durableId="25FAC12D"/>
  <w16cid:commentId w16cid:paraId="395B4B5E" w16cid:durableId="25FAC49E"/>
  <w16cid:commentId w16cid:paraId="399CC5F1" w16cid:durableId="25FAC50E"/>
  <w16cid:commentId w16cid:paraId="5A15ECB2" w16cid:durableId="25FAC7A6"/>
  <w16cid:commentId w16cid:paraId="05CB6E92" w16cid:durableId="25FAC12E"/>
  <w16cid:commentId w16cid:paraId="37E5F592" w16cid:durableId="25FAC12F"/>
  <w16cid:commentId w16cid:paraId="54B4A467" w16cid:durableId="25FAC130"/>
  <w16cid:commentId w16cid:paraId="5502BC29" w16cid:durableId="25FAC8E1"/>
  <w16cid:commentId w16cid:paraId="562B0BE9" w16cid:durableId="25FAC131"/>
  <w16cid:commentId w16cid:paraId="03449670" w16cid:durableId="25FACA6B"/>
  <w16cid:commentId w16cid:paraId="684A3986" w16cid:durableId="25FAC132"/>
  <w16cid:commentId w16cid:paraId="040AF640" w16cid:durableId="25FAC1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8038" w14:textId="77777777" w:rsidR="00851E32" w:rsidRDefault="00851E32" w:rsidP="00EB07E1">
      <w:pPr>
        <w:spacing w:after="0" w:line="240" w:lineRule="auto"/>
      </w:pPr>
      <w:r>
        <w:separator/>
      </w:r>
    </w:p>
  </w:endnote>
  <w:endnote w:type="continuationSeparator" w:id="0">
    <w:p w14:paraId="6906791A" w14:textId="77777777" w:rsidR="00851E32" w:rsidRDefault="00851E32" w:rsidP="00EB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09452"/>
      <w:docPartObj>
        <w:docPartGallery w:val="Page Numbers (Bottom of Page)"/>
        <w:docPartUnique/>
      </w:docPartObj>
    </w:sdtPr>
    <w:sdtEndPr>
      <w:rPr>
        <w:noProof/>
      </w:rPr>
    </w:sdtEndPr>
    <w:sdtContent>
      <w:p w14:paraId="56AF860D" w14:textId="29CD2948" w:rsidR="003F1831" w:rsidRDefault="003F1831">
        <w:pPr>
          <w:pStyle w:val="Footer"/>
          <w:jc w:val="center"/>
        </w:pPr>
        <w:r>
          <w:fldChar w:fldCharType="begin"/>
        </w:r>
        <w:r>
          <w:instrText xml:space="preserve"> PAGE   \* MERGEFORMAT </w:instrText>
        </w:r>
        <w:r>
          <w:fldChar w:fldCharType="separate"/>
        </w:r>
        <w:r w:rsidR="008E339A">
          <w:rPr>
            <w:noProof/>
          </w:rPr>
          <w:t>21</w:t>
        </w:r>
        <w:r>
          <w:rPr>
            <w:noProof/>
          </w:rPr>
          <w:fldChar w:fldCharType="end"/>
        </w:r>
      </w:p>
    </w:sdtContent>
  </w:sdt>
  <w:p w14:paraId="0F8F9E80" w14:textId="77777777" w:rsidR="0085290E" w:rsidRDefault="0085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585C" w14:textId="77777777" w:rsidR="00851E32" w:rsidRDefault="00851E32" w:rsidP="00EB07E1">
      <w:pPr>
        <w:spacing w:after="0" w:line="240" w:lineRule="auto"/>
      </w:pPr>
      <w:r>
        <w:separator/>
      </w:r>
    </w:p>
  </w:footnote>
  <w:footnote w:type="continuationSeparator" w:id="0">
    <w:p w14:paraId="0EFEB9E7" w14:textId="77777777" w:rsidR="00851E32" w:rsidRDefault="00851E32" w:rsidP="00EB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1E03" w14:textId="4DAFFF72" w:rsidR="0085290E" w:rsidRDefault="0085290E" w:rsidP="00885A24">
    <w:pPr>
      <w:pStyle w:val="Header"/>
      <w:jc w:val="center"/>
    </w:pPr>
    <w:r>
      <w:t xml:space="preserve">Solution- vs. problem-focused </w:t>
    </w:r>
    <w:r w:rsidR="0068438C">
      <w:t>assessment</w:t>
    </w:r>
    <w:r w:rsidR="008C3C83">
      <w:t xml:space="preserve"> – Extended Report</w:t>
    </w:r>
    <w:r w:rsidR="003F1831">
      <w:t xml:space="preserve"> </w:t>
    </w:r>
  </w:p>
  <w:p w14:paraId="0D08736D" w14:textId="28B129BE" w:rsidR="0085290E" w:rsidRDefault="0085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54B02"/>
    <w:multiLevelType w:val="hybridMultilevel"/>
    <w:tmpl w:val="713A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C5EBF"/>
    <w:multiLevelType w:val="hybridMultilevel"/>
    <w:tmpl w:val="293063BA"/>
    <w:lvl w:ilvl="0" w:tplc="97ECCD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7867DB"/>
    <w:multiLevelType w:val="hybridMultilevel"/>
    <w:tmpl w:val="55109B3A"/>
    <w:lvl w:ilvl="0" w:tplc="D2CC851E">
      <w:start w:val="2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nl-NL"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B1"/>
    <w:rsid w:val="000014BB"/>
    <w:rsid w:val="00002DE0"/>
    <w:rsid w:val="00003E14"/>
    <w:rsid w:val="00007C4A"/>
    <w:rsid w:val="00007F0E"/>
    <w:rsid w:val="00007F97"/>
    <w:rsid w:val="00011002"/>
    <w:rsid w:val="000141BF"/>
    <w:rsid w:val="00014DCE"/>
    <w:rsid w:val="00017CFA"/>
    <w:rsid w:val="000257AF"/>
    <w:rsid w:val="00026491"/>
    <w:rsid w:val="00033D2D"/>
    <w:rsid w:val="00037AFB"/>
    <w:rsid w:val="0004506C"/>
    <w:rsid w:val="00047884"/>
    <w:rsid w:val="000679A4"/>
    <w:rsid w:val="000705E4"/>
    <w:rsid w:val="00077E87"/>
    <w:rsid w:val="000842E5"/>
    <w:rsid w:val="000924A2"/>
    <w:rsid w:val="000A0F51"/>
    <w:rsid w:val="000A15E7"/>
    <w:rsid w:val="000A2BF5"/>
    <w:rsid w:val="000A37FD"/>
    <w:rsid w:val="000A3ABF"/>
    <w:rsid w:val="000A77D1"/>
    <w:rsid w:val="000B048A"/>
    <w:rsid w:val="000B280F"/>
    <w:rsid w:val="000C4050"/>
    <w:rsid w:val="000E0B85"/>
    <w:rsid w:val="000E66E6"/>
    <w:rsid w:val="000F53EA"/>
    <w:rsid w:val="000F564C"/>
    <w:rsid w:val="000F72D4"/>
    <w:rsid w:val="00103B33"/>
    <w:rsid w:val="00105037"/>
    <w:rsid w:val="00105CF2"/>
    <w:rsid w:val="001106F7"/>
    <w:rsid w:val="0011130D"/>
    <w:rsid w:val="00113D07"/>
    <w:rsid w:val="00115B97"/>
    <w:rsid w:val="00116703"/>
    <w:rsid w:val="001231FD"/>
    <w:rsid w:val="00124372"/>
    <w:rsid w:val="00134D2C"/>
    <w:rsid w:val="00136D9E"/>
    <w:rsid w:val="00137E6D"/>
    <w:rsid w:val="0014100D"/>
    <w:rsid w:val="00144C92"/>
    <w:rsid w:val="00145083"/>
    <w:rsid w:val="0014672D"/>
    <w:rsid w:val="0014732A"/>
    <w:rsid w:val="001554ED"/>
    <w:rsid w:val="0016098D"/>
    <w:rsid w:val="00162D49"/>
    <w:rsid w:val="001648DA"/>
    <w:rsid w:val="0016602E"/>
    <w:rsid w:val="00167599"/>
    <w:rsid w:val="0017357B"/>
    <w:rsid w:val="0017390C"/>
    <w:rsid w:val="00176B09"/>
    <w:rsid w:val="001820D3"/>
    <w:rsid w:val="00186F8E"/>
    <w:rsid w:val="00191D3A"/>
    <w:rsid w:val="00191D90"/>
    <w:rsid w:val="00196797"/>
    <w:rsid w:val="00197636"/>
    <w:rsid w:val="001A1C82"/>
    <w:rsid w:val="001A2DBF"/>
    <w:rsid w:val="001A3479"/>
    <w:rsid w:val="001C3D9E"/>
    <w:rsid w:val="001E1BC0"/>
    <w:rsid w:val="001E4B2F"/>
    <w:rsid w:val="001E70F2"/>
    <w:rsid w:val="001F1C55"/>
    <w:rsid w:val="001F2F5F"/>
    <w:rsid w:val="00220503"/>
    <w:rsid w:val="002251AE"/>
    <w:rsid w:val="0023757C"/>
    <w:rsid w:val="00240472"/>
    <w:rsid w:val="0024096C"/>
    <w:rsid w:val="002416A2"/>
    <w:rsid w:val="00245E93"/>
    <w:rsid w:val="00253C75"/>
    <w:rsid w:val="0025675B"/>
    <w:rsid w:val="002628F6"/>
    <w:rsid w:val="002647B8"/>
    <w:rsid w:val="00265BD4"/>
    <w:rsid w:val="00267514"/>
    <w:rsid w:val="002675AA"/>
    <w:rsid w:val="002722DC"/>
    <w:rsid w:val="0027286F"/>
    <w:rsid w:val="002735DF"/>
    <w:rsid w:val="002740B5"/>
    <w:rsid w:val="00274650"/>
    <w:rsid w:val="00282314"/>
    <w:rsid w:val="00286D13"/>
    <w:rsid w:val="00287A3C"/>
    <w:rsid w:val="00293F45"/>
    <w:rsid w:val="002A64DA"/>
    <w:rsid w:val="002B1778"/>
    <w:rsid w:val="002B4BE5"/>
    <w:rsid w:val="002B5324"/>
    <w:rsid w:val="002D54ED"/>
    <w:rsid w:val="002D5B88"/>
    <w:rsid w:val="002E2A45"/>
    <w:rsid w:val="002E5751"/>
    <w:rsid w:val="002E60E2"/>
    <w:rsid w:val="002E67C5"/>
    <w:rsid w:val="002E7753"/>
    <w:rsid w:val="002F60E4"/>
    <w:rsid w:val="00303D7B"/>
    <w:rsid w:val="00312B9D"/>
    <w:rsid w:val="00314390"/>
    <w:rsid w:val="00316262"/>
    <w:rsid w:val="003211C4"/>
    <w:rsid w:val="00321A0C"/>
    <w:rsid w:val="00321E37"/>
    <w:rsid w:val="00324661"/>
    <w:rsid w:val="003266CE"/>
    <w:rsid w:val="00330987"/>
    <w:rsid w:val="00330AA0"/>
    <w:rsid w:val="00334657"/>
    <w:rsid w:val="00334F47"/>
    <w:rsid w:val="00341FD9"/>
    <w:rsid w:val="003528FA"/>
    <w:rsid w:val="00360A3F"/>
    <w:rsid w:val="00370F35"/>
    <w:rsid w:val="0038117E"/>
    <w:rsid w:val="00393560"/>
    <w:rsid w:val="00395EB8"/>
    <w:rsid w:val="00396D30"/>
    <w:rsid w:val="003977B2"/>
    <w:rsid w:val="003A433C"/>
    <w:rsid w:val="003B1F35"/>
    <w:rsid w:val="003B619E"/>
    <w:rsid w:val="003C54D0"/>
    <w:rsid w:val="003D1288"/>
    <w:rsid w:val="003D1CE4"/>
    <w:rsid w:val="003D21E6"/>
    <w:rsid w:val="003D2A31"/>
    <w:rsid w:val="003E2567"/>
    <w:rsid w:val="003E5F5B"/>
    <w:rsid w:val="003F1831"/>
    <w:rsid w:val="003F404E"/>
    <w:rsid w:val="003F4666"/>
    <w:rsid w:val="003F5A1E"/>
    <w:rsid w:val="00403EA8"/>
    <w:rsid w:val="00406C39"/>
    <w:rsid w:val="004076B9"/>
    <w:rsid w:val="00413254"/>
    <w:rsid w:val="00434117"/>
    <w:rsid w:val="00441A88"/>
    <w:rsid w:val="00447B23"/>
    <w:rsid w:val="0045335E"/>
    <w:rsid w:val="0045636F"/>
    <w:rsid w:val="00456923"/>
    <w:rsid w:val="00456D31"/>
    <w:rsid w:val="00457234"/>
    <w:rsid w:val="00465654"/>
    <w:rsid w:val="0046758F"/>
    <w:rsid w:val="00467A40"/>
    <w:rsid w:val="0048503E"/>
    <w:rsid w:val="00492D33"/>
    <w:rsid w:val="0049568B"/>
    <w:rsid w:val="004C6C32"/>
    <w:rsid w:val="004E517A"/>
    <w:rsid w:val="004F2427"/>
    <w:rsid w:val="004F502F"/>
    <w:rsid w:val="00500583"/>
    <w:rsid w:val="00501187"/>
    <w:rsid w:val="00501EA9"/>
    <w:rsid w:val="00501FD1"/>
    <w:rsid w:val="00510835"/>
    <w:rsid w:val="00510DDD"/>
    <w:rsid w:val="005121C3"/>
    <w:rsid w:val="005156EF"/>
    <w:rsid w:val="005169D7"/>
    <w:rsid w:val="005202C7"/>
    <w:rsid w:val="00521C11"/>
    <w:rsid w:val="00523A1C"/>
    <w:rsid w:val="005246EB"/>
    <w:rsid w:val="00530BF4"/>
    <w:rsid w:val="0053188D"/>
    <w:rsid w:val="00532709"/>
    <w:rsid w:val="005454F6"/>
    <w:rsid w:val="00545D23"/>
    <w:rsid w:val="005533DA"/>
    <w:rsid w:val="00553745"/>
    <w:rsid w:val="005616A5"/>
    <w:rsid w:val="00582FF6"/>
    <w:rsid w:val="00583D5D"/>
    <w:rsid w:val="005963F5"/>
    <w:rsid w:val="005A0B0E"/>
    <w:rsid w:val="005B3741"/>
    <w:rsid w:val="005B6A7D"/>
    <w:rsid w:val="005C1314"/>
    <w:rsid w:val="005C1ED6"/>
    <w:rsid w:val="005C2E2F"/>
    <w:rsid w:val="005C30CC"/>
    <w:rsid w:val="005D1CD2"/>
    <w:rsid w:val="005D409A"/>
    <w:rsid w:val="005E15EC"/>
    <w:rsid w:val="005E719B"/>
    <w:rsid w:val="005F0D33"/>
    <w:rsid w:val="005F6BBE"/>
    <w:rsid w:val="00602C0F"/>
    <w:rsid w:val="00604779"/>
    <w:rsid w:val="00614FB3"/>
    <w:rsid w:val="0061796C"/>
    <w:rsid w:val="00621882"/>
    <w:rsid w:val="0062369A"/>
    <w:rsid w:val="00625F20"/>
    <w:rsid w:val="00626BCD"/>
    <w:rsid w:val="00632EDA"/>
    <w:rsid w:val="0063520E"/>
    <w:rsid w:val="0064051A"/>
    <w:rsid w:val="00640D6C"/>
    <w:rsid w:val="00645B33"/>
    <w:rsid w:val="00647085"/>
    <w:rsid w:val="00654E75"/>
    <w:rsid w:val="00657415"/>
    <w:rsid w:val="006618B1"/>
    <w:rsid w:val="00661EDA"/>
    <w:rsid w:val="00667EFB"/>
    <w:rsid w:val="00671DF0"/>
    <w:rsid w:val="0067426E"/>
    <w:rsid w:val="006750EB"/>
    <w:rsid w:val="00676D4F"/>
    <w:rsid w:val="006833CC"/>
    <w:rsid w:val="0068438C"/>
    <w:rsid w:val="00692900"/>
    <w:rsid w:val="00692C21"/>
    <w:rsid w:val="00692E85"/>
    <w:rsid w:val="0069556B"/>
    <w:rsid w:val="00696048"/>
    <w:rsid w:val="00696FA2"/>
    <w:rsid w:val="006A0816"/>
    <w:rsid w:val="006B3F82"/>
    <w:rsid w:val="006B68FF"/>
    <w:rsid w:val="006C3D7F"/>
    <w:rsid w:val="006C4956"/>
    <w:rsid w:val="006C6F3F"/>
    <w:rsid w:val="006D24E5"/>
    <w:rsid w:val="006D2DCC"/>
    <w:rsid w:val="006D3519"/>
    <w:rsid w:val="006D407E"/>
    <w:rsid w:val="006D7CEE"/>
    <w:rsid w:val="006F2E22"/>
    <w:rsid w:val="006F3553"/>
    <w:rsid w:val="006F55E8"/>
    <w:rsid w:val="006F5920"/>
    <w:rsid w:val="006F5F5F"/>
    <w:rsid w:val="0070003E"/>
    <w:rsid w:val="00716D66"/>
    <w:rsid w:val="00725996"/>
    <w:rsid w:val="00730CC9"/>
    <w:rsid w:val="0073298E"/>
    <w:rsid w:val="00732A6D"/>
    <w:rsid w:val="007342F1"/>
    <w:rsid w:val="007356E5"/>
    <w:rsid w:val="00735F6E"/>
    <w:rsid w:val="00736D1E"/>
    <w:rsid w:val="00746FED"/>
    <w:rsid w:val="00751603"/>
    <w:rsid w:val="00754625"/>
    <w:rsid w:val="00754DD7"/>
    <w:rsid w:val="00762D10"/>
    <w:rsid w:val="007651FB"/>
    <w:rsid w:val="007749AD"/>
    <w:rsid w:val="0078012C"/>
    <w:rsid w:val="00796E10"/>
    <w:rsid w:val="007B2024"/>
    <w:rsid w:val="007B3132"/>
    <w:rsid w:val="007B3F8B"/>
    <w:rsid w:val="007B52F1"/>
    <w:rsid w:val="007C142A"/>
    <w:rsid w:val="007C7B1C"/>
    <w:rsid w:val="007D40DA"/>
    <w:rsid w:val="007D63CF"/>
    <w:rsid w:val="007E1585"/>
    <w:rsid w:val="007E3589"/>
    <w:rsid w:val="007E51C8"/>
    <w:rsid w:val="007F2BC3"/>
    <w:rsid w:val="0080343F"/>
    <w:rsid w:val="0080351C"/>
    <w:rsid w:val="00803593"/>
    <w:rsid w:val="00806E27"/>
    <w:rsid w:val="00812129"/>
    <w:rsid w:val="00813868"/>
    <w:rsid w:val="008217D3"/>
    <w:rsid w:val="00823431"/>
    <w:rsid w:val="00830A45"/>
    <w:rsid w:val="00832631"/>
    <w:rsid w:val="00834015"/>
    <w:rsid w:val="00841A88"/>
    <w:rsid w:val="00851E32"/>
    <w:rsid w:val="00852191"/>
    <w:rsid w:val="00852311"/>
    <w:rsid w:val="0085290E"/>
    <w:rsid w:val="00853616"/>
    <w:rsid w:val="008553BC"/>
    <w:rsid w:val="00861FBD"/>
    <w:rsid w:val="00866F8F"/>
    <w:rsid w:val="008736A4"/>
    <w:rsid w:val="00874BB3"/>
    <w:rsid w:val="00876F31"/>
    <w:rsid w:val="008825F8"/>
    <w:rsid w:val="00885A24"/>
    <w:rsid w:val="00886B85"/>
    <w:rsid w:val="008879E1"/>
    <w:rsid w:val="008900D9"/>
    <w:rsid w:val="008977DC"/>
    <w:rsid w:val="008A16AD"/>
    <w:rsid w:val="008A5B84"/>
    <w:rsid w:val="008B0F2B"/>
    <w:rsid w:val="008B2224"/>
    <w:rsid w:val="008B7238"/>
    <w:rsid w:val="008C3C83"/>
    <w:rsid w:val="008C4F96"/>
    <w:rsid w:val="008C6420"/>
    <w:rsid w:val="008C6555"/>
    <w:rsid w:val="008D1FD7"/>
    <w:rsid w:val="008D5C5F"/>
    <w:rsid w:val="008E283A"/>
    <w:rsid w:val="008E339A"/>
    <w:rsid w:val="008E43F6"/>
    <w:rsid w:val="008E760B"/>
    <w:rsid w:val="008F3CFD"/>
    <w:rsid w:val="008F764B"/>
    <w:rsid w:val="008F78D8"/>
    <w:rsid w:val="009008D6"/>
    <w:rsid w:val="00912103"/>
    <w:rsid w:val="009144C1"/>
    <w:rsid w:val="009327D6"/>
    <w:rsid w:val="009333B4"/>
    <w:rsid w:val="009362D4"/>
    <w:rsid w:val="009446E6"/>
    <w:rsid w:val="00951F79"/>
    <w:rsid w:val="00955062"/>
    <w:rsid w:val="00965039"/>
    <w:rsid w:val="00971FC1"/>
    <w:rsid w:val="00982F16"/>
    <w:rsid w:val="00986CF3"/>
    <w:rsid w:val="00996FC5"/>
    <w:rsid w:val="009A4458"/>
    <w:rsid w:val="009A48AB"/>
    <w:rsid w:val="009A5AF2"/>
    <w:rsid w:val="009B00AE"/>
    <w:rsid w:val="009B3578"/>
    <w:rsid w:val="009B54B0"/>
    <w:rsid w:val="009C4703"/>
    <w:rsid w:val="009D0A49"/>
    <w:rsid w:val="009D5E90"/>
    <w:rsid w:val="009E1118"/>
    <w:rsid w:val="009F5D11"/>
    <w:rsid w:val="009F77DA"/>
    <w:rsid w:val="00A02A08"/>
    <w:rsid w:val="00A04A6A"/>
    <w:rsid w:val="00A130FC"/>
    <w:rsid w:val="00A13DD3"/>
    <w:rsid w:val="00A20D0A"/>
    <w:rsid w:val="00A23DA8"/>
    <w:rsid w:val="00A27EEC"/>
    <w:rsid w:val="00A45C9D"/>
    <w:rsid w:val="00A53078"/>
    <w:rsid w:val="00A55723"/>
    <w:rsid w:val="00A6231D"/>
    <w:rsid w:val="00A65463"/>
    <w:rsid w:val="00A66E06"/>
    <w:rsid w:val="00A66EC9"/>
    <w:rsid w:val="00A724FB"/>
    <w:rsid w:val="00A749BC"/>
    <w:rsid w:val="00A80CCF"/>
    <w:rsid w:val="00A862A6"/>
    <w:rsid w:val="00AB1A39"/>
    <w:rsid w:val="00AB1B30"/>
    <w:rsid w:val="00AB209F"/>
    <w:rsid w:val="00AB2D62"/>
    <w:rsid w:val="00AB641A"/>
    <w:rsid w:val="00AC075C"/>
    <w:rsid w:val="00AD3AEF"/>
    <w:rsid w:val="00AD4E99"/>
    <w:rsid w:val="00AD50C8"/>
    <w:rsid w:val="00AD7B7E"/>
    <w:rsid w:val="00AE321D"/>
    <w:rsid w:val="00AE6C61"/>
    <w:rsid w:val="00AF1B2C"/>
    <w:rsid w:val="00B23411"/>
    <w:rsid w:val="00B242D7"/>
    <w:rsid w:val="00B2484D"/>
    <w:rsid w:val="00B340EE"/>
    <w:rsid w:val="00B47A9E"/>
    <w:rsid w:val="00B47E24"/>
    <w:rsid w:val="00B502FE"/>
    <w:rsid w:val="00B51673"/>
    <w:rsid w:val="00B51755"/>
    <w:rsid w:val="00B53389"/>
    <w:rsid w:val="00B53AE0"/>
    <w:rsid w:val="00B53C0D"/>
    <w:rsid w:val="00B5642E"/>
    <w:rsid w:val="00B56D63"/>
    <w:rsid w:val="00B624B8"/>
    <w:rsid w:val="00B6292D"/>
    <w:rsid w:val="00B72BC3"/>
    <w:rsid w:val="00B744BC"/>
    <w:rsid w:val="00B74E3B"/>
    <w:rsid w:val="00B754AF"/>
    <w:rsid w:val="00B75D99"/>
    <w:rsid w:val="00B850CE"/>
    <w:rsid w:val="00B87FA9"/>
    <w:rsid w:val="00B91AA9"/>
    <w:rsid w:val="00B92FAC"/>
    <w:rsid w:val="00B93BFD"/>
    <w:rsid w:val="00BA0E05"/>
    <w:rsid w:val="00BA2AFF"/>
    <w:rsid w:val="00BA30D0"/>
    <w:rsid w:val="00BC1067"/>
    <w:rsid w:val="00BC2296"/>
    <w:rsid w:val="00BC58FE"/>
    <w:rsid w:val="00BC6062"/>
    <w:rsid w:val="00BC64BA"/>
    <w:rsid w:val="00BC7A71"/>
    <w:rsid w:val="00BD0BEB"/>
    <w:rsid w:val="00BD7F67"/>
    <w:rsid w:val="00BE231C"/>
    <w:rsid w:val="00C0183A"/>
    <w:rsid w:val="00C06B74"/>
    <w:rsid w:val="00C07225"/>
    <w:rsid w:val="00C11FD6"/>
    <w:rsid w:val="00C12439"/>
    <w:rsid w:val="00C2012F"/>
    <w:rsid w:val="00C23895"/>
    <w:rsid w:val="00C26AF6"/>
    <w:rsid w:val="00C30BAD"/>
    <w:rsid w:val="00C31DF5"/>
    <w:rsid w:val="00C31E05"/>
    <w:rsid w:val="00C44AFB"/>
    <w:rsid w:val="00C44D41"/>
    <w:rsid w:val="00C5195E"/>
    <w:rsid w:val="00C52398"/>
    <w:rsid w:val="00C527AA"/>
    <w:rsid w:val="00C545E3"/>
    <w:rsid w:val="00C61B4C"/>
    <w:rsid w:val="00C739AE"/>
    <w:rsid w:val="00C741D4"/>
    <w:rsid w:val="00C77E14"/>
    <w:rsid w:val="00C77FB8"/>
    <w:rsid w:val="00C815F6"/>
    <w:rsid w:val="00C8485E"/>
    <w:rsid w:val="00C9653B"/>
    <w:rsid w:val="00CA30B1"/>
    <w:rsid w:val="00CA57EE"/>
    <w:rsid w:val="00CC00FB"/>
    <w:rsid w:val="00CC0327"/>
    <w:rsid w:val="00CC3708"/>
    <w:rsid w:val="00CD0FFA"/>
    <w:rsid w:val="00CD6F16"/>
    <w:rsid w:val="00CE70CD"/>
    <w:rsid w:val="00CE7CA9"/>
    <w:rsid w:val="00D02BA7"/>
    <w:rsid w:val="00D046F9"/>
    <w:rsid w:val="00D24863"/>
    <w:rsid w:val="00D26026"/>
    <w:rsid w:val="00D309FC"/>
    <w:rsid w:val="00D31BE3"/>
    <w:rsid w:val="00D31EC5"/>
    <w:rsid w:val="00D323D9"/>
    <w:rsid w:val="00D3630B"/>
    <w:rsid w:val="00D3793A"/>
    <w:rsid w:val="00D41D4F"/>
    <w:rsid w:val="00D431F0"/>
    <w:rsid w:val="00D45045"/>
    <w:rsid w:val="00D47F7F"/>
    <w:rsid w:val="00D535C7"/>
    <w:rsid w:val="00D55C1C"/>
    <w:rsid w:val="00D60536"/>
    <w:rsid w:val="00D60E80"/>
    <w:rsid w:val="00D671B0"/>
    <w:rsid w:val="00D70766"/>
    <w:rsid w:val="00D81465"/>
    <w:rsid w:val="00D8341A"/>
    <w:rsid w:val="00D848B7"/>
    <w:rsid w:val="00D86E98"/>
    <w:rsid w:val="00DA49E2"/>
    <w:rsid w:val="00DA7C20"/>
    <w:rsid w:val="00DB2B1C"/>
    <w:rsid w:val="00DB54AF"/>
    <w:rsid w:val="00DB7FAE"/>
    <w:rsid w:val="00DE1EE9"/>
    <w:rsid w:val="00DE3214"/>
    <w:rsid w:val="00DE502C"/>
    <w:rsid w:val="00DE5BED"/>
    <w:rsid w:val="00DF36A2"/>
    <w:rsid w:val="00DF4657"/>
    <w:rsid w:val="00DF69C6"/>
    <w:rsid w:val="00E0356F"/>
    <w:rsid w:val="00E03EEA"/>
    <w:rsid w:val="00E10F9D"/>
    <w:rsid w:val="00E145EF"/>
    <w:rsid w:val="00E173B7"/>
    <w:rsid w:val="00E227A0"/>
    <w:rsid w:val="00E2652A"/>
    <w:rsid w:val="00E314AC"/>
    <w:rsid w:val="00E4498E"/>
    <w:rsid w:val="00E45EFE"/>
    <w:rsid w:val="00E469A1"/>
    <w:rsid w:val="00E5021C"/>
    <w:rsid w:val="00E56FB9"/>
    <w:rsid w:val="00E60043"/>
    <w:rsid w:val="00E6571D"/>
    <w:rsid w:val="00E675E9"/>
    <w:rsid w:val="00E71E5C"/>
    <w:rsid w:val="00E734EC"/>
    <w:rsid w:val="00E77173"/>
    <w:rsid w:val="00E8052A"/>
    <w:rsid w:val="00E80DFD"/>
    <w:rsid w:val="00E85C28"/>
    <w:rsid w:val="00E866FB"/>
    <w:rsid w:val="00E908C2"/>
    <w:rsid w:val="00E92246"/>
    <w:rsid w:val="00EA3292"/>
    <w:rsid w:val="00EA3323"/>
    <w:rsid w:val="00EA59E7"/>
    <w:rsid w:val="00EA61B0"/>
    <w:rsid w:val="00EB07E1"/>
    <w:rsid w:val="00EC4F80"/>
    <w:rsid w:val="00ED405D"/>
    <w:rsid w:val="00ED70FB"/>
    <w:rsid w:val="00EE635D"/>
    <w:rsid w:val="00EF0387"/>
    <w:rsid w:val="00EF48BB"/>
    <w:rsid w:val="00EF560F"/>
    <w:rsid w:val="00F355B5"/>
    <w:rsid w:val="00F36331"/>
    <w:rsid w:val="00F37A2F"/>
    <w:rsid w:val="00F37BCC"/>
    <w:rsid w:val="00F41FB1"/>
    <w:rsid w:val="00F471A4"/>
    <w:rsid w:val="00F47391"/>
    <w:rsid w:val="00F51236"/>
    <w:rsid w:val="00F560A7"/>
    <w:rsid w:val="00F565A2"/>
    <w:rsid w:val="00F662D5"/>
    <w:rsid w:val="00F66568"/>
    <w:rsid w:val="00F725CB"/>
    <w:rsid w:val="00F72FF4"/>
    <w:rsid w:val="00F75FF8"/>
    <w:rsid w:val="00F76B13"/>
    <w:rsid w:val="00F77F73"/>
    <w:rsid w:val="00F87C32"/>
    <w:rsid w:val="00F92B05"/>
    <w:rsid w:val="00F93F5C"/>
    <w:rsid w:val="00FA03B2"/>
    <w:rsid w:val="00FB0981"/>
    <w:rsid w:val="00FB463C"/>
    <w:rsid w:val="00FC1054"/>
    <w:rsid w:val="00FC162F"/>
    <w:rsid w:val="00FC557C"/>
    <w:rsid w:val="00FC6629"/>
    <w:rsid w:val="00FD21D2"/>
    <w:rsid w:val="00FD3E0F"/>
    <w:rsid w:val="00FD6C2E"/>
    <w:rsid w:val="00FE4A4C"/>
    <w:rsid w:val="00FE54EF"/>
    <w:rsid w:val="00FE5F0C"/>
    <w:rsid w:val="00FE620E"/>
    <w:rsid w:val="00F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ED57D"/>
  <w15:chartTrackingRefBased/>
  <w15:docId w15:val="{24040AE1-1F7E-4490-9668-BFE58CD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C07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C075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A13DD3"/>
    <w:rPr>
      <w:sz w:val="16"/>
      <w:szCs w:val="16"/>
    </w:rPr>
  </w:style>
  <w:style w:type="paragraph" w:styleId="CommentText">
    <w:name w:val="annotation text"/>
    <w:basedOn w:val="Normal"/>
    <w:link w:val="CommentTextChar"/>
    <w:uiPriority w:val="99"/>
    <w:unhideWhenUsed/>
    <w:rsid w:val="00A13DD3"/>
    <w:pPr>
      <w:spacing w:line="240" w:lineRule="auto"/>
    </w:pPr>
    <w:rPr>
      <w:sz w:val="20"/>
      <w:szCs w:val="20"/>
    </w:rPr>
  </w:style>
  <w:style w:type="character" w:customStyle="1" w:styleId="CommentTextChar">
    <w:name w:val="Comment Text Char"/>
    <w:basedOn w:val="DefaultParagraphFont"/>
    <w:link w:val="CommentText"/>
    <w:uiPriority w:val="99"/>
    <w:rsid w:val="00A13DD3"/>
    <w:rPr>
      <w:sz w:val="20"/>
      <w:szCs w:val="20"/>
    </w:rPr>
  </w:style>
  <w:style w:type="paragraph" w:styleId="CommentSubject">
    <w:name w:val="annotation subject"/>
    <w:basedOn w:val="CommentText"/>
    <w:next w:val="CommentText"/>
    <w:link w:val="CommentSubjectChar"/>
    <w:uiPriority w:val="99"/>
    <w:semiHidden/>
    <w:unhideWhenUsed/>
    <w:rsid w:val="00A13DD3"/>
    <w:rPr>
      <w:b/>
      <w:bCs/>
    </w:rPr>
  </w:style>
  <w:style w:type="character" w:customStyle="1" w:styleId="CommentSubjectChar">
    <w:name w:val="Comment Subject Char"/>
    <w:basedOn w:val="CommentTextChar"/>
    <w:link w:val="CommentSubject"/>
    <w:uiPriority w:val="99"/>
    <w:semiHidden/>
    <w:rsid w:val="00A13DD3"/>
    <w:rPr>
      <w:b/>
      <w:bCs/>
      <w:sz w:val="20"/>
      <w:szCs w:val="20"/>
    </w:rPr>
  </w:style>
  <w:style w:type="paragraph" w:styleId="BalloonText">
    <w:name w:val="Balloon Text"/>
    <w:basedOn w:val="Normal"/>
    <w:link w:val="BalloonTextChar"/>
    <w:uiPriority w:val="99"/>
    <w:semiHidden/>
    <w:unhideWhenUsed/>
    <w:rsid w:val="00A13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D3"/>
    <w:rPr>
      <w:rFonts w:ascii="Segoe UI" w:hAnsi="Segoe UI" w:cs="Segoe UI"/>
      <w:sz w:val="18"/>
      <w:szCs w:val="18"/>
    </w:rPr>
  </w:style>
  <w:style w:type="paragraph" w:styleId="Header">
    <w:name w:val="header"/>
    <w:basedOn w:val="Normal"/>
    <w:link w:val="HeaderChar"/>
    <w:uiPriority w:val="99"/>
    <w:unhideWhenUsed/>
    <w:rsid w:val="00EB0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E1"/>
  </w:style>
  <w:style w:type="paragraph" w:styleId="Footer">
    <w:name w:val="footer"/>
    <w:basedOn w:val="Normal"/>
    <w:link w:val="FooterChar"/>
    <w:uiPriority w:val="99"/>
    <w:unhideWhenUsed/>
    <w:rsid w:val="00EB0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7E1"/>
  </w:style>
  <w:style w:type="paragraph" w:styleId="NormalWeb">
    <w:name w:val="Normal (Web)"/>
    <w:basedOn w:val="Normal"/>
    <w:uiPriority w:val="99"/>
    <w:semiHidden/>
    <w:unhideWhenUsed/>
    <w:rsid w:val="000B280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E60E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6FED"/>
    <w:rPr>
      <w:color w:val="0563C1" w:themeColor="hyperlink"/>
      <w:u w:val="single"/>
    </w:rPr>
  </w:style>
  <w:style w:type="character" w:styleId="FollowedHyperlink">
    <w:name w:val="FollowedHyperlink"/>
    <w:basedOn w:val="DefaultParagraphFont"/>
    <w:uiPriority w:val="99"/>
    <w:semiHidden/>
    <w:unhideWhenUsed/>
    <w:rsid w:val="00DE1EE9"/>
    <w:rPr>
      <w:color w:val="954F72" w:themeColor="followedHyperlink"/>
      <w:u w:val="single"/>
    </w:rPr>
  </w:style>
  <w:style w:type="character" w:styleId="Strong">
    <w:name w:val="Strong"/>
    <w:basedOn w:val="DefaultParagraphFont"/>
    <w:uiPriority w:val="22"/>
    <w:qFormat/>
    <w:rsid w:val="00D046F9"/>
    <w:rPr>
      <w:b/>
      <w:bCs/>
    </w:rPr>
  </w:style>
  <w:style w:type="character" w:customStyle="1" w:styleId="mi">
    <w:name w:val="mi"/>
    <w:basedOn w:val="DefaultParagraphFont"/>
    <w:rsid w:val="00D046F9"/>
  </w:style>
  <w:style w:type="character" w:customStyle="1" w:styleId="mo">
    <w:name w:val="mo"/>
    <w:basedOn w:val="DefaultParagraphFont"/>
    <w:rsid w:val="00D046F9"/>
  </w:style>
  <w:style w:type="character" w:customStyle="1" w:styleId="mjxassistivemathml">
    <w:name w:val="mjx_assistive_mathml"/>
    <w:basedOn w:val="DefaultParagraphFont"/>
    <w:rsid w:val="00D046F9"/>
  </w:style>
  <w:style w:type="character" w:styleId="HTMLCode">
    <w:name w:val="HTML Code"/>
    <w:basedOn w:val="DefaultParagraphFont"/>
    <w:uiPriority w:val="99"/>
    <w:semiHidden/>
    <w:unhideWhenUsed/>
    <w:rsid w:val="00D046F9"/>
    <w:rPr>
      <w:rFonts w:ascii="Courier New" w:eastAsia="Times New Roman" w:hAnsi="Courier New" w:cs="Courier New"/>
      <w:sz w:val="20"/>
      <w:szCs w:val="20"/>
    </w:rPr>
  </w:style>
  <w:style w:type="table" w:customStyle="1" w:styleId="TableGrid1">
    <w:name w:val="Table Grid1"/>
    <w:basedOn w:val="TableNormal"/>
    <w:next w:val="TableGrid"/>
    <w:uiPriority w:val="39"/>
    <w:rsid w:val="00C7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6262"/>
    <w:rPr>
      <w:i/>
      <w:iCs/>
    </w:rPr>
  </w:style>
  <w:style w:type="paragraph" w:styleId="Revision">
    <w:name w:val="Revision"/>
    <w:hidden/>
    <w:uiPriority w:val="99"/>
    <w:semiHidden/>
    <w:rsid w:val="00456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573">
      <w:bodyDiv w:val="1"/>
      <w:marLeft w:val="0"/>
      <w:marRight w:val="0"/>
      <w:marTop w:val="0"/>
      <w:marBottom w:val="0"/>
      <w:divBdr>
        <w:top w:val="none" w:sz="0" w:space="0" w:color="auto"/>
        <w:left w:val="none" w:sz="0" w:space="0" w:color="auto"/>
        <w:bottom w:val="none" w:sz="0" w:space="0" w:color="auto"/>
        <w:right w:val="none" w:sz="0" w:space="0" w:color="auto"/>
      </w:divBdr>
    </w:div>
    <w:div w:id="81269934">
      <w:bodyDiv w:val="1"/>
      <w:marLeft w:val="0"/>
      <w:marRight w:val="0"/>
      <w:marTop w:val="0"/>
      <w:marBottom w:val="0"/>
      <w:divBdr>
        <w:top w:val="none" w:sz="0" w:space="0" w:color="auto"/>
        <w:left w:val="none" w:sz="0" w:space="0" w:color="auto"/>
        <w:bottom w:val="none" w:sz="0" w:space="0" w:color="auto"/>
        <w:right w:val="none" w:sz="0" w:space="0" w:color="auto"/>
      </w:divBdr>
    </w:div>
    <w:div w:id="335112597">
      <w:bodyDiv w:val="1"/>
      <w:marLeft w:val="0"/>
      <w:marRight w:val="0"/>
      <w:marTop w:val="0"/>
      <w:marBottom w:val="0"/>
      <w:divBdr>
        <w:top w:val="none" w:sz="0" w:space="0" w:color="auto"/>
        <w:left w:val="none" w:sz="0" w:space="0" w:color="auto"/>
        <w:bottom w:val="none" w:sz="0" w:space="0" w:color="auto"/>
        <w:right w:val="none" w:sz="0" w:space="0" w:color="auto"/>
      </w:divBdr>
      <w:divsChild>
        <w:div w:id="1068960252">
          <w:marLeft w:val="0"/>
          <w:marRight w:val="0"/>
          <w:marTop w:val="240"/>
          <w:marBottom w:val="240"/>
          <w:divBdr>
            <w:top w:val="none" w:sz="0" w:space="0" w:color="auto"/>
            <w:left w:val="none" w:sz="0" w:space="0" w:color="auto"/>
            <w:bottom w:val="none" w:sz="0" w:space="0" w:color="auto"/>
            <w:right w:val="none" w:sz="0" w:space="0" w:color="auto"/>
          </w:divBdr>
        </w:div>
      </w:divsChild>
    </w:div>
    <w:div w:id="955062317">
      <w:bodyDiv w:val="1"/>
      <w:marLeft w:val="0"/>
      <w:marRight w:val="0"/>
      <w:marTop w:val="0"/>
      <w:marBottom w:val="0"/>
      <w:divBdr>
        <w:top w:val="none" w:sz="0" w:space="0" w:color="auto"/>
        <w:left w:val="none" w:sz="0" w:space="0" w:color="auto"/>
        <w:bottom w:val="none" w:sz="0" w:space="0" w:color="auto"/>
        <w:right w:val="none" w:sz="0" w:space="0" w:color="auto"/>
      </w:divBdr>
      <w:divsChild>
        <w:div w:id="1533423200">
          <w:marLeft w:val="0"/>
          <w:marRight w:val="108"/>
          <w:marTop w:val="108"/>
          <w:marBottom w:val="108"/>
          <w:divBdr>
            <w:top w:val="none" w:sz="0" w:space="0" w:color="auto"/>
            <w:left w:val="none" w:sz="0" w:space="0" w:color="auto"/>
            <w:bottom w:val="none" w:sz="0" w:space="0" w:color="auto"/>
            <w:right w:val="none" w:sz="0" w:space="0" w:color="auto"/>
          </w:divBdr>
          <w:divsChild>
            <w:div w:id="88355943">
              <w:marLeft w:val="0"/>
              <w:marRight w:val="0"/>
              <w:marTop w:val="0"/>
              <w:marBottom w:val="0"/>
              <w:divBdr>
                <w:top w:val="none" w:sz="0" w:space="0" w:color="auto"/>
                <w:left w:val="none" w:sz="0" w:space="0" w:color="auto"/>
                <w:bottom w:val="none" w:sz="0" w:space="0" w:color="auto"/>
                <w:right w:val="none" w:sz="0" w:space="0" w:color="auto"/>
              </w:divBdr>
              <w:divsChild>
                <w:div w:id="9605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7709">
      <w:bodyDiv w:val="1"/>
      <w:marLeft w:val="0"/>
      <w:marRight w:val="0"/>
      <w:marTop w:val="0"/>
      <w:marBottom w:val="0"/>
      <w:divBdr>
        <w:top w:val="none" w:sz="0" w:space="0" w:color="auto"/>
        <w:left w:val="none" w:sz="0" w:space="0" w:color="auto"/>
        <w:bottom w:val="none" w:sz="0" w:space="0" w:color="auto"/>
        <w:right w:val="none" w:sz="0" w:space="0" w:color="auto"/>
      </w:divBdr>
    </w:div>
    <w:div w:id="1103576517">
      <w:bodyDiv w:val="1"/>
      <w:marLeft w:val="0"/>
      <w:marRight w:val="0"/>
      <w:marTop w:val="0"/>
      <w:marBottom w:val="0"/>
      <w:divBdr>
        <w:top w:val="none" w:sz="0" w:space="0" w:color="auto"/>
        <w:left w:val="none" w:sz="0" w:space="0" w:color="auto"/>
        <w:bottom w:val="none" w:sz="0" w:space="0" w:color="auto"/>
        <w:right w:val="none" w:sz="0" w:space="0" w:color="auto"/>
      </w:divBdr>
    </w:div>
    <w:div w:id="1119110481">
      <w:bodyDiv w:val="1"/>
      <w:marLeft w:val="0"/>
      <w:marRight w:val="0"/>
      <w:marTop w:val="0"/>
      <w:marBottom w:val="0"/>
      <w:divBdr>
        <w:top w:val="none" w:sz="0" w:space="0" w:color="auto"/>
        <w:left w:val="none" w:sz="0" w:space="0" w:color="auto"/>
        <w:bottom w:val="none" w:sz="0" w:space="0" w:color="auto"/>
        <w:right w:val="none" w:sz="0" w:space="0" w:color="auto"/>
      </w:divBdr>
    </w:div>
    <w:div w:id="1490101679">
      <w:bodyDiv w:val="1"/>
      <w:marLeft w:val="0"/>
      <w:marRight w:val="0"/>
      <w:marTop w:val="0"/>
      <w:marBottom w:val="0"/>
      <w:divBdr>
        <w:top w:val="none" w:sz="0" w:space="0" w:color="auto"/>
        <w:left w:val="none" w:sz="0" w:space="0" w:color="auto"/>
        <w:bottom w:val="none" w:sz="0" w:space="0" w:color="auto"/>
        <w:right w:val="none" w:sz="0" w:space="0" w:color="auto"/>
      </w:divBdr>
      <w:divsChild>
        <w:div w:id="535969498">
          <w:marLeft w:val="0"/>
          <w:marRight w:val="108"/>
          <w:marTop w:val="108"/>
          <w:marBottom w:val="108"/>
          <w:divBdr>
            <w:top w:val="none" w:sz="0" w:space="0" w:color="auto"/>
            <w:left w:val="none" w:sz="0" w:space="0" w:color="auto"/>
            <w:bottom w:val="none" w:sz="0" w:space="0" w:color="auto"/>
            <w:right w:val="none" w:sz="0" w:space="0" w:color="auto"/>
          </w:divBdr>
          <w:divsChild>
            <w:div w:id="893389892">
              <w:marLeft w:val="0"/>
              <w:marRight w:val="0"/>
              <w:marTop w:val="0"/>
              <w:marBottom w:val="0"/>
              <w:divBdr>
                <w:top w:val="none" w:sz="0" w:space="0" w:color="auto"/>
                <w:left w:val="none" w:sz="0" w:space="0" w:color="auto"/>
                <w:bottom w:val="none" w:sz="0" w:space="0" w:color="auto"/>
                <w:right w:val="none" w:sz="0" w:space="0" w:color="auto"/>
              </w:divBdr>
              <w:divsChild>
                <w:div w:id="8084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018">
      <w:bodyDiv w:val="1"/>
      <w:marLeft w:val="0"/>
      <w:marRight w:val="0"/>
      <w:marTop w:val="0"/>
      <w:marBottom w:val="0"/>
      <w:divBdr>
        <w:top w:val="none" w:sz="0" w:space="0" w:color="auto"/>
        <w:left w:val="none" w:sz="0" w:space="0" w:color="auto"/>
        <w:bottom w:val="none" w:sz="0" w:space="0" w:color="auto"/>
        <w:right w:val="none" w:sz="0" w:space="0" w:color="auto"/>
      </w:divBdr>
      <w:divsChild>
        <w:div w:id="1790540131">
          <w:marLeft w:val="0"/>
          <w:marRight w:val="108"/>
          <w:marTop w:val="18"/>
          <w:marBottom w:val="108"/>
          <w:divBdr>
            <w:top w:val="none" w:sz="0" w:space="0" w:color="auto"/>
            <w:left w:val="none" w:sz="0" w:space="0" w:color="auto"/>
            <w:bottom w:val="none" w:sz="0" w:space="0" w:color="auto"/>
            <w:right w:val="none" w:sz="0" w:space="0" w:color="auto"/>
          </w:divBdr>
          <w:divsChild>
            <w:div w:id="1614480710">
              <w:marLeft w:val="0"/>
              <w:marRight w:val="0"/>
              <w:marTop w:val="0"/>
              <w:marBottom w:val="0"/>
              <w:divBdr>
                <w:top w:val="none" w:sz="0" w:space="0" w:color="auto"/>
                <w:left w:val="none" w:sz="0" w:space="0" w:color="auto"/>
                <w:bottom w:val="none" w:sz="0" w:space="0" w:color="auto"/>
                <w:right w:val="none" w:sz="0" w:space="0" w:color="auto"/>
              </w:divBdr>
              <w:divsChild>
                <w:div w:id="15789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redicted.org/blind.php?x=nt6zv6"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7F2F-2B3E-47C2-B155-387D8A6D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30</Pages>
  <Words>22655</Words>
  <Characters>129136</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Geschwind, Nicole (PSYCHOLOGY)</dc:creator>
  <cp:keywords/>
  <dc:description/>
  <cp:lastModifiedBy>Nicole</cp:lastModifiedBy>
  <cp:revision>30</cp:revision>
  <dcterms:created xsi:type="dcterms:W3CDTF">2022-12-13T09:15:00Z</dcterms:created>
  <dcterms:modified xsi:type="dcterms:W3CDTF">2023-04-20T09:23:00Z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http://csl.mendeley.com/styles/19941711/Behav-Cog-Psychotherapy</vt:lpwstr>
  </property>
  <property fmtid="{D5CDD505-2E9C-101B-9397-08002B2CF9AE}" pid="9" name="Mendeley Recent Style Name 3_1">
    <vt:lpwstr>Behavioural and Cognitive Psychotherapy - based on APA 7th</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78163f73-c15a-39e3-a575-c3ddbe3dc52d</vt:lpwstr>
  </property>
  <property fmtid="{D5CDD505-2E9C-101B-9397-08002B2CF9AE}" pid="24" name="Mendeley Citation Style_1">
    <vt:lpwstr>http://csl.mendeley.com/styles/19941711/Behav-Cog-Psychotherapy</vt:lpwstr>
  </property>
</Properties>
</file>