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0F12" w14:textId="5650233E" w:rsidR="00A460C3" w:rsidRPr="006B7C1E" w:rsidRDefault="00A460C3" w:rsidP="00161D4B">
      <w:pPr>
        <w:spacing w:line="360" w:lineRule="auto"/>
        <w:jc w:val="both"/>
        <w:rPr>
          <w:b/>
          <w:bCs/>
          <w:color w:val="002060"/>
        </w:rPr>
      </w:pPr>
      <w:bookmarkStart w:id="0" w:name="OLE_LINK5"/>
      <w:bookmarkStart w:id="1" w:name="OLE_LINK6"/>
      <w:bookmarkStart w:id="2" w:name="OLE_LINK7"/>
      <w:r w:rsidRPr="006B7C1E">
        <w:rPr>
          <w:b/>
          <w:bCs/>
          <w:color w:val="002060"/>
        </w:rPr>
        <w:t>BRIEF CLINICAL REPORT</w:t>
      </w:r>
    </w:p>
    <w:p w14:paraId="6D20A19A" w14:textId="77777777" w:rsidR="00A460C3" w:rsidRPr="006B7C1E" w:rsidRDefault="00A460C3" w:rsidP="00161D4B">
      <w:pPr>
        <w:spacing w:line="360" w:lineRule="auto"/>
        <w:jc w:val="both"/>
        <w:rPr>
          <w:b/>
          <w:bCs/>
          <w:color w:val="002060"/>
        </w:rPr>
      </w:pPr>
    </w:p>
    <w:p w14:paraId="6885F350" w14:textId="2C08EAB3" w:rsidR="001E11CF" w:rsidRPr="006B7C1E" w:rsidRDefault="001E11CF" w:rsidP="00161D4B">
      <w:pPr>
        <w:spacing w:line="360" w:lineRule="auto"/>
        <w:jc w:val="both"/>
        <w:rPr>
          <w:b/>
          <w:bCs/>
          <w:color w:val="002060"/>
        </w:rPr>
      </w:pPr>
      <w:r w:rsidRPr="006B7C1E">
        <w:rPr>
          <w:b/>
          <w:bCs/>
          <w:color w:val="002060"/>
        </w:rPr>
        <w:t xml:space="preserve">Increasing ethnicity reporting on </w:t>
      </w:r>
      <w:proofErr w:type="spellStart"/>
      <w:r w:rsidRPr="006B7C1E">
        <w:rPr>
          <w:b/>
          <w:bCs/>
          <w:color w:val="002060"/>
        </w:rPr>
        <w:t>IAPTus</w:t>
      </w:r>
      <w:proofErr w:type="spellEnd"/>
      <w:r w:rsidRPr="006B7C1E">
        <w:rPr>
          <w:b/>
          <w:bCs/>
          <w:color w:val="002060"/>
        </w:rPr>
        <w:t xml:space="preserve"> to better understand cultural needs accessing a primary care talking therapy </w:t>
      </w:r>
      <w:proofErr w:type="gramStart"/>
      <w:r w:rsidRPr="006B7C1E">
        <w:rPr>
          <w:b/>
          <w:bCs/>
          <w:color w:val="002060"/>
        </w:rPr>
        <w:t>service</w:t>
      </w:r>
      <w:proofErr w:type="gramEnd"/>
    </w:p>
    <w:p w14:paraId="67684DA5" w14:textId="77777777" w:rsidR="00221A8A" w:rsidRPr="00161D4B" w:rsidRDefault="00221A8A" w:rsidP="00161D4B">
      <w:pPr>
        <w:spacing w:line="360" w:lineRule="auto"/>
        <w:jc w:val="both"/>
      </w:pPr>
    </w:p>
    <w:p w14:paraId="7DBF8A72" w14:textId="0180EE2B" w:rsidR="006B7C1E" w:rsidRDefault="001E11CF" w:rsidP="00161D4B">
      <w:pPr>
        <w:spacing w:line="360" w:lineRule="auto"/>
        <w:jc w:val="both"/>
      </w:pPr>
      <w:r w:rsidRPr="00161D4B">
        <w:t>Maisha Murshed</w:t>
      </w:r>
      <w:r w:rsidR="006B7C1E" w:rsidRPr="006B7C1E">
        <w:rPr>
          <w:vertAlign w:val="superscript"/>
        </w:rPr>
        <w:t>1,2</w:t>
      </w:r>
      <w:r w:rsidR="006B7C1E">
        <w:t xml:space="preserve">, </w:t>
      </w:r>
      <w:r w:rsidR="006B7C1E" w:rsidRPr="00161D4B">
        <w:t>Rebecca Doherty</w:t>
      </w:r>
      <w:r w:rsidR="006B7C1E" w:rsidRPr="006B7C1E">
        <w:rPr>
          <w:vertAlign w:val="superscript"/>
        </w:rPr>
        <w:t>1</w:t>
      </w:r>
      <w:r w:rsidR="006B7C1E">
        <w:t xml:space="preserve">, </w:t>
      </w:r>
      <w:r w:rsidR="006B7C1E" w:rsidRPr="00161D4B">
        <w:t>Sepideh Mhojatoleslami</w:t>
      </w:r>
      <w:r w:rsidR="006B7C1E" w:rsidRPr="006B7C1E">
        <w:rPr>
          <w:vertAlign w:val="superscript"/>
        </w:rPr>
        <w:t>1</w:t>
      </w:r>
      <w:r w:rsidR="006B7C1E">
        <w:t xml:space="preserve">, </w:t>
      </w:r>
      <w:r w:rsidR="006B7C1E" w:rsidRPr="00161D4B">
        <w:t>Said Aris Tarabi</w:t>
      </w:r>
      <w:r w:rsidR="006B7C1E" w:rsidRPr="006B7C1E">
        <w:rPr>
          <w:vertAlign w:val="superscript"/>
        </w:rPr>
        <w:t>1</w:t>
      </w:r>
      <w:r w:rsidR="006B7C1E">
        <w:t xml:space="preserve"> and </w:t>
      </w:r>
      <w:r w:rsidR="006B7C1E" w:rsidRPr="00161D4B">
        <w:t>Anupama Rammohan</w:t>
      </w:r>
      <w:r w:rsidR="006B7C1E" w:rsidRPr="006B7C1E">
        <w:rPr>
          <w:vertAlign w:val="superscript"/>
        </w:rPr>
        <w:t>1</w:t>
      </w:r>
    </w:p>
    <w:p w14:paraId="28829B48" w14:textId="77777777" w:rsidR="006B7C1E" w:rsidRDefault="006B7C1E" w:rsidP="00161D4B">
      <w:pPr>
        <w:spacing w:line="360" w:lineRule="auto"/>
        <w:jc w:val="both"/>
      </w:pPr>
    </w:p>
    <w:p w14:paraId="6A883F2B" w14:textId="33BF2C24" w:rsidR="001E11CF" w:rsidRPr="00161D4B" w:rsidRDefault="006B7C1E" w:rsidP="00161D4B">
      <w:pPr>
        <w:spacing w:line="360" w:lineRule="auto"/>
        <w:jc w:val="both"/>
      </w:pPr>
      <w:r w:rsidRPr="006B7C1E">
        <w:rPr>
          <w:vertAlign w:val="superscript"/>
        </w:rPr>
        <w:t>1</w:t>
      </w:r>
      <w:r w:rsidR="001E11CF" w:rsidRPr="00161D4B">
        <w:t>Central, Northwest London NHS Foundation Trust</w:t>
      </w:r>
      <w:r>
        <w:t xml:space="preserve">, UK and </w:t>
      </w:r>
      <w:r w:rsidRPr="006B7C1E">
        <w:rPr>
          <w:vertAlign w:val="superscript"/>
        </w:rPr>
        <w:t>2</w:t>
      </w:r>
      <w:r w:rsidR="001E11CF" w:rsidRPr="00161D4B">
        <w:t xml:space="preserve">Fairfield House, </w:t>
      </w:r>
      <w:proofErr w:type="spellStart"/>
      <w:r w:rsidR="001E11CF" w:rsidRPr="00161D4B">
        <w:t>Fairfields</w:t>
      </w:r>
      <w:proofErr w:type="spellEnd"/>
      <w:r w:rsidR="001E11CF" w:rsidRPr="00161D4B">
        <w:t xml:space="preserve"> Cres</w:t>
      </w:r>
      <w:r>
        <w:t>cent</w:t>
      </w:r>
      <w:r w:rsidR="001E11CF" w:rsidRPr="00161D4B">
        <w:t>, London NW9 0PS</w:t>
      </w:r>
      <w:r>
        <w:t>, UK</w:t>
      </w:r>
    </w:p>
    <w:p w14:paraId="6F8F5A36" w14:textId="77777777" w:rsidR="00221A8A" w:rsidRDefault="00221A8A" w:rsidP="00161D4B">
      <w:pPr>
        <w:spacing w:line="360" w:lineRule="auto"/>
        <w:jc w:val="both"/>
      </w:pPr>
    </w:p>
    <w:p w14:paraId="74040157" w14:textId="42D03F41" w:rsidR="00EB764F" w:rsidRDefault="00EB764F" w:rsidP="00161D4B">
      <w:pPr>
        <w:spacing w:line="360" w:lineRule="auto"/>
        <w:jc w:val="both"/>
      </w:pPr>
      <w:r w:rsidRPr="00A372EA">
        <w:rPr>
          <w:b/>
          <w:bCs/>
        </w:rPr>
        <w:t>Corresponding author</w:t>
      </w:r>
      <w:r w:rsidR="00FC3FA1" w:rsidRPr="00A372EA">
        <w:rPr>
          <w:b/>
          <w:bCs/>
        </w:rPr>
        <w:t>:</w:t>
      </w:r>
      <w:r>
        <w:t xml:space="preserve"> </w:t>
      </w:r>
      <w:r w:rsidR="00A372EA">
        <w:t>Maisha Murshed</w:t>
      </w:r>
      <w:r w:rsidR="00FC3FA1">
        <w:t>; email</w:t>
      </w:r>
      <w:r>
        <w:t>:</w:t>
      </w:r>
      <w:r w:rsidR="00FC3FA1">
        <w:t xml:space="preserve"> </w:t>
      </w:r>
      <w:r w:rsidR="00A372EA" w:rsidRPr="00A372EA">
        <w:t>maisha.murshed@ntu.ac.uk</w:t>
      </w:r>
      <w:r>
        <w:t xml:space="preserve"> </w:t>
      </w:r>
    </w:p>
    <w:p w14:paraId="7EC7C815" w14:textId="77777777" w:rsidR="00A372EA" w:rsidRPr="00161D4B" w:rsidRDefault="00A372EA" w:rsidP="00161D4B">
      <w:pPr>
        <w:spacing w:line="360" w:lineRule="auto"/>
        <w:jc w:val="both"/>
      </w:pPr>
    </w:p>
    <w:p w14:paraId="40D949EB" w14:textId="77777777" w:rsidR="001E11CF" w:rsidRPr="00161D4B" w:rsidRDefault="001E11CF" w:rsidP="00161D4B">
      <w:pPr>
        <w:spacing w:line="360" w:lineRule="auto"/>
        <w:jc w:val="both"/>
        <w:rPr>
          <w:b/>
          <w:bCs/>
        </w:rPr>
      </w:pPr>
      <w:r w:rsidRPr="00161D4B">
        <w:rPr>
          <w:b/>
          <w:bCs/>
        </w:rPr>
        <w:t xml:space="preserve">Abstract </w:t>
      </w:r>
    </w:p>
    <w:p w14:paraId="67F2A56B" w14:textId="5C4EABFE" w:rsidR="001E11CF" w:rsidRPr="00161D4B" w:rsidRDefault="001E11CF" w:rsidP="00161D4B">
      <w:pPr>
        <w:spacing w:line="360" w:lineRule="auto"/>
        <w:jc w:val="both"/>
      </w:pPr>
      <w:r w:rsidRPr="00161D4B">
        <w:rPr>
          <w:b/>
          <w:bCs/>
        </w:rPr>
        <w:t xml:space="preserve">Background: </w:t>
      </w:r>
      <w:r w:rsidRPr="00161D4B">
        <w:t>The COVID-19 pandemic highlighted the under</w:t>
      </w:r>
      <w:r w:rsidR="00F349CF">
        <w:t>-</w:t>
      </w:r>
      <w:r w:rsidRPr="00161D4B">
        <w:t xml:space="preserve">utilisation of statutory mental health care services by minority ethnic groups in the United Kingdom (UK). </w:t>
      </w:r>
    </w:p>
    <w:p w14:paraId="62C0FAD2" w14:textId="77777777" w:rsidR="001E11CF" w:rsidRPr="00161D4B" w:rsidRDefault="001E11CF" w:rsidP="00161D4B">
      <w:pPr>
        <w:spacing w:line="360" w:lineRule="auto"/>
        <w:jc w:val="both"/>
        <w:rPr>
          <w:b/>
          <w:bCs/>
        </w:rPr>
      </w:pPr>
      <w:r w:rsidRPr="00161D4B">
        <w:rPr>
          <w:b/>
          <w:bCs/>
        </w:rPr>
        <w:t>Aims:</w:t>
      </w:r>
      <w:r w:rsidRPr="00161D4B">
        <w:t xml:space="preserve"> Improve ethnicity reporting to better understand the needs of patients accessing a primary care talking therapies service. </w:t>
      </w:r>
    </w:p>
    <w:p w14:paraId="20633B48" w14:textId="47DC7B76" w:rsidR="001E11CF" w:rsidRPr="00161D4B" w:rsidRDefault="001E11CF" w:rsidP="00161D4B">
      <w:pPr>
        <w:spacing w:line="360" w:lineRule="auto"/>
        <w:jc w:val="both"/>
      </w:pPr>
      <w:r w:rsidRPr="00161D4B">
        <w:rPr>
          <w:b/>
          <w:bCs/>
        </w:rPr>
        <w:t xml:space="preserve">Method: </w:t>
      </w:r>
      <w:r w:rsidRPr="00161D4B">
        <w:t xml:space="preserve">We conducted a clinical audit to observe outcomes from pre-COVID (2019), first wave of COVID-19 (2020) and 2021 for three broad ethnic categories: Black African/Caribbean, Asian and White British. </w:t>
      </w:r>
      <w:r w:rsidR="007F23C9">
        <w:t>The i</w:t>
      </w:r>
      <w:r w:rsidRPr="00161D4B">
        <w:t xml:space="preserve">ntervention was conducted on staff to improve data recording of ethnicity. A patient survey was sent to those identified as </w:t>
      </w:r>
      <w:r w:rsidR="00BE07C6">
        <w:t xml:space="preserve">having </w:t>
      </w:r>
      <w:r w:rsidRPr="00161D4B">
        <w:t xml:space="preserve">dropped out </w:t>
      </w:r>
      <w:r w:rsidR="00BE07C6">
        <w:t>of</w:t>
      </w:r>
      <w:r w:rsidRPr="00161D4B">
        <w:t xml:space="preserve"> treatment from May 2020 to April 2021. A total of 229 patients responded to the survey. The survey asked for reasons that impacted on not continuing with sessions. </w:t>
      </w:r>
    </w:p>
    <w:p w14:paraId="19E60FB3" w14:textId="71FF243D" w:rsidR="001E11CF" w:rsidRPr="00161D4B" w:rsidRDefault="001E11CF" w:rsidP="00161D4B">
      <w:pPr>
        <w:spacing w:line="360" w:lineRule="auto"/>
        <w:jc w:val="both"/>
      </w:pPr>
      <w:r w:rsidRPr="00161D4B">
        <w:rPr>
          <w:b/>
          <w:bCs/>
        </w:rPr>
        <w:t xml:space="preserve">Results: </w:t>
      </w:r>
      <w:r w:rsidRPr="00161D4B">
        <w:t>Quantitative analysis showed a statistically significant difference on discharge outcome between White British and Black African/Caribbean (</w:t>
      </w:r>
      <w:r w:rsidRPr="00161D4B">
        <w:rPr>
          <w:i/>
          <w:iCs/>
        </w:rPr>
        <w:t>p</w:t>
      </w:r>
      <w:r w:rsidRPr="00161D4B">
        <w:t>=</w:t>
      </w:r>
      <w:r w:rsidR="00C75BEE" w:rsidRPr="00161D4B">
        <w:t>&lt;0.</w:t>
      </w:r>
      <w:r w:rsidRPr="00161D4B">
        <w:t>000</w:t>
      </w:r>
      <w:r w:rsidR="00221A8A" w:rsidRPr="00161D4B">
        <w:t>1</w:t>
      </w:r>
      <w:r w:rsidRPr="00161D4B">
        <w:t xml:space="preserve">), Black African/Caribbean patients most likely to drop out of treatment and in 2020 </w:t>
      </w:r>
      <w:r w:rsidR="006550C9">
        <w:t xml:space="preserve">the </w:t>
      </w:r>
      <w:r w:rsidRPr="00161D4B">
        <w:t>Asian population w</w:t>
      </w:r>
      <w:r w:rsidR="006550C9">
        <w:t>as</w:t>
      </w:r>
      <w:r w:rsidRPr="00161D4B">
        <w:t xml:space="preserve"> below the recovery target of 50%. Qualitative analysis revealed </w:t>
      </w:r>
      <w:r w:rsidR="006550C9">
        <w:t xml:space="preserve">that </w:t>
      </w:r>
      <w:r w:rsidRPr="00161D4B">
        <w:t xml:space="preserve">therapist factors included lack of confidence in </w:t>
      </w:r>
      <w:r w:rsidR="006550C9">
        <w:t xml:space="preserve">the </w:t>
      </w:r>
      <w:r w:rsidRPr="00161D4B">
        <w:t xml:space="preserve">therapist, </w:t>
      </w:r>
      <w:r w:rsidR="006550C9">
        <w:t xml:space="preserve">and </w:t>
      </w:r>
      <w:r w:rsidRPr="00161D4B">
        <w:t>not being listened to</w:t>
      </w:r>
      <w:r w:rsidR="006550C9">
        <w:t>;</w:t>
      </w:r>
      <w:r w:rsidRPr="00161D4B">
        <w:t xml:space="preserve"> patient factors included neurodiversity,</w:t>
      </w:r>
      <w:r w:rsidR="00206D3B">
        <w:t xml:space="preserve"> being </w:t>
      </w:r>
      <w:r w:rsidRPr="00161D4B">
        <w:t>unsure whether it would be helpful</w:t>
      </w:r>
      <w:r w:rsidR="00206D3B">
        <w:t>,</w:t>
      </w:r>
      <w:r w:rsidRPr="00161D4B">
        <w:t xml:space="preserve"> and confidentiality concerns</w:t>
      </w:r>
      <w:r w:rsidR="00206D3B">
        <w:t>;</w:t>
      </w:r>
      <w:r w:rsidRPr="00161D4B">
        <w:t xml:space="preserve"> service factors included being notified of discharge from the service, remote delivery of therapy, treatment options, </w:t>
      </w:r>
      <w:r w:rsidR="00206D3B">
        <w:t xml:space="preserve">and </w:t>
      </w:r>
      <w:r w:rsidRPr="00161D4B">
        <w:t xml:space="preserve">treatment materials. </w:t>
      </w:r>
    </w:p>
    <w:p w14:paraId="29F51800" w14:textId="77777777" w:rsidR="001E11CF" w:rsidRPr="00161D4B" w:rsidRDefault="001E11CF" w:rsidP="00161D4B">
      <w:pPr>
        <w:spacing w:line="360" w:lineRule="auto"/>
        <w:jc w:val="both"/>
        <w:rPr>
          <w:lang w:val="en-US"/>
        </w:rPr>
      </w:pPr>
      <w:r w:rsidRPr="00161D4B">
        <w:rPr>
          <w:b/>
          <w:bCs/>
        </w:rPr>
        <w:t xml:space="preserve">Discussions: </w:t>
      </w:r>
      <w:r w:rsidRPr="00161D4B">
        <w:t xml:space="preserve">Services must work towards improving service provision by capturing hidden disparities and socialising treatment to meet the needs of minority ethnic groups in the UK. </w:t>
      </w:r>
      <w:r w:rsidRPr="00161D4B">
        <w:rPr>
          <w:lang w:val="en-US"/>
        </w:rPr>
        <w:lastRenderedPageBreak/>
        <w:t>The present study recommends culturally adapted treatment and co-producing therapy materials.</w:t>
      </w:r>
    </w:p>
    <w:p w14:paraId="3AA686E6" w14:textId="77777777" w:rsidR="001E11CF" w:rsidRPr="00161D4B" w:rsidRDefault="001E11CF" w:rsidP="00161D4B">
      <w:pPr>
        <w:spacing w:line="360" w:lineRule="auto"/>
        <w:jc w:val="both"/>
        <w:rPr>
          <w:b/>
          <w:bCs/>
        </w:rPr>
      </w:pPr>
    </w:p>
    <w:p w14:paraId="219209A9" w14:textId="6CF297EB" w:rsidR="001E11CF" w:rsidRDefault="001E11CF" w:rsidP="00161D4B">
      <w:pPr>
        <w:spacing w:line="360" w:lineRule="auto"/>
        <w:jc w:val="both"/>
      </w:pPr>
      <w:r w:rsidRPr="00161D4B">
        <w:rPr>
          <w:b/>
          <w:bCs/>
        </w:rPr>
        <w:t>Keywords:</w:t>
      </w:r>
      <w:r w:rsidRPr="00161D4B">
        <w:t xml:space="preserve"> </w:t>
      </w:r>
      <w:r w:rsidR="00232889">
        <w:t>C</w:t>
      </w:r>
      <w:r w:rsidR="00232889" w:rsidRPr="00161D4B">
        <w:t>ommon mental health disorders</w:t>
      </w:r>
      <w:r w:rsidR="00232889">
        <w:t>;</w:t>
      </w:r>
      <w:r w:rsidR="00232889" w:rsidRPr="00161D4B">
        <w:t xml:space="preserve"> </w:t>
      </w:r>
      <w:r w:rsidR="00232889">
        <w:t>E</w:t>
      </w:r>
      <w:r w:rsidR="00232889" w:rsidRPr="00161D4B">
        <w:t>thnic groups</w:t>
      </w:r>
      <w:r w:rsidR="00232889">
        <w:t>;</w:t>
      </w:r>
      <w:r w:rsidR="00232889" w:rsidRPr="00161D4B">
        <w:t xml:space="preserve"> </w:t>
      </w:r>
      <w:r w:rsidR="00232889">
        <w:t>H</w:t>
      </w:r>
      <w:r w:rsidR="00232889" w:rsidRPr="00161D4B">
        <w:t>ealthcare disparities</w:t>
      </w:r>
      <w:r w:rsidR="00232889">
        <w:t>;</w:t>
      </w:r>
      <w:r w:rsidR="00232889" w:rsidRPr="00161D4B">
        <w:t xml:space="preserve"> </w:t>
      </w:r>
      <w:r w:rsidRPr="00161D4B">
        <w:t>IAPT</w:t>
      </w:r>
    </w:p>
    <w:p w14:paraId="6E68BE4E" w14:textId="77777777" w:rsidR="00232889" w:rsidRDefault="00232889" w:rsidP="00161D4B">
      <w:pPr>
        <w:spacing w:line="360" w:lineRule="auto"/>
        <w:jc w:val="both"/>
      </w:pPr>
    </w:p>
    <w:p w14:paraId="612001D5" w14:textId="2DBBBBF0" w:rsidR="001E11CF" w:rsidRPr="00232889" w:rsidRDefault="001E11CF" w:rsidP="00161D4B">
      <w:pPr>
        <w:spacing w:line="360" w:lineRule="auto"/>
        <w:jc w:val="both"/>
        <w:rPr>
          <w:b/>
          <w:bCs/>
          <w:color w:val="002060"/>
        </w:rPr>
      </w:pPr>
      <w:r w:rsidRPr="00232889">
        <w:rPr>
          <w:b/>
          <w:bCs/>
          <w:color w:val="002060"/>
        </w:rPr>
        <w:t xml:space="preserve">Introduction </w:t>
      </w:r>
    </w:p>
    <w:p w14:paraId="23F32152" w14:textId="541986E2" w:rsidR="001E11CF" w:rsidRPr="00161D4B" w:rsidRDefault="001E11CF" w:rsidP="00161D4B">
      <w:pPr>
        <w:spacing w:line="360" w:lineRule="auto"/>
        <w:jc w:val="both"/>
      </w:pPr>
      <w:r w:rsidRPr="00161D4B">
        <w:t>The under</w:t>
      </w:r>
      <w:r w:rsidR="00171E73">
        <w:t>-</w:t>
      </w:r>
      <w:r w:rsidRPr="00161D4B">
        <w:t>utilisation of statutory mental health care services by ethnic minority groups in the United Kingdom (UK) has been well documented over the years, and subsequent reports continue to reveal the disparities in health outcomes among these groups. Research has shown</w:t>
      </w:r>
      <w:r w:rsidR="0014367C">
        <w:t xml:space="preserve"> that</w:t>
      </w:r>
      <w:r w:rsidRPr="00161D4B">
        <w:t xml:space="preserve"> ethnic minorities </w:t>
      </w:r>
      <w:r w:rsidR="0014367C">
        <w:t xml:space="preserve">are </w:t>
      </w:r>
      <w:r w:rsidRPr="00161D4B">
        <w:t xml:space="preserve">more likely to have negative experiences of healthcare services and worse treatment outcomes compared </w:t>
      </w:r>
      <w:r w:rsidR="0014367C">
        <w:t>with</w:t>
      </w:r>
      <w:r w:rsidRPr="00161D4B">
        <w:t xml:space="preserve"> their white counterparts (Mead </w:t>
      </w:r>
      <w:r w:rsidR="0014367C">
        <w:t>and</w:t>
      </w:r>
      <w:r w:rsidRPr="00161D4B">
        <w:t xml:space="preserve"> Roland, 2009). A government report revealed the disproportionately high incidence of Black Caribbean men with mental health problems </w:t>
      </w:r>
      <w:r w:rsidR="0014367C">
        <w:t>being</w:t>
      </w:r>
      <w:r w:rsidRPr="00161D4B">
        <w:t xml:space="preserve"> more likely to experience the harsher end of services, either over</w:t>
      </w:r>
      <w:r w:rsidR="0014367C">
        <w:t>-</w:t>
      </w:r>
      <w:r w:rsidRPr="00161D4B">
        <w:t xml:space="preserve">represented within the prison system or more likely to be seen at crisis (Fitzpatrick </w:t>
      </w:r>
      <w:r w:rsidRPr="0014367C">
        <w:rPr>
          <w:i/>
          <w:iCs/>
        </w:rPr>
        <w:t>et al</w:t>
      </w:r>
      <w:r w:rsidRPr="00161D4B">
        <w:t>., 2014). Studies further exposed frequent misdiagnosis, or under</w:t>
      </w:r>
      <w:r w:rsidR="0014367C">
        <w:t>-</w:t>
      </w:r>
      <w:r w:rsidRPr="00161D4B">
        <w:t>diagnosis of Black and minority ethnic individuals when presenting to their healthcare provider where symptoms were routinely ignored (</w:t>
      </w:r>
      <w:r w:rsidR="00DB0608" w:rsidRPr="00161D4B">
        <w:t>Dawn</w:t>
      </w:r>
      <w:r w:rsidR="00DB0608">
        <w:t xml:space="preserve"> and </w:t>
      </w:r>
      <w:proofErr w:type="spellStart"/>
      <w:r w:rsidR="00DB0608">
        <w:t>Mackian</w:t>
      </w:r>
      <w:proofErr w:type="spellEnd"/>
      <w:r w:rsidR="00DB0608" w:rsidRPr="00161D4B">
        <w:t>, 2010</w:t>
      </w:r>
      <w:r w:rsidR="00DB0608">
        <w:t xml:space="preserve">; </w:t>
      </w:r>
      <w:r w:rsidRPr="00161D4B">
        <w:t>Jones</w:t>
      </w:r>
      <w:r w:rsidR="0002448E">
        <w:t xml:space="preserve"> </w:t>
      </w:r>
      <w:r w:rsidR="0002448E" w:rsidRPr="0002448E">
        <w:rPr>
          <w:i/>
          <w:iCs/>
        </w:rPr>
        <w:t>et al</w:t>
      </w:r>
      <w:r w:rsidR="0002448E">
        <w:t>.</w:t>
      </w:r>
      <w:r w:rsidRPr="00161D4B">
        <w:t xml:space="preserve">, 2018). </w:t>
      </w:r>
    </w:p>
    <w:p w14:paraId="0478CC29" w14:textId="76DFA1D7" w:rsidR="001E11CF" w:rsidRPr="00161D4B" w:rsidRDefault="001E11CF" w:rsidP="006B48BE">
      <w:pPr>
        <w:spacing w:line="360" w:lineRule="auto"/>
        <w:ind w:firstLine="567"/>
        <w:jc w:val="both"/>
      </w:pPr>
      <w:r w:rsidRPr="00161D4B">
        <w:t>Furthermore, the unequal distribution of infection and death rates of coronavirus (COVID-19) has become a catalyst for the pre-existing systemic issues of racial inequalities that have persisted over time in the UK (</w:t>
      </w:r>
      <w:proofErr w:type="spellStart"/>
      <w:r w:rsidRPr="00161D4B">
        <w:t>Kapilashrami</w:t>
      </w:r>
      <w:proofErr w:type="spellEnd"/>
      <w:r w:rsidRPr="00161D4B">
        <w:t xml:space="preserve"> </w:t>
      </w:r>
      <w:r w:rsidR="00DB0608">
        <w:t>and</w:t>
      </w:r>
      <w:r w:rsidRPr="00161D4B">
        <w:t xml:space="preserve"> </w:t>
      </w:r>
      <w:proofErr w:type="spellStart"/>
      <w:r w:rsidRPr="00161D4B">
        <w:t>Bhui</w:t>
      </w:r>
      <w:proofErr w:type="spellEnd"/>
      <w:r w:rsidRPr="00161D4B">
        <w:t>, 2020). Since the COVID-19 pandemic it has certainly become apparent that those who face greater societal disadvantage</w:t>
      </w:r>
      <w:r w:rsidR="00DB0608">
        <w:t>s</w:t>
      </w:r>
      <w:r w:rsidRPr="00161D4B">
        <w:t xml:space="preserve"> also face greater health risks (GOV.UK, 2020; </w:t>
      </w:r>
      <w:proofErr w:type="spellStart"/>
      <w:r w:rsidRPr="00161D4B">
        <w:t>Kapilashrami</w:t>
      </w:r>
      <w:proofErr w:type="spellEnd"/>
      <w:r w:rsidRPr="00161D4B">
        <w:t xml:space="preserve"> </w:t>
      </w:r>
      <w:r w:rsidR="00DB0608">
        <w:t>and</w:t>
      </w:r>
      <w:r w:rsidRPr="00161D4B">
        <w:t xml:space="preserve"> </w:t>
      </w:r>
      <w:proofErr w:type="spellStart"/>
      <w:r w:rsidRPr="00161D4B">
        <w:t>Bhui</w:t>
      </w:r>
      <w:proofErr w:type="spellEnd"/>
      <w:r w:rsidRPr="00161D4B">
        <w:t xml:space="preserve">, 2020). Previous reports revealed that ethnic minorities were more likely to live in the most deprived neighbourhoods in relation to crime and barriers to housing services compared </w:t>
      </w:r>
      <w:r w:rsidR="00C050BD">
        <w:t>with</w:t>
      </w:r>
      <w:r w:rsidRPr="00161D4B">
        <w:t xml:space="preserve"> white British populations (GOV.UK, 2020). Ethnic minorities were also more likely to express concern regarding accessing medical treatment during the pandemic</w:t>
      </w:r>
      <w:r w:rsidR="00C050BD">
        <w:t>,</w:t>
      </w:r>
      <w:r w:rsidRPr="00161D4B">
        <w:t xml:space="preserve"> suggesting help</w:t>
      </w:r>
      <w:r w:rsidR="00C050BD">
        <w:t>-</w:t>
      </w:r>
      <w:r w:rsidRPr="00161D4B">
        <w:t>seeking insecurities and barriers to accessing support (Women’s Budget Group, 2020). Ethnic inequalities in health outcomes expose the racially bias</w:t>
      </w:r>
      <w:r w:rsidR="00C050BD">
        <w:t>ed</w:t>
      </w:r>
      <w:r w:rsidRPr="00161D4B">
        <w:t xml:space="preserve"> social structures that institutions such as the UK’s National Health Service (NHS) continue to operate under (</w:t>
      </w:r>
      <w:proofErr w:type="spellStart"/>
      <w:r w:rsidRPr="00161D4B">
        <w:t>Kapilashrami</w:t>
      </w:r>
      <w:proofErr w:type="spellEnd"/>
      <w:r w:rsidRPr="00161D4B">
        <w:t xml:space="preserve"> </w:t>
      </w:r>
      <w:r w:rsidR="00DB0608">
        <w:t>and</w:t>
      </w:r>
      <w:r w:rsidRPr="00161D4B">
        <w:t xml:space="preserve"> </w:t>
      </w:r>
      <w:proofErr w:type="spellStart"/>
      <w:r w:rsidRPr="00161D4B">
        <w:t>Bhui</w:t>
      </w:r>
      <w:proofErr w:type="spellEnd"/>
      <w:r w:rsidRPr="00161D4B">
        <w:t xml:space="preserve">, 2020). </w:t>
      </w:r>
    </w:p>
    <w:p w14:paraId="200DADFE" w14:textId="2ABD54DC" w:rsidR="001E11CF" w:rsidRPr="00161D4B" w:rsidRDefault="001E11CF" w:rsidP="006B48BE">
      <w:pPr>
        <w:spacing w:line="360" w:lineRule="auto"/>
        <w:ind w:firstLine="567"/>
        <w:jc w:val="both"/>
      </w:pPr>
      <w:r w:rsidRPr="00161D4B">
        <w:t xml:space="preserve">However, there has been growing interest in research and guidance addressing ethnic inequalities with the aim to improve access to healthcare services. The Black, Asian and </w:t>
      </w:r>
      <w:r w:rsidR="00C050BD" w:rsidRPr="00161D4B">
        <w:t xml:space="preserve">Minority Ethnic </w:t>
      </w:r>
      <w:r w:rsidR="005D1F3D">
        <w:t>s</w:t>
      </w:r>
      <w:r w:rsidR="00C050BD" w:rsidRPr="00161D4B">
        <w:t xml:space="preserve">ervice </w:t>
      </w:r>
      <w:r w:rsidR="005D1F3D">
        <w:t>u</w:t>
      </w:r>
      <w:r w:rsidR="00C050BD" w:rsidRPr="00161D4B">
        <w:t xml:space="preserve">ser Positive Practice Guide </w:t>
      </w:r>
      <w:r w:rsidRPr="00161D4B">
        <w:t>(</w:t>
      </w:r>
      <w:r w:rsidR="00C050BD">
        <w:t xml:space="preserve">Beck </w:t>
      </w:r>
      <w:r w:rsidR="00C050BD" w:rsidRPr="00C050BD">
        <w:rPr>
          <w:i/>
          <w:iCs/>
        </w:rPr>
        <w:t>et al</w:t>
      </w:r>
      <w:r w:rsidR="00C050BD">
        <w:t xml:space="preserve">., </w:t>
      </w:r>
      <w:r w:rsidRPr="00161D4B">
        <w:t xml:space="preserve">2019) provides guidance for primary care talking therapies services when working with racially </w:t>
      </w:r>
      <w:proofErr w:type="spellStart"/>
      <w:r w:rsidRPr="00161D4B">
        <w:t>minoriti</w:t>
      </w:r>
      <w:r w:rsidR="00EB32D4">
        <w:t>s</w:t>
      </w:r>
      <w:r w:rsidRPr="00161D4B">
        <w:t>ed</w:t>
      </w:r>
      <w:proofErr w:type="spellEnd"/>
      <w:r w:rsidRPr="00161D4B">
        <w:t xml:space="preserve"> individuals</w:t>
      </w:r>
      <w:r w:rsidR="00EB32D4">
        <w:t>,</w:t>
      </w:r>
      <w:r w:rsidRPr="00161D4B">
        <w:t xml:space="preserve"> such as offering as much choice as possible in terms of time and place of appointments, being flexible around missed appointments, and keeping people engaged whilst they are on the waiting list through telephone or letter contact (</w:t>
      </w:r>
      <w:r w:rsidR="00EB32D4">
        <w:t xml:space="preserve">Beck </w:t>
      </w:r>
      <w:r w:rsidR="00EB32D4" w:rsidRPr="00C050BD">
        <w:rPr>
          <w:i/>
          <w:iCs/>
        </w:rPr>
        <w:t>et al</w:t>
      </w:r>
      <w:r w:rsidR="00EB32D4">
        <w:t xml:space="preserve">., </w:t>
      </w:r>
      <w:r w:rsidRPr="00161D4B">
        <w:t>2019). Moreover, importance has been placed on community engagement as a form of accessing under</w:t>
      </w:r>
      <w:r w:rsidR="00EB32D4">
        <w:t>-</w:t>
      </w:r>
      <w:r w:rsidRPr="00161D4B">
        <w:t xml:space="preserve">represented voices to direct service development, particularly those who have not accessed mental health care (Beck </w:t>
      </w:r>
      <w:r w:rsidR="00EB32D4">
        <w:t>and</w:t>
      </w:r>
      <w:r w:rsidRPr="00161D4B">
        <w:t xml:space="preserve"> Naz, 2019), and the consideration of reviewing the cultural competence of services and implementing culturally adapted treatment (Naz</w:t>
      </w:r>
      <w:r w:rsidR="00EB32D4">
        <w:t xml:space="preserve"> </w:t>
      </w:r>
      <w:r w:rsidR="00EB32D4" w:rsidRPr="00EB32D4">
        <w:rPr>
          <w:i/>
          <w:iCs/>
        </w:rPr>
        <w:t>et al</w:t>
      </w:r>
      <w:r w:rsidR="00EB32D4">
        <w:t>.</w:t>
      </w:r>
      <w:r w:rsidRPr="00161D4B">
        <w:t xml:space="preserve">, 2019). Moving forward, it is therefore important for services to implement and evaluate their practice to ensure meaningful progress is being made. </w:t>
      </w:r>
    </w:p>
    <w:p w14:paraId="5C7DDDDC" w14:textId="64ECB35E" w:rsidR="001E11CF" w:rsidRPr="00161D4B" w:rsidRDefault="001E11CF" w:rsidP="006B48BE">
      <w:pPr>
        <w:spacing w:line="360" w:lineRule="auto"/>
        <w:ind w:firstLine="567"/>
        <w:jc w:val="both"/>
      </w:pPr>
      <w:r w:rsidRPr="00161D4B">
        <w:t>The present study was conducted in a service located in Brent, a borough situated northwest of London w</w:t>
      </w:r>
      <w:r w:rsidR="00EB32D4">
        <w:t>h</w:t>
      </w:r>
      <w:r w:rsidRPr="00161D4B">
        <w:t xml:space="preserve">ere 33.8% are White British, White Irish and any other White </w:t>
      </w:r>
      <w:r w:rsidR="00EB32D4">
        <w:t>b</w:t>
      </w:r>
      <w:r w:rsidRPr="00161D4B">
        <w:t xml:space="preserve">ackground, 17.5% are Black African and Black Caribbean and any other Black </w:t>
      </w:r>
      <w:r w:rsidR="00EB32D4">
        <w:t>b</w:t>
      </w:r>
      <w:r w:rsidRPr="00161D4B">
        <w:t xml:space="preserve">ackground, and 32.7% are of south Asian and any other Asian </w:t>
      </w:r>
      <w:r w:rsidR="00EB32D4">
        <w:t>b</w:t>
      </w:r>
      <w:r w:rsidRPr="00161D4B">
        <w:t>ackground (GOV.UK, 2022). In Church End, Brent saw a devastatingly high number of deaths later related to persistent poverty and racial inequalities (</w:t>
      </w:r>
      <w:proofErr w:type="spellStart"/>
      <w:r w:rsidR="00626423">
        <w:t>Mohdin</w:t>
      </w:r>
      <w:proofErr w:type="spellEnd"/>
      <w:r w:rsidRPr="00161D4B">
        <w:t>, 2020). Pre-COVID-19, the three biggest causes of death in Brent were found to be cancer, cardiovascular diseases and heart disease, all risk factors for COVID</w:t>
      </w:r>
      <w:r w:rsidR="00626423">
        <w:noBreakHyphen/>
      </w:r>
      <w:r w:rsidRPr="00161D4B">
        <w:t>19, along with obesity especially high in children living in low-income families (Brent Council, 2019). Furthermore, issues around current housing stock ha</w:t>
      </w:r>
      <w:r w:rsidR="00626423">
        <w:t>ve</w:t>
      </w:r>
      <w:r w:rsidRPr="00161D4B">
        <w:t xml:space="preserve"> been said to not meet demands, with Brent holding one of the largest temporary accommodation portfolios in the country, an additional risk for overcrowding and poor mental health (Brent Council, 2019). </w:t>
      </w:r>
    </w:p>
    <w:p w14:paraId="37EFC412" w14:textId="389966D1" w:rsidR="001E11CF" w:rsidRPr="00161D4B" w:rsidRDefault="001E11CF" w:rsidP="006B48BE">
      <w:pPr>
        <w:spacing w:line="360" w:lineRule="auto"/>
        <w:ind w:firstLine="567"/>
        <w:jc w:val="both"/>
      </w:pPr>
      <w:r w:rsidRPr="006C6B22">
        <w:rPr>
          <w:color w:val="000000" w:themeColor="text1"/>
        </w:rPr>
        <w:t>In addition</w:t>
      </w:r>
      <w:r w:rsidRPr="00161D4B">
        <w:t xml:space="preserve">, whilst high income countries such as the UK had adequate access and supply to the COVID-19 vaccine, it was the hesitancy of vaccine uptake from ethnically </w:t>
      </w:r>
      <w:proofErr w:type="spellStart"/>
      <w:r w:rsidRPr="00161D4B">
        <w:t>minoriti</w:t>
      </w:r>
      <w:r w:rsidR="006C6B22">
        <w:t>s</w:t>
      </w:r>
      <w:r w:rsidRPr="00161D4B">
        <w:t>ed</w:t>
      </w:r>
      <w:proofErr w:type="spellEnd"/>
      <w:r w:rsidRPr="00161D4B">
        <w:t xml:space="preserve"> groups which saw more of an emphasis rather than acknowledging the pre-existing lack of trust and accessibility of the public healthcare systems (Khan</w:t>
      </w:r>
      <w:r w:rsidR="00A47AFD">
        <w:t xml:space="preserve"> </w:t>
      </w:r>
      <w:r w:rsidR="00A47AFD" w:rsidRPr="00A47AFD">
        <w:rPr>
          <w:i/>
          <w:iCs/>
        </w:rPr>
        <w:t>et al</w:t>
      </w:r>
      <w:r w:rsidR="00A47AFD">
        <w:t>.</w:t>
      </w:r>
      <w:r w:rsidRPr="00161D4B">
        <w:t>, 2021). Studies have reported a longstanding lack of trust for statutory services, lack of culturally appropriate information and advice available, language barriers and prejudice and racism as common barriers for minority ethnic groups (Dawn</w:t>
      </w:r>
      <w:r w:rsidR="00240A13">
        <w:t xml:space="preserve"> and </w:t>
      </w:r>
      <w:proofErr w:type="spellStart"/>
      <w:r w:rsidR="00240A13">
        <w:t>Mac</w:t>
      </w:r>
      <w:r w:rsidR="00942EB2">
        <w:t>k</w:t>
      </w:r>
      <w:r w:rsidR="00240A13">
        <w:t>ian</w:t>
      </w:r>
      <w:proofErr w:type="spellEnd"/>
      <w:r w:rsidRPr="00161D4B">
        <w:t>, 2010). Recent national disasters such as the Grenfell tragedy alongside the alarming death rates of COVID-19, where Britain saw with more frequency minority ethnic groups suffering the greatest of loses, demonstrat</w:t>
      </w:r>
      <w:r w:rsidR="00E90ACB">
        <w:t>ed</w:t>
      </w:r>
      <w:r w:rsidRPr="00161D4B">
        <w:t xml:space="preserve"> that statutory services must act with urgency to address the treatment gap.</w:t>
      </w:r>
      <w:r w:rsidR="00F349CF">
        <w:t xml:space="preserve"> </w:t>
      </w:r>
    </w:p>
    <w:p w14:paraId="67AF4FBB" w14:textId="77777777" w:rsidR="001E11CF" w:rsidRPr="00161D4B" w:rsidRDefault="001E11CF" w:rsidP="006B48BE">
      <w:pPr>
        <w:spacing w:line="360" w:lineRule="auto"/>
        <w:ind w:firstLine="567"/>
        <w:jc w:val="both"/>
      </w:pPr>
      <w:r w:rsidRPr="00161D4B">
        <w:t xml:space="preserve">The aim of the study is to improve ethnicity reporting to better understand the needs of patients accessing a primary care talking therapies service. This study is in response to the National Health Service (NHS) England and NHS Confederation launch to investigate the impact of race and ethnicity on people’s health and will contribute towards informing policy, practice, and service provision. </w:t>
      </w:r>
    </w:p>
    <w:p w14:paraId="4B929DA3" w14:textId="77777777" w:rsidR="001E11CF" w:rsidRPr="00161D4B" w:rsidRDefault="001E11CF" w:rsidP="00161D4B">
      <w:pPr>
        <w:spacing w:line="360" w:lineRule="auto"/>
        <w:jc w:val="both"/>
        <w:rPr>
          <w:b/>
          <w:bCs/>
        </w:rPr>
      </w:pPr>
    </w:p>
    <w:p w14:paraId="52B654D9" w14:textId="77777777" w:rsidR="001E11CF" w:rsidRPr="006B48BE" w:rsidRDefault="001E11CF" w:rsidP="00161D4B">
      <w:pPr>
        <w:spacing w:line="360" w:lineRule="auto"/>
        <w:jc w:val="both"/>
        <w:rPr>
          <w:b/>
          <w:bCs/>
          <w:color w:val="002060"/>
        </w:rPr>
      </w:pPr>
      <w:r w:rsidRPr="006B48BE">
        <w:rPr>
          <w:b/>
          <w:bCs/>
          <w:color w:val="002060"/>
        </w:rPr>
        <w:t>Method</w:t>
      </w:r>
    </w:p>
    <w:p w14:paraId="722036DE" w14:textId="77777777" w:rsidR="001E11CF" w:rsidRPr="006B48BE" w:rsidRDefault="001E11CF" w:rsidP="00161D4B">
      <w:pPr>
        <w:spacing w:line="360" w:lineRule="auto"/>
        <w:jc w:val="both"/>
        <w:rPr>
          <w:b/>
          <w:bCs/>
          <w:color w:val="002060"/>
        </w:rPr>
      </w:pPr>
      <w:r w:rsidRPr="006B48BE">
        <w:rPr>
          <w:b/>
          <w:bCs/>
          <w:i/>
          <w:iCs/>
          <w:color w:val="002060"/>
        </w:rPr>
        <w:t>Study</w:t>
      </w:r>
      <w:r w:rsidRPr="006B48BE">
        <w:rPr>
          <w:b/>
          <w:bCs/>
          <w:color w:val="002060"/>
        </w:rPr>
        <w:t xml:space="preserve"> </w:t>
      </w:r>
      <w:r w:rsidRPr="006B48BE">
        <w:rPr>
          <w:b/>
          <w:bCs/>
          <w:i/>
          <w:iCs/>
          <w:color w:val="002060"/>
        </w:rPr>
        <w:t>design</w:t>
      </w:r>
      <w:r w:rsidRPr="006B48BE">
        <w:rPr>
          <w:b/>
          <w:bCs/>
          <w:color w:val="002060"/>
        </w:rPr>
        <w:t xml:space="preserve"> </w:t>
      </w:r>
    </w:p>
    <w:p w14:paraId="58E5C8D9" w14:textId="282C04A3" w:rsidR="001E11CF" w:rsidRPr="00161D4B" w:rsidRDefault="001E11CF" w:rsidP="00161D4B">
      <w:pPr>
        <w:spacing w:line="360" w:lineRule="auto"/>
        <w:jc w:val="both"/>
      </w:pPr>
      <w:r w:rsidRPr="00161D4B">
        <w:t>This was a cross</w:t>
      </w:r>
      <w:r w:rsidR="00180E54">
        <w:t>-</w:t>
      </w:r>
      <w:r w:rsidRPr="00161D4B">
        <w:t>sectional study with a clinical audit and online survey.</w:t>
      </w:r>
      <w:r w:rsidR="00F349CF">
        <w:t xml:space="preserve"> </w:t>
      </w:r>
    </w:p>
    <w:p w14:paraId="025723BF" w14:textId="77777777" w:rsidR="001E11CF" w:rsidRPr="00161D4B" w:rsidRDefault="001E11CF" w:rsidP="00161D4B">
      <w:pPr>
        <w:spacing w:line="360" w:lineRule="auto"/>
        <w:jc w:val="both"/>
      </w:pPr>
    </w:p>
    <w:p w14:paraId="640313FA" w14:textId="77777777" w:rsidR="001E11CF" w:rsidRPr="006B48BE" w:rsidRDefault="001E11CF" w:rsidP="00161D4B">
      <w:pPr>
        <w:spacing w:line="360" w:lineRule="auto"/>
        <w:jc w:val="both"/>
        <w:rPr>
          <w:b/>
          <w:bCs/>
          <w:i/>
          <w:iCs/>
          <w:color w:val="002060"/>
        </w:rPr>
      </w:pPr>
      <w:r w:rsidRPr="006B48BE">
        <w:rPr>
          <w:b/>
          <w:bCs/>
          <w:i/>
          <w:iCs/>
          <w:color w:val="002060"/>
        </w:rPr>
        <w:t xml:space="preserve">Procedure </w:t>
      </w:r>
    </w:p>
    <w:p w14:paraId="65224380" w14:textId="5C3877B6" w:rsidR="001E11CF" w:rsidRPr="00161D4B" w:rsidRDefault="001E11CF" w:rsidP="00161D4B">
      <w:pPr>
        <w:pStyle w:val="CommentText"/>
        <w:spacing w:line="360" w:lineRule="auto"/>
        <w:jc w:val="both"/>
        <w:rPr>
          <w:rFonts w:ascii="Times New Roman" w:hAnsi="Times New Roman" w:cs="Times New Roman"/>
          <w:sz w:val="24"/>
          <w:szCs w:val="24"/>
        </w:rPr>
      </w:pPr>
      <w:r w:rsidRPr="00161D4B">
        <w:rPr>
          <w:rFonts w:ascii="Times New Roman" w:hAnsi="Times New Roman" w:cs="Times New Roman"/>
          <w:sz w:val="24"/>
          <w:szCs w:val="24"/>
        </w:rPr>
        <w:t>This project was conducted within a primary care talking therapies service. The clinical audit was done from September 2020 to February 2021, and the analysis of referral rates and discharge outcomes were done over a 3-year period with the aim of observing trends pre-</w:t>
      </w:r>
      <w:r w:rsidR="00C149A4">
        <w:rPr>
          <w:rFonts w:ascii="Times New Roman" w:hAnsi="Times New Roman" w:cs="Times New Roman"/>
          <w:sz w:val="24"/>
          <w:szCs w:val="24"/>
        </w:rPr>
        <w:t>COVID</w:t>
      </w:r>
      <w:r w:rsidRPr="00161D4B">
        <w:rPr>
          <w:rFonts w:ascii="Times New Roman" w:hAnsi="Times New Roman" w:cs="Times New Roman"/>
          <w:sz w:val="24"/>
          <w:szCs w:val="24"/>
        </w:rPr>
        <w:t xml:space="preserve"> (2019)</w:t>
      </w:r>
      <w:r w:rsidR="00C149A4">
        <w:rPr>
          <w:rFonts w:ascii="Times New Roman" w:hAnsi="Times New Roman" w:cs="Times New Roman"/>
          <w:sz w:val="24"/>
          <w:szCs w:val="24"/>
        </w:rPr>
        <w:t>,</w:t>
      </w:r>
      <w:r w:rsidRPr="00161D4B">
        <w:rPr>
          <w:rFonts w:ascii="Times New Roman" w:hAnsi="Times New Roman" w:cs="Times New Roman"/>
          <w:sz w:val="24"/>
          <w:szCs w:val="24"/>
        </w:rPr>
        <w:t xml:space="preserve"> during the first wave of the pandemic (2020)</w:t>
      </w:r>
      <w:r w:rsidR="00C149A4">
        <w:rPr>
          <w:rFonts w:ascii="Times New Roman" w:hAnsi="Times New Roman" w:cs="Times New Roman"/>
          <w:sz w:val="24"/>
          <w:szCs w:val="24"/>
        </w:rPr>
        <w:t>,</w:t>
      </w:r>
      <w:r w:rsidRPr="00161D4B">
        <w:rPr>
          <w:rFonts w:ascii="Times New Roman" w:hAnsi="Times New Roman" w:cs="Times New Roman"/>
          <w:sz w:val="24"/>
          <w:szCs w:val="24"/>
        </w:rPr>
        <w:t xml:space="preserve"> and more recent trends (2021). The survey was sent to patients who had been offered or completed treatment between May 2020 </w:t>
      </w:r>
      <w:r w:rsidR="00C149A4">
        <w:rPr>
          <w:rFonts w:ascii="Times New Roman" w:hAnsi="Times New Roman" w:cs="Times New Roman"/>
          <w:sz w:val="24"/>
          <w:szCs w:val="24"/>
        </w:rPr>
        <w:t>and</w:t>
      </w:r>
      <w:r w:rsidRPr="00161D4B">
        <w:rPr>
          <w:rFonts w:ascii="Times New Roman" w:hAnsi="Times New Roman" w:cs="Times New Roman"/>
          <w:sz w:val="24"/>
          <w:szCs w:val="24"/>
        </w:rPr>
        <w:t xml:space="preserve"> April 2021. These dates were determined by a change in drop-out rates for specific ethnic groups compared </w:t>
      </w:r>
      <w:r w:rsidR="00C149A4">
        <w:rPr>
          <w:rFonts w:ascii="Times New Roman" w:hAnsi="Times New Roman" w:cs="Times New Roman"/>
          <w:sz w:val="24"/>
          <w:szCs w:val="24"/>
        </w:rPr>
        <w:t>with</w:t>
      </w:r>
      <w:r w:rsidRPr="00161D4B">
        <w:rPr>
          <w:rFonts w:ascii="Times New Roman" w:hAnsi="Times New Roman" w:cs="Times New Roman"/>
          <w:sz w:val="24"/>
          <w:szCs w:val="24"/>
        </w:rPr>
        <w:t xml:space="preserve"> previous years. </w:t>
      </w:r>
    </w:p>
    <w:p w14:paraId="67C8D896" w14:textId="7DAD3554" w:rsidR="001E11CF" w:rsidRPr="00161D4B" w:rsidRDefault="001E11CF" w:rsidP="006B48BE">
      <w:pPr>
        <w:spacing w:line="360" w:lineRule="auto"/>
        <w:ind w:firstLine="567"/>
        <w:jc w:val="both"/>
      </w:pPr>
      <w:r w:rsidRPr="00161D4B">
        <w:t xml:space="preserve">All clinical data from the point of referral to discharge </w:t>
      </w:r>
      <w:r w:rsidR="00C149A4">
        <w:t>are</w:t>
      </w:r>
      <w:r w:rsidRPr="00161D4B">
        <w:t xml:space="preserve"> maintained within a single clinical data system, </w:t>
      </w:r>
      <w:proofErr w:type="spellStart"/>
      <w:r w:rsidRPr="00161D4B">
        <w:t>IAPTus</w:t>
      </w:r>
      <w:proofErr w:type="spellEnd"/>
      <w:r w:rsidRPr="00161D4B">
        <w:t xml:space="preserve"> (Mayden, Wil</w:t>
      </w:r>
      <w:r w:rsidR="009778D0">
        <w:t>t</w:t>
      </w:r>
      <w:r w:rsidRPr="00161D4B">
        <w:t xml:space="preserve">shire, UK), which is used for all record-keeping. </w:t>
      </w:r>
      <w:proofErr w:type="spellStart"/>
      <w:r w:rsidRPr="00161D4B">
        <w:t>IAPTus</w:t>
      </w:r>
      <w:proofErr w:type="spellEnd"/>
      <w:r w:rsidRPr="00161D4B">
        <w:t xml:space="preserve"> allows clinicians to securely record all clinical and non-clinical data (</w:t>
      </w:r>
      <w:proofErr w:type="gramStart"/>
      <w:r w:rsidRPr="00161D4B">
        <w:t>e.g.</w:t>
      </w:r>
      <w:proofErr w:type="gramEnd"/>
      <w:r w:rsidR="00C149A4">
        <w:t> </w:t>
      </w:r>
      <w:r w:rsidRPr="00161D4B">
        <w:t xml:space="preserve">demographic data, referral source, discharge outcome or referral to other services). </w:t>
      </w:r>
      <w:proofErr w:type="spellStart"/>
      <w:r w:rsidRPr="00161D4B">
        <w:t>IAPTus</w:t>
      </w:r>
      <w:proofErr w:type="spellEnd"/>
      <w:r w:rsidRPr="00161D4B">
        <w:t xml:space="preserve"> data w</w:t>
      </w:r>
      <w:r w:rsidR="00C149A4">
        <w:t>ere</w:t>
      </w:r>
      <w:r w:rsidRPr="00161D4B">
        <w:t xml:space="preserve"> used in the clinical audit. </w:t>
      </w:r>
    </w:p>
    <w:p w14:paraId="231798F7" w14:textId="775EE74E" w:rsidR="001E11CF" w:rsidRPr="00161D4B" w:rsidRDefault="001E11CF" w:rsidP="006B48BE">
      <w:pPr>
        <w:spacing w:line="360" w:lineRule="auto"/>
        <w:ind w:firstLine="567"/>
        <w:jc w:val="both"/>
      </w:pPr>
      <w:r w:rsidRPr="00161D4B">
        <w:t xml:space="preserve">We conducted a clinical audit to better understand referral rates, recovery rates and discharge outcomes across three broad ethnic categories: Black African/Caribbean, Asian, </w:t>
      </w:r>
      <w:r w:rsidR="00C149A4">
        <w:t xml:space="preserve">and </w:t>
      </w:r>
      <w:r w:rsidRPr="00161D4B">
        <w:t>White British.</w:t>
      </w:r>
      <w:r w:rsidR="00F349CF">
        <w:t xml:space="preserve"> </w:t>
      </w:r>
      <w:r w:rsidRPr="00161D4B">
        <w:t>The present study has used broad ethnic categories for sufficient sample size to support a quantitative analysis of the dataset</w:t>
      </w:r>
      <w:r w:rsidR="00C149A4">
        <w:t>;</w:t>
      </w:r>
      <w:r w:rsidRPr="00161D4B">
        <w:t xml:space="preserve"> however</w:t>
      </w:r>
      <w:r w:rsidR="00C149A4">
        <w:t>,</w:t>
      </w:r>
      <w:r w:rsidRPr="00161D4B">
        <w:t xml:space="preserve"> the authors of the present study acknowledge that these groups are not homogenous and further work must be done to investigate the distinct cultural differences and experiences in relation to the study topic. </w:t>
      </w:r>
    </w:p>
    <w:p w14:paraId="5B53FDBE" w14:textId="77777777" w:rsidR="001E11CF" w:rsidRPr="00161D4B" w:rsidRDefault="001E11CF" w:rsidP="00161D4B">
      <w:pPr>
        <w:spacing w:line="360" w:lineRule="auto"/>
        <w:jc w:val="both"/>
      </w:pPr>
    </w:p>
    <w:p w14:paraId="153CBD47" w14:textId="77777777" w:rsidR="001E11CF" w:rsidRPr="006B48BE" w:rsidRDefault="001E11CF" w:rsidP="00161D4B">
      <w:pPr>
        <w:spacing w:line="360" w:lineRule="auto"/>
        <w:jc w:val="both"/>
        <w:rPr>
          <w:b/>
          <w:bCs/>
          <w:i/>
          <w:iCs/>
          <w:color w:val="002060"/>
        </w:rPr>
      </w:pPr>
      <w:r w:rsidRPr="006B48BE">
        <w:rPr>
          <w:b/>
          <w:bCs/>
          <w:i/>
          <w:iCs/>
          <w:color w:val="002060"/>
        </w:rPr>
        <w:t xml:space="preserve">Intervention to improve reporting of </w:t>
      </w:r>
      <w:proofErr w:type="gramStart"/>
      <w:r w:rsidRPr="006B48BE">
        <w:rPr>
          <w:b/>
          <w:bCs/>
          <w:i/>
          <w:iCs/>
          <w:color w:val="002060"/>
        </w:rPr>
        <w:t>ethnicity</w:t>
      </w:r>
      <w:proofErr w:type="gramEnd"/>
      <w:r w:rsidRPr="006B48BE">
        <w:rPr>
          <w:b/>
          <w:bCs/>
          <w:i/>
          <w:iCs/>
          <w:color w:val="002060"/>
        </w:rPr>
        <w:t xml:space="preserve"> </w:t>
      </w:r>
    </w:p>
    <w:p w14:paraId="563616F9" w14:textId="218B2E3A" w:rsidR="001E11CF" w:rsidRPr="00161D4B" w:rsidRDefault="001E11CF" w:rsidP="00161D4B">
      <w:pPr>
        <w:spacing w:line="360" w:lineRule="auto"/>
        <w:jc w:val="both"/>
      </w:pPr>
      <w:r w:rsidRPr="00161D4B">
        <w:t>To address our short</w:t>
      </w:r>
      <w:r w:rsidR="00C149A4">
        <w:t>-</w:t>
      </w:r>
      <w:r w:rsidRPr="00161D4B">
        <w:t xml:space="preserve">term </w:t>
      </w:r>
      <w:proofErr w:type="gramStart"/>
      <w:r w:rsidRPr="00161D4B">
        <w:t>aim</w:t>
      </w:r>
      <w:proofErr w:type="gramEnd"/>
      <w:r w:rsidRPr="00161D4B">
        <w:t xml:space="preserve"> we delivered a team meeting presentation in September 2020</w:t>
      </w:r>
      <w:r w:rsidR="00F3530A">
        <w:t>;</w:t>
      </w:r>
      <w:r w:rsidRPr="00161D4B">
        <w:t xml:space="preserve"> to promote the project we conducted an intervention where we encouraged staff to record ethnicity on </w:t>
      </w:r>
      <w:proofErr w:type="spellStart"/>
      <w:r w:rsidRPr="00161D4B">
        <w:t>IAPTus</w:t>
      </w:r>
      <w:proofErr w:type="spellEnd"/>
      <w:r w:rsidRPr="00161D4B">
        <w:t xml:space="preserve"> at triage and assessment stage. A follow</w:t>
      </w:r>
      <w:r w:rsidR="00F3530A">
        <w:t>-</w:t>
      </w:r>
      <w:r w:rsidRPr="00161D4B">
        <w:t xml:space="preserve">up email in October 2020 was circulated to remind staff to continue to ensure routine documentation of ethnicity on </w:t>
      </w:r>
      <w:proofErr w:type="spellStart"/>
      <w:r w:rsidRPr="00161D4B">
        <w:t>IAPTus</w:t>
      </w:r>
      <w:proofErr w:type="spellEnd"/>
      <w:r w:rsidRPr="00161D4B">
        <w:t>. In February 2021, we delivered a presentation to the team on the project’s progress and observed changes of ethnicity reporting since first introducing the project.</w:t>
      </w:r>
    </w:p>
    <w:p w14:paraId="741C218D" w14:textId="77777777" w:rsidR="001E11CF" w:rsidRPr="00161D4B" w:rsidRDefault="001E11CF" w:rsidP="00161D4B">
      <w:pPr>
        <w:spacing w:line="360" w:lineRule="auto"/>
        <w:jc w:val="both"/>
      </w:pPr>
    </w:p>
    <w:p w14:paraId="7D0149EF" w14:textId="77777777" w:rsidR="00B5786D" w:rsidRDefault="00B5786D" w:rsidP="00161D4B">
      <w:pPr>
        <w:spacing w:line="360" w:lineRule="auto"/>
        <w:jc w:val="both"/>
        <w:rPr>
          <w:b/>
          <w:bCs/>
          <w:i/>
          <w:iCs/>
          <w:color w:val="002060"/>
        </w:rPr>
      </w:pPr>
    </w:p>
    <w:p w14:paraId="764008EB" w14:textId="72994537" w:rsidR="001E11CF" w:rsidRPr="006B48BE" w:rsidRDefault="001E11CF" w:rsidP="00161D4B">
      <w:pPr>
        <w:spacing w:line="360" w:lineRule="auto"/>
        <w:jc w:val="both"/>
        <w:rPr>
          <w:b/>
          <w:bCs/>
          <w:i/>
          <w:iCs/>
          <w:color w:val="002060"/>
        </w:rPr>
      </w:pPr>
      <w:r w:rsidRPr="006B48BE">
        <w:rPr>
          <w:b/>
          <w:bCs/>
          <w:i/>
          <w:iCs/>
          <w:color w:val="002060"/>
        </w:rPr>
        <w:t xml:space="preserve">Patient </w:t>
      </w:r>
      <w:r w:rsidR="00F3530A">
        <w:rPr>
          <w:b/>
          <w:bCs/>
          <w:i/>
          <w:iCs/>
          <w:color w:val="002060"/>
        </w:rPr>
        <w:t>s</w:t>
      </w:r>
      <w:r w:rsidRPr="006B48BE">
        <w:rPr>
          <w:b/>
          <w:bCs/>
          <w:i/>
          <w:iCs/>
          <w:color w:val="002060"/>
        </w:rPr>
        <w:t>urvey</w:t>
      </w:r>
    </w:p>
    <w:p w14:paraId="11A31264" w14:textId="0731DDF1" w:rsidR="001E11CF" w:rsidRPr="00161D4B" w:rsidRDefault="001E11CF" w:rsidP="00161D4B">
      <w:pPr>
        <w:spacing w:line="360" w:lineRule="auto"/>
        <w:jc w:val="both"/>
      </w:pPr>
      <w:r w:rsidRPr="00161D4B">
        <w:t xml:space="preserve">Following on from our findings from the clinical audit, a survey was sent to 2145 patients via Short Messaging Service (SMS) who were identified on </w:t>
      </w:r>
      <w:proofErr w:type="spellStart"/>
      <w:r w:rsidRPr="00161D4B">
        <w:t>IAPTus</w:t>
      </w:r>
      <w:proofErr w:type="spellEnd"/>
      <w:r w:rsidRPr="00161D4B">
        <w:t xml:space="preserve"> as having dropped out from treatment over the past 12-month period from May 2020 to April 2021. Participants were reminded that response to the survey was voluntary. Participants were asked if they consent</w:t>
      </w:r>
      <w:r w:rsidR="00F3530A">
        <w:t>ed</w:t>
      </w:r>
      <w:r w:rsidRPr="00161D4B">
        <w:t xml:space="preserve"> to the survey and that their responses would be anonymous and used as a part of a service evaluation project. </w:t>
      </w:r>
    </w:p>
    <w:p w14:paraId="3A7EF168" w14:textId="5449C042" w:rsidR="001E11CF" w:rsidRPr="00161D4B" w:rsidRDefault="001E11CF" w:rsidP="006B48BE">
      <w:pPr>
        <w:spacing w:line="360" w:lineRule="auto"/>
        <w:ind w:firstLine="567"/>
        <w:jc w:val="both"/>
      </w:pPr>
      <w:r w:rsidRPr="00161D4B">
        <w:t>The survey was a semi</w:t>
      </w:r>
      <w:r w:rsidR="00D727B5">
        <w:t>-</w:t>
      </w:r>
      <w:r w:rsidRPr="00161D4B">
        <w:t>structured questionnaire to support a qualitative analysis. In response to the clinical audit outcomes, the questionnaire asked participants their reasons for not continuing with sessions with the option to describe this in open text. The objective for this framework of analysis was to provide the means for understanding access into a talking therapies service beyond our own assumptions as a service. Where service design is often based on the feedback of service</w:t>
      </w:r>
      <w:r w:rsidR="00D727B5">
        <w:t xml:space="preserve"> </w:t>
      </w:r>
      <w:r w:rsidRPr="00161D4B">
        <w:t>users who complete treatment, the synthesis of qualitative data from an anonymous survey can offer what are often under</w:t>
      </w:r>
      <w:r w:rsidR="00D727B5">
        <w:t>-</w:t>
      </w:r>
      <w:r w:rsidRPr="00161D4B">
        <w:t xml:space="preserve">represented voices to construct their own narrative in relation to reasons for disengagement. </w:t>
      </w:r>
    </w:p>
    <w:p w14:paraId="20CD79F9" w14:textId="726B49EF" w:rsidR="001E11CF" w:rsidRPr="00161D4B" w:rsidRDefault="001E11CF" w:rsidP="006B48BE">
      <w:pPr>
        <w:spacing w:line="360" w:lineRule="auto"/>
        <w:ind w:firstLine="567"/>
        <w:jc w:val="both"/>
      </w:pPr>
      <w:r w:rsidRPr="00161D4B">
        <w:t>A total of 229 patients responded to the survey over a 7-day period of the survey being live. The survey asked for reasons that impacted on not continuing with sessions</w:t>
      </w:r>
      <w:r w:rsidR="00F80394">
        <w:t>,</w:t>
      </w:r>
      <w:r w:rsidRPr="00161D4B">
        <w:t xml:space="preserve"> with the option to detail reasons in their own words. </w:t>
      </w:r>
    </w:p>
    <w:p w14:paraId="05CCFBEF" w14:textId="77777777" w:rsidR="001E11CF" w:rsidRPr="00161D4B" w:rsidRDefault="001E11CF" w:rsidP="00161D4B">
      <w:pPr>
        <w:spacing w:line="360" w:lineRule="auto"/>
        <w:jc w:val="both"/>
      </w:pPr>
    </w:p>
    <w:p w14:paraId="23E9B553" w14:textId="3DCE7242" w:rsidR="001E11CF" w:rsidRPr="006B48BE" w:rsidRDefault="001E11CF" w:rsidP="00161D4B">
      <w:pPr>
        <w:spacing w:line="360" w:lineRule="auto"/>
        <w:jc w:val="both"/>
        <w:rPr>
          <w:b/>
          <w:bCs/>
          <w:i/>
          <w:iCs/>
          <w:color w:val="002060"/>
        </w:rPr>
      </w:pPr>
      <w:r w:rsidRPr="006B48BE">
        <w:rPr>
          <w:b/>
          <w:bCs/>
          <w:i/>
          <w:iCs/>
          <w:color w:val="002060"/>
        </w:rPr>
        <w:t xml:space="preserve">Data </w:t>
      </w:r>
      <w:r w:rsidR="00F80394">
        <w:rPr>
          <w:b/>
          <w:bCs/>
          <w:i/>
          <w:iCs/>
          <w:color w:val="002060"/>
        </w:rPr>
        <w:t>a</w:t>
      </w:r>
      <w:r w:rsidRPr="006B48BE">
        <w:rPr>
          <w:b/>
          <w:bCs/>
          <w:i/>
          <w:iCs/>
          <w:color w:val="002060"/>
        </w:rPr>
        <w:t xml:space="preserve">nalysis </w:t>
      </w:r>
    </w:p>
    <w:p w14:paraId="7A925860" w14:textId="7562B3BB" w:rsidR="001E11CF" w:rsidRPr="00161D4B" w:rsidRDefault="001E11CF" w:rsidP="00161D4B">
      <w:pPr>
        <w:spacing w:line="360" w:lineRule="auto"/>
        <w:jc w:val="both"/>
      </w:pPr>
      <w:r w:rsidRPr="00161D4B">
        <w:t>A mixed-method approach was adopted to analyse the data. SPSS (version</w:t>
      </w:r>
      <w:r w:rsidR="00F80394">
        <w:t> </w:t>
      </w:r>
      <w:r w:rsidRPr="00161D4B">
        <w:t xml:space="preserve">27) was used to conduct a descriptive analysis reporting frequencies and </w:t>
      </w:r>
      <w:r w:rsidR="00C22BC4">
        <w:t>percentages,</w:t>
      </w:r>
      <w:r w:rsidRPr="00161D4B">
        <w:t xml:space="preserve"> and further detailed multivariate ANOVAs. For qualitative analysis</w:t>
      </w:r>
      <w:r w:rsidR="00C22BC4">
        <w:t>,</w:t>
      </w:r>
      <w:r w:rsidRPr="00161D4B">
        <w:t xml:space="preserve"> a conceptual framework of synthesis was adopted (Torraco, 2005). Using the synthesis matrix, each source was critically analysed and rigorously evaluated for major themes, strengths, weaknesses, and critical gaps. The synthesis was conducted in four stages: (1)</w:t>
      </w:r>
      <w:r w:rsidR="00C22BC4">
        <w:t> </w:t>
      </w:r>
      <w:r w:rsidRPr="00161D4B">
        <w:t>implementation of a relevant literature search; (2)</w:t>
      </w:r>
      <w:r w:rsidR="00C22BC4">
        <w:t> </w:t>
      </w:r>
      <w:r w:rsidRPr="00161D4B">
        <w:t>identified key ideas and elements; (3)</w:t>
      </w:r>
      <w:r w:rsidR="00C22BC4">
        <w:t> </w:t>
      </w:r>
      <w:r w:rsidRPr="00161D4B">
        <w:t>organis</w:t>
      </w:r>
      <w:r w:rsidR="00B318B0">
        <w:t>ing</w:t>
      </w:r>
      <w:r w:rsidRPr="00161D4B">
        <w:t xml:space="preserve"> the key ideas and elements; (4)</w:t>
      </w:r>
      <w:r w:rsidR="00B318B0">
        <w:t> </w:t>
      </w:r>
      <w:r w:rsidRPr="00161D4B">
        <w:t>synthesis</w:t>
      </w:r>
      <w:r w:rsidR="00B318B0">
        <w:t>ing</w:t>
      </w:r>
      <w:r w:rsidRPr="00161D4B">
        <w:t xml:space="preserve"> data and buil</w:t>
      </w:r>
      <w:r w:rsidR="00B318B0">
        <w:t>ding</w:t>
      </w:r>
      <w:r w:rsidRPr="00161D4B">
        <w:t xml:space="preserve"> a case for new research intervention. An ‘index card’-like method was employed to identify and organise the key ideas and elements from stages</w:t>
      </w:r>
      <w:r w:rsidR="008F26AA">
        <w:t> </w:t>
      </w:r>
      <w:r w:rsidRPr="00161D4B">
        <w:t>2 and 3. Each pile or category of organised ideas w</w:t>
      </w:r>
      <w:r w:rsidR="008F26AA">
        <w:t>as</w:t>
      </w:r>
      <w:r w:rsidRPr="00161D4B">
        <w:t xml:space="preserve"> re-arranged into (a)</w:t>
      </w:r>
      <w:r w:rsidR="008F26AA">
        <w:t> </w:t>
      </w:r>
      <w:r w:rsidRPr="00161D4B">
        <w:t>a logical flow of information; (b)</w:t>
      </w:r>
      <w:r w:rsidR="008F26AA">
        <w:t> </w:t>
      </w:r>
      <w:proofErr w:type="gramStart"/>
      <w:r w:rsidRPr="00161D4B">
        <w:t>compare and contrast</w:t>
      </w:r>
      <w:proofErr w:type="gramEnd"/>
      <w:r w:rsidRPr="00161D4B">
        <w:t xml:space="preserve">; </w:t>
      </w:r>
      <w:r w:rsidR="008F26AA">
        <w:t xml:space="preserve">and </w:t>
      </w:r>
      <w:r w:rsidRPr="00161D4B">
        <w:t>(c)</w:t>
      </w:r>
      <w:r w:rsidR="008F26AA">
        <w:t> </w:t>
      </w:r>
      <w:r w:rsidRPr="00161D4B">
        <w:t xml:space="preserve">critiqued primary findings and discussions. </w:t>
      </w:r>
    </w:p>
    <w:p w14:paraId="745A6299" w14:textId="77777777" w:rsidR="001E11CF" w:rsidRPr="00161D4B" w:rsidRDefault="001E11CF" w:rsidP="006B48BE">
      <w:pPr>
        <w:pStyle w:val="NoSpacing"/>
        <w:spacing w:line="360" w:lineRule="auto"/>
        <w:ind w:firstLine="567"/>
        <w:jc w:val="both"/>
      </w:pPr>
      <w:r w:rsidRPr="00161D4B">
        <w:t>The syntheses allowed for common themes in the literature to be identified. Data were categorised using a thematic coding approach. The key themes selected for analysis were discussed with the wider research team based on their relatedness and frequency concerning the review topic.</w:t>
      </w:r>
    </w:p>
    <w:p w14:paraId="4A856DA2" w14:textId="77777777" w:rsidR="001E11CF" w:rsidRPr="00161D4B" w:rsidRDefault="001E11CF" w:rsidP="00161D4B">
      <w:pPr>
        <w:pStyle w:val="NoSpacing"/>
        <w:spacing w:line="360" w:lineRule="auto"/>
        <w:jc w:val="both"/>
      </w:pPr>
    </w:p>
    <w:p w14:paraId="53E9F297" w14:textId="77777777" w:rsidR="001E11CF" w:rsidRPr="006B48BE" w:rsidRDefault="001E11CF" w:rsidP="00161D4B">
      <w:pPr>
        <w:spacing w:line="360" w:lineRule="auto"/>
        <w:jc w:val="both"/>
        <w:rPr>
          <w:b/>
          <w:bCs/>
          <w:color w:val="002060"/>
        </w:rPr>
      </w:pPr>
      <w:r w:rsidRPr="006B48BE">
        <w:rPr>
          <w:b/>
          <w:bCs/>
          <w:color w:val="002060"/>
        </w:rPr>
        <w:t>Results</w:t>
      </w:r>
    </w:p>
    <w:p w14:paraId="63F2CD29" w14:textId="356018C3" w:rsidR="001E11CF" w:rsidRPr="006B48BE" w:rsidRDefault="001E11CF" w:rsidP="00161D4B">
      <w:pPr>
        <w:spacing w:line="360" w:lineRule="auto"/>
        <w:jc w:val="both"/>
        <w:rPr>
          <w:b/>
          <w:bCs/>
          <w:i/>
          <w:iCs/>
          <w:color w:val="002060"/>
        </w:rPr>
      </w:pPr>
      <w:r w:rsidRPr="006B48BE">
        <w:rPr>
          <w:b/>
          <w:bCs/>
          <w:i/>
          <w:iCs/>
          <w:color w:val="002060"/>
        </w:rPr>
        <w:t xml:space="preserve">Quantitative </w:t>
      </w:r>
      <w:r w:rsidR="00D242F7">
        <w:rPr>
          <w:b/>
          <w:bCs/>
          <w:i/>
          <w:iCs/>
          <w:color w:val="002060"/>
        </w:rPr>
        <w:t>f</w:t>
      </w:r>
      <w:r w:rsidRPr="006B48BE">
        <w:rPr>
          <w:b/>
          <w:bCs/>
          <w:i/>
          <w:iCs/>
          <w:color w:val="002060"/>
        </w:rPr>
        <w:t xml:space="preserve">indings from the clinical audit </w:t>
      </w:r>
    </w:p>
    <w:p w14:paraId="2AA6B412" w14:textId="4A0F7422" w:rsidR="001E11CF" w:rsidRPr="00161D4B" w:rsidRDefault="006B48BE" w:rsidP="00161D4B">
      <w:pPr>
        <w:spacing w:line="360" w:lineRule="auto"/>
        <w:jc w:val="both"/>
        <w:rPr>
          <w:b/>
          <w:bCs/>
        </w:rPr>
      </w:pPr>
      <w:r w:rsidRPr="006B48BE">
        <w:t>Figure 1 shows</w:t>
      </w:r>
      <w:r w:rsidR="001E11CF" w:rsidRPr="00161D4B">
        <w:t xml:space="preserve"> </w:t>
      </w:r>
      <w:r w:rsidR="00D242F7">
        <w:t xml:space="preserve">the </w:t>
      </w:r>
      <w:r w:rsidR="001E11CF" w:rsidRPr="00161D4B">
        <w:t xml:space="preserve">decrease from February to April in ethnicity reported as </w:t>
      </w:r>
      <w:r w:rsidR="00D242F7">
        <w:t>‘</w:t>
      </w:r>
      <w:r w:rsidR="001E11CF" w:rsidRPr="00161D4B">
        <w:t>not stated</w:t>
      </w:r>
      <w:r w:rsidR="00D242F7">
        <w:t>’</w:t>
      </w:r>
      <w:r w:rsidR="001E11CF" w:rsidRPr="00161D4B">
        <w:t xml:space="preserve"> on </w:t>
      </w:r>
      <w:proofErr w:type="spellStart"/>
      <w:r w:rsidR="001E11CF" w:rsidRPr="00161D4B">
        <w:t>IAPTus</w:t>
      </w:r>
      <w:proofErr w:type="spellEnd"/>
      <w:r w:rsidR="001E11CF" w:rsidRPr="00161D4B">
        <w:t xml:space="preserve"> in 2019 and in 2020 following our intervention. This lower trend remained consistent for the remainder of 2020 following our staff intervention and promotion of the project in a team meeting. </w:t>
      </w:r>
    </w:p>
    <w:p w14:paraId="6C430533" w14:textId="2B229792" w:rsidR="001E11CF" w:rsidRPr="00161D4B" w:rsidRDefault="001E11CF" w:rsidP="006B48BE">
      <w:pPr>
        <w:spacing w:line="360" w:lineRule="auto"/>
        <w:ind w:firstLine="567"/>
        <w:jc w:val="both"/>
      </w:pPr>
      <w:r w:rsidRPr="00161D4B">
        <w:t>A series of multivariate ANOVAs were conducted with the dependent variables therapy outcome (completed treatment and dropped out) and year (2019/2020) as independent variables, and with outcome and ethnicity as dependent variables. Significant associations were examined further by non-parametric testing (Tukey</w:t>
      </w:r>
      <w:r w:rsidR="00D242F7">
        <w:t>’s</w:t>
      </w:r>
      <w:r w:rsidRPr="00161D4B">
        <w:t xml:space="preserve"> </w:t>
      </w:r>
      <w:r w:rsidRPr="00D242F7">
        <w:rPr>
          <w:i/>
          <w:iCs/>
        </w:rPr>
        <w:t>post hoc</w:t>
      </w:r>
      <w:r w:rsidR="00D242F7">
        <w:rPr>
          <w:i/>
          <w:iCs/>
        </w:rPr>
        <w:t xml:space="preserve"> </w:t>
      </w:r>
      <w:r w:rsidR="00D242F7" w:rsidRPr="00D242F7">
        <w:t>test</w:t>
      </w:r>
      <w:r w:rsidRPr="00161D4B">
        <w:t xml:space="preserve">). A statistically significant effect was obtained, Pillai’s </w:t>
      </w:r>
      <w:r w:rsidR="001B78F1">
        <w:t>t</w:t>
      </w:r>
      <w:r w:rsidRPr="00161D4B">
        <w:t>race=</w:t>
      </w:r>
      <w:r w:rsidRPr="00161D4B">
        <w:rPr>
          <w:i/>
          <w:iCs/>
        </w:rPr>
        <w:t>F</w:t>
      </w:r>
      <w:r w:rsidRPr="001B78F1">
        <w:rPr>
          <w:vertAlign w:val="subscript"/>
        </w:rPr>
        <w:t>4,5888</w:t>
      </w:r>
      <w:r w:rsidRPr="00161D4B">
        <w:t xml:space="preserve">=8.967, </w:t>
      </w:r>
      <w:r w:rsidRPr="00161D4B">
        <w:rPr>
          <w:i/>
          <w:iCs/>
        </w:rPr>
        <w:t>p</w:t>
      </w:r>
      <w:r w:rsidRPr="00161D4B">
        <w:t>=.000. There was no statistical difference on year and therapy level of intensity (</w:t>
      </w:r>
      <w:r w:rsidRPr="00161D4B">
        <w:rPr>
          <w:i/>
          <w:iCs/>
        </w:rPr>
        <w:t>p</w:t>
      </w:r>
      <w:r w:rsidRPr="00161D4B">
        <w:t xml:space="preserve">=.244, 95% CI </w:t>
      </w:r>
      <w:r w:rsidR="007177F6">
        <w:t>[</w:t>
      </w:r>
      <w:r w:rsidR="001B78F1">
        <w:t>–</w:t>
      </w:r>
      <w:r w:rsidRPr="00161D4B">
        <w:t>.058, .015</w:t>
      </w:r>
      <w:r w:rsidR="007177F6">
        <w:t>]</w:t>
      </w:r>
      <w:r w:rsidRPr="00161D4B">
        <w:t>). There was a statistically significant effect of year on discharge outcome (</w:t>
      </w:r>
      <w:r w:rsidRPr="00161D4B">
        <w:rPr>
          <w:i/>
          <w:iCs/>
        </w:rPr>
        <w:t>p</w:t>
      </w:r>
      <w:r w:rsidRPr="00161D4B">
        <w:t>=.00, 95% CI [</w:t>
      </w:r>
      <w:r w:rsidR="001B78F1">
        <w:t>–</w:t>
      </w:r>
      <w:r w:rsidRPr="00161D4B">
        <w:t xml:space="preserve">.122, </w:t>
      </w:r>
      <w:r w:rsidR="001B78F1">
        <w:t>–</w:t>
      </w:r>
      <w:r w:rsidRPr="00161D4B">
        <w:t xml:space="preserve">.054]). </w:t>
      </w:r>
    </w:p>
    <w:p w14:paraId="369B6C57" w14:textId="6134667D" w:rsidR="001E11CF" w:rsidRPr="00161D4B" w:rsidRDefault="001E11CF" w:rsidP="00FE4CE0">
      <w:pPr>
        <w:spacing w:line="360" w:lineRule="auto"/>
        <w:ind w:firstLine="567"/>
        <w:jc w:val="both"/>
      </w:pPr>
      <w:r w:rsidRPr="00161D4B">
        <w:t xml:space="preserve">Tukey’s </w:t>
      </w:r>
      <w:r w:rsidR="00AA7EBB">
        <w:t>honestly significant difference (</w:t>
      </w:r>
      <w:r w:rsidRPr="00161D4B">
        <w:t>HSD</w:t>
      </w:r>
      <w:r w:rsidR="00AA7EBB">
        <w:t>)</w:t>
      </w:r>
      <w:r w:rsidRPr="00161D4B">
        <w:t xml:space="preserve"> </w:t>
      </w:r>
      <w:r w:rsidR="007177F6">
        <w:t>t</w:t>
      </w:r>
      <w:r w:rsidRPr="00161D4B">
        <w:t>est for multiple comparisons found that the mean value of therapy intensity (Step</w:t>
      </w:r>
      <w:r w:rsidR="00526DB4">
        <w:t> </w:t>
      </w:r>
      <w:r w:rsidRPr="00161D4B">
        <w:t xml:space="preserve">2 or </w:t>
      </w:r>
      <w:r w:rsidR="00526DB4">
        <w:t>S</w:t>
      </w:r>
      <w:r w:rsidRPr="00161D4B">
        <w:t>tep</w:t>
      </w:r>
      <w:r w:rsidR="00526DB4">
        <w:t> </w:t>
      </w:r>
      <w:r w:rsidRPr="00161D4B">
        <w:t>3) was significantly different between White British and Asian (</w:t>
      </w:r>
      <w:r w:rsidRPr="00161D4B">
        <w:rPr>
          <w:i/>
          <w:iCs/>
        </w:rPr>
        <w:t>p</w:t>
      </w:r>
      <w:r w:rsidRPr="00161D4B">
        <w:t>=.028, 95% CI [.00, .11]). There was a statistically significant different between Asian British and Black British (</w:t>
      </w:r>
      <w:r w:rsidRPr="00161D4B">
        <w:rPr>
          <w:i/>
          <w:iCs/>
        </w:rPr>
        <w:t>p</w:t>
      </w:r>
      <w:r w:rsidRPr="00161D4B">
        <w:t>=.004, 95% CI [</w:t>
      </w:r>
      <w:r w:rsidR="007177F6">
        <w:t>–</w:t>
      </w:r>
      <w:r w:rsidRPr="00161D4B">
        <w:t>.13, .02]). There was no statistically significant effect of therapy intensity between White British and Black African/Caribbean group (</w:t>
      </w:r>
      <w:r w:rsidRPr="00161D4B">
        <w:rPr>
          <w:i/>
          <w:iCs/>
        </w:rPr>
        <w:t>p</w:t>
      </w:r>
      <w:r w:rsidRPr="00161D4B">
        <w:t xml:space="preserve">=.629). </w:t>
      </w:r>
    </w:p>
    <w:p w14:paraId="7B186B52" w14:textId="550B9A09" w:rsidR="001E11CF" w:rsidRPr="00161D4B" w:rsidRDefault="001E11CF" w:rsidP="00FE4CE0">
      <w:pPr>
        <w:spacing w:line="360" w:lineRule="auto"/>
        <w:ind w:firstLine="567"/>
        <w:jc w:val="both"/>
      </w:pPr>
      <w:r w:rsidRPr="00161D4B">
        <w:t xml:space="preserve">Tukey’s HSD </w:t>
      </w:r>
      <w:r w:rsidR="00526DB4">
        <w:t>t</w:t>
      </w:r>
      <w:r w:rsidRPr="00161D4B">
        <w:t>est for multiple comparisons found that there was a statistically significant difference on the discharge outcome between White British and Black African/Caribbean (</w:t>
      </w:r>
      <w:r w:rsidRPr="00161D4B">
        <w:rPr>
          <w:i/>
          <w:iCs/>
        </w:rPr>
        <w:t>p</w:t>
      </w:r>
      <w:r w:rsidRPr="00161D4B">
        <w:t>=.000, 95% CI [</w:t>
      </w:r>
      <w:r w:rsidR="002D1DE0">
        <w:t>–</w:t>
      </w:r>
      <w:r w:rsidRPr="00161D4B">
        <w:t>.07, .03]). There was also a statistically significant difference on discharge outcome between Asian and Black African/Caribbean (</w:t>
      </w:r>
      <w:r w:rsidRPr="00161D4B">
        <w:rPr>
          <w:i/>
          <w:iCs/>
        </w:rPr>
        <w:t>p</w:t>
      </w:r>
      <w:r w:rsidRPr="00161D4B">
        <w:t xml:space="preserve">=.029, 95% CI </w:t>
      </w:r>
      <w:r w:rsidR="002D1DE0">
        <w:t>[–</w:t>
      </w:r>
      <w:r w:rsidRPr="00161D4B">
        <w:t xml:space="preserve">.13, </w:t>
      </w:r>
      <w:r w:rsidR="002D1DE0">
        <w:t>–</w:t>
      </w:r>
      <w:r w:rsidRPr="00161D4B">
        <w:t>.02]). There was no statistically significant difference on discharge outcome between Asian and White British (</w:t>
      </w:r>
      <w:r w:rsidRPr="00161D4B">
        <w:rPr>
          <w:i/>
          <w:iCs/>
        </w:rPr>
        <w:t>p</w:t>
      </w:r>
      <w:r w:rsidRPr="00161D4B">
        <w:t xml:space="preserve">=.065, 95% CI [.00, .09]). </w:t>
      </w:r>
    </w:p>
    <w:p w14:paraId="72DA197A" w14:textId="77777777" w:rsidR="001E11CF" w:rsidRPr="00161D4B" w:rsidRDefault="001E11CF" w:rsidP="00161D4B">
      <w:pPr>
        <w:spacing w:line="360" w:lineRule="auto"/>
        <w:jc w:val="both"/>
        <w:rPr>
          <w:b/>
          <w:bCs/>
        </w:rPr>
      </w:pPr>
    </w:p>
    <w:p w14:paraId="4C5C03E6" w14:textId="4B006DA8" w:rsidR="001E11CF" w:rsidRPr="00FE4CE0" w:rsidRDefault="001E11CF" w:rsidP="00161D4B">
      <w:pPr>
        <w:spacing w:line="360" w:lineRule="auto"/>
        <w:jc w:val="both"/>
        <w:rPr>
          <w:b/>
          <w:bCs/>
          <w:i/>
          <w:iCs/>
          <w:color w:val="002060"/>
        </w:rPr>
      </w:pPr>
      <w:r w:rsidRPr="00FE4CE0">
        <w:rPr>
          <w:b/>
          <w:bCs/>
          <w:i/>
          <w:iCs/>
          <w:color w:val="002060"/>
        </w:rPr>
        <w:t xml:space="preserve">Qualitative </w:t>
      </w:r>
      <w:r w:rsidR="002D1DE0">
        <w:rPr>
          <w:b/>
          <w:bCs/>
          <w:i/>
          <w:iCs/>
          <w:color w:val="002060"/>
        </w:rPr>
        <w:t>f</w:t>
      </w:r>
      <w:r w:rsidRPr="00FE4CE0">
        <w:rPr>
          <w:b/>
          <w:bCs/>
          <w:i/>
          <w:iCs/>
          <w:color w:val="002060"/>
        </w:rPr>
        <w:t>indings</w:t>
      </w:r>
      <w:r w:rsidR="00F349CF">
        <w:rPr>
          <w:b/>
          <w:bCs/>
          <w:i/>
          <w:iCs/>
          <w:color w:val="002060"/>
        </w:rPr>
        <w:t xml:space="preserve"> </w:t>
      </w:r>
    </w:p>
    <w:p w14:paraId="21E72F6F" w14:textId="1E5D1095" w:rsidR="001E11CF" w:rsidRPr="00161D4B" w:rsidRDefault="001E11CF" w:rsidP="00161D4B">
      <w:pPr>
        <w:spacing w:line="360" w:lineRule="auto"/>
        <w:jc w:val="both"/>
      </w:pPr>
      <w:r w:rsidRPr="00161D4B">
        <w:t xml:space="preserve">The survey respondents reported 33.2% White British, 27.9% Asian, 16.1% Black African/Caribbean, </w:t>
      </w:r>
      <w:r w:rsidR="002D1DE0">
        <w:t xml:space="preserve">and </w:t>
      </w:r>
      <w:r w:rsidRPr="00161D4B">
        <w:t xml:space="preserve">22.8% mixed heritage. </w:t>
      </w:r>
    </w:p>
    <w:p w14:paraId="2E128D5A" w14:textId="07D36B62" w:rsidR="001E11CF" w:rsidRPr="00161D4B" w:rsidRDefault="001E11CF" w:rsidP="00FE4CE0">
      <w:pPr>
        <w:spacing w:line="360" w:lineRule="auto"/>
        <w:ind w:firstLine="567"/>
        <w:jc w:val="both"/>
      </w:pPr>
      <w:r w:rsidRPr="00161D4B">
        <w:t xml:space="preserve">There were three broad themes with subthemes. Therapist factors included subthemes of lack of confidence in therapist, </w:t>
      </w:r>
      <w:r w:rsidR="001E58B3">
        <w:t xml:space="preserve">and </w:t>
      </w:r>
      <w:r w:rsidRPr="00161D4B">
        <w:t>not being listened to. Patient factors included subthemes of neurodiversity, unsure whether it would be helpful</w:t>
      </w:r>
      <w:r w:rsidR="001E58B3">
        <w:t>,</w:t>
      </w:r>
      <w:r w:rsidRPr="00161D4B">
        <w:t xml:space="preserve"> and confidentiality concerns. Service factors included subthemes of notified of discharge from the service, remote delivery of therapy, treatment options,</w:t>
      </w:r>
      <w:r w:rsidR="001E58B3">
        <w:t xml:space="preserve"> and</w:t>
      </w:r>
      <w:r w:rsidRPr="00161D4B">
        <w:t xml:space="preserve"> treatment materials. </w:t>
      </w:r>
    </w:p>
    <w:p w14:paraId="18C5892B" w14:textId="77777777" w:rsidR="001E11CF" w:rsidRPr="00161D4B" w:rsidRDefault="001E11CF" w:rsidP="00161D4B">
      <w:pPr>
        <w:spacing w:line="360" w:lineRule="auto"/>
        <w:jc w:val="both"/>
      </w:pPr>
    </w:p>
    <w:p w14:paraId="6D2BF76E" w14:textId="77777777" w:rsidR="001E11CF" w:rsidRPr="00FE4CE0" w:rsidRDefault="001E11CF" w:rsidP="00161D4B">
      <w:pPr>
        <w:spacing w:line="360" w:lineRule="auto"/>
        <w:jc w:val="both"/>
        <w:rPr>
          <w:b/>
          <w:bCs/>
          <w:i/>
          <w:iCs/>
          <w:color w:val="002060"/>
        </w:rPr>
      </w:pPr>
      <w:r w:rsidRPr="00FE4CE0">
        <w:rPr>
          <w:b/>
          <w:bCs/>
          <w:i/>
          <w:iCs/>
          <w:color w:val="002060"/>
        </w:rPr>
        <w:t xml:space="preserve">Patient factors </w:t>
      </w:r>
    </w:p>
    <w:p w14:paraId="4BC0700A" w14:textId="77777777" w:rsidR="001E11CF" w:rsidRPr="00FE4CE0" w:rsidRDefault="001E11CF" w:rsidP="00161D4B">
      <w:pPr>
        <w:spacing w:line="360" w:lineRule="auto"/>
        <w:jc w:val="both"/>
        <w:rPr>
          <w:i/>
          <w:iCs/>
          <w:color w:val="002060"/>
        </w:rPr>
      </w:pPr>
      <w:r w:rsidRPr="00FE4CE0">
        <w:rPr>
          <w:i/>
          <w:iCs/>
          <w:color w:val="002060"/>
        </w:rPr>
        <w:t xml:space="preserve">Neurodiversity </w:t>
      </w:r>
    </w:p>
    <w:p w14:paraId="30971A2F" w14:textId="49BF451A" w:rsidR="001E11CF" w:rsidRPr="00161D4B" w:rsidRDefault="001E11CF" w:rsidP="00161D4B">
      <w:pPr>
        <w:spacing w:line="360" w:lineRule="auto"/>
        <w:jc w:val="both"/>
      </w:pPr>
      <w:r w:rsidRPr="00161D4B">
        <w:t>One patient explained</w:t>
      </w:r>
      <w:r w:rsidR="001E58B3">
        <w:t>,</w:t>
      </w:r>
      <w:r w:rsidRPr="00161D4B">
        <w:t xml:space="preserve"> </w:t>
      </w:r>
      <w:r w:rsidR="001E58B3">
        <w:t>‘</w:t>
      </w:r>
      <w:r w:rsidRPr="00161D4B">
        <w:t>I have autism and I was treated as not because I don</w:t>
      </w:r>
      <w:r w:rsidR="001E58B3">
        <w:t>’</w:t>
      </w:r>
      <w:r w:rsidRPr="00161D4B">
        <w:t>t have diagnosis from UK. I fail to attend some appointments exactly for the reason above</w:t>
      </w:r>
      <w:r w:rsidR="001E58B3">
        <w:t>’;</w:t>
      </w:r>
      <w:r w:rsidRPr="00161D4B">
        <w:t xml:space="preserve"> another also similarly stated</w:t>
      </w:r>
      <w:r w:rsidR="001E58B3">
        <w:t>,</w:t>
      </w:r>
      <w:r w:rsidRPr="00161D4B">
        <w:t xml:space="preserve"> </w:t>
      </w:r>
      <w:r w:rsidR="001E58B3">
        <w:t>‘</w:t>
      </w:r>
      <w:r w:rsidRPr="00161D4B">
        <w:t xml:space="preserve">I have </w:t>
      </w:r>
      <w:proofErr w:type="gramStart"/>
      <w:r w:rsidRPr="00161D4B">
        <w:t>ADHD</w:t>
      </w:r>
      <w:proofErr w:type="gramEnd"/>
      <w:r w:rsidRPr="00161D4B">
        <w:t xml:space="preserve"> so the diary was difficult to keep up with</w:t>
      </w:r>
      <w:r w:rsidR="001E58B3">
        <w:t>’</w:t>
      </w:r>
      <w:r w:rsidRPr="00161D4B">
        <w:t xml:space="preserve">. </w:t>
      </w:r>
    </w:p>
    <w:p w14:paraId="7C068F7E" w14:textId="77777777" w:rsidR="001E11CF" w:rsidRPr="00161D4B" w:rsidRDefault="001E11CF" w:rsidP="00FE4CE0">
      <w:pPr>
        <w:spacing w:line="360" w:lineRule="auto"/>
        <w:ind w:firstLine="567"/>
        <w:jc w:val="both"/>
        <w:rPr>
          <w:lang w:val="en-US"/>
        </w:rPr>
      </w:pPr>
      <w:r w:rsidRPr="00161D4B">
        <w:rPr>
          <w:lang w:val="en-US"/>
        </w:rPr>
        <w:t>Access for patients of neurodiversity requires urgent attention. The present study findings suggest that therapists could benefit from training in adapting materials for this population group which would be valuable for improvement in access.</w:t>
      </w:r>
    </w:p>
    <w:p w14:paraId="22BBD02F" w14:textId="77777777" w:rsidR="001E11CF" w:rsidRPr="00161D4B" w:rsidRDefault="001E11CF" w:rsidP="00161D4B">
      <w:pPr>
        <w:spacing w:line="360" w:lineRule="auto"/>
        <w:jc w:val="both"/>
      </w:pPr>
    </w:p>
    <w:p w14:paraId="1A2E54D9" w14:textId="77777777" w:rsidR="001E11CF" w:rsidRPr="00FE4CE0" w:rsidRDefault="001E11CF" w:rsidP="00161D4B">
      <w:pPr>
        <w:spacing w:line="360" w:lineRule="auto"/>
        <w:jc w:val="both"/>
        <w:rPr>
          <w:i/>
          <w:iCs/>
          <w:color w:val="002060"/>
        </w:rPr>
      </w:pPr>
      <w:r w:rsidRPr="00FE4CE0">
        <w:rPr>
          <w:i/>
          <w:iCs/>
          <w:color w:val="002060"/>
        </w:rPr>
        <w:t xml:space="preserve">Unsure whether it would be </w:t>
      </w:r>
      <w:proofErr w:type="gramStart"/>
      <w:r w:rsidRPr="00FE4CE0">
        <w:rPr>
          <w:i/>
          <w:iCs/>
          <w:color w:val="002060"/>
        </w:rPr>
        <w:t>helpful</w:t>
      </w:r>
      <w:proofErr w:type="gramEnd"/>
    </w:p>
    <w:p w14:paraId="7E79BE07" w14:textId="24BE02D1" w:rsidR="001E11CF" w:rsidRPr="00161D4B" w:rsidRDefault="001E11CF" w:rsidP="00161D4B">
      <w:pPr>
        <w:spacing w:line="360" w:lineRule="auto"/>
        <w:jc w:val="both"/>
      </w:pPr>
      <w:r w:rsidRPr="00161D4B">
        <w:t>Some patients also described feeling unsure if the service could meet their needs. One patient mentioned</w:t>
      </w:r>
      <w:r w:rsidR="00284C46">
        <w:t>,</w:t>
      </w:r>
      <w:r w:rsidRPr="00161D4B">
        <w:t xml:space="preserve"> </w:t>
      </w:r>
      <w:r w:rsidR="00284C46">
        <w:t>‘</w:t>
      </w:r>
      <w:r w:rsidRPr="00161D4B">
        <w:t>I wasn</w:t>
      </w:r>
      <w:r w:rsidR="00284C46">
        <w:t>’</w:t>
      </w:r>
      <w:r w:rsidRPr="00161D4B">
        <w:t>t sure if the service would be helpful at that time</w:t>
      </w:r>
      <w:r w:rsidR="00284C46">
        <w:t>’</w:t>
      </w:r>
      <w:r w:rsidRPr="00161D4B">
        <w:t xml:space="preserve">, and another questioning </w:t>
      </w:r>
      <w:r w:rsidR="00284C46">
        <w:t>‘</w:t>
      </w:r>
      <w:r w:rsidRPr="00161D4B">
        <w:t>Whether they’d be helpful at all</w:t>
      </w:r>
      <w:r w:rsidR="00284C46">
        <w:t>’</w:t>
      </w:r>
      <w:r w:rsidRPr="00161D4B">
        <w:t xml:space="preserve">. Similarly, another mentioned that they </w:t>
      </w:r>
      <w:r w:rsidR="00284C46">
        <w:t>‘</w:t>
      </w:r>
      <w:r w:rsidRPr="00161D4B">
        <w:t>Didn’t feel benefit</w:t>
      </w:r>
      <w:r w:rsidR="00284C46">
        <w:t>’,</w:t>
      </w:r>
      <w:r w:rsidRPr="00161D4B">
        <w:t xml:space="preserve"> </w:t>
      </w:r>
      <w:r w:rsidR="00284C46">
        <w:t>‘</w:t>
      </w:r>
      <w:r w:rsidRPr="00161D4B">
        <w:t>I didn’t feel that it could help</w:t>
      </w:r>
      <w:r w:rsidR="00284C46">
        <w:t>’</w:t>
      </w:r>
      <w:r w:rsidRPr="00161D4B">
        <w:t xml:space="preserve"> and </w:t>
      </w:r>
      <w:r w:rsidR="00284C46">
        <w:t>‘</w:t>
      </w:r>
      <w:r w:rsidRPr="00161D4B">
        <w:t>I don</w:t>
      </w:r>
      <w:r w:rsidR="00284C46">
        <w:t>’</w:t>
      </w:r>
      <w:r w:rsidRPr="00161D4B">
        <w:t>t know if this is for me</w:t>
      </w:r>
      <w:r w:rsidR="00284C46">
        <w:t>’</w:t>
      </w:r>
      <w:r w:rsidRPr="00161D4B">
        <w:t xml:space="preserve">. </w:t>
      </w:r>
    </w:p>
    <w:p w14:paraId="75B43D75" w14:textId="5099B992" w:rsidR="001E11CF" w:rsidRPr="00161D4B" w:rsidRDefault="001E11CF" w:rsidP="00FE4CE0">
      <w:pPr>
        <w:spacing w:line="360" w:lineRule="auto"/>
        <w:ind w:firstLine="567"/>
        <w:jc w:val="both"/>
      </w:pPr>
      <w:r w:rsidRPr="00161D4B">
        <w:t>The cause of reluctance to engage in therapy from the respondents of the present study is not fully understood and further conversations with patients to better understand will be valuable. There are many barriers to accessing mental health treatment, and often it has been suggested that stigma is associated with reluctance to disclose emotional problems to health professionals (Khan</w:t>
      </w:r>
      <w:r w:rsidR="00A47AFD">
        <w:t xml:space="preserve"> </w:t>
      </w:r>
      <w:r w:rsidR="00A47AFD" w:rsidRPr="00A47AFD">
        <w:rPr>
          <w:i/>
          <w:iCs/>
        </w:rPr>
        <w:t>et al</w:t>
      </w:r>
      <w:r w:rsidR="00A47AFD">
        <w:t>.</w:t>
      </w:r>
      <w:r w:rsidRPr="00161D4B">
        <w:t>, 2007). In addition, previous research has shown patient awareness and understanding of self-help interventions take time to develop</w:t>
      </w:r>
      <w:r w:rsidR="00284C46">
        <w:t>; p</w:t>
      </w:r>
      <w:r w:rsidRPr="00161D4B">
        <w:t>articularly, the understanding of the therapist role in guided self-help interventions (Khan</w:t>
      </w:r>
      <w:r w:rsidR="00A47AFD">
        <w:t xml:space="preserve"> </w:t>
      </w:r>
      <w:r w:rsidR="00A47AFD" w:rsidRPr="00A47AFD">
        <w:rPr>
          <w:i/>
          <w:iCs/>
        </w:rPr>
        <w:t>et al</w:t>
      </w:r>
      <w:r w:rsidR="00A47AFD">
        <w:t>.</w:t>
      </w:r>
      <w:r w:rsidRPr="00161D4B">
        <w:t>, 2007).</w:t>
      </w:r>
    </w:p>
    <w:p w14:paraId="1EA6B5AE" w14:textId="77777777" w:rsidR="001E11CF" w:rsidRPr="00161D4B" w:rsidRDefault="001E11CF" w:rsidP="00161D4B">
      <w:pPr>
        <w:pStyle w:val="NoSpacing"/>
        <w:spacing w:line="360" w:lineRule="auto"/>
        <w:rPr>
          <w:i/>
          <w:iCs/>
        </w:rPr>
      </w:pPr>
    </w:p>
    <w:p w14:paraId="7C949791" w14:textId="77777777" w:rsidR="001E11CF" w:rsidRPr="00FE4CE0" w:rsidRDefault="001E11CF" w:rsidP="00161D4B">
      <w:pPr>
        <w:pStyle w:val="NoSpacing"/>
        <w:spacing w:line="360" w:lineRule="auto"/>
        <w:rPr>
          <w:i/>
          <w:iCs/>
          <w:color w:val="002060"/>
        </w:rPr>
      </w:pPr>
      <w:r w:rsidRPr="00FE4CE0">
        <w:rPr>
          <w:i/>
          <w:iCs/>
          <w:color w:val="002060"/>
        </w:rPr>
        <w:t>Confidentiality concerns</w:t>
      </w:r>
    </w:p>
    <w:p w14:paraId="6B87A131" w14:textId="42F23C88" w:rsidR="001E11CF" w:rsidRPr="00161D4B" w:rsidRDefault="001E11CF" w:rsidP="00161D4B">
      <w:pPr>
        <w:pStyle w:val="NoSpacing"/>
        <w:spacing w:line="360" w:lineRule="auto"/>
      </w:pPr>
      <w:r w:rsidRPr="00161D4B">
        <w:t>One patient reported</w:t>
      </w:r>
      <w:r w:rsidR="00284C46">
        <w:t>,</w:t>
      </w:r>
      <w:r w:rsidRPr="00161D4B">
        <w:t xml:space="preserve"> </w:t>
      </w:r>
      <w:r w:rsidR="00284C46">
        <w:t>‘</w:t>
      </w:r>
      <w:r w:rsidRPr="00161D4B">
        <w:t>I was afraid of where my information would go and how much I could tell</w:t>
      </w:r>
      <w:r w:rsidR="00284C46">
        <w:t>’</w:t>
      </w:r>
      <w:r w:rsidRPr="00161D4B">
        <w:t xml:space="preserve"> and another simply stated </w:t>
      </w:r>
      <w:r w:rsidR="00284C46">
        <w:t>‘</w:t>
      </w:r>
      <w:r w:rsidRPr="00161D4B">
        <w:t>confidentiality</w:t>
      </w:r>
      <w:r w:rsidR="00284C46">
        <w:t>’</w:t>
      </w:r>
      <w:r w:rsidRPr="00161D4B">
        <w:t>.</w:t>
      </w:r>
    </w:p>
    <w:p w14:paraId="205D8CD8" w14:textId="69E42E7A" w:rsidR="001E11CF" w:rsidRPr="00161D4B" w:rsidRDefault="001E11CF" w:rsidP="00FE4CE0">
      <w:pPr>
        <w:pStyle w:val="NoSpacing"/>
        <w:spacing w:line="360" w:lineRule="auto"/>
        <w:ind w:firstLine="567"/>
      </w:pPr>
      <w:r w:rsidRPr="00161D4B">
        <w:t xml:space="preserve">The stigma associated with accessing treatment for mental health difficulties is very familiar, and consequently comes </w:t>
      </w:r>
      <w:r w:rsidR="00284C46">
        <w:t>with</w:t>
      </w:r>
      <w:r w:rsidRPr="00161D4B">
        <w:t xml:space="preserve"> increased fear and concern related to data recording, confidentiality and sharing of patient information. A previous review found in a population of first responders the most common stigma</w:t>
      </w:r>
      <w:r w:rsidR="00284C46">
        <w:t>-</w:t>
      </w:r>
      <w:r w:rsidRPr="00161D4B">
        <w:t xml:space="preserve">related items reported by participants were fear of services not being confidential and fear of accessing psychological support impacting the individual’s career (Haugen </w:t>
      </w:r>
      <w:r w:rsidRPr="00284C46">
        <w:rPr>
          <w:i/>
          <w:iCs/>
        </w:rPr>
        <w:t>et al</w:t>
      </w:r>
      <w:r w:rsidRPr="00161D4B">
        <w:t xml:space="preserve">., 2017). </w:t>
      </w:r>
    </w:p>
    <w:p w14:paraId="3FF0F344" w14:textId="77777777" w:rsidR="001E11CF" w:rsidRPr="00161D4B" w:rsidRDefault="001E11CF" w:rsidP="00161D4B">
      <w:pPr>
        <w:spacing w:line="360" w:lineRule="auto"/>
        <w:jc w:val="both"/>
      </w:pPr>
    </w:p>
    <w:p w14:paraId="19B14568" w14:textId="77777777" w:rsidR="001E11CF" w:rsidRPr="00FE4CE0" w:rsidRDefault="001E11CF" w:rsidP="00161D4B">
      <w:pPr>
        <w:spacing w:line="360" w:lineRule="auto"/>
        <w:jc w:val="both"/>
        <w:rPr>
          <w:b/>
          <w:bCs/>
          <w:i/>
          <w:iCs/>
          <w:color w:val="002060"/>
        </w:rPr>
      </w:pPr>
      <w:r w:rsidRPr="00FE4CE0">
        <w:rPr>
          <w:b/>
          <w:bCs/>
          <w:i/>
          <w:iCs/>
          <w:color w:val="002060"/>
        </w:rPr>
        <w:t xml:space="preserve">Therapist factors </w:t>
      </w:r>
    </w:p>
    <w:p w14:paraId="30672FB9" w14:textId="77777777" w:rsidR="001E11CF" w:rsidRPr="00FE4CE0" w:rsidRDefault="001E11CF" w:rsidP="00161D4B">
      <w:pPr>
        <w:spacing w:line="360" w:lineRule="auto"/>
        <w:jc w:val="both"/>
        <w:rPr>
          <w:i/>
          <w:iCs/>
          <w:color w:val="002060"/>
        </w:rPr>
      </w:pPr>
      <w:r w:rsidRPr="00FE4CE0">
        <w:rPr>
          <w:i/>
          <w:iCs/>
          <w:color w:val="002060"/>
        </w:rPr>
        <w:t>Lack of confidence in the therapist</w:t>
      </w:r>
    </w:p>
    <w:p w14:paraId="019EAA79" w14:textId="13187BFF" w:rsidR="001E11CF" w:rsidRPr="00161D4B" w:rsidRDefault="001E11CF" w:rsidP="00161D4B">
      <w:pPr>
        <w:spacing w:line="360" w:lineRule="auto"/>
        <w:jc w:val="both"/>
      </w:pPr>
      <w:r w:rsidRPr="00161D4B">
        <w:t xml:space="preserve">One patient stated that the </w:t>
      </w:r>
      <w:r w:rsidR="00284C46">
        <w:t>‘</w:t>
      </w:r>
      <w:r w:rsidRPr="00161D4B">
        <w:t xml:space="preserve">therapist did not feel very </w:t>
      </w:r>
      <w:proofErr w:type="spellStart"/>
      <w:r w:rsidRPr="00161D4B">
        <w:t>knowledgable</w:t>
      </w:r>
      <w:proofErr w:type="spellEnd"/>
      <w:r w:rsidR="00284C46">
        <w:t>’</w:t>
      </w:r>
      <w:r w:rsidRPr="00161D4B">
        <w:t xml:space="preserve"> and another respondent explained that they felt the </w:t>
      </w:r>
      <w:r w:rsidR="00284C46">
        <w:t>‘</w:t>
      </w:r>
      <w:r w:rsidRPr="00161D4B">
        <w:t>therapist was not qualified or understanding/knowledgeable of BDD</w:t>
      </w:r>
      <w:r w:rsidR="00284C46">
        <w:t>’</w:t>
      </w:r>
      <w:r w:rsidRPr="00161D4B">
        <w:t>.</w:t>
      </w:r>
      <w:r w:rsidR="00F349CF">
        <w:t xml:space="preserve"> </w:t>
      </w:r>
    </w:p>
    <w:p w14:paraId="452A2FD9" w14:textId="556BA02B" w:rsidR="001E11CF" w:rsidRPr="00161D4B" w:rsidRDefault="001E11CF" w:rsidP="00FE4CE0">
      <w:pPr>
        <w:spacing w:line="360" w:lineRule="auto"/>
        <w:ind w:firstLine="567"/>
        <w:jc w:val="both"/>
      </w:pPr>
      <w:r w:rsidRPr="00161D4B">
        <w:t>Patients from the survey also described feeling that they were not being understood. One patient report</w:t>
      </w:r>
      <w:r w:rsidR="00284C46">
        <w:t>ed:</w:t>
      </w:r>
      <w:r w:rsidRPr="00161D4B">
        <w:t xml:space="preserve"> </w:t>
      </w:r>
      <w:r w:rsidR="00284C46">
        <w:t>‘</w:t>
      </w:r>
      <w:r w:rsidRPr="00161D4B">
        <w:t>Never felt fully understood</w:t>
      </w:r>
      <w:r w:rsidR="00284C46">
        <w:t>’;</w:t>
      </w:r>
      <w:r w:rsidRPr="00161D4B">
        <w:t xml:space="preserve"> and another explained the therapist </w:t>
      </w:r>
      <w:r w:rsidR="00284C46">
        <w:t>‘</w:t>
      </w:r>
      <w:r w:rsidRPr="00161D4B">
        <w:t>kept misinterpreting what I said</w:t>
      </w:r>
      <w:r w:rsidR="00284C46">
        <w:t>,</w:t>
      </w:r>
      <w:r w:rsidRPr="00161D4B">
        <w:t xml:space="preserve"> I have never experience this before and never missed an appt </w:t>
      </w:r>
      <w:proofErr w:type="gramStart"/>
      <w:r w:rsidRPr="00161D4B">
        <w:t>before</w:t>
      </w:r>
      <w:proofErr w:type="gramEnd"/>
      <w:r w:rsidRPr="00161D4B">
        <w:t xml:space="preserve"> but this was just too much </w:t>
      </w:r>
      <w:proofErr w:type="spellStart"/>
      <w:r w:rsidRPr="00161D4B">
        <w:t>too</w:t>
      </w:r>
      <w:proofErr w:type="spellEnd"/>
      <w:r w:rsidRPr="00161D4B">
        <w:t xml:space="preserve"> ask and I felt that she wouldn</w:t>
      </w:r>
      <w:r w:rsidR="00B679D7">
        <w:t>’</w:t>
      </w:r>
      <w:r w:rsidRPr="00161D4B">
        <w:t xml:space="preserve">t understand me if I told her the truth. She was also a trainee and I think she too </w:t>
      </w:r>
      <w:proofErr w:type="gramStart"/>
      <w:r w:rsidRPr="00161D4B">
        <w:t>text book</w:t>
      </w:r>
      <w:proofErr w:type="gramEnd"/>
      <w:r w:rsidRPr="00161D4B">
        <w:t xml:space="preserve"> with learned behaviour rather than genuine and natural</w:t>
      </w:r>
      <w:r w:rsidR="00B679D7">
        <w:t>’</w:t>
      </w:r>
      <w:r w:rsidRPr="00161D4B">
        <w:t xml:space="preserve">. </w:t>
      </w:r>
    </w:p>
    <w:p w14:paraId="37F2217B" w14:textId="1A84A1F8" w:rsidR="001E11CF" w:rsidRPr="00161D4B" w:rsidRDefault="001E11CF" w:rsidP="00FE4CE0">
      <w:pPr>
        <w:spacing w:line="360" w:lineRule="auto"/>
        <w:ind w:firstLine="567"/>
        <w:jc w:val="both"/>
      </w:pPr>
      <w:r w:rsidRPr="00161D4B">
        <w:t xml:space="preserve">For positive outcomes in healthcare, </w:t>
      </w:r>
      <w:r w:rsidR="00E3251D">
        <w:t>t</w:t>
      </w:r>
      <w:r w:rsidRPr="00161D4B">
        <w:t xml:space="preserve">he value of trust as a necessary condition in treatment </w:t>
      </w:r>
      <w:r w:rsidR="00E3251D" w:rsidRPr="00161D4B">
        <w:t xml:space="preserve">is well understood </w:t>
      </w:r>
      <w:r w:rsidRPr="00161D4B">
        <w:t xml:space="preserve">(Brown </w:t>
      </w:r>
      <w:r w:rsidRPr="00E3251D">
        <w:rPr>
          <w:i/>
          <w:iCs/>
        </w:rPr>
        <w:t>et al</w:t>
      </w:r>
      <w:r w:rsidRPr="00161D4B">
        <w:t>., 2009). To build on this condition of trust, trust is based on inter-personal interaction</w:t>
      </w:r>
      <w:r w:rsidR="00E3251D">
        <w:t>;</w:t>
      </w:r>
      <w:r w:rsidRPr="00161D4B">
        <w:t xml:space="preserve"> for instance, a professional who smiles, appears to listen intently, and maintains eye-contact are concepts associated with positive outcomes (Brown </w:t>
      </w:r>
      <w:r w:rsidRPr="00E3251D">
        <w:rPr>
          <w:i/>
          <w:iCs/>
        </w:rPr>
        <w:t>et al</w:t>
      </w:r>
      <w:r w:rsidRPr="00161D4B">
        <w:t xml:space="preserve">., 2009). </w:t>
      </w:r>
    </w:p>
    <w:p w14:paraId="5EFB32F0" w14:textId="77777777" w:rsidR="001E11CF" w:rsidRPr="00161D4B" w:rsidRDefault="001E11CF" w:rsidP="00161D4B">
      <w:pPr>
        <w:spacing w:line="360" w:lineRule="auto"/>
        <w:jc w:val="both"/>
        <w:rPr>
          <w:b/>
          <w:bCs/>
        </w:rPr>
      </w:pPr>
    </w:p>
    <w:p w14:paraId="65DE176C" w14:textId="77777777" w:rsidR="001E11CF" w:rsidRPr="00FE4CE0" w:rsidRDefault="001E11CF" w:rsidP="00161D4B">
      <w:pPr>
        <w:spacing w:line="360" w:lineRule="auto"/>
        <w:jc w:val="both"/>
        <w:rPr>
          <w:i/>
          <w:iCs/>
          <w:color w:val="002060"/>
        </w:rPr>
      </w:pPr>
      <w:r w:rsidRPr="00FE4CE0">
        <w:rPr>
          <w:i/>
          <w:iCs/>
          <w:color w:val="002060"/>
        </w:rPr>
        <w:t xml:space="preserve">Not being listened to </w:t>
      </w:r>
    </w:p>
    <w:p w14:paraId="14357C34" w14:textId="27F54ED8" w:rsidR="001E11CF" w:rsidRPr="00161D4B" w:rsidRDefault="001E11CF" w:rsidP="00161D4B">
      <w:pPr>
        <w:spacing w:line="360" w:lineRule="auto"/>
        <w:jc w:val="both"/>
      </w:pPr>
      <w:r w:rsidRPr="00161D4B">
        <w:t>Patients also frequently described not feeling heard</w:t>
      </w:r>
      <w:r w:rsidR="00E3251D">
        <w:t>, o</w:t>
      </w:r>
      <w:r w:rsidRPr="00161D4B">
        <w:t xml:space="preserve">ne respondent stating, </w:t>
      </w:r>
      <w:r w:rsidR="00E3251D">
        <w:t>‘</w:t>
      </w:r>
      <w:r w:rsidRPr="00161D4B">
        <w:t>waste of time, constantly had to repeat myself</w:t>
      </w:r>
      <w:r w:rsidR="00E3251D">
        <w:t>’</w:t>
      </w:r>
      <w:r w:rsidRPr="00161D4B">
        <w:t xml:space="preserve">, and another similarly saying </w:t>
      </w:r>
      <w:r w:rsidR="00E3251D">
        <w:t>‘</w:t>
      </w:r>
      <w:r w:rsidRPr="00161D4B">
        <w:t>I felt that it was a bunch of questions asked over and over at every appointment and that made me want to disengage</w:t>
      </w:r>
      <w:r w:rsidR="00E3251D">
        <w:t>’</w:t>
      </w:r>
      <w:r w:rsidRPr="00161D4B">
        <w:t xml:space="preserve">, </w:t>
      </w:r>
      <w:r w:rsidR="00E3251D">
        <w:t>‘</w:t>
      </w:r>
      <w:r w:rsidRPr="00161D4B">
        <w:t>the therapist did not listen to me properly during the limited sessions we had, and I did not feel confident they understood my needs or situation</w:t>
      </w:r>
      <w:r w:rsidR="00E3251D">
        <w:t>’</w:t>
      </w:r>
      <w:r w:rsidRPr="00161D4B">
        <w:t xml:space="preserve">. One patient explained that </w:t>
      </w:r>
      <w:r w:rsidR="00E3251D">
        <w:t>‘</w:t>
      </w:r>
      <w:r w:rsidRPr="00161D4B">
        <w:t xml:space="preserve">Sessions were very short </w:t>
      </w:r>
      <w:r w:rsidR="00E3251D">
        <w:t>–</w:t>
      </w:r>
      <w:r w:rsidRPr="00161D4B">
        <w:t xml:space="preserve"> often only 20</w:t>
      </w:r>
      <w:r w:rsidR="00E3251D">
        <w:t> </w:t>
      </w:r>
      <w:r w:rsidRPr="00161D4B">
        <w:t>minutes and some of my concerns or issues felt brushed or explained away and so I didn’t feel listened to</w:t>
      </w:r>
      <w:r w:rsidR="00E3251D">
        <w:t>’.</w:t>
      </w:r>
      <w:r w:rsidRPr="00161D4B">
        <w:t xml:space="preserve"> </w:t>
      </w:r>
    </w:p>
    <w:p w14:paraId="5C605795" w14:textId="474813DF" w:rsidR="001E11CF" w:rsidRPr="00161D4B" w:rsidRDefault="001E11CF" w:rsidP="00FE4CE0">
      <w:pPr>
        <w:spacing w:line="360" w:lineRule="auto"/>
        <w:ind w:firstLine="567"/>
        <w:jc w:val="both"/>
      </w:pPr>
      <w:r w:rsidRPr="00161D4B">
        <w:t xml:space="preserve">One patient reported that </w:t>
      </w:r>
      <w:r w:rsidR="007159B9">
        <w:t>‘</w:t>
      </w:r>
      <w:r w:rsidRPr="00161D4B">
        <w:t>the therapist didn’t allow me to talk</w:t>
      </w:r>
      <w:r w:rsidR="007159B9">
        <w:t>’</w:t>
      </w:r>
      <w:r w:rsidRPr="00161D4B">
        <w:t xml:space="preserve"> and similarly another recalled their experience detailing that </w:t>
      </w:r>
      <w:r w:rsidR="007159B9">
        <w:t>‘</w:t>
      </w:r>
      <w:r w:rsidRPr="00161D4B">
        <w:t xml:space="preserve">the therapist kept yawning and did not seem interested in the session or engaged to listen. Also referenced spirituality, religion several times </w:t>
      </w:r>
      <w:proofErr w:type="gramStart"/>
      <w:r w:rsidRPr="00161D4B">
        <w:t>in an attempt to</w:t>
      </w:r>
      <w:proofErr w:type="gramEnd"/>
      <w:r w:rsidRPr="00161D4B">
        <w:t xml:space="preserve"> comfort me. Made me feel worse</w:t>
      </w:r>
      <w:r w:rsidR="007159B9">
        <w:t>’</w:t>
      </w:r>
      <w:r w:rsidRPr="00161D4B">
        <w:t xml:space="preserve">. </w:t>
      </w:r>
    </w:p>
    <w:p w14:paraId="455D8C07" w14:textId="2055B10D" w:rsidR="001E11CF" w:rsidRPr="00161D4B" w:rsidRDefault="001E11CF" w:rsidP="00FE4CE0">
      <w:pPr>
        <w:spacing w:line="360" w:lineRule="auto"/>
        <w:ind w:firstLine="567"/>
        <w:jc w:val="both"/>
      </w:pPr>
      <w:r w:rsidRPr="00161D4B">
        <w:t>The condition of trust also relies upon good communication, in that ideas provided by the professional is congruent with that of the patient and to achieve this that communication is bi</w:t>
      </w:r>
      <w:r w:rsidR="00524A84">
        <w:noBreakHyphen/>
      </w:r>
      <w:r w:rsidRPr="00161D4B">
        <w:t xml:space="preserve">directional. Research has shown the value of the professional playing the listening role to allow for the patient to have adequate space to convey their concerns and experiences (Brown </w:t>
      </w:r>
      <w:r w:rsidRPr="00E3251D">
        <w:rPr>
          <w:i/>
          <w:iCs/>
        </w:rPr>
        <w:t>et al</w:t>
      </w:r>
      <w:r w:rsidRPr="00161D4B">
        <w:t xml:space="preserve">., 2009). </w:t>
      </w:r>
    </w:p>
    <w:p w14:paraId="30D1B68B" w14:textId="77777777" w:rsidR="001E11CF" w:rsidRPr="00161D4B" w:rsidRDefault="001E11CF" w:rsidP="00161D4B">
      <w:pPr>
        <w:spacing w:line="360" w:lineRule="auto"/>
        <w:jc w:val="both"/>
      </w:pPr>
    </w:p>
    <w:p w14:paraId="7854CFB4" w14:textId="77777777" w:rsidR="001E11CF" w:rsidRPr="00FE4CE0" w:rsidRDefault="001E11CF" w:rsidP="00161D4B">
      <w:pPr>
        <w:spacing w:line="360" w:lineRule="auto"/>
        <w:jc w:val="both"/>
        <w:rPr>
          <w:b/>
          <w:bCs/>
          <w:i/>
          <w:iCs/>
          <w:color w:val="002060"/>
        </w:rPr>
      </w:pPr>
      <w:r w:rsidRPr="00FE4CE0">
        <w:rPr>
          <w:b/>
          <w:bCs/>
          <w:i/>
          <w:iCs/>
          <w:color w:val="002060"/>
        </w:rPr>
        <w:t xml:space="preserve">Service factors </w:t>
      </w:r>
    </w:p>
    <w:p w14:paraId="6FCF178D" w14:textId="77777777" w:rsidR="001E11CF" w:rsidRPr="00FE4CE0" w:rsidRDefault="001E11CF" w:rsidP="00161D4B">
      <w:pPr>
        <w:spacing w:line="360" w:lineRule="auto"/>
        <w:jc w:val="both"/>
        <w:rPr>
          <w:i/>
          <w:iCs/>
          <w:color w:val="002060"/>
        </w:rPr>
      </w:pPr>
      <w:r w:rsidRPr="00FE4CE0">
        <w:rPr>
          <w:i/>
          <w:iCs/>
          <w:color w:val="002060"/>
        </w:rPr>
        <w:t>Notified of discharge from the service</w:t>
      </w:r>
    </w:p>
    <w:p w14:paraId="76C76246" w14:textId="1180D061" w:rsidR="001E11CF" w:rsidRPr="00161D4B" w:rsidRDefault="001E11CF" w:rsidP="00161D4B">
      <w:pPr>
        <w:spacing w:line="360" w:lineRule="auto"/>
        <w:jc w:val="both"/>
      </w:pPr>
      <w:r w:rsidRPr="00161D4B">
        <w:t xml:space="preserve">Patients also described their experience following discharge from the service due to a missed appointment. One respondent explained, </w:t>
      </w:r>
      <w:r w:rsidR="00A628F0">
        <w:t>‘</w:t>
      </w:r>
      <w:r w:rsidRPr="00161D4B">
        <w:t xml:space="preserve">was not able to make the appointment and was given a discharge letter. Which I felt was disgusting considering there is a long process for </w:t>
      </w:r>
      <w:proofErr w:type="gramStart"/>
      <w:r w:rsidRPr="00161D4B">
        <w:t>actually getting</w:t>
      </w:r>
      <w:proofErr w:type="gramEnd"/>
      <w:r w:rsidRPr="00161D4B">
        <w:t xml:space="preserve"> started</w:t>
      </w:r>
      <w:r w:rsidR="00A628F0">
        <w:t>’</w:t>
      </w:r>
      <w:r w:rsidRPr="00161D4B">
        <w:t>. Another stated that</w:t>
      </w:r>
      <w:r w:rsidR="00A628F0">
        <w:t>,</w:t>
      </w:r>
      <w:r w:rsidRPr="00161D4B">
        <w:t xml:space="preserve"> </w:t>
      </w:r>
      <w:r w:rsidR="00A628F0">
        <w:t>‘</w:t>
      </w:r>
      <w:r w:rsidRPr="00161D4B">
        <w:t>One time I have an appointment but did not contact me and I did not hear from the service</w:t>
      </w:r>
      <w:r w:rsidR="009778D0">
        <w:t>’</w:t>
      </w:r>
      <w:r w:rsidRPr="00161D4B">
        <w:t xml:space="preserve"> and similarly another patient reported that they </w:t>
      </w:r>
      <w:r w:rsidR="009778D0">
        <w:t>‘</w:t>
      </w:r>
      <w:r w:rsidRPr="00161D4B">
        <w:t>didn’t hear from the service</w:t>
      </w:r>
      <w:r w:rsidR="009778D0">
        <w:t>’</w:t>
      </w:r>
      <w:r w:rsidRPr="00161D4B">
        <w:t xml:space="preserve">. Finally, some reported that </w:t>
      </w:r>
      <w:r w:rsidR="009778D0">
        <w:t>‘</w:t>
      </w:r>
      <w:r w:rsidRPr="00161D4B">
        <w:t>the therapist didn</w:t>
      </w:r>
      <w:r w:rsidR="009778D0">
        <w:t>’</w:t>
      </w:r>
      <w:r w:rsidRPr="00161D4B">
        <w:t>t call me back</w:t>
      </w:r>
      <w:r w:rsidR="009778D0">
        <w:t>’</w:t>
      </w:r>
      <w:r w:rsidRPr="00161D4B">
        <w:t xml:space="preserve">, </w:t>
      </w:r>
      <w:r w:rsidR="009778D0">
        <w:t>‘</w:t>
      </w:r>
      <w:r w:rsidRPr="00161D4B">
        <w:t>rejected me from missing one phone call</w:t>
      </w:r>
      <w:r w:rsidR="009778D0">
        <w:t>’</w:t>
      </w:r>
      <w:r w:rsidRPr="00161D4B">
        <w:t xml:space="preserve">, and another detailing </w:t>
      </w:r>
      <w:r w:rsidR="009778D0">
        <w:t>‘</w:t>
      </w:r>
      <w:r w:rsidRPr="00161D4B">
        <w:t>I missed the email and forgot to respond back in time</w:t>
      </w:r>
      <w:r w:rsidR="009778D0">
        <w:t>’</w:t>
      </w:r>
      <w:r w:rsidRPr="00161D4B">
        <w:t>.</w:t>
      </w:r>
      <w:r w:rsidR="00F349CF">
        <w:t xml:space="preserve"> </w:t>
      </w:r>
    </w:p>
    <w:p w14:paraId="7FAC1B6D" w14:textId="16023981" w:rsidR="001E11CF" w:rsidRPr="00161D4B" w:rsidRDefault="001E11CF" w:rsidP="00FE4CE0">
      <w:pPr>
        <w:spacing w:line="360" w:lineRule="auto"/>
        <w:ind w:firstLine="567"/>
        <w:jc w:val="both"/>
      </w:pPr>
      <w:r w:rsidRPr="00161D4B">
        <w:t>It has been estimated that the financial cost of missed appointments is around £360</w:t>
      </w:r>
      <w:r w:rsidR="009778D0">
        <w:t> </w:t>
      </w:r>
      <w:r w:rsidRPr="00161D4B">
        <w:t xml:space="preserve">million per year in the UK (Stone </w:t>
      </w:r>
      <w:r w:rsidRPr="009778D0">
        <w:rPr>
          <w:i/>
          <w:iCs/>
        </w:rPr>
        <w:t>et al</w:t>
      </w:r>
      <w:r w:rsidRPr="00161D4B">
        <w:t xml:space="preserve">., 1999) and most of this accounted for by non-attendance in primary care and hospital out-patient clinics (Mitchell </w:t>
      </w:r>
      <w:r w:rsidR="004A2A7E">
        <w:t>and</w:t>
      </w:r>
      <w:r w:rsidRPr="00161D4B">
        <w:t xml:space="preserve"> </w:t>
      </w:r>
      <w:proofErr w:type="spellStart"/>
      <w:r w:rsidRPr="00161D4B">
        <w:t>Selmes</w:t>
      </w:r>
      <w:proofErr w:type="spellEnd"/>
      <w:r w:rsidRPr="00161D4B">
        <w:t>, 2007)</w:t>
      </w:r>
      <w:r w:rsidR="004A2A7E">
        <w:t>, s</w:t>
      </w:r>
      <w:r w:rsidRPr="00161D4B">
        <w:t xml:space="preserve">tudies proving that early non-attendance increases the risk of further non-attendance and disengagement with services, but reasons for this </w:t>
      </w:r>
      <w:r w:rsidR="004A2A7E">
        <w:t>are</w:t>
      </w:r>
      <w:r w:rsidRPr="00161D4B">
        <w:t xml:space="preserve"> complex and not fully understood. </w:t>
      </w:r>
    </w:p>
    <w:p w14:paraId="43FA2D5A" w14:textId="55289A68" w:rsidR="001E11CF" w:rsidRPr="00161D4B" w:rsidRDefault="001E11CF" w:rsidP="00FE4CE0">
      <w:pPr>
        <w:spacing w:line="360" w:lineRule="auto"/>
        <w:ind w:firstLine="567"/>
        <w:jc w:val="both"/>
      </w:pPr>
      <w:r w:rsidRPr="00161D4B">
        <w:t xml:space="preserve">The present study revealed a common reason for disengagement was patients stating that they did not hear from the service following a missed appointment. In addition to the present study, previous research has shown significant predictors of non-attendance were related to forgetting about the appointment, getting the date wrong, lower socioeconomical status, poor communication between the referring practitioner and the patient, longer delay between the referral and the appointment (or between assessment and treatment), </w:t>
      </w:r>
      <w:r w:rsidR="00551A16">
        <w:t xml:space="preserve">and </w:t>
      </w:r>
      <w:r w:rsidRPr="00161D4B">
        <w:t>poor quality of therapeutic alliance as reasons for missed appointments (</w:t>
      </w:r>
      <w:r w:rsidR="00551A16" w:rsidRPr="00161D4B">
        <w:t xml:space="preserve">Miller </w:t>
      </w:r>
      <w:r w:rsidR="00551A16">
        <w:t>and</w:t>
      </w:r>
      <w:r w:rsidR="00551A16" w:rsidRPr="00161D4B">
        <w:t xml:space="preserve"> Ambrose, 2019</w:t>
      </w:r>
      <w:r w:rsidR="00551A16">
        <w:t xml:space="preserve">; </w:t>
      </w:r>
      <w:r w:rsidRPr="00161D4B">
        <w:t xml:space="preserve">Mitchell </w:t>
      </w:r>
      <w:r w:rsidR="004A2A7E">
        <w:t>and</w:t>
      </w:r>
      <w:r w:rsidRPr="00161D4B">
        <w:t xml:space="preserve"> </w:t>
      </w:r>
      <w:proofErr w:type="spellStart"/>
      <w:r w:rsidRPr="00161D4B">
        <w:t>Selmes</w:t>
      </w:r>
      <w:proofErr w:type="spellEnd"/>
      <w:r w:rsidRPr="00161D4B">
        <w:t xml:space="preserve">, 2007;). </w:t>
      </w:r>
    </w:p>
    <w:p w14:paraId="03B7F9F4" w14:textId="5670A039" w:rsidR="001E11CF" w:rsidRPr="00161D4B" w:rsidRDefault="001E11CF" w:rsidP="00FE4CE0">
      <w:pPr>
        <w:spacing w:line="360" w:lineRule="auto"/>
        <w:ind w:firstLine="567"/>
        <w:jc w:val="both"/>
      </w:pPr>
      <w:r w:rsidRPr="00161D4B">
        <w:t xml:space="preserve">It has been suggested that text message reminders were found to be useful, reminding patients of clinic appointments via SMS or telephone calls to improve attendance (Miller </w:t>
      </w:r>
      <w:r w:rsidR="00551A16">
        <w:t>and</w:t>
      </w:r>
      <w:r w:rsidRPr="00161D4B">
        <w:t xml:space="preserve"> Ambrose, 2019). A previous study report</w:t>
      </w:r>
      <w:r w:rsidR="0060744B">
        <w:t>ed that</w:t>
      </w:r>
      <w:r w:rsidRPr="00161D4B">
        <w:t xml:space="preserve"> 94% of patients contacted directly by their therapist attended compared </w:t>
      </w:r>
      <w:r w:rsidR="0060744B">
        <w:t>with</w:t>
      </w:r>
      <w:r w:rsidRPr="00161D4B">
        <w:t xml:space="preserve"> only 43% attendance when there was no contact (Miller </w:t>
      </w:r>
      <w:r w:rsidR="00551A16">
        <w:t>and</w:t>
      </w:r>
      <w:r w:rsidRPr="00161D4B">
        <w:t xml:space="preserve"> Ambrose, 2019). </w:t>
      </w:r>
    </w:p>
    <w:p w14:paraId="43FCAAE1" w14:textId="77777777" w:rsidR="001E11CF" w:rsidRPr="00161D4B" w:rsidRDefault="001E11CF" w:rsidP="00161D4B">
      <w:pPr>
        <w:spacing w:line="360" w:lineRule="auto"/>
        <w:jc w:val="both"/>
      </w:pPr>
    </w:p>
    <w:p w14:paraId="2A05812D" w14:textId="77777777" w:rsidR="00B5786D" w:rsidRDefault="00B5786D" w:rsidP="00161D4B">
      <w:pPr>
        <w:spacing w:line="360" w:lineRule="auto"/>
        <w:jc w:val="both"/>
        <w:rPr>
          <w:i/>
          <w:iCs/>
          <w:color w:val="002060"/>
        </w:rPr>
      </w:pPr>
    </w:p>
    <w:p w14:paraId="4F345E24" w14:textId="6E64BF23" w:rsidR="001E11CF" w:rsidRPr="00FE4CE0" w:rsidRDefault="001E11CF" w:rsidP="00161D4B">
      <w:pPr>
        <w:spacing w:line="360" w:lineRule="auto"/>
        <w:jc w:val="both"/>
        <w:rPr>
          <w:i/>
          <w:iCs/>
          <w:color w:val="002060"/>
        </w:rPr>
      </w:pPr>
      <w:r w:rsidRPr="00FE4CE0">
        <w:rPr>
          <w:i/>
          <w:iCs/>
          <w:color w:val="002060"/>
        </w:rPr>
        <w:t xml:space="preserve">Remote delivery of therapy </w:t>
      </w:r>
    </w:p>
    <w:p w14:paraId="270C7434" w14:textId="566C0D59" w:rsidR="001E11CF" w:rsidRPr="00161D4B" w:rsidRDefault="001E11CF" w:rsidP="00161D4B">
      <w:pPr>
        <w:spacing w:line="360" w:lineRule="auto"/>
        <w:jc w:val="both"/>
      </w:pPr>
      <w:r w:rsidRPr="00161D4B">
        <w:t xml:space="preserve">The service underwent changes in how we delivered therapy during the COVID-19 pandemic and government enforced restrictions, </w:t>
      </w:r>
      <w:r w:rsidR="0060744B">
        <w:t xml:space="preserve">and </w:t>
      </w:r>
      <w:r w:rsidRPr="00161D4B">
        <w:t xml:space="preserve">alternative options included video call and telephone. One patient recalled their experience explaining that </w:t>
      </w:r>
      <w:r w:rsidR="0060744B">
        <w:t>‘</w:t>
      </w:r>
      <w:r w:rsidRPr="00161D4B">
        <w:t>phone talking I felt isn’t the same and my anxiety would always be so bad as it would be an early call and just could ignore it easier or be distracted with something else if I was physically there maybe then I would’ve followed through</w:t>
      </w:r>
      <w:r w:rsidR="0060744B">
        <w:t>’</w:t>
      </w:r>
      <w:r w:rsidRPr="00161D4B">
        <w:t xml:space="preserve">. Another patient mentioned that they </w:t>
      </w:r>
      <w:r w:rsidR="0060744B">
        <w:t>‘</w:t>
      </w:r>
      <w:r w:rsidRPr="00161D4B">
        <w:t>felt weird to talk about difficult things on Zoom</w:t>
      </w:r>
      <w:r w:rsidR="0060744B">
        <w:t>’</w:t>
      </w:r>
      <w:r w:rsidRPr="00161D4B">
        <w:t xml:space="preserve"> and one person reported </w:t>
      </w:r>
      <w:r w:rsidR="0060744B">
        <w:t>‘</w:t>
      </w:r>
      <w:r w:rsidRPr="00161D4B">
        <w:t xml:space="preserve">they will only do online </w:t>
      </w:r>
      <w:proofErr w:type="gramStart"/>
      <w:r w:rsidRPr="00161D4B">
        <w:t>sessions</w:t>
      </w:r>
      <w:r w:rsidR="0060744B">
        <w:t>’</w:t>
      </w:r>
      <w:proofErr w:type="gramEnd"/>
      <w:r w:rsidRPr="00161D4B">
        <w:t>.</w:t>
      </w:r>
    </w:p>
    <w:p w14:paraId="6782AA14" w14:textId="2E535E8C" w:rsidR="001E11CF" w:rsidRPr="00161D4B" w:rsidRDefault="001E11CF" w:rsidP="00FE4CE0">
      <w:pPr>
        <w:spacing w:line="360" w:lineRule="auto"/>
        <w:ind w:firstLine="567"/>
        <w:jc w:val="both"/>
      </w:pPr>
      <w:r w:rsidRPr="00161D4B">
        <w:t xml:space="preserve">Although there is growing evidence to support the effectiveness of the use of digitalised therapy for the treatment of common mental health disorders, evidence remains very limited on the long-term impact and its effectiveness </w:t>
      </w:r>
      <w:r w:rsidR="0060744B">
        <w:t>i</w:t>
      </w:r>
      <w:r w:rsidRPr="00161D4B">
        <w:t xml:space="preserve">n maintaining longer term change in patients (Rauschenberg </w:t>
      </w:r>
      <w:r w:rsidRPr="0060744B">
        <w:rPr>
          <w:i/>
          <w:iCs/>
        </w:rPr>
        <w:t>et al</w:t>
      </w:r>
      <w:r w:rsidRPr="00161D4B">
        <w:t>., 2021). Moreover, further research on the response to digitalised treatment would need to be conducted on diverse populations and those with additional needs such as learning disabilities would need to be considered.</w:t>
      </w:r>
    </w:p>
    <w:p w14:paraId="1AC3B58F" w14:textId="77777777" w:rsidR="001E11CF" w:rsidRPr="00161D4B" w:rsidRDefault="001E11CF" w:rsidP="00161D4B">
      <w:pPr>
        <w:spacing w:line="360" w:lineRule="auto"/>
        <w:jc w:val="both"/>
        <w:rPr>
          <w:b/>
          <w:bCs/>
        </w:rPr>
      </w:pPr>
    </w:p>
    <w:p w14:paraId="6118DED4" w14:textId="77777777" w:rsidR="001E11CF" w:rsidRPr="00FE4CE0" w:rsidRDefault="001E11CF" w:rsidP="00161D4B">
      <w:pPr>
        <w:spacing w:line="360" w:lineRule="auto"/>
        <w:jc w:val="both"/>
        <w:rPr>
          <w:i/>
          <w:iCs/>
          <w:color w:val="002060"/>
        </w:rPr>
      </w:pPr>
      <w:r w:rsidRPr="00FE4CE0">
        <w:rPr>
          <w:i/>
          <w:iCs/>
          <w:color w:val="002060"/>
        </w:rPr>
        <w:t xml:space="preserve">Treatment options </w:t>
      </w:r>
    </w:p>
    <w:p w14:paraId="1229477B" w14:textId="215EFE0F" w:rsidR="001E11CF" w:rsidRPr="00161D4B" w:rsidRDefault="001E11CF" w:rsidP="00161D4B">
      <w:pPr>
        <w:spacing w:line="360" w:lineRule="auto"/>
        <w:jc w:val="both"/>
      </w:pPr>
      <w:r w:rsidRPr="00161D4B">
        <w:t xml:space="preserve">The service offers self-guided help based on CBT techniques either via telephone, </w:t>
      </w:r>
      <w:proofErr w:type="gramStart"/>
      <w:r w:rsidRPr="00161D4B">
        <w:t>group</w:t>
      </w:r>
      <w:proofErr w:type="gramEnd"/>
      <w:r w:rsidRPr="00161D4B">
        <w:t xml:space="preserve"> or an online computerised course</w:t>
      </w:r>
      <w:r w:rsidR="0060744B">
        <w:t>;</w:t>
      </w:r>
      <w:r w:rsidRPr="00161D4B">
        <w:t xml:space="preserve"> the service also offers </w:t>
      </w:r>
      <w:r w:rsidR="0060744B">
        <w:t>c</w:t>
      </w:r>
      <w:r w:rsidRPr="00161D4B">
        <w:t xml:space="preserve">ognitive </w:t>
      </w:r>
      <w:r w:rsidR="0060744B">
        <w:t>b</w:t>
      </w:r>
      <w:r w:rsidRPr="00161D4B">
        <w:t xml:space="preserve">ehavioural </w:t>
      </w:r>
      <w:r w:rsidR="0060744B">
        <w:t>t</w:t>
      </w:r>
      <w:r w:rsidRPr="00161D4B">
        <w:t>herapy (CBT) and counselling as additional treatment options. One patient recalled</w:t>
      </w:r>
      <w:r w:rsidR="0060744B">
        <w:t>,</w:t>
      </w:r>
      <w:r w:rsidRPr="00161D4B">
        <w:t xml:space="preserve"> </w:t>
      </w:r>
      <w:r w:rsidR="0060744B">
        <w:t>‘</w:t>
      </w:r>
      <w:r w:rsidRPr="00161D4B">
        <w:t>I felt pressured to choose CBT over counselling and it wasn’t the right fit for me</w:t>
      </w:r>
      <w:r w:rsidR="0060744B">
        <w:t>’</w:t>
      </w:r>
      <w:r w:rsidRPr="00161D4B">
        <w:t>. Another patient reflected</w:t>
      </w:r>
      <w:r w:rsidR="0060744B">
        <w:t>,</w:t>
      </w:r>
      <w:r w:rsidRPr="00161D4B">
        <w:t xml:space="preserve"> </w:t>
      </w:r>
      <w:r w:rsidR="0060744B">
        <w:t>‘</w:t>
      </w:r>
      <w:r w:rsidRPr="00161D4B">
        <w:t>I don</w:t>
      </w:r>
      <w:r w:rsidR="0060744B">
        <w:t>’</w:t>
      </w:r>
      <w:r w:rsidRPr="00161D4B">
        <w:t>t think the right type of therapy was offered. I was given CBT for my anxiety but for me, trauma is a much bigger problem and that wasn</w:t>
      </w:r>
      <w:r w:rsidR="0060744B">
        <w:t>’</w:t>
      </w:r>
      <w:r w:rsidRPr="00161D4B">
        <w:t>t bring addressed at all</w:t>
      </w:r>
      <w:r w:rsidR="0060744B">
        <w:t>’</w:t>
      </w:r>
      <w:r w:rsidRPr="00161D4B">
        <w:t xml:space="preserve">. </w:t>
      </w:r>
    </w:p>
    <w:p w14:paraId="4A16C5FF" w14:textId="6E063D57" w:rsidR="001E11CF" w:rsidRPr="00161D4B" w:rsidRDefault="001E11CF" w:rsidP="00FE4CE0">
      <w:pPr>
        <w:spacing w:line="360" w:lineRule="auto"/>
        <w:ind w:firstLine="567"/>
        <w:jc w:val="both"/>
      </w:pPr>
      <w:r w:rsidRPr="00161D4B">
        <w:t>One patient explained</w:t>
      </w:r>
      <w:r w:rsidR="0060744B">
        <w:t>,</w:t>
      </w:r>
      <w:r w:rsidRPr="00161D4B">
        <w:t xml:space="preserve"> </w:t>
      </w:r>
      <w:r w:rsidR="0060744B">
        <w:t>‘</w:t>
      </w:r>
      <w:r w:rsidRPr="00161D4B">
        <w:t xml:space="preserve">I was only offered group sessions. This is not </w:t>
      </w:r>
      <w:proofErr w:type="gramStart"/>
      <w:r w:rsidRPr="00161D4B">
        <w:t>useful</w:t>
      </w:r>
      <w:proofErr w:type="gramEnd"/>
      <w:r w:rsidRPr="00161D4B">
        <w:t xml:space="preserve"> nor did I feel comfortable which U expressed before being referred</w:t>
      </w:r>
      <w:r w:rsidR="0060744B">
        <w:t>’</w:t>
      </w:r>
      <w:r w:rsidRPr="00161D4B">
        <w:t xml:space="preserve">. One patient mentioned, </w:t>
      </w:r>
      <w:r w:rsidR="0060744B">
        <w:t>‘</w:t>
      </w:r>
      <w:r w:rsidRPr="00161D4B">
        <w:t>Did not like the help being offered</w:t>
      </w:r>
      <w:r w:rsidR="0060744B">
        <w:t>’</w:t>
      </w:r>
      <w:r w:rsidRPr="00161D4B">
        <w:t xml:space="preserve"> and similarly another reported </w:t>
      </w:r>
      <w:r w:rsidR="0060744B">
        <w:t>‘</w:t>
      </w:r>
      <w:r w:rsidRPr="00161D4B">
        <w:t>I don’t like CBT</w:t>
      </w:r>
      <w:r w:rsidR="0060744B">
        <w:t>’</w:t>
      </w:r>
      <w:r w:rsidRPr="00161D4B">
        <w:t xml:space="preserve">. </w:t>
      </w:r>
    </w:p>
    <w:p w14:paraId="07971469" w14:textId="4B233C55" w:rsidR="001E11CF" w:rsidRPr="00161D4B" w:rsidRDefault="001E11CF" w:rsidP="00FE4CE0">
      <w:pPr>
        <w:spacing w:line="360" w:lineRule="auto"/>
        <w:ind w:firstLine="567"/>
        <w:jc w:val="both"/>
      </w:pPr>
      <w:r w:rsidRPr="00161D4B">
        <w:t xml:space="preserve">A previous cross-sectional survey revealed that those who reported their needs </w:t>
      </w:r>
      <w:r w:rsidR="0060744B">
        <w:t xml:space="preserve">were </w:t>
      </w:r>
      <w:r w:rsidRPr="00161D4B">
        <w:t xml:space="preserve">unmet are more likely </w:t>
      </w:r>
      <w:r w:rsidR="0060744B">
        <w:t xml:space="preserve">to </w:t>
      </w:r>
      <w:r w:rsidRPr="00161D4B">
        <w:t xml:space="preserve">experience poorer treatment outcomes than those with a preference met (Williams </w:t>
      </w:r>
      <w:r w:rsidRPr="0060744B">
        <w:rPr>
          <w:i/>
          <w:iCs/>
        </w:rPr>
        <w:t>et al</w:t>
      </w:r>
      <w:r w:rsidRPr="00161D4B">
        <w:t xml:space="preserve">., 2016). The study concluded that routinely assessing and meeting patient preferences, where feasible, can contribute towards improved outcomes of psychological treatment (Williams </w:t>
      </w:r>
      <w:r w:rsidRPr="0060744B">
        <w:rPr>
          <w:i/>
          <w:iCs/>
        </w:rPr>
        <w:t>et al</w:t>
      </w:r>
      <w:r w:rsidRPr="00161D4B">
        <w:t xml:space="preserve">., 2016). </w:t>
      </w:r>
    </w:p>
    <w:p w14:paraId="49F6AD7A" w14:textId="77777777" w:rsidR="001E11CF" w:rsidRPr="00161D4B" w:rsidRDefault="001E11CF" w:rsidP="00161D4B">
      <w:pPr>
        <w:spacing w:line="360" w:lineRule="auto"/>
        <w:jc w:val="both"/>
        <w:rPr>
          <w:b/>
          <w:bCs/>
        </w:rPr>
      </w:pPr>
    </w:p>
    <w:p w14:paraId="1769F70B" w14:textId="43E310DC" w:rsidR="001E11CF" w:rsidRPr="00FE4CE0" w:rsidRDefault="001E11CF" w:rsidP="00161D4B">
      <w:pPr>
        <w:spacing w:line="360" w:lineRule="auto"/>
        <w:jc w:val="both"/>
        <w:rPr>
          <w:i/>
          <w:iCs/>
          <w:color w:val="002060"/>
        </w:rPr>
      </w:pPr>
      <w:r w:rsidRPr="00FE4CE0">
        <w:rPr>
          <w:i/>
          <w:iCs/>
          <w:color w:val="002060"/>
        </w:rPr>
        <w:t>Therapy materials</w:t>
      </w:r>
      <w:r w:rsidR="00F349CF">
        <w:rPr>
          <w:i/>
          <w:iCs/>
          <w:color w:val="002060"/>
        </w:rPr>
        <w:t xml:space="preserve"> </w:t>
      </w:r>
    </w:p>
    <w:p w14:paraId="57370CAE" w14:textId="3A7B6415" w:rsidR="001E11CF" w:rsidRPr="00161D4B" w:rsidRDefault="001E11CF" w:rsidP="00161D4B">
      <w:pPr>
        <w:spacing w:line="360" w:lineRule="auto"/>
        <w:jc w:val="both"/>
      </w:pPr>
      <w:r w:rsidRPr="00161D4B">
        <w:t xml:space="preserve">During treatment, patients are provided with additional therapy materials and information to support their treatment. Patients reported that </w:t>
      </w:r>
      <w:r w:rsidR="0060744B">
        <w:t>‘</w:t>
      </w:r>
      <w:r w:rsidRPr="00161D4B">
        <w:t>the material was hard to relate to, I don’t think the mood tools workshop was right for what I was dealing with</w:t>
      </w:r>
      <w:r w:rsidR="0060744B">
        <w:t>’</w:t>
      </w:r>
      <w:r w:rsidRPr="00161D4B">
        <w:t xml:space="preserve"> and another stated </w:t>
      </w:r>
      <w:r w:rsidR="0060744B">
        <w:t>‘</w:t>
      </w:r>
      <w:r w:rsidRPr="00161D4B">
        <w:t>focusing on one area mostly and I felt it was not the right approach or perhaps therapist</w:t>
      </w:r>
      <w:r w:rsidR="0060744B">
        <w:t>’</w:t>
      </w:r>
      <w:r w:rsidRPr="00161D4B">
        <w:t xml:space="preserve">. </w:t>
      </w:r>
    </w:p>
    <w:p w14:paraId="50DCF040" w14:textId="787C7184" w:rsidR="001E11CF" w:rsidRPr="00161D4B" w:rsidRDefault="001E11CF" w:rsidP="00FE4CE0">
      <w:pPr>
        <w:spacing w:line="360" w:lineRule="auto"/>
        <w:ind w:firstLine="567"/>
        <w:jc w:val="both"/>
      </w:pPr>
      <w:r w:rsidRPr="00161D4B">
        <w:t xml:space="preserve">During treatment, patients are also at times asked to complete tasks in between sessions. One patient described their experience of this, </w:t>
      </w:r>
      <w:r w:rsidR="0060744B">
        <w:t>‘</w:t>
      </w:r>
      <w:r w:rsidRPr="00161D4B">
        <w:t xml:space="preserve">Had previous sessions, too much homework/practical sessions which made my situation worse </w:t>
      </w:r>
      <w:r w:rsidR="0060744B">
        <w:t>–</w:t>
      </w:r>
      <w:r w:rsidRPr="00161D4B">
        <w:t xml:space="preserve"> too much overload</w:t>
      </w:r>
      <w:r w:rsidR="0060744B">
        <w:t>’</w:t>
      </w:r>
      <w:r w:rsidRPr="00161D4B">
        <w:t xml:space="preserve"> and another patient similarly explained that the </w:t>
      </w:r>
      <w:r w:rsidR="0060744B">
        <w:t>‘</w:t>
      </w:r>
      <w:r w:rsidRPr="00161D4B">
        <w:t>therapist kept giving me homework which I recorded on the day and completed and kept telling me I was doing it the wrong way</w:t>
      </w:r>
      <w:r w:rsidR="0060744B">
        <w:t>’</w:t>
      </w:r>
      <w:r w:rsidRPr="00161D4B">
        <w:t xml:space="preserve">. </w:t>
      </w:r>
    </w:p>
    <w:p w14:paraId="6FD415FA" w14:textId="5047E326" w:rsidR="001E11CF" w:rsidRPr="00161D4B" w:rsidRDefault="001E11CF" w:rsidP="00FE4CE0">
      <w:pPr>
        <w:spacing w:line="360" w:lineRule="auto"/>
        <w:ind w:firstLine="567"/>
        <w:jc w:val="both"/>
      </w:pPr>
      <w:r w:rsidRPr="00161D4B">
        <w:t>A major aspect of self-guided therapy is homework and often there is an expectation for patients to implement cognitive behavioural techniques outside of the sessions. This concept relates to viewing the self as the mechanism for change in therapy (Khan</w:t>
      </w:r>
      <w:r w:rsidR="00A47AFD">
        <w:t xml:space="preserve"> </w:t>
      </w:r>
      <w:r w:rsidR="00A47AFD" w:rsidRPr="00A47AFD">
        <w:rPr>
          <w:i/>
          <w:iCs/>
        </w:rPr>
        <w:t>et al</w:t>
      </w:r>
      <w:r w:rsidR="00A47AFD">
        <w:t>.</w:t>
      </w:r>
      <w:r w:rsidRPr="00161D4B">
        <w:t xml:space="preserve">, 2007). This perception of requiring the patient to take on an active role may not be expected or familiar to many accessing </w:t>
      </w:r>
      <w:proofErr w:type="gramStart"/>
      <w:r w:rsidRPr="00161D4B">
        <w:t>support</w:t>
      </w:r>
      <w:proofErr w:type="gramEnd"/>
      <w:r w:rsidRPr="00161D4B">
        <w:t>, and certainly takes time (Khan</w:t>
      </w:r>
      <w:r w:rsidR="00A47AFD">
        <w:t xml:space="preserve"> </w:t>
      </w:r>
      <w:r w:rsidR="00A47AFD" w:rsidRPr="00A47AFD">
        <w:rPr>
          <w:i/>
          <w:iCs/>
        </w:rPr>
        <w:t>et al</w:t>
      </w:r>
      <w:r w:rsidR="00A47AFD">
        <w:t>.</w:t>
      </w:r>
      <w:r w:rsidRPr="00161D4B">
        <w:t>, 2007). However, this may conflict with the short-term nature of guided-self-help in a primary mental health care setting and relate to disengagement. A possible solution suggested in previous research is providing information on the nature of treatment prior to the start of sessions and this then reinforced by the therapist during the first session (Khan</w:t>
      </w:r>
      <w:r w:rsidR="00A47AFD">
        <w:t xml:space="preserve"> </w:t>
      </w:r>
      <w:r w:rsidR="00A47AFD" w:rsidRPr="00A47AFD">
        <w:rPr>
          <w:i/>
          <w:iCs/>
        </w:rPr>
        <w:t>et al</w:t>
      </w:r>
      <w:r w:rsidR="00A47AFD">
        <w:t>.</w:t>
      </w:r>
      <w:r w:rsidRPr="00161D4B">
        <w:t>, 2007).</w:t>
      </w:r>
    </w:p>
    <w:p w14:paraId="365C00A5" w14:textId="77777777" w:rsidR="001E11CF" w:rsidRPr="00161D4B" w:rsidRDefault="001E11CF" w:rsidP="00161D4B">
      <w:pPr>
        <w:spacing w:line="360" w:lineRule="auto"/>
        <w:jc w:val="both"/>
        <w:rPr>
          <w:b/>
          <w:bCs/>
        </w:rPr>
      </w:pPr>
    </w:p>
    <w:p w14:paraId="02919848" w14:textId="77777777" w:rsidR="001E11CF" w:rsidRPr="00FE4CE0" w:rsidRDefault="001E11CF" w:rsidP="00161D4B">
      <w:pPr>
        <w:spacing w:line="360" w:lineRule="auto"/>
        <w:jc w:val="both"/>
        <w:rPr>
          <w:b/>
          <w:bCs/>
          <w:color w:val="002060"/>
        </w:rPr>
      </w:pPr>
      <w:r w:rsidRPr="00FE4CE0">
        <w:rPr>
          <w:b/>
          <w:bCs/>
          <w:color w:val="002060"/>
        </w:rPr>
        <w:t>Discussion</w:t>
      </w:r>
    </w:p>
    <w:p w14:paraId="56F50E59" w14:textId="624BFC34" w:rsidR="001E11CF" w:rsidRPr="00161D4B" w:rsidRDefault="001E11CF" w:rsidP="00161D4B">
      <w:pPr>
        <w:autoSpaceDE w:val="0"/>
        <w:autoSpaceDN w:val="0"/>
        <w:adjustRightInd w:val="0"/>
        <w:spacing w:line="360" w:lineRule="auto"/>
        <w:jc w:val="both"/>
      </w:pPr>
      <w:r w:rsidRPr="00161D4B">
        <w:t>Our study is a response to the Advancing Mental Health Inequality Resource (</w:t>
      </w:r>
      <w:r w:rsidR="00CA14AB" w:rsidRPr="00A372EA">
        <w:rPr>
          <w:color w:val="000000" w:themeColor="text1"/>
        </w:rPr>
        <w:t>National Collaborating Centre for Mental Health</w:t>
      </w:r>
      <w:r w:rsidR="00CA14AB">
        <w:rPr>
          <w:color w:val="000000" w:themeColor="text1"/>
        </w:rPr>
        <w:t>,</w:t>
      </w:r>
      <w:r w:rsidR="00CA14AB" w:rsidRPr="00161D4B">
        <w:t xml:space="preserve"> </w:t>
      </w:r>
      <w:r w:rsidRPr="00161D4B">
        <w:t xml:space="preserve">2019) which recommends services to use data and research to identify the needs of the local population and draw upon their community as a valuable source of knowledge and guidance to advance equality. </w:t>
      </w:r>
    </w:p>
    <w:p w14:paraId="79C85F6A" w14:textId="1253A683" w:rsidR="001E11CF" w:rsidRDefault="001E11CF" w:rsidP="00FE4CE0">
      <w:pPr>
        <w:spacing w:line="360" w:lineRule="auto"/>
        <w:ind w:firstLine="567"/>
        <w:jc w:val="both"/>
      </w:pPr>
      <w:r w:rsidRPr="00161D4B">
        <w:t xml:space="preserve">Our results suggest that there was a difference in service performance during the pandemic for ethnic minority individuals where the clinical audit revealed recovery rates gradually declining pre-COVID-19 pandemic (2018) compared </w:t>
      </w:r>
      <w:r w:rsidR="00B762DC">
        <w:t>with</w:t>
      </w:r>
      <w:r w:rsidRPr="00161D4B">
        <w:t xml:space="preserve"> the years during (2019 and 2020) for all ethnic groups. More specifically, the service saw a significant drop</w:t>
      </w:r>
      <w:r w:rsidR="00B762DC">
        <w:t>-</w:t>
      </w:r>
      <w:r w:rsidRPr="00161D4B">
        <w:t xml:space="preserve">out and recovery rate for </w:t>
      </w:r>
      <w:r w:rsidR="00B762DC">
        <w:t xml:space="preserve">the </w:t>
      </w:r>
      <w:r w:rsidRPr="00161D4B">
        <w:t xml:space="preserve">Black African/Caribbean population. The present study shows similar findings to a report conducted in a south London primary care talking therapies service that found all racial and ethnic minority groups were less likely to be treated (Harwood </w:t>
      </w:r>
      <w:r w:rsidRPr="00B762DC">
        <w:rPr>
          <w:i/>
          <w:iCs/>
        </w:rPr>
        <w:t>et al</w:t>
      </w:r>
      <w:r w:rsidRPr="00161D4B">
        <w:t xml:space="preserve">., 2021). These findings suggest that services need to be better equipped to address minority ethnic mental health difficulties at a primary care level. </w:t>
      </w:r>
    </w:p>
    <w:p w14:paraId="28662E5F" w14:textId="22E9327C" w:rsidR="001E11CF" w:rsidRPr="00161D4B" w:rsidRDefault="001E11CF" w:rsidP="00FE4CE0">
      <w:pPr>
        <w:spacing w:line="360" w:lineRule="auto"/>
        <w:ind w:firstLine="567"/>
        <w:jc w:val="both"/>
      </w:pPr>
      <w:r w:rsidRPr="00161D4B">
        <w:t xml:space="preserve">Qualitative analysis revealed therapist factors included lack of confidence in therapist, </w:t>
      </w:r>
      <w:r w:rsidR="00B762DC">
        <w:t xml:space="preserve">and </w:t>
      </w:r>
      <w:r w:rsidRPr="00161D4B">
        <w:t>not being listened to</w:t>
      </w:r>
      <w:r w:rsidR="00B762DC">
        <w:t>;</w:t>
      </w:r>
      <w:r w:rsidRPr="00161D4B">
        <w:t xml:space="preserve"> patient factors included neurodiversity, unsure whether it would be helpful and confidentiality concerns</w:t>
      </w:r>
      <w:r w:rsidR="00B762DC">
        <w:t>;</w:t>
      </w:r>
      <w:r w:rsidRPr="00161D4B">
        <w:t xml:space="preserve"> and service factors included being notified of discharge from the service, remote delivery of therapy, treatment options, </w:t>
      </w:r>
      <w:r w:rsidR="00B762DC">
        <w:t xml:space="preserve">and </w:t>
      </w:r>
      <w:r w:rsidRPr="00161D4B">
        <w:t xml:space="preserve">treatment materials. </w:t>
      </w:r>
    </w:p>
    <w:p w14:paraId="6F7FF73E" w14:textId="2F06461D" w:rsidR="001E11CF" w:rsidRPr="00161D4B" w:rsidRDefault="001E11CF" w:rsidP="00FE4CE0">
      <w:pPr>
        <w:spacing w:line="360" w:lineRule="auto"/>
        <w:ind w:firstLine="567"/>
        <w:jc w:val="both"/>
      </w:pPr>
      <w:r w:rsidRPr="00161D4B">
        <w:t xml:space="preserve">People with learning disabilities are more likely to develop mental health problems than the general population, studies reporting prevalence rates of between 20.1 and 40.9% (Bailey, 2007). Having a learning disability can often mean that the individual has fewer psychological and material resources accessible to them to deal with adversity (Gravell, 2012). The Improving Access to Psychological Therapy (IAPT) </w:t>
      </w:r>
      <w:r w:rsidR="00654AAA">
        <w:t>P</w:t>
      </w:r>
      <w:r w:rsidRPr="00161D4B">
        <w:t xml:space="preserve">ositive </w:t>
      </w:r>
      <w:r w:rsidR="00654AAA">
        <w:t>P</w:t>
      </w:r>
      <w:r w:rsidRPr="00161D4B">
        <w:t xml:space="preserve">ractice </w:t>
      </w:r>
      <w:r w:rsidR="00654AAA">
        <w:t>G</w:t>
      </w:r>
      <w:r w:rsidRPr="00161D4B">
        <w:t>uide suggests guidelines and recommendations on developing materials to better improve access for those with a learning disability. For instance, ‘Easy read’ refers to the presenting of text in an accessible, easy</w:t>
      </w:r>
      <w:r w:rsidR="00654AAA">
        <w:t>-</w:t>
      </w:r>
      <w:r w:rsidRPr="00161D4B">
        <w:t>to</w:t>
      </w:r>
      <w:r w:rsidR="00654AAA">
        <w:t>-</w:t>
      </w:r>
      <w:r w:rsidRPr="00161D4B">
        <w:t xml:space="preserve">understand format. In an IAPT service, this means that referral letters, leaflets about the service, minimum data set questionnaires and maps to the venue need to be adapted (Dagnan </w:t>
      </w:r>
      <w:r w:rsidRPr="00654AAA">
        <w:rPr>
          <w:i/>
          <w:iCs/>
        </w:rPr>
        <w:t>et al</w:t>
      </w:r>
      <w:r w:rsidRPr="00161D4B">
        <w:t>., 2015), and clinicians should consider this before sharing standardised therapy materials with those who have disclosed a learning disability.</w:t>
      </w:r>
    </w:p>
    <w:p w14:paraId="0AD8B2F2" w14:textId="4275F62C" w:rsidR="001E11CF" w:rsidRPr="00161D4B" w:rsidRDefault="001E11CF" w:rsidP="00FE4CE0">
      <w:pPr>
        <w:spacing w:line="360" w:lineRule="auto"/>
        <w:ind w:firstLine="567"/>
        <w:jc w:val="both"/>
        <w:rPr>
          <w:lang w:val="en-US"/>
        </w:rPr>
      </w:pPr>
      <w:r w:rsidRPr="00161D4B">
        <w:rPr>
          <w:lang w:val="en-US"/>
        </w:rPr>
        <w:t xml:space="preserve">Our findings also show how </w:t>
      </w:r>
      <w:r w:rsidR="00654AAA">
        <w:rPr>
          <w:lang w:val="en-US"/>
        </w:rPr>
        <w:t xml:space="preserve">a </w:t>
      </w:r>
      <w:r w:rsidRPr="00161D4B">
        <w:rPr>
          <w:lang w:val="en-US"/>
        </w:rPr>
        <w:t xml:space="preserve">patient’s experience of their therapist impacted reasons for disengagement. Here, it is important to acknowledge whether IAPT offers conditions for therapists to flourish under the pressures of recovery rate targets and outcome measures (Naz, 2020). Services should adopt spaces where therapists can be creative and have more agency in sharing how best the delivery of care could be, particularly if the workforce is reflective of the local community (Naz, 2020). </w:t>
      </w:r>
    </w:p>
    <w:p w14:paraId="115645E3" w14:textId="77777777" w:rsidR="001E11CF" w:rsidRPr="00161D4B" w:rsidRDefault="001E11CF" w:rsidP="00FE4CE0">
      <w:pPr>
        <w:spacing w:line="360" w:lineRule="auto"/>
        <w:ind w:firstLine="567"/>
        <w:jc w:val="both"/>
        <w:rPr>
          <w:lang w:val="en-US"/>
        </w:rPr>
      </w:pPr>
      <w:r w:rsidRPr="00161D4B">
        <w:rPr>
          <w:lang w:val="en-US"/>
        </w:rPr>
        <w:t xml:space="preserve">Nonetheless, IAPT services are making huge improvements towards access. The present service is currently working on projects in response to the COVID-19 pandemic and health inequalities, particularly introducing the Brent Health Inequalities Project which sees working collaboratively with faith leaders, community workers, working with colleagues from the Grenfell Health &amp; Wellbeing service and other statutory services within the local community to provide better integrative and tailored care. </w:t>
      </w:r>
    </w:p>
    <w:p w14:paraId="33E96CC0" w14:textId="612B52C0" w:rsidR="001E11CF" w:rsidRPr="00161D4B" w:rsidRDefault="001E11CF" w:rsidP="00FE4CE0">
      <w:pPr>
        <w:spacing w:line="360" w:lineRule="auto"/>
        <w:ind w:firstLine="567"/>
        <w:jc w:val="both"/>
        <w:rPr>
          <w:lang w:val="en-US"/>
        </w:rPr>
      </w:pPr>
      <w:r w:rsidRPr="00161D4B">
        <w:rPr>
          <w:lang w:val="en-US"/>
        </w:rPr>
        <w:t xml:space="preserve">Moving forward with the idea of tailored, targeted care, treatments that account for cultural values, beliefs, </w:t>
      </w:r>
      <w:proofErr w:type="gramStart"/>
      <w:r w:rsidRPr="00161D4B">
        <w:rPr>
          <w:lang w:val="en-US"/>
        </w:rPr>
        <w:t>norms</w:t>
      </w:r>
      <w:proofErr w:type="gramEnd"/>
      <w:r w:rsidRPr="00161D4B">
        <w:rPr>
          <w:lang w:val="en-US"/>
        </w:rPr>
        <w:t xml:space="preserve"> and practices ha</w:t>
      </w:r>
      <w:r w:rsidR="00A3075A">
        <w:rPr>
          <w:lang w:val="en-US"/>
        </w:rPr>
        <w:t>ve</w:t>
      </w:r>
      <w:r w:rsidRPr="00161D4B">
        <w:rPr>
          <w:lang w:val="en-US"/>
        </w:rPr>
        <w:t xml:space="preserve"> been shown to lead to better health and treatment outcomes (</w:t>
      </w:r>
      <w:r w:rsidRPr="00161D4B">
        <w:t>Jones</w:t>
      </w:r>
      <w:r w:rsidR="0002448E">
        <w:t xml:space="preserve"> </w:t>
      </w:r>
      <w:r w:rsidR="0002448E" w:rsidRPr="0002448E">
        <w:rPr>
          <w:i/>
          <w:iCs/>
        </w:rPr>
        <w:t>et al</w:t>
      </w:r>
      <w:r w:rsidR="0002448E">
        <w:t>.</w:t>
      </w:r>
      <w:r w:rsidRPr="00161D4B">
        <w:t>, 2018)</w:t>
      </w:r>
      <w:r w:rsidRPr="00161D4B">
        <w:rPr>
          <w:lang w:val="en-US"/>
        </w:rPr>
        <w:t xml:space="preserve">. The service is now working towards developing and improving the availability of translated materials for therapists to provide </w:t>
      </w:r>
      <w:r w:rsidR="00677AA8">
        <w:rPr>
          <w:lang w:val="en-US"/>
        </w:rPr>
        <w:t xml:space="preserve">to </w:t>
      </w:r>
      <w:r w:rsidRPr="00161D4B">
        <w:rPr>
          <w:lang w:val="en-US"/>
        </w:rPr>
        <w:t>patients</w:t>
      </w:r>
      <w:r w:rsidR="00677AA8">
        <w:rPr>
          <w:lang w:val="en-US"/>
        </w:rPr>
        <w:t>,</w:t>
      </w:r>
      <w:r w:rsidRPr="00161D4B">
        <w:rPr>
          <w:lang w:val="en-US"/>
        </w:rPr>
        <w:t xml:space="preserve"> and to </w:t>
      </w:r>
      <w:r w:rsidR="00790762">
        <w:rPr>
          <w:lang w:val="en-US"/>
        </w:rPr>
        <w:t xml:space="preserve">also </w:t>
      </w:r>
      <w:r w:rsidRPr="00161D4B">
        <w:rPr>
          <w:lang w:val="en-US"/>
        </w:rPr>
        <w:t>consider alternative methods of delivering information such as pre-recorded links for better access to service information for patients. Further work and research, however, will be required to better understand the processes and suitability of applying culturally adapted and culturally sensitive talking therapy in practice.</w:t>
      </w:r>
    </w:p>
    <w:p w14:paraId="4DC4D0BB" w14:textId="454403A8" w:rsidR="001E11CF" w:rsidRPr="00161D4B" w:rsidRDefault="001E11CF" w:rsidP="00FE4CE0">
      <w:pPr>
        <w:spacing w:line="360" w:lineRule="auto"/>
        <w:ind w:firstLine="567"/>
        <w:jc w:val="both"/>
        <w:rPr>
          <w:lang w:val="en-US"/>
        </w:rPr>
      </w:pPr>
      <w:r w:rsidRPr="00161D4B">
        <w:rPr>
          <w:lang w:val="en-US"/>
        </w:rPr>
        <w:t xml:space="preserve">Psychological services are encouraged to increase their cultural knowledge and awareness so that healthcare providers can better understand the varying forms of expression and approaches to managing mental distress among different ethnic groups. Cultural competence involves a broad awareness of culture and the skill to be able to effectively treat ethnically diverse clients </w:t>
      </w:r>
      <w:r w:rsidRPr="00161D4B">
        <w:t>(Jones</w:t>
      </w:r>
      <w:r w:rsidR="0002448E">
        <w:t xml:space="preserve"> </w:t>
      </w:r>
      <w:r w:rsidR="0002448E" w:rsidRPr="0002448E">
        <w:rPr>
          <w:i/>
          <w:iCs/>
        </w:rPr>
        <w:t>et al</w:t>
      </w:r>
      <w:r w:rsidR="0002448E">
        <w:t>.</w:t>
      </w:r>
      <w:r w:rsidRPr="00161D4B">
        <w:t>, 2018)</w:t>
      </w:r>
      <w:r w:rsidRPr="00161D4B">
        <w:rPr>
          <w:lang w:val="en-US"/>
        </w:rPr>
        <w:t xml:space="preserve">. Cultural competency in therapists who demonstrate culture-specific knowledge regardless of ethnic background is valued and hence representation of recruitment of therapists from the local community who share similar lived experience as the patients can provide valuable knowledge into the barriers patients may face. </w:t>
      </w:r>
    </w:p>
    <w:p w14:paraId="1857238B" w14:textId="78E06D82" w:rsidR="001E11CF" w:rsidRPr="00161D4B" w:rsidRDefault="00CB7601" w:rsidP="00FE4CE0">
      <w:pPr>
        <w:spacing w:line="360" w:lineRule="auto"/>
        <w:ind w:firstLine="567"/>
        <w:jc w:val="both"/>
        <w:rPr>
          <w:lang w:val="en-US"/>
        </w:rPr>
      </w:pPr>
      <w:r>
        <w:rPr>
          <w:lang w:val="en-US"/>
        </w:rPr>
        <w:t>A l</w:t>
      </w:r>
      <w:r w:rsidR="001E11CF" w:rsidRPr="00161D4B">
        <w:rPr>
          <w:lang w:val="en-US"/>
        </w:rPr>
        <w:t>imitation to the present study is that the data w</w:t>
      </w:r>
      <w:r>
        <w:rPr>
          <w:lang w:val="en-US"/>
        </w:rPr>
        <w:t>ere</w:t>
      </w:r>
      <w:r w:rsidR="001E11CF" w:rsidRPr="00161D4B">
        <w:rPr>
          <w:lang w:val="en-US"/>
        </w:rPr>
        <w:t xml:space="preserve"> collected from one service which may not be </w:t>
      </w:r>
      <w:r w:rsidR="001E11CF" w:rsidRPr="00161D4B">
        <w:t>generalisable to the wider population</w:t>
      </w:r>
      <w:r w:rsidR="001E11CF" w:rsidRPr="00161D4B">
        <w:rPr>
          <w:lang w:val="en-US"/>
        </w:rPr>
        <w:t>. Another major limitation is that the present study used broad ethnic categories in the quantitative analysis where these groups are not culturally homogenous and have distinct cultural differences and experiences. In addition, the online survey may not have been accessible</w:t>
      </w:r>
      <w:r w:rsidR="00AA4AB3">
        <w:rPr>
          <w:lang w:val="en-US"/>
        </w:rPr>
        <w:t>;</w:t>
      </w:r>
      <w:r w:rsidR="001E11CF" w:rsidRPr="00161D4B">
        <w:rPr>
          <w:lang w:val="en-US"/>
        </w:rPr>
        <w:t xml:space="preserve"> for instance, the survey was in English and individuals who have literacy difficulties may not have responded. </w:t>
      </w:r>
    </w:p>
    <w:p w14:paraId="7F77BEF1" w14:textId="77F4FD25" w:rsidR="001E11CF" w:rsidRPr="00161D4B" w:rsidRDefault="001E11CF" w:rsidP="00FE4CE0">
      <w:pPr>
        <w:spacing w:line="360" w:lineRule="auto"/>
        <w:ind w:firstLine="567"/>
        <w:jc w:val="both"/>
        <w:rPr>
          <w:lang w:val="en-US"/>
        </w:rPr>
      </w:pPr>
      <w:r w:rsidRPr="00161D4B">
        <w:rPr>
          <w:lang w:val="en-US"/>
        </w:rPr>
        <w:t>Future aims will be on focus groups to better understand differences in experiences of a primary care service across more specific ethnic groups</w:t>
      </w:r>
      <w:r w:rsidR="00AA4AB3">
        <w:rPr>
          <w:lang w:val="en-US"/>
        </w:rPr>
        <w:t>,</w:t>
      </w:r>
      <w:r w:rsidRPr="00161D4B">
        <w:rPr>
          <w:lang w:val="en-US"/>
        </w:rPr>
        <w:t xml:space="preserve"> and </w:t>
      </w:r>
      <w:r w:rsidR="00AA4AB3">
        <w:rPr>
          <w:lang w:val="en-US"/>
        </w:rPr>
        <w:t xml:space="preserve">to </w:t>
      </w:r>
      <w:r w:rsidRPr="00161D4B">
        <w:rPr>
          <w:lang w:val="en-US"/>
        </w:rPr>
        <w:t>consider alternative forms of contacting people to ensure voices such as refugee and asylum seekers do not go under</w:t>
      </w:r>
      <w:r w:rsidR="007F383F">
        <w:rPr>
          <w:lang w:val="en-US"/>
        </w:rPr>
        <w:t>-</w:t>
      </w:r>
      <w:r w:rsidRPr="00161D4B">
        <w:rPr>
          <w:lang w:val="en-US"/>
        </w:rPr>
        <w:t>represented.</w:t>
      </w:r>
    </w:p>
    <w:p w14:paraId="2FE5319E" w14:textId="77777777" w:rsidR="001E11CF" w:rsidRPr="00161D4B" w:rsidRDefault="001E11CF" w:rsidP="00161D4B">
      <w:pPr>
        <w:spacing w:line="360" w:lineRule="auto"/>
        <w:jc w:val="both"/>
        <w:rPr>
          <w:lang w:val="en-US"/>
        </w:rPr>
      </w:pPr>
    </w:p>
    <w:p w14:paraId="06AD3CDD" w14:textId="77777777" w:rsidR="001E11CF" w:rsidRPr="00FE4CE0" w:rsidRDefault="001E11CF" w:rsidP="00161D4B">
      <w:pPr>
        <w:spacing w:line="360" w:lineRule="auto"/>
        <w:jc w:val="both"/>
        <w:rPr>
          <w:b/>
          <w:bCs/>
          <w:i/>
          <w:iCs/>
          <w:color w:val="002060"/>
          <w:lang w:val="en-US"/>
        </w:rPr>
      </w:pPr>
      <w:r w:rsidRPr="00FE4CE0">
        <w:rPr>
          <w:b/>
          <w:bCs/>
          <w:i/>
          <w:iCs/>
          <w:color w:val="002060"/>
          <w:lang w:val="en-US"/>
        </w:rPr>
        <w:t>Future recommendations</w:t>
      </w:r>
    </w:p>
    <w:p w14:paraId="2FCEABE2" w14:textId="20F1A063" w:rsidR="001E11CF" w:rsidRPr="00161D4B" w:rsidRDefault="001E11CF" w:rsidP="00161D4B">
      <w:pPr>
        <w:spacing w:line="360" w:lineRule="auto"/>
        <w:jc w:val="both"/>
        <w:rPr>
          <w:lang w:val="en-US"/>
        </w:rPr>
      </w:pPr>
      <w:r w:rsidRPr="00161D4B">
        <w:rPr>
          <w:lang w:val="en-US"/>
        </w:rPr>
        <w:t>To address the higher drop</w:t>
      </w:r>
      <w:r w:rsidR="007F383F">
        <w:rPr>
          <w:lang w:val="en-US"/>
        </w:rPr>
        <w:t>-</w:t>
      </w:r>
      <w:r w:rsidRPr="00161D4B">
        <w:rPr>
          <w:lang w:val="en-US"/>
        </w:rPr>
        <w:t>out rates in Black African/Caribbean population</w:t>
      </w:r>
      <w:r w:rsidR="007F383F">
        <w:rPr>
          <w:lang w:val="en-US"/>
        </w:rPr>
        <w:t>s,</w:t>
      </w:r>
      <w:r w:rsidRPr="00161D4B">
        <w:rPr>
          <w:lang w:val="en-US"/>
        </w:rPr>
        <w:t xml:space="preserve"> further </w:t>
      </w:r>
      <w:proofErr w:type="gramStart"/>
      <w:r w:rsidRPr="00161D4B">
        <w:rPr>
          <w:lang w:val="en-US"/>
        </w:rPr>
        <w:t>research</w:t>
      </w:r>
      <w:proofErr w:type="gramEnd"/>
      <w:r w:rsidRPr="00161D4B">
        <w:rPr>
          <w:lang w:val="en-US"/>
        </w:rPr>
        <w:t xml:space="preserve"> and consideration of the application of culturally adapted CBT is necessary to progress towards treatment that is appropriate and sensitive and in line with the values and norms of the patient. One approach for IAPT services could be to consider cultural consultations among staff with leads from difference services within the trust to create a space to reflect on how diversity, culture</w:t>
      </w:r>
      <w:r w:rsidR="0098540A">
        <w:rPr>
          <w:lang w:val="en-US"/>
        </w:rPr>
        <w:t xml:space="preserve"> and</w:t>
      </w:r>
      <w:r w:rsidRPr="00161D4B">
        <w:rPr>
          <w:lang w:val="en-US"/>
        </w:rPr>
        <w:t xml:space="preserve"> race might impact our interactions, using this space to adopt lessons learnt from the community and instilling the value of culture in a meaningful way. The aim would be to improve cultural competence and reduce unconscious bias and prejudice assumptions. This process requires working collaboratively across policy makers, service leads and individual caregivers. </w:t>
      </w:r>
    </w:p>
    <w:p w14:paraId="1AD42460" w14:textId="040E5469" w:rsidR="001E11CF" w:rsidRPr="00161D4B" w:rsidRDefault="001E11CF" w:rsidP="00FE4CE0">
      <w:pPr>
        <w:spacing w:line="360" w:lineRule="auto"/>
        <w:ind w:firstLine="567"/>
        <w:jc w:val="both"/>
        <w:rPr>
          <w:lang w:val="en-US"/>
        </w:rPr>
      </w:pPr>
      <w:r w:rsidRPr="00161D4B">
        <w:rPr>
          <w:lang w:val="en-US"/>
        </w:rPr>
        <w:t>Another method of improving cultural competency is from the involvement of service</w:t>
      </w:r>
      <w:r w:rsidR="0098540A">
        <w:rPr>
          <w:lang w:val="en-US"/>
        </w:rPr>
        <w:t xml:space="preserve"> </w:t>
      </w:r>
      <w:r w:rsidRPr="00161D4B">
        <w:rPr>
          <w:lang w:val="en-US"/>
        </w:rPr>
        <w:t>users. Following the internal audit and qualitative survey of disengaged service</w:t>
      </w:r>
      <w:r w:rsidR="0098540A">
        <w:rPr>
          <w:lang w:val="en-US"/>
        </w:rPr>
        <w:t xml:space="preserve"> </w:t>
      </w:r>
      <w:r w:rsidRPr="00161D4B">
        <w:rPr>
          <w:lang w:val="en-US"/>
        </w:rPr>
        <w:t xml:space="preserve">users, one of the actions will be the recruitment of service-user consultants to guide service planning and treatment offers. Services could work to involve patients who disengaged from the service to help improve service provision, co-produce service materials and address what change can be made to better meet the needs of the local community and to further ensure appropriate cultural adaptations to treatment are made. </w:t>
      </w:r>
    </w:p>
    <w:p w14:paraId="0598A204" w14:textId="24992A81" w:rsidR="001E11CF" w:rsidRPr="00161D4B" w:rsidRDefault="001E11CF" w:rsidP="00FE4CE0">
      <w:pPr>
        <w:spacing w:line="360" w:lineRule="auto"/>
        <w:ind w:firstLine="567"/>
        <w:jc w:val="both"/>
        <w:rPr>
          <w:lang w:val="en-US"/>
        </w:rPr>
      </w:pPr>
      <w:r w:rsidRPr="00161D4B">
        <w:rPr>
          <w:lang w:val="en-US"/>
        </w:rPr>
        <w:t>Improved guidance and information related to what therapy is, how the service works and its policy on attendance, co-produced with service</w:t>
      </w:r>
      <w:r w:rsidR="00C81C42">
        <w:rPr>
          <w:lang w:val="en-US"/>
        </w:rPr>
        <w:t xml:space="preserve"> </w:t>
      </w:r>
      <w:r w:rsidRPr="00161D4B">
        <w:rPr>
          <w:lang w:val="en-US"/>
        </w:rPr>
        <w:t xml:space="preserve">users to ensure this information is accessible to patients accessing care are further suggestions. Finally, a possible timeline of events from referral to discharge patients may </w:t>
      </w:r>
      <w:r w:rsidR="00C544B1">
        <w:rPr>
          <w:lang w:val="en-US"/>
        </w:rPr>
        <w:t>be</w:t>
      </w:r>
      <w:r w:rsidRPr="00161D4B">
        <w:rPr>
          <w:lang w:val="en-US"/>
        </w:rPr>
        <w:t xml:space="preserve"> </w:t>
      </w:r>
      <w:proofErr w:type="gramStart"/>
      <w:r w:rsidRPr="00161D4B">
        <w:rPr>
          <w:lang w:val="en-US"/>
        </w:rPr>
        <w:t>useful</w:t>
      </w:r>
      <w:r w:rsidR="00C544B1">
        <w:rPr>
          <w:lang w:val="en-US"/>
        </w:rPr>
        <w:t>,</w:t>
      </w:r>
      <w:r w:rsidRPr="00161D4B">
        <w:rPr>
          <w:lang w:val="en-US"/>
        </w:rPr>
        <w:t xml:space="preserve"> and</w:t>
      </w:r>
      <w:proofErr w:type="gramEnd"/>
      <w:r w:rsidRPr="00161D4B">
        <w:rPr>
          <w:lang w:val="en-US"/>
        </w:rPr>
        <w:t xml:space="preserve"> will serve the purpose of providing clear guidance to help manage expectations and ease patient uncertainty. </w:t>
      </w:r>
    </w:p>
    <w:p w14:paraId="72EDCD56" w14:textId="77777777" w:rsidR="00013E4C" w:rsidRPr="00161D4B" w:rsidRDefault="00013E4C" w:rsidP="00161D4B">
      <w:pPr>
        <w:spacing w:line="360" w:lineRule="auto"/>
        <w:jc w:val="both"/>
        <w:rPr>
          <w:lang w:val="en-US"/>
        </w:rPr>
      </w:pPr>
    </w:p>
    <w:p w14:paraId="5BC1BF6B" w14:textId="5FE85DFB" w:rsidR="00A372EA" w:rsidRPr="00161D4B" w:rsidRDefault="00A372EA" w:rsidP="00A372EA">
      <w:pPr>
        <w:pStyle w:val="NoSpacing"/>
        <w:spacing w:line="360" w:lineRule="auto"/>
      </w:pPr>
      <w:r w:rsidRPr="00A372EA">
        <w:rPr>
          <w:b/>
          <w:bCs/>
          <w:color w:val="002060"/>
        </w:rPr>
        <w:t xml:space="preserve">Data </w:t>
      </w:r>
      <w:r>
        <w:rPr>
          <w:b/>
          <w:bCs/>
          <w:color w:val="002060"/>
        </w:rPr>
        <w:t>a</w:t>
      </w:r>
      <w:r w:rsidRPr="00A372EA">
        <w:rPr>
          <w:b/>
          <w:bCs/>
          <w:color w:val="002060"/>
        </w:rPr>
        <w:t xml:space="preserve">vailability </w:t>
      </w:r>
      <w:r>
        <w:rPr>
          <w:b/>
          <w:bCs/>
          <w:color w:val="002060"/>
        </w:rPr>
        <w:t>s</w:t>
      </w:r>
      <w:r w:rsidRPr="00A372EA">
        <w:rPr>
          <w:b/>
          <w:bCs/>
          <w:color w:val="002060"/>
        </w:rPr>
        <w:t>tatement.</w:t>
      </w:r>
      <w:r w:rsidRPr="00A372EA">
        <w:rPr>
          <w:i/>
          <w:iCs/>
          <w:color w:val="002060"/>
        </w:rPr>
        <w:t xml:space="preserve"> </w:t>
      </w:r>
      <w:r w:rsidRPr="00161D4B">
        <w:rPr>
          <w:color w:val="202124"/>
          <w:shd w:val="clear" w:color="auto" w:fill="FFFFFF"/>
        </w:rPr>
        <w:t>The data that support the findings of this study are available from the corresponding author, M</w:t>
      </w:r>
      <w:r w:rsidR="00C544B1">
        <w:rPr>
          <w:color w:val="202124"/>
          <w:shd w:val="clear" w:color="auto" w:fill="FFFFFF"/>
        </w:rPr>
        <w:t>.</w:t>
      </w:r>
      <w:r w:rsidRPr="00161D4B">
        <w:rPr>
          <w:color w:val="202124"/>
          <w:shd w:val="clear" w:color="auto" w:fill="FFFFFF"/>
        </w:rPr>
        <w:t>M</w:t>
      </w:r>
      <w:r w:rsidR="00C544B1">
        <w:rPr>
          <w:color w:val="202124"/>
          <w:shd w:val="clear" w:color="auto" w:fill="FFFFFF"/>
        </w:rPr>
        <w:t>.</w:t>
      </w:r>
      <w:r w:rsidRPr="00161D4B">
        <w:rPr>
          <w:color w:val="202124"/>
          <w:shd w:val="clear" w:color="auto" w:fill="FFFFFF"/>
        </w:rPr>
        <w:t>, upon reasonable request.</w:t>
      </w:r>
    </w:p>
    <w:p w14:paraId="603AB812" w14:textId="77777777" w:rsidR="00A372EA" w:rsidRDefault="00A372EA" w:rsidP="00161D4B">
      <w:pPr>
        <w:pStyle w:val="NoSpacing"/>
        <w:spacing w:line="360" w:lineRule="auto"/>
        <w:rPr>
          <w:i/>
          <w:iCs/>
        </w:rPr>
      </w:pPr>
    </w:p>
    <w:p w14:paraId="5C5E0578" w14:textId="0E8C6DD9" w:rsidR="00161D4B" w:rsidRPr="00161D4B" w:rsidRDefault="00161D4B" w:rsidP="00A372EA">
      <w:pPr>
        <w:pStyle w:val="NoSpacing"/>
        <w:spacing w:line="360" w:lineRule="auto"/>
      </w:pPr>
      <w:r w:rsidRPr="00A372EA">
        <w:rPr>
          <w:b/>
          <w:bCs/>
          <w:color w:val="002060"/>
        </w:rPr>
        <w:t>Acknowledgements</w:t>
      </w:r>
      <w:r w:rsidR="00A372EA" w:rsidRPr="00A372EA">
        <w:rPr>
          <w:b/>
          <w:bCs/>
          <w:color w:val="002060"/>
        </w:rPr>
        <w:t>.</w:t>
      </w:r>
      <w:r w:rsidR="00A372EA" w:rsidRPr="00A372EA">
        <w:rPr>
          <w:i/>
          <w:iCs/>
          <w:color w:val="002060"/>
        </w:rPr>
        <w:t xml:space="preserve"> </w:t>
      </w:r>
      <w:r w:rsidRPr="00161D4B">
        <w:t>We are enormously grateful to the volunteers for their participation in the survey.</w:t>
      </w:r>
      <w:r w:rsidRPr="00161D4B">
        <w:rPr>
          <w:bdr w:val="none" w:sz="0" w:space="0" w:color="auto" w:frame="1"/>
        </w:rPr>
        <w:t xml:space="preserve"> </w:t>
      </w:r>
      <w:r w:rsidRPr="00161D4B">
        <w:t xml:space="preserve">We also thank the National Health Service (NHS) and </w:t>
      </w:r>
      <w:r w:rsidRPr="00161D4B">
        <w:rPr>
          <w:bdr w:val="none" w:sz="0" w:space="0" w:color="auto" w:frame="1"/>
        </w:rPr>
        <w:t>Dr</w:t>
      </w:r>
      <w:r w:rsidR="00021624">
        <w:rPr>
          <w:bdr w:val="none" w:sz="0" w:space="0" w:color="auto" w:frame="1"/>
        </w:rPr>
        <w:t> </w:t>
      </w:r>
      <w:r w:rsidRPr="00161D4B">
        <w:rPr>
          <w:bdr w:val="none" w:sz="0" w:space="0" w:color="auto" w:frame="1"/>
        </w:rPr>
        <w:t>Christopher</w:t>
      </w:r>
      <w:r w:rsidR="00021624">
        <w:rPr>
          <w:bdr w:val="none" w:sz="0" w:space="0" w:color="auto" w:frame="1"/>
        </w:rPr>
        <w:t> </w:t>
      </w:r>
      <w:r w:rsidRPr="00161D4B">
        <w:rPr>
          <w:bdr w:val="none" w:sz="0" w:space="0" w:color="auto" w:frame="1"/>
        </w:rPr>
        <w:t>Whiteley, Chief Psychologist for CNWL</w:t>
      </w:r>
      <w:r w:rsidR="00021624">
        <w:rPr>
          <w:bdr w:val="none" w:sz="0" w:space="0" w:color="auto" w:frame="1"/>
        </w:rPr>
        <w:t>,</w:t>
      </w:r>
      <w:r w:rsidRPr="00161D4B">
        <w:rPr>
          <w:bdr w:val="none" w:sz="0" w:space="0" w:color="auto" w:frame="1"/>
        </w:rPr>
        <w:t xml:space="preserve"> for support and guidance.</w:t>
      </w:r>
    </w:p>
    <w:p w14:paraId="1E04B5CC" w14:textId="77777777" w:rsidR="00161D4B" w:rsidRPr="00161D4B" w:rsidRDefault="00161D4B" w:rsidP="00161D4B">
      <w:pPr>
        <w:pStyle w:val="NoSpacing"/>
        <w:spacing w:line="360" w:lineRule="auto"/>
      </w:pPr>
    </w:p>
    <w:p w14:paraId="35BF077C" w14:textId="485080A3" w:rsidR="00161D4B" w:rsidRPr="00161D4B" w:rsidRDefault="00161D4B" w:rsidP="00161D4B">
      <w:pPr>
        <w:pStyle w:val="NoSpacing"/>
        <w:spacing w:line="360" w:lineRule="auto"/>
      </w:pPr>
      <w:r w:rsidRPr="00A372EA">
        <w:rPr>
          <w:b/>
          <w:bCs/>
          <w:color w:val="002060"/>
          <w:shd w:val="clear" w:color="auto" w:fill="FFFFFF"/>
        </w:rPr>
        <w:t xml:space="preserve">Author </w:t>
      </w:r>
      <w:r w:rsidR="00A372EA" w:rsidRPr="00A372EA">
        <w:rPr>
          <w:b/>
          <w:bCs/>
          <w:color w:val="002060"/>
          <w:shd w:val="clear" w:color="auto" w:fill="FFFFFF"/>
        </w:rPr>
        <w:t>c</w:t>
      </w:r>
      <w:r w:rsidRPr="00A372EA">
        <w:rPr>
          <w:b/>
          <w:bCs/>
          <w:color w:val="002060"/>
          <w:shd w:val="clear" w:color="auto" w:fill="FFFFFF"/>
        </w:rPr>
        <w:t>ontributions</w:t>
      </w:r>
      <w:r w:rsidR="00A372EA" w:rsidRPr="00A372EA">
        <w:rPr>
          <w:b/>
          <w:bCs/>
          <w:color w:val="002060"/>
          <w:shd w:val="clear" w:color="auto" w:fill="FFFFFF"/>
        </w:rPr>
        <w:t>.</w:t>
      </w:r>
      <w:r w:rsidR="00A372EA" w:rsidRPr="00A372EA">
        <w:rPr>
          <w:color w:val="002060"/>
          <w:shd w:val="clear" w:color="auto" w:fill="FFFFFF"/>
        </w:rPr>
        <w:t xml:space="preserve"> </w:t>
      </w:r>
      <w:r w:rsidRPr="00021624">
        <w:rPr>
          <w:b/>
          <w:bCs/>
          <w:color w:val="333333"/>
          <w:shd w:val="clear" w:color="auto" w:fill="FFFFFF"/>
        </w:rPr>
        <w:t>Maisha Murshed</w:t>
      </w:r>
      <w:r w:rsidR="00021624" w:rsidRPr="00021624">
        <w:rPr>
          <w:b/>
          <w:bCs/>
          <w:color w:val="333333"/>
          <w:shd w:val="clear" w:color="auto" w:fill="FFFFFF"/>
        </w:rPr>
        <w:t>:</w:t>
      </w:r>
      <w:r w:rsidR="00021624">
        <w:rPr>
          <w:color w:val="333333"/>
          <w:shd w:val="clear" w:color="auto" w:fill="FFFFFF"/>
        </w:rPr>
        <w:t xml:space="preserve"> </w:t>
      </w:r>
      <w:r w:rsidRPr="00161D4B">
        <w:rPr>
          <w:color w:val="333333"/>
          <w:shd w:val="clear" w:color="auto" w:fill="FFFFFF"/>
        </w:rPr>
        <w:t>Conceptualization</w:t>
      </w:r>
      <w:r w:rsidR="00021624">
        <w:rPr>
          <w:color w:val="333333"/>
          <w:shd w:val="clear" w:color="auto" w:fill="FFFFFF"/>
        </w:rPr>
        <w:t xml:space="preserve"> (equal)</w:t>
      </w:r>
      <w:r w:rsidRPr="00161D4B">
        <w:rPr>
          <w:color w:val="333333"/>
          <w:shd w:val="clear" w:color="auto" w:fill="FFFFFF"/>
        </w:rPr>
        <w:t>, Data curation</w:t>
      </w:r>
      <w:r w:rsidR="00021624">
        <w:rPr>
          <w:color w:val="333333"/>
          <w:shd w:val="clear" w:color="auto" w:fill="FFFFFF"/>
        </w:rPr>
        <w:t xml:space="preserve"> (equal)</w:t>
      </w:r>
      <w:r w:rsidRPr="00161D4B">
        <w:rPr>
          <w:color w:val="333333"/>
          <w:shd w:val="clear" w:color="auto" w:fill="FFFFFF"/>
        </w:rPr>
        <w:t>, Formal analysis</w:t>
      </w:r>
      <w:r w:rsidR="00021624">
        <w:rPr>
          <w:color w:val="333333"/>
          <w:shd w:val="clear" w:color="auto" w:fill="FFFFFF"/>
        </w:rPr>
        <w:t xml:space="preserve"> (equal)</w:t>
      </w:r>
      <w:r w:rsidRPr="00161D4B">
        <w:rPr>
          <w:color w:val="333333"/>
          <w:shd w:val="clear" w:color="auto" w:fill="FFFFFF"/>
        </w:rPr>
        <w:t>, Funding acquisition</w:t>
      </w:r>
      <w:r w:rsidR="00021624">
        <w:rPr>
          <w:color w:val="333333"/>
          <w:shd w:val="clear" w:color="auto" w:fill="FFFFFF"/>
        </w:rPr>
        <w:t xml:space="preserve"> (equal)</w:t>
      </w:r>
      <w:r w:rsidRPr="00161D4B">
        <w:rPr>
          <w:color w:val="333333"/>
          <w:shd w:val="clear" w:color="auto" w:fill="FFFFFF"/>
        </w:rPr>
        <w:t>, Investigation</w:t>
      </w:r>
      <w:r w:rsidR="00021624">
        <w:rPr>
          <w:color w:val="333333"/>
          <w:shd w:val="clear" w:color="auto" w:fill="FFFFFF"/>
        </w:rPr>
        <w:t xml:space="preserve"> (equal)</w:t>
      </w:r>
      <w:r w:rsidRPr="00161D4B">
        <w:rPr>
          <w:color w:val="333333"/>
          <w:shd w:val="clear" w:color="auto" w:fill="FFFFFF"/>
        </w:rPr>
        <w:t>, Methodology</w:t>
      </w:r>
      <w:r w:rsidR="00021624">
        <w:rPr>
          <w:color w:val="333333"/>
          <w:shd w:val="clear" w:color="auto" w:fill="FFFFFF"/>
        </w:rPr>
        <w:t xml:space="preserve"> (equal)</w:t>
      </w:r>
      <w:r w:rsidRPr="00161D4B">
        <w:rPr>
          <w:color w:val="333333"/>
          <w:shd w:val="clear" w:color="auto" w:fill="FFFFFF"/>
        </w:rPr>
        <w:t>, Project administration</w:t>
      </w:r>
      <w:r w:rsidR="00021624">
        <w:rPr>
          <w:color w:val="333333"/>
          <w:shd w:val="clear" w:color="auto" w:fill="FFFFFF"/>
        </w:rPr>
        <w:t xml:space="preserve"> (equal)</w:t>
      </w:r>
      <w:r w:rsidRPr="00161D4B">
        <w:rPr>
          <w:color w:val="333333"/>
          <w:shd w:val="clear" w:color="auto" w:fill="FFFFFF"/>
        </w:rPr>
        <w:t>, Resources</w:t>
      </w:r>
      <w:r w:rsidR="00021624">
        <w:rPr>
          <w:color w:val="333333"/>
          <w:shd w:val="clear" w:color="auto" w:fill="FFFFFF"/>
        </w:rPr>
        <w:t xml:space="preserve"> (equal)</w:t>
      </w:r>
      <w:r w:rsidRPr="00161D4B">
        <w:rPr>
          <w:color w:val="333333"/>
          <w:shd w:val="clear" w:color="auto" w:fill="FFFFFF"/>
        </w:rPr>
        <w:t>, Software</w:t>
      </w:r>
      <w:r w:rsidR="00021624">
        <w:rPr>
          <w:color w:val="333333"/>
          <w:shd w:val="clear" w:color="auto" w:fill="FFFFFF"/>
        </w:rPr>
        <w:t xml:space="preserve"> (equal)</w:t>
      </w:r>
      <w:r w:rsidRPr="00161D4B">
        <w:rPr>
          <w:color w:val="333333"/>
          <w:shd w:val="clear" w:color="auto" w:fill="FFFFFF"/>
        </w:rPr>
        <w:t>, Supervision</w:t>
      </w:r>
      <w:r w:rsidR="00021624">
        <w:rPr>
          <w:color w:val="333333"/>
          <w:shd w:val="clear" w:color="auto" w:fill="FFFFFF"/>
        </w:rPr>
        <w:t xml:space="preserve"> (equal)</w:t>
      </w:r>
      <w:r w:rsidRPr="00161D4B">
        <w:rPr>
          <w:color w:val="333333"/>
          <w:shd w:val="clear" w:color="auto" w:fill="FFFFFF"/>
        </w:rPr>
        <w:t>, Validation</w:t>
      </w:r>
      <w:r w:rsidR="00021624">
        <w:rPr>
          <w:color w:val="333333"/>
          <w:shd w:val="clear" w:color="auto" w:fill="FFFFFF"/>
        </w:rPr>
        <w:t xml:space="preserve"> (equal)</w:t>
      </w:r>
      <w:r w:rsidRPr="00161D4B">
        <w:rPr>
          <w:color w:val="333333"/>
          <w:shd w:val="clear" w:color="auto" w:fill="FFFFFF"/>
        </w:rPr>
        <w:t>, Visualization</w:t>
      </w:r>
      <w:r w:rsidR="00021624">
        <w:rPr>
          <w:color w:val="333333"/>
          <w:shd w:val="clear" w:color="auto" w:fill="FFFFFF"/>
        </w:rPr>
        <w:t xml:space="preserve"> (equal)</w:t>
      </w:r>
      <w:r w:rsidRPr="00161D4B">
        <w:rPr>
          <w:color w:val="333333"/>
          <w:shd w:val="clear" w:color="auto" w:fill="FFFFFF"/>
        </w:rPr>
        <w:t>, Writing – original draft</w:t>
      </w:r>
      <w:r w:rsidR="00021624">
        <w:rPr>
          <w:color w:val="333333"/>
          <w:shd w:val="clear" w:color="auto" w:fill="FFFFFF"/>
        </w:rPr>
        <w:t xml:space="preserve"> (equal)</w:t>
      </w:r>
      <w:r w:rsidRPr="00161D4B">
        <w:rPr>
          <w:color w:val="333333"/>
          <w:shd w:val="clear" w:color="auto" w:fill="FFFFFF"/>
        </w:rPr>
        <w:t>, Writing – review &amp; editing</w:t>
      </w:r>
      <w:r w:rsidR="00021624">
        <w:rPr>
          <w:color w:val="333333"/>
          <w:shd w:val="clear" w:color="auto" w:fill="FFFFFF"/>
        </w:rPr>
        <w:t xml:space="preserve"> (equal); </w:t>
      </w:r>
      <w:r w:rsidRPr="00021624">
        <w:rPr>
          <w:b/>
          <w:bCs/>
          <w:color w:val="333333"/>
          <w:shd w:val="clear" w:color="auto" w:fill="FFFFFF"/>
        </w:rPr>
        <w:t>Rebecca</w:t>
      </w:r>
      <w:r w:rsidR="00021624" w:rsidRPr="00021624">
        <w:rPr>
          <w:b/>
          <w:bCs/>
          <w:color w:val="333333"/>
          <w:shd w:val="clear" w:color="auto" w:fill="FFFFFF"/>
        </w:rPr>
        <w:t> </w:t>
      </w:r>
      <w:r w:rsidRPr="00021624">
        <w:rPr>
          <w:b/>
          <w:bCs/>
          <w:color w:val="333333"/>
          <w:shd w:val="clear" w:color="auto" w:fill="FFFFFF"/>
        </w:rPr>
        <w:t>Doherty</w:t>
      </w:r>
      <w:r w:rsidR="00021624" w:rsidRPr="00021624">
        <w:rPr>
          <w:b/>
          <w:bCs/>
          <w:color w:val="333333"/>
          <w:shd w:val="clear" w:color="auto" w:fill="FFFFFF"/>
        </w:rPr>
        <w:t>:</w:t>
      </w:r>
      <w:r w:rsidR="00021624">
        <w:rPr>
          <w:color w:val="333333"/>
          <w:shd w:val="clear" w:color="auto" w:fill="FFFFFF"/>
        </w:rPr>
        <w:t xml:space="preserve"> </w:t>
      </w:r>
      <w:r w:rsidRPr="00161D4B">
        <w:rPr>
          <w:color w:val="333333"/>
          <w:shd w:val="clear" w:color="auto" w:fill="FFFFFF"/>
        </w:rPr>
        <w:t>Conceptualization</w:t>
      </w:r>
      <w:r w:rsidR="00021624">
        <w:rPr>
          <w:color w:val="333333"/>
          <w:shd w:val="clear" w:color="auto" w:fill="FFFFFF"/>
        </w:rPr>
        <w:t xml:space="preserve"> (equal)</w:t>
      </w:r>
      <w:r w:rsidRPr="00161D4B">
        <w:rPr>
          <w:color w:val="333333"/>
          <w:shd w:val="clear" w:color="auto" w:fill="FFFFFF"/>
        </w:rPr>
        <w:t>, Data curation</w:t>
      </w:r>
      <w:r w:rsidR="00021624">
        <w:rPr>
          <w:color w:val="333333"/>
          <w:shd w:val="clear" w:color="auto" w:fill="FFFFFF"/>
        </w:rPr>
        <w:t xml:space="preserve"> (equal)</w:t>
      </w:r>
      <w:r w:rsidRPr="00161D4B">
        <w:rPr>
          <w:color w:val="333333"/>
          <w:shd w:val="clear" w:color="auto" w:fill="FFFFFF"/>
        </w:rPr>
        <w:t>, Formal analysis</w:t>
      </w:r>
      <w:r w:rsidR="00021624">
        <w:rPr>
          <w:color w:val="333333"/>
          <w:shd w:val="clear" w:color="auto" w:fill="FFFFFF"/>
        </w:rPr>
        <w:t xml:space="preserve"> (equal)</w:t>
      </w:r>
      <w:r w:rsidRPr="00161D4B">
        <w:rPr>
          <w:color w:val="333333"/>
          <w:shd w:val="clear" w:color="auto" w:fill="FFFFFF"/>
        </w:rPr>
        <w:t>, Funding acquisition</w:t>
      </w:r>
      <w:r w:rsidR="00021624">
        <w:rPr>
          <w:color w:val="333333"/>
          <w:shd w:val="clear" w:color="auto" w:fill="FFFFFF"/>
        </w:rPr>
        <w:t xml:space="preserve"> (equal)</w:t>
      </w:r>
      <w:r w:rsidRPr="00161D4B">
        <w:rPr>
          <w:color w:val="333333"/>
          <w:shd w:val="clear" w:color="auto" w:fill="FFFFFF"/>
        </w:rPr>
        <w:t>, Investigation</w:t>
      </w:r>
      <w:r w:rsidR="00021624">
        <w:rPr>
          <w:color w:val="333333"/>
          <w:shd w:val="clear" w:color="auto" w:fill="FFFFFF"/>
        </w:rPr>
        <w:t xml:space="preserve"> (equal)</w:t>
      </w:r>
      <w:r w:rsidRPr="00161D4B">
        <w:rPr>
          <w:color w:val="333333"/>
          <w:shd w:val="clear" w:color="auto" w:fill="FFFFFF"/>
        </w:rPr>
        <w:t>, Methodology</w:t>
      </w:r>
      <w:r w:rsidR="00021624">
        <w:rPr>
          <w:color w:val="333333"/>
          <w:shd w:val="clear" w:color="auto" w:fill="FFFFFF"/>
        </w:rPr>
        <w:t xml:space="preserve"> (equal)</w:t>
      </w:r>
      <w:r w:rsidRPr="00161D4B">
        <w:rPr>
          <w:color w:val="333333"/>
          <w:shd w:val="clear" w:color="auto" w:fill="FFFFFF"/>
        </w:rPr>
        <w:t>, Project administration</w:t>
      </w:r>
      <w:r w:rsidR="00021624">
        <w:rPr>
          <w:color w:val="333333"/>
          <w:shd w:val="clear" w:color="auto" w:fill="FFFFFF"/>
        </w:rPr>
        <w:t xml:space="preserve"> (equal)</w:t>
      </w:r>
      <w:r w:rsidRPr="00161D4B">
        <w:rPr>
          <w:color w:val="333333"/>
          <w:shd w:val="clear" w:color="auto" w:fill="FFFFFF"/>
        </w:rPr>
        <w:t>, Resources</w:t>
      </w:r>
      <w:r w:rsidR="00021624">
        <w:rPr>
          <w:color w:val="333333"/>
          <w:shd w:val="clear" w:color="auto" w:fill="FFFFFF"/>
        </w:rPr>
        <w:t xml:space="preserve"> (equal)</w:t>
      </w:r>
      <w:r w:rsidRPr="00161D4B">
        <w:rPr>
          <w:color w:val="333333"/>
          <w:shd w:val="clear" w:color="auto" w:fill="FFFFFF"/>
        </w:rPr>
        <w:t>, Software</w:t>
      </w:r>
      <w:r w:rsidR="00021624">
        <w:rPr>
          <w:color w:val="333333"/>
          <w:shd w:val="clear" w:color="auto" w:fill="FFFFFF"/>
        </w:rPr>
        <w:t xml:space="preserve"> (equal)</w:t>
      </w:r>
      <w:r w:rsidRPr="00161D4B">
        <w:rPr>
          <w:color w:val="333333"/>
          <w:shd w:val="clear" w:color="auto" w:fill="FFFFFF"/>
        </w:rPr>
        <w:t>, Supervision</w:t>
      </w:r>
      <w:r w:rsidR="00021624">
        <w:rPr>
          <w:color w:val="333333"/>
          <w:shd w:val="clear" w:color="auto" w:fill="FFFFFF"/>
        </w:rPr>
        <w:t xml:space="preserve"> (equal)</w:t>
      </w:r>
      <w:r w:rsidRPr="00161D4B">
        <w:rPr>
          <w:color w:val="333333"/>
          <w:shd w:val="clear" w:color="auto" w:fill="FFFFFF"/>
        </w:rPr>
        <w:t>, Validation</w:t>
      </w:r>
      <w:r w:rsidR="00021624">
        <w:rPr>
          <w:color w:val="333333"/>
          <w:shd w:val="clear" w:color="auto" w:fill="FFFFFF"/>
        </w:rPr>
        <w:t xml:space="preserve"> (equal)</w:t>
      </w:r>
      <w:r w:rsidRPr="00161D4B">
        <w:rPr>
          <w:color w:val="333333"/>
          <w:shd w:val="clear" w:color="auto" w:fill="FFFFFF"/>
        </w:rPr>
        <w:t>, Visualization</w:t>
      </w:r>
      <w:r w:rsidR="00021624">
        <w:rPr>
          <w:color w:val="333333"/>
          <w:shd w:val="clear" w:color="auto" w:fill="FFFFFF"/>
        </w:rPr>
        <w:t xml:space="preserve"> (equal)</w:t>
      </w:r>
      <w:r w:rsidRPr="00161D4B">
        <w:rPr>
          <w:color w:val="333333"/>
          <w:shd w:val="clear" w:color="auto" w:fill="FFFFFF"/>
        </w:rPr>
        <w:t>, Writing – review &amp; editing</w:t>
      </w:r>
      <w:r w:rsidR="00021624">
        <w:rPr>
          <w:color w:val="333333"/>
          <w:shd w:val="clear" w:color="auto" w:fill="FFFFFF"/>
        </w:rPr>
        <w:t xml:space="preserve"> (equal); </w:t>
      </w:r>
      <w:r w:rsidRPr="00021624">
        <w:rPr>
          <w:b/>
          <w:bCs/>
          <w:color w:val="333333"/>
          <w:shd w:val="clear" w:color="auto" w:fill="FFFFFF"/>
        </w:rPr>
        <w:t>Sepideh</w:t>
      </w:r>
      <w:r w:rsidR="00021624" w:rsidRPr="00021624">
        <w:rPr>
          <w:b/>
          <w:bCs/>
          <w:color w:val="333333"/>
          <w:shd w:val="clear" w:color="auto" w:fill="FFFFFF"/>
        </w:rPr>
        <w:t> </w:t>
      </w:r>
      <w:proofErr w:type="spellStart"/>
      <w:r w:rsidRPr="00021624">
        <w:rPr>
          <w:b/>
          <w:bCs/>
          <w:color w:val="333333"/>
          <w:shd w:val="clear" w:color="auto" w:fill="FFFFFF"/>
        </w:rPr>
        <w:t>Mhojatoleslami</w:t>
      </w:r>
      <w:proofErr w:type="spellEnd"/>
      <w:r w:rsidR="00021624" w:rsidRPr="00021624">
        <w:rPr>
          <w:b/>
          <w:bCs/>
          <w:color w:val="333333"/>
          <w:shd w:val="clear" w:color="auto" w:fill="FFFFFF"/>
        </w:rPr>
        <w:t>:</w:t>
      </w:r>
      <w:r w:rsidR="00021624">
        <w:rPr>
          <w:color w:val="333333"/>
          <w:shd w:val="clear" w:color="auto" w:fill="FFFFFF"/>
        </w:rPr>
        <w:t xml:space="preserve"> </w:t>
      </w:r>
      <w:r w:rsidRPr="00161D4B">
        <w:rPr>
          <w:color w:val="333333"/>
          <w:shd w:val="clear" w:color="auto" w:fill="FFFFFF"/>
        </w:rPr>
        <w:t>Conceptualization</w:t>
      </w:r>
      <w:r w:rsidR="00021624">
        <w:rPr>
          <w:color w:val="333333"/>
          <w:shd w:val="clear" w:color="auto" w:fill="FFFFFF"/>
        </w:rPr>
        <w:t xml:space="preserve"> (equal)</w:t>
      </w:r>
      <w:r w:rsidRPr="00161D4B">
        <w:rPr>
          <w:color w:val="333333"/>
          <w:shd w:val="clear" w:color="auto" w:fill="FFFFFF"/>
        </w:rPr>
        <w:t>, Data curation</w:t>
      </w:r>
      <w:r w:rsidR="00021624">
        <w:rPr>
          <w:color w:val="333333"/>
          <w:shd w:val="clear" w:color="auto" w:fill="FFFFFF"/>
        </w:rPr>
        <w:t xml:space="preserve"> (equal)</w:t>
      </w:r>
      <w:r w:rsidRPr="00161D4B">
        <w:rPr>
          <w:color w:val="333333"/>
          <w:shd w:val="clear" w:color="auto" w:fill="FFFFFF"/>
        </w:rPr>
        <w:t>, Methodology</w:t>
      </w:r>
      <w:r w:rsidR="00021624">
        <w:rPr>
          <w:color w:val="333333"/>
          <w:shd w:val="clear" w:color="auto" w:fill="FFFFFF"/>
        </w:rPr>
        <w:t xml:space="preserve"> (equal)</w:t>
      </w:r>
      <w:r w:rsidRPr="00161D4B">
        <w:rPr>
          <w:color w:val="333333"/>
          <w:shd w:val="clear" w:color="auto" w:fill="FFFFFF"/>
        </w:rPr>
        <w:t>, Project administration</w:t>
      </w:r>
      <w:r w:rsidR="00021624">
        <w:rPr>
          <w:color w:val="333333"/>
          <w:shd w:val="clear" w:color="auto" w:fill="FFFFFF"/>
        </w:rPr>
        <w:t xml:space="preserve"> (equal)</w:t>
      </w:r>
      <w:r w:rsidRPr="00161D4B">
        <w:rPr>
          <w:color w:val="333333"/>
          <w:shd w:val="clear" w:color="auto" w:fill="FFFFFF"/>
        </w:rPr>
        <w:t>, Resources</w:t>
      </w:r>
      <w:r w:rsidR="00021624">
        <w:rPr>
          <w:color w:val="333333"/>
          <w:shd w:val="clear" w:color="auto" w:fill="FFFFFF"/>
        </w:rPr>
        <w:t xml:space="preserve"> (equal)</w:t>
      </w:r>
      <w:r w:rsidRPr="00161D4B">
        <w:rPr>
          <w:color w:val="333333"/>
          <w:shd w:val="clear" w:color="auto" w:fill="FFFFFF"/>
        </w:rPr>
        <w:t>, Software</w:t>
      </w:r>
      <w:r w:rsidR="00021624">
        <w:rPr>
          <w:color w:val="333333"/>
          <w:shd w:val="clear" w:color="auto" w:fill="FFFFFF"/>
        </w:rPr>
        <w:t xml:space="preserve"> (equal)</w:t>
      </w:r>
      <w:r w:rsidRPr="00161D4B">
        <w:rPr>
          <w:color w:val="333333"/>
          <w:shd w:val="clear" w:color="auto" w:fill="FFFFFF"/>
        </w:rPr>
        <w:t>, Supervision</w:t>
      </w:r>
      <w:r w:rsidR="00021624">
        <w:rPr>
          <w:color w:val="333333"/>
          <w:shd w:val="clear" w:color="auto" w:fill="FFFFFF"/>
        </w:rPr>
        <w:t xml:space="preserve"> (equal); </w:t>
      </w:r>
      <w:r w:rsidRPr="00021624">
        <w:rPr>
          <w:b/>
          <w:bCs/>
          <w:color w:val="333333"/>
          <w:shd w:val="clear" w:color="auto" w:fill="FFFFFF"/>
        </w:rPr>
        <w:t>Said</w:t>
      </w:r>
      <w:r w:rsidR="00021624" w:rsidRPr="00021624">
        <w:rPr>
          <w:b/>
          <w:bCs/>
          <w:color w:val="333333"/>
          <w:shd w:val="clear" w:color="auto" w:fill="FFFFFF"/>
        </w:rPr>
        <w:t> </w:t>
      </w:r>
      <w:r w:rsidRPr="00021624">
        <w:rPr>
          <w:b/>
          <w:bCs/>
          <w:color w:val="333333"/>
          <w:shd w:val="clear" w:color="auto" w:fill="FFFFFF"/>
        </w:rPr>
        <w:t>Tarabi</w:t>
      </w:r>
      <w:r w:rsidR="00021624" w:rsidRPr="00021624">
        <w:rPr>
          <w:b/>
          <w:bCs/>
          <w:color w:val="333333"/>
          <w:shd w:val="clear" w:color="auto" w:fill="FFFFFF"/>
        </w:rPr>
        <w:t>:</w:t>
      </w:r>
      <w:r w:rsidR="00021624">
        <w:rPr>
          <w:color w:val="333333"/>
          <w:shd w:val="clear" w:color="auto" w:fill="FFFFFF"/>
        </w:rPr>
        <w:t xml:space="preserve"> </w:t>
      </w:r>
      <w:r w:rsidRPr="00161D4B">
        <w:rPr>
          <w:color w:val="333333"/>
          <w:shd w:val="clear" w:color="auto" w:fill="FFFFFF"/>
        </w:rPr>
        <w:t>Conceptualization</w:t>
      </w:r>
      <w:r w:rsidR="00021624">
        <w:rPr>
          <w:color w:val="333333"/>
          <w:shd w:val="clear" w:color="auto" w:fill="FFFFFF"/>
        </w:rPr>
        <w:t xml:space="preserve"> (equal)</w:t>
      </w:r>
      <w:r w:rsidRPr="00161D4B">
        <w:rPr>
          <w:color w:val="333333"/>
          <w:shd w:val="clear" w:color="auto" w:fill="FFFFFF"/>
        </w:rPr>
        <w:t>, Data curation</w:t>
      </w:r>
      <w:r w:rsidR="00021624">
        <w:rPr>
          <w:color w:val="333333"/>
          <w:shd w:val="clear" w:color="auto" w:fill="FFFFFF"/>
        </w:rPr>
        <w:t xml:space="preserve"> (equal)</w:t>
      </w:r>
      <w:r w:rsidRPr="00161D4B">
        <w:rPr>
          <w:color w:val="333333"/>
          <w:shd w:val="clear" w:color="auto" w:fill="FFFFFF"/>
        </w:rPr>
        <w:t>, Formal analysis</w:t>
      </w:r>
      <w:r w:rsidR="00021624">
        <w:rPr>
          <w:color w:val="333333"/>
          <w:shd w:val="clear" w:color="auto" w:fill="FFFFFF"/>
        </w:rPr>
        <w:t xml:space="preserve"> (equal)</w:t>
      </w:r>
      <w:r w:rsidRPr="00161D4B">
        <w:rPr>
          <w:color w:val="333333"/>
          <w:shd w:val="clear" w:color="auto" w:fill="FFFFFF"/>
        </w:rPr>
        <w:t>, Investigation</w:t>
      </w:r>
      <w:r w:rsidR="00021624">
        <w:rPr>
          <w:color w:val="333333"/>
          <w:shd w:val="clear" w:color="auto" w:fill="FFFFFF"/>
        </w:rPr>
        <w:t xml:space="preserve"> (equal)</w:t>
      </w:r>
      <w:r w:rsidRPr="00161D4B">
        <w:rPr>
          <w:color w:val="333333"/>
          <w:shd w:val="clear" w:color="auto" w:fill="FFFFFF"/>
        </w:rPr>
        <w:t>, Methodology</w:t>
      </w:r>
      <w:r w:rsidR="00021624">
        <w:rPr>
          <w:color w:val="333333"/>
          <w:shd w:val="clear" w:color="auto" w:fill="FFFFFF"/>
        </w:rPr>
        <w:t xml:space="preserve"> (equal)</w:t>
      </w:r>
      <w:r w:rsidRPr="00161D4B">
        <w:rPr>
          <w:color w:val="333333"/>
          <w:shd w:val="clear" w:color="auto" w:fill="FFFFFF"/>
        </w:rPr>
        <w:t>, Project administration</w:t>
      </w:r>
      <w:r w:rsidR="00021624">
        <w:rPr>
          <w:color w:val="333333"/>
          <w:shd w:val="clear" w:color="auto" w:fill="FFFFFF"/>
        </w:rPr>
        <w:t xml:space="preserve"> (equal)</w:t>
      </w:r>
      <w:r w:rsidRPr="00161D4B">
        <w:rPr>
          <w:color w:val="333333"/>
          <w:shd w:val="clear" w:color="auto" w:fill="FFFFFF"/>
        </w:rPr>
        <w:t>, Resources</w:t>
      </w:r>
      <w:r w:rsidR="00021624">
        <w:rPr>
          <w:color w:val="333333"/>
          <w:shd w:val="clear" w:color="auto" w:fill="FFFFFF"/>
        </w:rPr>
        <w:t xml:space="preserve"> (equal)</w:t>
      </w:r>
      <w:r w:rsidRPr="00161D4B">
        <w:rPr>
          <w:color w:val="333333"/>
          <w:shd w:val="clear" w:color="auto" w:fill="FFFFFF"/>
        </w:rPr>
        <w:t>, Supervision</w:t>
      </w:r>
      <w:r w:rsidR="00021624">
        <w:rPr>
          <w:color w:val="333333"/>
          <w:shd w:val="clear" w:color="auto" w:fill="FFFFFF"/>
        </w:rPr>
        <w:t xml:space="preserve"> (equal)</w:t>
      </w:r>
      <w:r w:rsidRPr="00161D4B">
        <w:rPr>
          <w:color w:val="333333"/>
          <w:shd w:val="clear" w:color="auto" w:fill="FFFFFF"/>
        </w:rPr>
        <w:t>, Validation</w:t>
      </w:r>
      <w:r w:rsidR="00021624">
        <w:rPr>
          <w:color w:val="333333"/>
          <w:shd w:val="clear" w:color="auto" w:fill="FFFFFF"/>
        </w:rPr>
        <w:t xml:space="preserve"> (equal)</w:t>
      </w:r>
      <w:r w:rsidRPr="00161D4B">
        <w:rPr>
          <w:color w:val="333333"/>
          <w:shd w:val="clear" w:color="auto" w:fill="FFFFFF"/>
        </w:rPr>
        <w:t>, Visualization</w:t>
      </w:r>
      <w:r w:rsidR="00021624">
        <w:rPr>
          <w:color w:val="333333"/>
          <w:shd w:val="clear" w:color="auto" w:fill="FFFFFF"/>
        </w:rPr>
        <w:t xml:space="preserve"> (equal); </w:t>
      </w:r>
      <w:r w:rsidRPr="00021624">
        <w:rPr>
          <w:b/>
          <w:bCs/>
          <w:color w:val="333333"/>
          <w:shd w:val="clear" w:color="auto" w:fill="FFFFFF"/>
        </w:rPr>
        <w:t>Anupama</w:t>
      </w:r>
      <w:r w:rsidR="00021624" w:rsidRPr="00021624">
        <w:rPr>
          <w:b/>
          <w:bCs/>
          <w:color w:val="333333"/>
          <w:shd w:val="clear" w:color="auto" w:fill="FFFFFF"/>
        </w:rPr>
        <w:t> </w:t>
      </w:r>
      <w:r w:rsidRPr="00021624">
        <w:rPr>
          <w:b/>
          <w:bCs/>
          <w:color w:val="333333"/>
          <w:shd w:val="clear" w:color="auto" w:fill="FFFFFF"/>
        </w:rPr>
        <w:t>Rammohan</w:t>
      </w:r>
      <w:r w:rsidR="00021624" w:rsidRPr="00021624">
        <w:rPr>
          <w:b/>
          <w:bCs/>
          <w:color w:val="333333"/>
          <w:shd w:val="clear" w:color="auto" w:fill="FFFFFF"/>
        </w:rPr>
        <w:t>:</w:t>
      </w:r>
      <w:r w:rsidR="00021624">
        <w:rPr>
          <w:color w:val="333333"/>
          <w:shd w:val="clear" w:color="auto" w:fill="FFFFFF"/>
        </w:rPr>
        <w:t xml:space="preserve"> </w:t>
      </w:r>
      <w:r w:rsidRPr="00161D4B">
        <w:rPr>
          <w:color w:val="333333"/>
          <w:shd w:val="clear" w:color="auto" w:fill="FFFFFF"/>
        </w:rPr>
        <w:t>Conceptualization</w:t>
      </w:r>
      <w:r w:rsidR="00021624">
        <w:rPr>
          <w:color w:val="333333"/>
          <w:shd w:val="clear" w:color="auto" w:fill="FFFFFF"/>
        </w:rPr>
        <w:t xml:space="preserve"> (equal)</w:t>
      </w:r>
      <w:r w:rsidRPr="00161D4B">
        <w:rPr>
          <w:color w:val="333333"/>
          <w:shd w:val="clear" w:color="auto" w:fill="FFFFFF"/>
        </w:rPr>
        <w:t>, Data curation</w:t>
      </w:r>
      <w:r w:rsidR="00021624">
        <w:rPr>
          <w:color w:val="333333"/>
          <w:shd w:val="clear" w:color="auto" w:fill="FFFFFF"/>
        </w:rPr>
        <w:t xml:space="preserve"> (equal)</w:t>
      </w:r>
      <w:r w:rsidRPr="00161D4B">
        <w:rPr>
          <w:color w:val="333333"/>
          <w:shd w:val="clear" w:color="auto" w:fill="FFFFFF"/>
        </w:rPr>
        <w:t>, Formal analysis</w:t>
      </w:r>
      <w:r w:rsidR="00021624">
        <w:rPr>
          <w:color w:val="333333"/>
          <w:shd w:val="clear" w:color="auto" w:fill="FFFFFF"/>
        </w:rPr>
        <w:t xml:space="preserve"> (equal)</w:t>
      </w:r>
      <w:r w:rsidRPr="00161D4B">
        <w:rPr>
          <w:color w:val="333333"/>
          <w:shd w:val="clear" w:color="auto" w:fill="FFFFFF"/>
        </w:rPr>
        <w:t>, Funding acquisition</w:t>
      </w:r>
      <w:r w:rsidR="00021624">
        <w:rPr>
          <w:color w:val="333333"/>
          <w:shd w:val="clear" w:color="auto" w:fill="FFFFFF"/>
        </w:rPr>
        <w:t xml:space="preserve"> (equal)</w:t>
      </w:r>
      <w:r w:rsidRPr="00161D4B">
        <w:rPr>
          <w:color w:val="333333"/>
          <w:shd w:val="clear" w:color="auto" w:fill="FFFFFF"/>
        </w:rPr>
        <w:t>, Investigation</w:t>
      </w:r>
      <w:r w:rsidR="00021624">
        <w:rPr>
          <w:color w:val="333333"/>
          <w:shd w:val="clear" w:color="auto" w:fill="FFFFFF"/>
        </w:rPr>
        <w:t xml:space="preserve"> (equal)</w:t>
      </w:r>
      <w:r w:rsidRPr="00161D4B">
        <w:rPr>
          <w:color w:val="333333"/>
          <w:shd w:val="clear" w:color="auto" w:fill="FFFFFF"/>
        </w:rPr>
        <w:t>, Methodology</w:t>
      </w:r>
      <w:r w:rsidR="00021624">
        <w:rPr>
          <w:color w:val="333333"/>
          <w:shd w:val="clear" w:color="auto" w:fill="FFFFFF"/>
        </w:rPr>
        <w:t xml:space="preserve"> (equal)</w:t>
      </w:r>
      <w:r w:rsidRPr="00161D4B">
        <w:rPr>
          <w:color w:val="333333"/>
          <w:shd w:val="clear" w:color="auto" w:fill="FFFFFF"/>
        </w:rPr>
        <w:t>, Project administration</w:t>
      </w:r>
      <w:r w:rsidR="00021624">
        <w:rPr>
          <w:color w:val="333333"/>
          <w:shd w:val="clear" w:color="auto" w:fill="FFFFFF"/>
        </w:rPr>
        <w:t xml:space="preserve"> (equal)</w:t>
      </w:r>
      <w:r w:rsidRPr="00161D4B">
        <w:rPr>
          <w:color w:val="333333"/>
          <w:shd w:val="clear" w:color="auto" w:fill="FFFFFF"/>
        </w:rPr>
        <w:t>, Resources</w:t>
      </w:r>
      <w:r w:rsidR="00021624">
        <w:rPr>
          <w:color w:val="333333"/>
          <w:shd w:val="clear" w:color="auto" w:fill="FFFFFF"/>
        </w:rPr>
        <w:t xml:space="preserve"> (equal)</w:t>
      </w:r>
      <w:r w:rsidRPr="00161D4B">
        <w:rPr>
          <w:color w:val="333333"/>
          <w:shd w:val="clear" w:color="auto" w:fill="FFFFFF"/>
        </w:rPr>
        <w:t>, Software</w:t>
      </w:r>
      <w:r w:rsidR="00021624">
        <w:rPr>
          <w:color w:val="333333"/>
          <w:shd w:val="clear" w:color="auto" w:fill="FFFFFF"/>
        </w:rPr>
        <w:t xml:space="preserve"> (equal)</w:t>
      </w:r>
      <w:r w:rsidRPr="00161D4B">
        <w:rPr>
          <w:color w:val="333333"/>
          <w:shd w:val="clear" w:color="auto" w:fill="FFFFFF"/>
        </w:rPr>
        <w:t>, Supervision</w:t>
      </w:r>
      <w:r w:rsidR="00021624">
        <w:rPr>
          <w:color w:val="333333"/>
          <w:shd w:val="clear" w:color="auto" w:fill="FFFFFF"/>
        </w:rPr>
        <w:t xml:space="preserve"> (equal)</w:t>
      </w:r>
      <w:r w:rsidRPr="00161D4B">
        <w:rPr>
          <w:color w:val="333333"/>
          <w:shd w:val="clear" w:color="auto" w:fill="FFFFFF"/>
        </w:rPr>
        <w:t>, Validation</w:t>
      </w:r>
      <w:r w:rsidR="00021624">
        <w:rPr>
          <w:color w:val="333333"/>
          <w:shd w:val="clear" w:color="auto" w:fill="FFFFFF"/>
        </w:rPr>
        <w:t xml:space="preserve"> (equal).</w:t>
      </w:r>
    </w:p>
    <w:p w14:paraId="2BE14C49" w14:textId="77777777" w:rsidR="00A372EA" w:rsidRPr="00161D4B" w:rsidRDefault="00A372EA" w:rsidP="00A372EA">
      <w:pPr>
        <w:pStyle w:val="NoSpacing"/>
        <w:spacing w:line="360" w:lineRule="auto"/>
      </w:pPr>
    </w:p>
    <w:p w14:paraId="7C11171E" w14:textId="20C9C180" w:rsidR="00A372EA" w:rsidRDefault="00A372EA" w:rsidP="00161D4B">
      <w:pPr>
        <w:pStyle w:val="NoSpacing"/>
        <w:spacing w:line="360" w:lineRule="auto"/>
        <w:rPr>
          <w:i/>
          <w:iCs/>
        </w:rPr>
      </w:pPr>
      <w:r w:rsidRPr="00A372EA">
        <w:rPr>
          <w:b/>
          <w:bCs/>
          <w:color w:val="002060"/>
        </w:rPr>
        <w:t>Financial support.</w:t>
      </w:r>
      <w:r w:rsidRPr="00A372EA">
        <w:rPr>
          <w:i/>
          <w:iCs/>
          <w:color w:val="002060"/>
        </w:rPr>
        <w:t xml:space="preserve"> </w:t>
      </w:r>
      <w:r w:rsidRPr="00161D4B">
        <w:t>This research received no specific grant from any funding agency in the public, commercial, or not-for-profit sectors.</w:t>
      </w:r>
    </w:p>
    <w:p w14:paraId="3B4136E2" w14:textId="77777777" w:rsidR="00A372EA" w:rsidRDefault="00A372EA" w:rsidP="00161D4B">
      <w:pPr>
        <w:pStyle w:val="NoSpacing"/>
        <w:spacing w:line="360" w:lineRule="auto"/>
        <w:rPr>
          <w:i/>
          <w:iCs/>
        </w:rPr>
      </w:pPr>
    </w:p>
    <w:p w14:paraId="13E46D57" w14:textId="35230A26" w:rsidR="00161D4B" w:rsidRPr="00161D4B" w:rsidRDefault="00A372EA" w:rsidP="00161D4B">
      <w:pPr>
        <w:pStyle w:val="NoSpacing"/>
        <w:spacing w:line="360" w:lineRule="auto"/>
      </w:pPr>
      <w:r w:rsidRPr="00A372EA">
        <w:rPr>
          <w:b/>
          <w:bCs/>
          <w:color w:val="002060"/>
        </w:rPr>
        <w:t>Competing i</w:t>
      </w:r>
      <w:r w:rsidR="00161D4B" w:rsidRPr="00A372EA">
        <w:rPr>
          <w:b/>
          <w:bCs/>
          <w:color w:val="002060"/>
        </w:rPr>
        <w:t>nterest</w:t>
      </w:r>
      <w:r w:rsidRPr="00A372EA">
        <w:rPr>
          <w:b/>
          <w:bCs/>
          <w:color w:val="002060"/>
        </w:rPr>
        <w:t>s.</w:t>
      </w:r>
      <w:r w:rsidRPr="00A372EA">
        <w:rPr>
          <w:i/>
          <w:iCs/>
          <w:color w:val="002060"/>
        </w:rPr>
        <w:t xml:space="preserve"> </w:t>
      </w:r>
      <w:r w:rsidR="00161D4B" w:rsidRPr="00161D4B">
        <w:t xml:space="preserve">The authors have no </w:t>
      </w:r>
      <w:r w:rsidR="00D21E98">
        <w:t>competing</w:t>
      </w:r>
      <w:r w:rsidR="00161D4B" w:rsidRPr="00161D4B">
        <w:t xml:space="preserve"> interests relevant to this article to disclose.</w:t>
      </w:r>
    </w:p>
    <w:p w14:paraId="3D434F0A" w14:textId="77777777" w:rsidR="00161D4B" w:rsidRPr="00161D4B" w:rsidRDefault="00161D4B" w:rsidP="00161D4B">
      <w:pPr>
        <w:pStyle w:val="NoSpacing"/>
        <w:spacing w:line="360" w:lineRule="auto"/>
      </w:pPr>
    </w:p>
    <w:p w14:paraId="4C363EA3" w14:textId="351581A1" w:rsidR="00161D4B" w:rsidRPr="00161D4B" w:rsidRDefault="00161D4B" w:rsidP="00161D4B">
      <w:pPr>
        <w:spacing w:line="360" w:lineRule="auto"/>
        <w:jc w:val="both"/>
      </w:pPr>
      <w:r w:rsidRPr="00A372EA">
        <w:rPr>
          <w:b/>
          <w:bCs/>
          <w:color w:val="002060"/>
        </w:rPr>
        <w:t xml:space="preserve">Ethical </w:t>
      </w:r>
      <w:r w:rsidR="00A372EA" w:rsidRPr="00A372EA">
        <w:rPr>
          <w:b/>
          <w:bCs/>
          <w:color w:val="002060"/>
        </w:rPr>
        <w:t>standards.</w:t>
      </w:r>
      <w:r w:rsidR="00A372EA" w:rsidRPr="00A372EA">
        <w:rPr>
          <w:i/>
          <w:iCs/>
          <w:color w:val="002060"/>
        </w:rPr>
        <w:t xml:space="preserve"> </w:t>
      </w:r>
      <w:r w:rsidRPr="00161D4B">
        <w:t xml:space="preserve">The </w:t>
      </w:r>
      <w:r w:rsidR="00D21E98">
        <w:t>T</w:t>
      </w:r>
      <w:r w:rsidRPr="00161D4B">
        <w:t>rust</w:t>
      </w:r>
      <w:r w:rsidR="00D21E98">
        <w:t>’</w:t>
      </w:r>
      <w:r w:rsidRPr="00161D4B">
        <w:t xml:space="preserve">s information governance team conducted a review for both the clinical audit and online survey. This assessment determined that NHS ethical approval for the present study </w:t>
      </w:r>
      <w:r w:rsidR="00D21E98">
        <w:t xml:space="preserve">was </w:t>
      </w:r>
      <w:r w:rsidRPr="00161D4B">
        <w:t>not required as it was a part of a service evaluation and quality improvement project. Treatment was not denied to anyone eligible for access to this service over the duration of the project</w:t>
      </w:r>
      <w:r w:rsidR="00D21E98">
        <w:t>,</w:t>
      </w:r>
      <w:r w:rsidRPr="00161D4B">
        <w:t xml:space="preserve"> and informed consent was obtained from the participants involved in the present study. This material is the authors’ own original work, which has not previously been published elsewhere. </w:t>
      </w:r>
    </w:p>
    <w:p w14:paraId="4B8C2967" w14:textId="77777777" w:rsidR="001E11CF" w:rsidRPr="00161D4B" w:rsidRDefault="001E11CF" w:rsidP="00161D4B">
      <w:pPr>
        <w:spacing w:line="360" w:lineRule="auto"/>
        <w:jc w:val="both"/>
      </w:pPr>
    </w:p>
    <w:p w14:paraId="5B1D25DD" w14:textId="77777777" w:rsidR="001E11CF" w:rsidRPr="00A372EA" w:rsidRDefault="001E11CF" w:rsidP="00161D4B">
      <w:pPr>
        <w:spacing w:line="360" w:lineRule="auto"/>
        <w:jc w:val="both"/>
        <w:rPr>
          <w:b/>
          <w:bCs/>
          <w:color w:val="002060"/>
        </w:rPr>
      </w:pPr>
      <w:r w:rsidRPr="00A372EA">
        <w:rPr>
          <w:b/>
          <w:bCs/>
          <w:color w:val="002060"/>
        </w:rPr>
        <w:t>References</w:t>
      </w:r>
    </w:p>
    <w:p w14:paraId="795444F0" w14:textId="3B036BAB"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Bailey, N. M.</w:t>
      </w:r>
      <w:r w:rsidRPr="00655A41">
        <w:rPr>
          <w:color w:val="000000" w:themeColor="text1"/>
        </w:rPr>
        <w:t xml:space="preserve"> (2007). Prevalence of psychiatric disorders in adults with moderate to profound learning disabilities. </w:t>
      </w:r>
      <w:r w:rsidRPr="00655A41">
        <w:rPr>
          <w:i/>
          <w:iCs/>
          <w:color w:val="000000" w:themeColor="text1"/>
        </w:rPr>
        <w:t>Advances in Mental Health and Learning Disabilities</w:t>
      </w:r>
      <w:r w:rsidRPr="00037842">
        <w:rPr>
          <w:color w:val="000000" w:themeColor="text1"/>
        </w:rPr>
        <w:t xml:space="preserve">, </w:t>
      </w:r>
      <w:r w:rsidRPr="00037842">
        <w:rPr>
          <w:i/>
          <w:iCs/>
          <w:color w:val="000000" w:themeColor="text1"/>
        </w:rPr>
        <w:t>1</w:t>
      </w:r>
      <w:r w:rsidR="00037842">
        <w:rPr>
          <w:color w:val="000000" w:themeColor="text1"/>
        </w:rPr>
        <w:t>,</w:t>
      </w:r>
      <w:r w:rsidRPr="00655A41">
        <w:rPr>
          <w:color w:val="000000" w:themeColor="text1"/>
        </w:rPr>
        <w:t xml:space="preserve"> 36</w:t>
      </w:r>
      <w:r w:rsidR="00037842">
        <w:rPr>
          <w:color w:val="000000" w:themeColor="text1"/>
        </w:rPr>
        <w:t>–</w:t>
      </w:r>
      <w:r w:rsidRPr="00655A41">
        <w:rPr>
          <w:color w:val="000000" w:themeColor="text1"/>
        </w:rPr>
        <w:t>44</w:t>
      </w:r>
      <w:r w:rsidR="00037842">
        <w:rPr>
          <w:color w:val="000000" w:themeColor="text1"/>
        </w:rPr>
        <w:t>.</w:t>
      </w:r>
    </w:p>
    <w:p w14:paraId="73A56740" w14:textId="38C21DD8"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Beck, A., &amp; Naz, S.</w:t>
      </w:r>
      <w:r w:rsidRPr="00655A41">
        <w:rPr>
          <w:color w:val="000000" w:themeColor="text1"/>
        </w:rPr>
        <w:t xml:space="preserve"> (2019). The need for service change and community outreach work to support trans-cultural cognitive behaviour therapy with Black and Minority Ethnic communities. </w:t>
      </w:r>
      <w:r w:rsidR="00037842">
        <w:rPr>
          <w:i/>
          <w:iCs/>
          <w:color w:val="000000" w:themeColor="text1"/>
        </w:rPr>
        <w:t>t</w:t>
      </w:r>
      <w:r w:rsidRPr="00655A41">
        <w:rPr>
          <w:i/>
          <w:iCs/>
          <w:color w:val="000000" w:themeColor="text1"/>
        </w:rPr>
        <w:t>he</w:t>
      </w:r>
      <w:r w:rsidR="00037842">
        <w:rPr>
          <w:i/>
          <w:iCs/>
          <w:color w:val="000000" w:themeColor="text1"/>
        </w:rPr>
        <w:t> </w:t>
      </w:r>
      <w:r w:rsidRPr="00655A41">
        <w:rPr>
          <w:i/>
          <w:iCs/>
          <w:color w:val="000000" w:themeColor="text1"/>
        </w:rPr>
        <w:t>Cognitive Behaviour Therapist</w:t>
      </w:r>
      <w:r w:rsidRPr="00655A41">
        <w:rPr>
          <w:color w:val="000000" w:themeColor="text1"/>
        </w:rPr>
        <w:t xml:space="preserve">, </w:t>
      </w:r>
      <w:r w:rsidRPr="00037842">
        <w:rPr>
          <w:i/>
          <w:iCs/>
          <w:color w:val="000000" w:themeColor="text1"/>
        </w:rPr>
        <w:t>12</w:t>
      </w:r>
      <w:r w:rsidRPr="00655A41">
        <w:rPr>
          <w:color w:val="000000" w:themeColor="text1"/>
        </w:rPr>
        <w:t xml:space="preserve">. </w:t>
      </w:r>
    </w:p>
    <w:p w14:paraId="0E781B8B" w14:textId="1022469B"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Beck, A., Naz, S., Brooks, M., &amp; Jankowska, M.</w:t>
      </w:r>
      <w:r w:rsidRPr="00655A41">
        <w:rPr>
          <w:color w:val="000000" w:themeColor="text1"/>
        </w:rPr>
        <w:t xml:space="preserve"> (2019). Black, Asian and Minority </w:t>
      </w:r>
      <w:r w:rsidR="00C050BD" w:rsidRPr="00655A41">
        <w:rPr>
          <w:color w:val="000000" w:themeColor="text1"/>
        </w:rPr>
        <w:t>E</w:t>
      </w:r>
      <w:r w:rsidRPr="00655A41">
        <w:rPr>
          <w:color w:val="000000" w:themeColor="text1"/>
        </w:rPr>
        <w:t xml:space="preserve">thnic </w:t>
      </w:r>
      <w:r w:rsidR="00C050BD" w:rsidRPr="00655A41">
        <w:rPr>
          <w:color w:val="000000" w:themeColor="text1"/>
        </w:rPr>
        <w:t>S</w:t>
      </w:r>
      <w:r w:rsidRPr="00655A41">
        <w:rPr>
          <w:color w:val="000000" w:themeColor="text1"/>
        </w:rPr>
        <w:t xml:space="preserve">ervice </w:t>
      </w:r>
      <w:r w:rsidR="00C050BD" w:rsidRPr="00655A41">
        <w:rPr>
          <w:color w:val="000000" w:themeColor="text1"/>
        </w:rPr>
        <w:t>U</w:t>
      </w:r>
      <w:r w:rsidRPr="00655A41">
        <w:rPr>
          <w:color w:val="000000" w:themeColor="text1"/>
        </w:rPr>
        <w:t xml:space="preserve">ser </w:t>
      </w:r>
      <w:r w:rsidR="00C050BD" w:rsidRPr="00655A41">
        <w:rPr>
          <w:color w:val="000000" w:themeColor="text1"/>
        </w:rPr>
        <w:t>P</w:t>
      </w:r>
      <w:r w:rsidRPr="00655A41">
        <w:rPr>
          <w:color w:val="000000" w:themeColor="text1"/>
        </w:rPr>
        <w:t xml:space="preserve">ositive </w:t>
      </w:r>
      <w:r w:rsidR="00C050BD" w:rsidRPr="00655A41">
        <w:rPr>
          <w:color w:val="000000" w:themeColor="text1"/>
        </w:rPr>
        <w:t>P</w:t>
      </w:r>
      <w:r w:rsidRPr="00655A41">
        <w:rPr>
          <w:color w:val="000000" w:themeColor="text1"/>
        </w:rPr>
        <w:t xml:space="preserve">ractice </w:t>
      </w:r>
      <w:r w:rsidR="00C050BD" w:rsidRPr="00655A41">
        <w:rPr>
          <w:color w:val="000000" w:themeColor="text1"/>
        </w:rPr>
        <w:t>G</w:t>
      </w:r>
      <w:r w:rsidRPr="00655A41">
        <w:rPr>
          <w:color w:val="000000" w:themeColor="text1"/>
        </w:rPr>
        <w:t>uid</w:t>
      </w:r>
      <w:r w:rsidR="005D1F3D" w:rsidRPr="00655A41">
        <w:rPr>
          <w:color w:val="000000" w:themeColor="text1"/>
        </w:rPr>
        <w:t>e</w:t>
      </w:r>
      <w:r w:rsidRPr="00655A41">
        <w:rPr>
          <w:color w:val="000000" w:themeColor="text1"/>
        </w:rPr>
        <w:t xml:space="preserve">. </w:t>
      </w:r>
    </w:p>
    <w:p w14:paraId="2146D65C" w14:textId="217036DD"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Brent Council</w:t>
      </w:r>
      <w:r w:rsidRPr="00655A41">
        <w:rPr>
          <w:color w:val="000000" w:themeColor="text1"/>
        </w:rPr>
        <w:t xml:space="preserve"> (2019). Inclusive Growth Strategy 2019</w:t>
      </w:r>
      <w:r w:rsidR="00037842">
        <w:rPr>
          <w:color w:val="000000" w:themeColor="text1"/>
        </w:rPr>
        <w:t>–</w:t>
      </w:r>
      <w:r w:rsidRPr="00655A41">
        <w:rPr>
          <w:color w:val="000000" w:themeColor="text1"/>
        </w:rPr>
        <w:t>2040</w:t>
      </w:r>
      <w:r w:rsidR="00037842">
        <w:rPr>
          <w:color w:val="000000" w:themeColor="text1"/>
        </w:rPr>
        <w:t>.</w:t>
      </w:r>
      <w:r w:rsidRPr="00655A41">
        <w:rPr>
          <w:color w:val="000000" w:themeColor="text1"/>
        </w:rPr>
        <w:t xml:space="preserve"> Research Base Brent.</w:t>
      </w:r>
    </w:p>
    <w:p w14:paraId="7A7EA7F4" w14:textId="1DDE0172" w:rsidR="001E11CF" w:rsidRPr="00655A41" w:rsidRDefault="001E11CF" w:rsidP="00A372EA">
      <w:pPr>
        <w:pStyle w:val="NoSpacing"/>
        <w:spacing w:line="360" w:lineRule="auto"/>
        <w:ind w:left="567" w:hanging="567"/>
        <w:rPr>
          <w:color w:val="000000" w:themeColor="text1"/>
        </w:rPr>
      </w:pPr>
      <w:r w:rsidRPr="00037842">
        <w:rPr>
          <w:b/>
          <w:bCs/>
          <w:color w:val="000000" w:themeColor="text1"/>
          <w:shd w:val="clear" w:color="auto" w:fill="FFFFFF"/>
        </w:rPr>
        <w:t>Brown, P</w:t>
      </w:r>
      <w:r w:rsidR="00037842" w:rsidRPr="00037842">
        <w:rPr>
          <w:b/>
          <w:bCs/>
          <w:color w:val="000000" w:themeColor="text1"/>
          <w:shd w:val="clear" w:color="auto" w:fill="FFFFFF"/>
        </w:rPr>
        <w:t>.</w:t>
      </w:r>
      <w:r w:rsidRPr="00037842">
        <w:rPr>
          <w:b/>
          <w:bCs/>
          <w:color w:val="000000" w:themeColor="text1"/>
          <w:shd w:val="clear" w:color="auto" w:fill="FFFFFF"/>
        </w:rPr>
        <w:t>, Calnan, M</w:t>
      </w:r>
      <w:r w:rsidR="00037842" w:rsidRPr="00037842">
        <w:rPr>
          <w:b/>
          <w:bCs/>
          <w:color w:val="000000" w:themeColor="text1"/>
          <w:shd w:val="clear" w:color="auto" w:fill="FFFFFF"/>
        </w:rPr>
        <w:t>.</w:t>
      </w:r>
      <w:r w:rsidRPr="00037842">
        <w:rPr>
          <w:b/>
          <w:bCs/>
          <w:color w:val="000000" w:themeColor="text1"/>
          <w:shd w:val="clear" w:color="auto" w:fill="FFFFFF"/>
        </w:rPr>
        <w:t xml:space="preserve">, Scrivener, A., &amp; </w:t>
      </w:r>
      <w:proofErr w:type="spellStart"/>
      <w:r w:rsidRPr="00037842">
        <w:rPr>
          <w:b/>
          <w:bCs/>
          <w:color w:val="000000" w:themeColor="text1"/>
          <w:shd w:val="clear" w:color="auto" w:fill="FFFFFF"/>
        </w:rPr>
        <w:t>Szmukler</w:t>
      </w:r>
      <w:proofErr w:type="spellEnd"/>
      <w:r w:rsidRPr="00037842">
        <w:rPr>
          <w:b/>
          <w:bCs/>
          <w:color w:val="000000" w:themeColor="text1"/>
          <w:shd w:val="clear" w:color="auto" w:fill="FFFFFF"/>
        </w:rPr>
        <w:t>, G.</w:t>
      </w:r>
      <w:r w:rsidRPr="00655A41">
        <w:rPr>
          <w:color w:val="000000" w:themeColor="text1"/>
          <w:shd w:val="clear" w:color="auto" w:fill="FFFFFF"/>
        </w:rPr>
        <w:t xml:space="preserve"> (2009). Trust in mental health services: </w:t>
      </w:r>
      <w:r w:rsidR="00037842">
        <w:rPr>
          <w:color w:val="000000" w:themeColor="text1"/>
          <w:shd w:val="clear" w:color="auto" w:fill="FFFFFF"/>
        </w:rPr>
        <w:t>a</w:t>
      </w:r>
      <w:r w:rsidRPr="00655A41">
        <w:rPr>
          <w:color w:val="000000" w:themeColor="text1"/>
          <w:shd w:val="clear" w:color="auto" w:fill="FFFFFF"/>
        </w:rPr>
        <w:t xml:space="preserve"> neglected concept. </w:t>
      </w:r>
      <w:r w:rsidRPr="00655A41">
        <w:rPr>
          <w:i/>
          <w:iCs/>
          <w:color w:val="000000" w:themeColor="text1"/>
          <w:shd w:val="clear" w:color="auto" w:fill="FFFFFF"/>
        </w:rPr>
        <w:t>Journal of Mental Health</w:t>
      </w:r>
      <w:r w:rsidRPr="00655A41">
        <w:rPr>
          <w:color w:val="000000" w:themeColor="text1"/>
          <w:shd w:val="clear" w:color="auto" w:fill="FFFFFF"/>
        </w:rPr>
        <w:t xml:space="preserve">, </w:t>
      </w:r>
      <w:r w:rsidRPr="00037842">
        <w:rPr>
          <w:i/>
          <w:iCs/>
          <w:color w:val="000000" w:themeColor="text1"/>
          <w:shd w:val="clear" w:color="auto" w:fill="FFFFFF"/>
        </w:rPr>
        <w:t>18</w:t>
      </w:r>
      <w:r w:rsidRPr="00655A41">
        <w:rPr>
          <w:color w:val="000000" w:themeColor="text1"/>
          <w:shd w:val="clear" w:color="auto" w:fill="FFFFFF"/>
        </w:rPr>
        <w:t>, 449</w:t>
      </w:r>
      <w:r w:rsidR="00037842">
        <w:rPr>
          <w:color w:val="000000" w:themeColor="text1"/>
        </w:rPr>
        <w:t>–</w:t>
      </w:r>
      <w:r w:rsidRPr="00655A41">
        <w:rPr>
          <w:color w:val="000000" w:themeColor="text1"/>
          <w:shd w:val="clear" w:color="auto" w:fill="FFFFFF"/>
        </w:rPr>
        <w:t xml:space="preserve">458, </w:t>
      </w:r>
      <w:proofErr w:type="spellStart"/>
      <w:r w:rsidR="00037842">
        <w:rPr>
          <w:color w:val="000000" w:themeColor="text1"/>
        </w:rPr>
        <w:t>doi</w:t>
      </w:r>
      <w:proofErr w:type="spellEnd"/>
      <w:r w:rsidRPr="00655A41">
        <w:rPr>
          <w:color w:val="000000" w:themeColor="text1"/>
        </w:rPr>
        <w:t>:</w:t>
      </w:r>
      <w:r w:rsidR="00037842">
        <w:rPr>
          <w:color w:val="000000" w:themeColor="text1"/>
        </w:rPr>
        <w:t> </w:t>
      </w:r>
      <w:r w:rsidRPr="00655A41">
        <w:rPr>
          <w:color w:val="000000" w:themeColor="text1"/>
        </w:rPr>
        <w:t>10.3109/09638230903111122.</w:t>
      </w:r>
    </w:p>
    <w:p w14:paraId="596A48EC" w14:textId="69D1A7E9" w:rsidR="00A372EA" w:rsidRPr="00655A41" w:rsidRDefault="00A372EA" w:rsidP="00A372EA">
      <w:pPr>
        <w:pStyle w:val="NoSpacing"/>
        <w:spacing w:line="360" w:lineRule="auto"/>
        <w:ind w:left="567" w:hanging="567"/>
        <w:rPr>
          <w:color w:val="000000" w:themeColor="text1"/>
        </w:rPr>
      </w:pPr>
      <w:r w:rsidRPr="00037842">
        <w:rPr>
          <w:b/>
          <w:bCs/>
          <w:color w:val="000000" w:themeColor="text1"/>
        </w:rPr>
        <w:t>Dagnan, D</w:t>
      </w:r>
      <w:r w:rsidR="00037842" w:rsidRPr="00037842">
        <w:rPr>
          <w:b/>
          <w:bCs/>
          <w:color w:val="000000" w:themeColor="text1"/>
        </w:rPr>
        <w:t>.</w:t>
      </w:r>
      <w:r w:rsidRPr="00037842">
        <w:rPr>
          <w:b/>
          <w:bCs/>
          <w:color w:val="000000" w:themeColor="text1"/>
        </w:rPr>
        <w:t>, Burke, C</w:t>
      </w:r>
      <w:r w:rsidR="00037842" w:rsidRPr="00037842">
        <w:rPr>
          <w:b/>
          <w:bCs/>
          <w:color w:val="000000" w:themeColor="text1"/>
        </w:rPr>
        <w:t>.</w:t>
      </w:r>
      <w:r w:rsidRPr="00037842">
        <w:rPr>
          <w:b/>
          <w:bCs/>
          <w:color w:val="000000" w:themeColor="text1"/>
        </w:rPr>
        <w:t>, Davies, J</w:t>
      </w:r>
      <w:r w:rsidR="00037842" w:rsidRPr="00037842">
        <w:rPr>
          <w:b/>
          <w:bCs/>
          <w:color w:val="000000" w:themeColor="text1"/>
        </w:rPr>
        <w:t>.,</w:t>
      </w:r>
      <w:r w:rsidRPr="00037842">
        <w:rPr>
          <w:b/>
          <w:bCs/>
          <w:color w:val="000000" w:themeColor="text1"/>
        </w:rPr>
        <w:t xml:space="preserve"> Chinn, D</w:t>
      </w:r>
      <w:r w:rsidR="00037842" w:rsidRPr="00037842">
        <w:rPr>
          <w:b/>
          <w:bCs/>
          <w:color w:val="000000" w:themeColor="text1"/>
        </w:rPr>
        <w:t>.</w:t>
      </w:r>
      <w:r w:rsidRPr="00037842">
        <w:rPr>
          <w:b/>
          <w:bCs/>
          <w:color w:val="000000" w:themeColor="text1"/>
        </w:rPr>
        <w:t>, Thwaites, R</w:t>
      </w:r>
      <w:r w:rsidR="00037842" w:rsidRPr="00037842">
        <w:rPr>
          <w:b/>
          <w:bCs/>
          <w:color w:val="000000" w:themeColor="text1"/>
        </w:rPr>
        <w:t>.</w:t>
      </w:r>
      <w:r w:rsidRPr="00037842">
        <w:rPr>
          <w:b/>
          <w:bCs/>
          <w:color w:val="000000" w:themeColor="text1"/>
        </w:rPr>
        <w:t xml:space="preserve">, Dodd, K., &amp; </w:t>
      </w:r>
      <w:proofErr w:type="spellStart"/>
      <w:r w:rsidRPr="00037842">
        <w:rPr>
          <w:b/>
          <w:bCs/>
          <w:color w:val="000000" w:themeColor="text1"/>
        </w:rPr>
        <w:t>Hassiotis</w:t>
      </w:r>
      <w:proofErr w:type="spellEnd"/>
      <w:r w:rsidRPr="00037842">
        <w:rPr>
          <w:b/>
          <w:bCs/>
          <w:color w:val="000000" w:themeColor="text1"/>
        </w:rPr>
        <w:t>, A.</w:t>
      </w:r>
      <w:r w:rsidRPr="00655A41">
        <w:rPr>
          <w:color w:val="000000" w:themeColor="text1"/>
        </w:rPr>
        <w:t xml:space="preserve"> (2015). Learning Disabilities: Positive Practice Guide. </w:t>
      </w:r>
    </w:p>
    <w:p w14:paraId="1F30C075" w14:textId="27EB6052"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 xml:space="preserve">Dawn, E., &amp; </w:t>
      </w:r>
      <w:proofErr w:type="spellStart"/>
      <w:r w:rsidRPr="00037842">
        <w:rPr>
          <w:b/>
          <w:bCs/>
          <w:color w:val="000000" w:themeColor="text1"/>
        </w:rPr>
        <w:t>Mac</w:t>
      </w:r>
      <w:r w:rsidR="00942EB2" w:rsidRPr="00037842">
        <w:rPr>
          <w:b/>
          <w:bCs/>
          <w:color w:val="000000" w:themeColor="text1"/>
        </w:rPr>
        <w:t>k</w:t>
      </w:r>
      <w:r w:rsidRPr="00037842">
        <w:rPr>
          <w:b/>
          <w:bCs/>
          <w:color w:val="000000" w:themeColor="text1"/>
        </w:rPr>
        <w:t>ian</w:t>
      </w:r>
      <w:proofErr w:type="spellEnd"/>
      <w:r w:rsidRPr="00037842">
        <w:rPr>
          <w:b/>
          <w:bCs/>
          <w:color w:val="000000" w:themeColor="text1"/>
        </w:rPr>
        <w:t>, S. C.</w:t>
      </w:r>
      <w:r w:rsidRPr="00655A41">
        <w:rPr>
          <w:color w:val="000000" w:themeColor="text1"/>
        </w:rPr>
        <w:t xml:space="preserve"> (2010). Ethnicity and mental health encounters in primary care: help-seeking and help-giving for perinatal depression among Black Caribbean women in the UK. </w:t>
      </w:r>
      <w:r w:rsidRPr="00655A41">
        <w:rPr>
          <w:i/>
          <w:iCs/>
          <w:color w:val="000000" w:themeColor="text1"/>
        </w:rPr>
        <w:t>Ethnicity &amp; Health</w:t>
      </w:r>
      <w:r w:rsidRPr="00655A41">
        <w:rPr>
          <w:color w:val="000000" w:themeColor="text1"/>
        </w:rPr>
        <w:t xml:space="preserve">, </w:t>
      </w:r>
      <w:r w:rsidRPr="00037842">
        <w:rPr>
          <w:i/>
          <w:iCs/>
          <w:color w:val="000000" w:themeColor="text1"/>
        </w:rPr>
        <w:t>15</w:t>
      </w:r>
      <w:r w:rsidR="00037842">
        <w:rPr>
          <w:color w:val="000000" w:themeColor="text1"/>
        </w:rPr>
        <w:t xml:space="preserve">, </w:t>
      </w:r>
      <w:r w:rsidRPr="00655A41">
        <w:rPr>
          <w:color w:val="000000" w:themeColor="text1"/>
        </w:rPr>
        <w:t>93</w:t>
      </w:r>
      <w:r w:rsidR="00037842">
        <w:rPr>
          <w:color w:val="000000" w:themeColor="text1"/>
        </w:rPr>
        <w:t>–</w:t>
      </w:r>
      <w:r w:rsidRPr="00655A41">
        <w:rPr>
          <w:color w:val="000000" w:themeColor="text1"/>
        </w:rPr>
        <w:t xml:space="preserve">111 </w:t>
      </w:r>
      <w:proofErr w:type="spellStart"/>
      <w:r w:rsidR="00037842">
        <w:rPr>
          <w:color w:val="000000" w:themeColor="text1"/>
        </w:rPr>
        <w:t>doi</w:t>
      </w:r>
      <w:proofErr w:type="spellEnd"/>
      <w:r w:rsidRPr="00655A41">
        <w:rPr>
          <w:color w:val="000000" w:themeColor="text1"/>
        </w:rPr>
        <w:t>:</w:t>
      </w:r>
      <w:r w:rsidR="00037842">
        <w:rPr>
          <w:color w:val="000000" w:themeColor="text1"/>
        </w:rPr>
        <w:t> </w:t>
      </w:r>
      <w:r w:rsidRPr="00655A41">
        <w:rPr>
          <w:color w:val="000000" w:themeColor="text1"/>
        </w:rPr>
        <w:t>10.1080/1355785090341883</w:t>
      </w:r>
    </w:p>
    <w:p w14:paraId="5E25508D" w14:textId="5C51FD3D" w:rsidR="001E11CF" w:rsidRPr="00655A41" w:rsidRDefault="001E11CF" w:rsidP="00A372EA">
      <w:pPr>
        <w:pStyle w:val="NoSpacing"/>
        <w:spacing w:line="360" w:lineRule="auto"/>
        <w:ind w:left="567" w:hanging="567"/>
        <w:rPr>
          <w:rStyle w:val="Hyperlink"/>
          <w:color w:val="000000" w:themeColor="text1"/>
          <w:u w:val="none"/>
        </w:rPr>
      </w:pPr>
      <w:r w:rsidRPr="00037842">
        <w:rPr>
          <w:b/>
          <w:bCs/>
          <w:color w:val="000000" w:themeColor="text1"/>
        </w:rPr>
        <w:t>Fitzpatrick, R</w:t>
      </w:r>
      <w:r w:rsidR="00037842" w:rsidRPr="00037842">
        <w:rPr>
          <w:b/>
          <w:bCs/>
          <w:color w:val="000000" w:themeColor="text1"/>
        </w:rPr>
        <w:t>.</w:t>
      </w:r>
      <w:r w:rsidRPr="00037842">
        <w:rPr>
          <w:b/>
          <w:bCs/>
          <w:color w:val="000000" w:themeColor="text1"/>
        </w:rPr>
        <w:t>, Kumar, S</w:t>
      </w:r>
      <w:r w:rsidR="00037842" w:rsidRPr="00037842">
        <w:rPr>
          <w:b/>
          <w:bCs/>
          <w:color w:val="000000" w:themeColor="text1"/>
        </w:rPr>
        <w:t>.</w:t>
      </w:r>
      <w:r w:rsidRPr="00037842">
        <w:rPr>
          <w:b/>
          <w:bCs/>
          <w:color w:val="000000" w:themeColor="text1"/>
        </w:rPr>
        <w:t xml:space="preserve">, </w:t>
      </w:r>
      <w:proofErr w:type="spellStart"/>
      <w:r w:rsidRPr="00037842">
        <w:rPr>
          <w:b/>
          <w:bCs/>
          <w:color w:val="000000" w:themeColor="text1"/>
        </w:rPr>
        <w:t>Nkansa</w:t>
      </w:r>
      <w:proofErr w:type="spellEnd"/>
      <w:r w:rsidRPr="00037842">
        <w:rPr>
          <w:b/>
          <w:bCs/>
          <w:color w:val="000000" w:themeColor="text1"/>
        </w:rPr>
        <w:t>-Dwamena, O., &amp; Thorne, L.</w:t>
      </w:r>
      <w:r w:rsidRPr="00655A41">
        <w:rPr>
          <w:color w:val="000000" w:themeColor="text1"/>
        </w:rPr>
        <w:t xml:space="preserve"> (2014). Ethnic </w:t>
      </w:r>
      <w:r w:rsidR="00037842">
        <w:rPr>
          <w:color w:val="000000" w:themeColor="text1"/>
        </w:rPr>
        <w:t>i</w:t>
      </w:r>
      <w:r w:rsidRPr="00655A41">
        <w:rPr>
          <w:color w:val="000000" w:themeColor="text1"/>
        </w:rPr>
        <w:t xml:space="preserve">nequalities in </w:t>
      </w:r>
      <w:r w:rsidR="00037842">
        <w:rPr>
          <w:color w:val="000000" w:themeColor="text1"/>
        </w:rPr>
        <w:t>m</w:t>
      </w:r>
      <w:r w:rsidRPr="00655A41">
        <w:rPr>
          <w:color w:val="000000" w:themeColor="text1"/>
        </w:rPr>
        <w:t xml:space="preserve">ental </w:t>
      </w:r>
      <w:r w:rsidR="00037842">
        <w:rPr>
          <w:color w:val="000000" w:themeColor="text1"/>
        </w:rPr>
        <w:t>h</w:t>
      </w:r>
      <w:r w:rsidRPr="00655A41">
        <w:rPr>
          <w:color w:val="000000" w:themeColor="text1"/>
        </w:rPr>
        <w:t xml:space="preserve">ealth: </w:t>
      </w:r>
      <w:r w:rsidR="00037842">
        <w:rPr>
          <w:color w:val="000000" w:themeColor="text1"/>
        </w:rPr>
        <w:t>p</w:t>
      </w:r>
      <w:r w:rsidRPr="00655A41">
        <w:rPr>
          <w:color w:val="000000" w:themeColor="text1"/>
        </w:rPr>
        <w:t xml:space="preserve">romoting </w:t>
      </w:r>
      <w:r w:rsidR="00037842">
        <w:rPr>
          <w:color w:val="000000" w:themeColor="text1"/>
        </w:rPr>
        <w:t>l</w:t>
      </w:r>
      <w:r w:rsidRPr="00655A41">
        <w:rPr>
          <w:color w:val="000000" w:themeColor="text1"/>
        </w:rPr>
        <w:t xml:space="preserve">asting </w:t>
      </w:r>
      <w:r w:rsidR="00037842">
        <w:rPr>
          <w:color w:val="000000" w:themeColor="text1"/>
        </w:rPr>
        <w:t>p</w:t>
      </w:r>
      <w:r w:rsidRPr="00655A41">
        <w:rPr>
          <w:color w:val="000000" w:themeColor="text1"/>
        </w:rPr>
        <w:t xml:space="preserve">ositive </w:t>
      </w:r>
      <w:r w:rsidR="00037842">
        <w:rPr>
          <w:color w:val="000000" w:themeColor="text1"/>
        </w:rPr>
        <w:t>c</w:t>
      </w:r>
      <w:r w:rsidRPr="00655A41">
        <w:rPr>
          <w:color w:val="000000" w:themeColor="text1"/>
        </w:rPr>
        <w:t xml:space="preserve">hange. Report of findings to </w:t>
      </w:r>
      <w:proofErr w:type="spellStart"/>
      <w:r w:rsidRPr="00655A41">
        <w:rPr>
          <w:color w:val="000000" w:themeColor="text1"/>
        </w:rPr>
        <w:t>Lankelly</w:t>
      </w:r>
      <w:proofErr w:type="spellEnd"/>
      <w:r w:rsidRPr="00655A41">
        <w:rPr>
          <w:color w:val="000000" w:themeColor="text1"/>
        </w:rPr>
        <w:t xml:space="preserve"> Chase Foundation, Mind, The Afiya </w:t>
      </w:r>
      <w:proofErr w:type="gramStart"/>
      <w:r w:rsidRPr="00655A41">
        <w:rPr>
          <w:color w:val="000000" w:themeColor="text1"/>
        </w:rPr>
        <w:t>Trust</w:t>
      </w:r>
      <w:proofErr w:type="gramEnd"/>
      <w:r w:rsidRPr="00655A41">
        <w:rPr>
          <w:color w:val="000000" w:themeColor="text1"/>
        </w:rPr>
        <w:t xml:space="preserve"> and Centre for Mental Health. </w:t>
      </w:r>
      <w:hyperlink r:id="rId5" w:history="1">
        <w:r w:rsidRPr="00655A41">
          <w:rPr>
            <w:rStyle w:val="Hyperlink"/>
            <w:color w:val="000000" w:themeColor="text1"/>
            <w:u w:val="none"/>
          </w:rPr>
          <w:t>https://www.mentalhealth.org.uk/sites/default/files/FPLD-positive-practice-guide.pdf</w:t>
        </w:r>
      </w:hyperlink>
    </w:p>
    <w:p w14:paraId="2CDF2A21" w14:textId="64E6D623" w:rsidR="001E11CF" w:rsidRPr="00655A41" w:rsidRDefault="001E11CF" w:rsidP="00A372EA">
      <w:pPr>
        <w:pStyle w:val="NoSpacing"/>
        <w:spacing w:line="360" w:lineRule="auto"/>
        <w:ind w:left="567" w:hanging="567"/>
        <w:rPr>
          <w:color w:val="000000" w:themeColor="text1"/>
        </w:rPr>
      </w:pPr>
      <w:r w:rsidRPr="00037842">
        <w:rPr>
          <w:b/>
          <w:bCs/>
          <w:color w:val="000000" w:themeColor="text1"/>
        </w:rPr>
        <w:t>Gravell, C.</w:t>
      </w:r>
      <w:r w:rsidRPr="00655A41">
        <w:rPr>
          <w:color w:val="000000" w:themeColor="text1"/>
        </w:rPr>
        <w:t xml:space="preserve"> (2012). Loneliness and cruelty: </w:t>
      </w:r>
      <w:r w:rsidR="00037842">
        <w:rPr>
          <w:color w:val="000000" w:themeColor="text1"/>
        </w:rPr>
        <w:t>p</w:t>
      </w:r>
      <w:r w:rsidRPr="00655A41">
        <w:rPr>
          <w:color w:val="000000" w:themeColor="text1"/>
        </w:rPr>
        <w:t xml:space="preserve">eople with learning disabilities and their experience of harassment, </w:t>
      </w:r>
      <w:proofErr w:type="gramStart"/>
      <w:r w:rsidRPr="00655A41">
        <w:rPr>
          <w:color w:val="000000" w:themeColor="text1"/>
        </w:rPr>
        <w:t>abuse</w:t>
      </w:r>
      <w:proofErr w:type="gramEnd"/>
      <w:r w:rsidRPr="00655A41">
        <w:rPr>
          <w:color w:val="000000" w:themeColor="text1"/>
        </w:rPr>
        <w:t xml:space="preserve"> and related crime in the community. </w:t>
      </w:r>
      <w:proofErr w:type="spellStart"/>
      <w:r w:rsidRPr="00655A41">
        <w:rPr>
          <w:i/>
          <w:iCs/>
          <w:color w:val="000000" w:themeColor="text1"/>
        </w:rPr>
        <w:t>Lemos&amp;Crane</w:t>
      </w:r>
      <w:proofErr w:type="spellEnd"/>
      <w:r w:rsidRPr="00655A41">
        <w:rPr>
          <w:color w:val="000000" w:themeColor="text1"/>
        </w:rPr>
        <w:t>, 1</w:t>
      </w:r>
      <w:r w:rsidR="00037842">
        <w:rPr>
          <w:color w:val="000000" w:themeColor="text1"/>
        </w:rPr>
        <w:t>–</w:t>
      </w:r>
      <w:r w:rsidRPr="00655A41">
        <w:rPr>
          <w:color w:val="000000" w:themeColor="text1"/>
        </w:rPr>
        <w:t>41.</w:t>
      </w:r>
    </w:p>
    <w:p w14:paraId="63116876" w14:textId="10B13A69" w:rsidR="001E11CF" w:rsidRPr="00655A41" w:rsidRDefault="001E11CF" w:rsidP="00A372EA">
      <w:pPr>
        <w:pStyle w:val="NoSpacing"/>
        <w:spacing w:line="360" w:lineRule="auto"/>
        <w:ind w:left="567" w:hanging="567"/>
        <w:rPr>
          <w:rStyle w:val="Hyperlink"/>
          <w:color w:val="000000" w:themeColor="text1"/>
          <w:u w:val="none"/>
        </w:rPr>
      </w:pPr>
      <w:r w:rsidRPr="00DF0347">
        <w:rPr>
          <w:b/>
          <w:bCs/>
          <w:color w:val="000000" w:themeColor="text1"/>
        </w:rPr>
        <w:t>GOV.UK</w:t>
      </w:r>
      <w:r w:rsidRPr="00655A41">
        <w:rPr>
          <w:color w:val="000000" w:themeColor="text1"/>
        </w:rPr>
        <w:t xml:space="preserve"> (2020</w:t>
      </w:r>
      <w:r w:rsidR="001E6642" w:rsidRPr="00655A41">
        <w:rPr>
          <w:color w:val="000000" w:themeColor="text1"/>
        </w:rPr>
        <w:t>).</w:t>
      </w:r>
      <w:r w:rsidRPr="00655A41">
        <w:rPr>
          <w:color w:val="000000" w:themeColor="text1"/>
        </w:rPr>
        <w:t xml:space="preserve"> People living in deprived neighbourhoods. </w:t>
      </w:r>
      <w:hyperlink r:id="rId6" w:history="1">
        <w:r w:rsidRPr="00655A41">
          <w:rPr>
            <w:rStyle w:val="Hyperlink"/>
            <w:color w:val="000000" w:themeColor="text1"/>
            <w:u w:val="none"/>
          </w:rPr>
          <w:t>https://www.ethnicity-facts-figures.service.gov.uk/uk-population-by-ethnicity/demographics/people-living-in-deprived-neighbourhoods/latest</w:t>
        </w:r>
      </w:hyperlink>
    </w:p>
    <w:p w14:paraId="38B997BA" w14:textId="79DD0D67" w:rsidR="001E11CF" w:rsidRPr="00655A41" w:rsidRDefault="001E11CF" w:rsidP="00A372EA">
      <w:pPr>
        <w:pStyle w:val="NoSpacing"/>
        <w:spacing w:line="360" w:lineRule="auto"/>
        <w:ind w:left="567" w:hanging="567"/>
        <w:rPr>
          <w:rStyle w:val="Hyperlink"/>
          <w:color w:val="000000" w:themeColor="text1"/>
          <w:u w:val="none"/>
        </w:rPr>
      </w:pPr>
      <w:r w:rsidRPr="00DF0347">
        <w:rPr>
          <w:b/>
          <w:bCs/>
          <w:color w:val="000000" w:themeColor="text1"/>
        </w:rPr>
        <w:t>GOV.UK</w:t>
      </w:r>
      <w:r w:rsidRPr="00655A41">
        <w:rPr>
          <w:color w:val="000000" w:themeColor="text1"/>
        </w:rPr>
        <w:t xml:space="preserve"> (2022). Regional ethnic diversity. </w:t>
      </w:r>
      <w:hyperlink r:id="rId7" w:history="1">
        <w:r w:rsidRPr="00655A41">
          <w:rPr>
            <w:rStyle w:val="Hyperlink"/>
            <w:color w:val="000000" w:themeColor="text1"/>
            <w:u w:val="none"/>
          </w:rPr>
          <w:t>https://www.ethnicity-facts-figures.service.gov.uk/uk-population-by-ethnicity/national-and-regional-populations/regional-ethnic-diversity/latest</w:t>
        </w:r>
      </w:hyperlink>
    </w:p>
    <w:p w14:paraId="3B2BB658" w14:textId="22653A66" w:rsidR="001E11CF" w:rsidRPr="00655A41" w:rsidRDefault="001E11CF" w:rsidP="00A372EA">
      <w:pPr>
        <w:pStyle w:val="NoSpacing"/>
        <w:spacing w:line="360" w:lineRule="auto"/>
        <w:ind w:left="567" w:hanging="567"/>
        <w:rPr>
          <w:color w:val="000000" w:themeColor="text1"/>
          <w:shd w:val="clear" w:color="auto" w:fill="CAE7FF"/>
        </w:rPr>
      </w:pPr>
      <w:r w:rsidRPr="00DF0347">
        <w:rPr>
          <w:b/>
          <w:bCs/>
          <w:color w:val="000000" w:themeColor="text1"/>
        </w:rPr>
        <w:t xml:space="preserve">Harwood, H., Rhead, R., Chui, Z., Bolis, I., Connor, L., </w:t>
      </w:r>
      <w:proofErr w:type="spellStart"/>
      <w:r w:rsidRPr="00DF0347">
        <w:rPr>
          <w:b/>
          <w:bCs/>
          <w:color w:val="000000" w:themeColor="text1"/>
        </w:rPr>
        <w:t>Gazard</w:t>
      </w:r>
      <w:proofErr w:type="spellEnd"/>
      <w:r w:rsidRPr="00DF0347">
        <w:rPr>
          <w:b/>
          <w:bCs/>
          <w:color w:val="000000" w:themeColor="text1"/>
        </w:rPr>
        <w:t>, B., Hall, H., MacCrimmon, S., Rimes, K, A., Woodhead, C., &amp; Hatch, S, L.</w:t>
      </w:r>
      <w:r w:rsidRPr="00655A41">
        <w:rPr>
          <w:color w:val="000000" w:themeColor="text1"/>
        </w:rPr>
        <w:t xml:space="preserve"> (2021). Variations by ethnicity in referral and treatment pathways for IAPT service users in South London. </w:t>
      </w:r>
      <w:r w:rsidRPr="00655A41">
        <w:rPr>
          <w:i/>
          <w:iCs/>
          <w:color w:val="000000" w:themeColor="text1"/>
        </w:rPr>
        <w:t>Psychological Medicine</w:t>
      </w:r>
      <w:r w:rsidRPr="00DF0347">
        <w:rPr>
          <w:color w:val="000000" w:themeColor="text1"/>
        </w:rPr>
        <w:t>,</w:t>
      </w:r>
      <w:r w:rsidRPr="00655A41">
        <w:rPr>
          <w:i/>
          <w:iCs/>
          <w:color w:val="000000" w:themeColor="text1"/>
        </w:rPr>
        <w:t xml:space="preserve"> </w:t>
      </w:r>
      <w:r w:rsidRPr="00655A41">
        <w:rPr>
          <w:color w:val="000000" w:themeColor="text1"/>
        </w:rPr>
        <w:t>1</w:t>
      </w:r>
      <w:r w:rsidR="00037842">
        <w:rPr>
          <w:color w:val="000000" w:themeColor="text1"/>
        </w:rPr>
        <w:t>–</w:t>
      </w:r>
      <w:r w:rsidRPr="00655A41">
        <w:rPr>
          <w:color w:val="000000" w:themeColor="text1"/>
        </w:rPr>
        <w:t>12.</w:t>
      </w:r>
    </w:p>
    <w:p w14:paraId="5434328E" w14:textId="0CC0FA11" w:rsidR="001E11CF" w:rsidRPr="00655A41" w:rsidRDefault="001E11CF" w:rsidP="00A372EA">
      <w:pPr>
        <w:pStyle w:val="NoSpacing"/>
        <w:spacing w:line="360" w:lineRule="auto"/>
        <w:ind w:left="567" w:hanging="567"/>
        <w:rPr>
          <w:color w:val="000000" w:themeColor="text1"/>
        </w:rPr>
      </w:pPr>
      <w:r w:rsidRPr="00DF0347">
        <w:rPr>
          <w:b/>
          <w:bCs/>
          <w:color w:val="000000" w:themeColor="text1"/>
        </w:rPr>
        <w:t xml:space="preserve">Haugen, P. T, McCrillis, A. M, Smid, G. E., &amp; </w:t>
      </w:r>
      <w:proofErr w:type="spellStart"/>
      <w:r w:rsidRPr="00DF0347">
        <w:rPr>
          <w:b/>
          <w:bCs/>
          <w:color w:val="000000" w:themeColor="text1"/>
        </w:rPr>
        <w:t>Nijdam</w:t>
      </w:r>
      <w:proofErr w:type="spellEnd"/>
      <w:r w:rsidRPr="00DF0347">
        <w:rPr>
          <w:b/>
          <w:bCs/>
          <w:color w:val="000000" w:themeColor="text1"/>
        </w:rPr>
        <w:t>, M. J.</w:t>
      </w:r>
      <w:r w:rsidRPr="00655A41">
        <w:rPr>
          <w:color w:val="000000" w:themeColor="text1"/>
        </w:rPr>
        <w:t xml:space="preserve"> (2017). Mental </w:t>
      </w:r>
      <w:r w:rsidR="00DF0347">
        <w:rPr>
          <w:color w:val="000000" w:themeColor="text1"/>
        </w:rPr>
        <w:t>h</w:t>
      </w:r>
      <w:r w:rsidRPr="00655A41">
        <w:rPr>
          <w:color w:val="000000" w:themeColor="text1"/>
        </w:rPr>
        <w:t xml:space="preserve">ealth stigma and barriers to mental care for first responders: </w:t>
      </w:r>
      <w:r w:rsidR="00DF0347">
        <w:rPr>
          <w:color w:val="000000" w:themeColor="text1"/>
        </w:rPr>
        <w:t>a</w:t>
      </w:r>
      <w:r w:rsidRPr="00655A41">
        <w:rPr>
          <w:color w:val="000000" w:themeColor="text1"/>
        </w:rPr>
        <w:t xml:space="preserve"> systematic review and metal analysis. </w:t>
      </w:r>
      <w:r w:rsidRPr="00655A41">
        <w:rPr>
          <w:i/>
          <w:iCs/>
          <w:color w:val="000000" w:themeColor="text1"/>
        </w:rPr>
        <w:t>Journal of Psychiatric Research</w:t>
      </w:r>
      <w:r w:rsidRPr="00655A41">
        <w:rPr>
          <w:color w:val="000000" w:themeColor="text1"/>
        </w:rPr>
        <w:t xml:space="preserve">, </w:t>
      </w:r>
      <w:r w:rsidRPr="00DF0347">
        <w:rPr>
          <w:i/>
          <w:iCs/>
          <w:color w:val="000000" w:themeColor="text1"/>
        </w:rPr>
        <w:t>94</w:t>
      </w:r>
      <w:r w:rsidRPr="00655A41">
        <w:rPr>
          <w:color w:val="000000" w:themeColor="text1"/>
        </w:rPr>
        <w:t>, 218</w:t>
      </w:r>
      <w:r w:rsidR="00037842">
        <w:rPr>
          <w:color w:val="000000" w:themeColor="text1"/>
        </w:rPr>
        <w:t>–</w:t>
      </w:r>
      <w:r w:rsidRPr="00655A41">
        <w:rPr>
          <w:color w:val="000000" w:themeColor="text1"/>
        </w:rPr>
        <w:t>229.</w:t>
      </w:r>
    </w:p>
    <w:p w14:paraId="7A6B507C" w14:textId="76454B98" w:rsidR="001E11CF" w:rsidRPr="00A372EA" w:rsidRDefault="001E11CF" w:rsidP="00A372EA">
      <w:pPr>
        <w:pStyle w:val="NoSpacing"/>
        <w:spacing w:line="360" w:lineRule="auto"/>
        <w:ind w:left="567" w:hanging="567"/>
        <w:rPr>
          <w:color w:val="000000" w:themeColor="text1"/>
          <w:shd w:val="clear" w:color="auto" w:fill="FFFFFF"/>
        </w:rPr>
      </w:pPr>
      <w:r w:rsidRPr="00D21E98">
        <w:rPr>
          <w:b/>
          <w:bCs/>
          <w:color w:val="000000" w:themeColor="text1"/>
        </w:rPr>
        <w:t xml:space="preserve">Jahoda, A, Dagnan, D, </w:t>
      </w:r>
      <w:proofErr w:type="spellStart"/>
      <w:r w:rsidRPr="00D21E98">
        <w:rPr>
          <w:b/>
          <w:bCs/>
          <w:color w:val="000000" w:themeColor="text1"/>
        </w:rPr>
        <w:t>Jarvie</w:t>
      </w:r>
      <w:proofErr w:type="spellEnd"/>
      <w:r w:rsidRPr="00D21E98">
        <w:rPr>
          <w:b/>
          <w:bCs/>
          <w:color w:val="000000" w:themeColor="text1"/>
        </w:rPr>
        <w:t>, P., &amp; Kerr, W.</w:t>
      </w:r>
      <w:r w:rsidRPr="00A372EA">
        <w:rPr>
          <w:color w:val="000000" w:themeColor="text1"/>
        </w:rPr>
        <w:t xml:space="preserve"> (2006). Depression, </w:t>
      </w:r>
      <w:r w:rsidR="00DF0347">
        <w:rPr>
          <w:color w:val="000000" w:themeColor="text1"/>
        </w:rPr>
        <w:t>s</w:t>
      </w:r>
      <w:r w:rsidRPr="00A372EA">
        <w:rPr>
          <w:color w:val="000000" w:themeColor="text1"/>
        </w:rPr>
        <w:t xml:space="preserve">ocial </w:t>
      </w:r>
      <w:proofErr w:type="gramStart"/>
      <w:r w:rsidR="00DF0347">
        <w:rPr>
          <w:color w:val="000000" w:themeColor="text1"/>
        </w:rPr>
        <w:t>c</w:t>
      </w:r>
      <w:r w:rsidRPr="00A372EA">
        <w:rPr>
          <w:color w:val="000000" w:themeColor="text1"/>
        </w:rPr>
        <w:t>ontext</w:t>
      </w:r>
      <w:proofErr w:type="gramEnd"/>
      <w:r w:rsidRPr="00A372EA">
        <w:rPr>
          <w:color w:val="000000" w:themeColor="text1"/>
        </w:rPr>
        <w:t xml:space="preserve"> and </w:t>
      </w:r>
      <w:r w:rsidR="00DF0347">
        <w:rPr>
          <w:color w:val="000000" w:themeColor="text1"/>
        </w:rPr>
        <w:t>c</w:t>
      </w:r>
      <w:r w:rsidRPr="00A372EA">
        <w:rPr>
          <w:color w:val="000000" w:themeColor="text1"/>
        </w:rPr>
        <w:t xml:space="preserve">ognitive </w:t>
      </w:r>
      <w:r w:rsidR="00DF0347">
        <w:rPr>
          <w:color w:val="000000" w:themeColor="text1"/>
        </w:rPr>
        <w:t>b</w:t>
      </w:r>
      <w:r w:rsidRPr="00A372EA">
        <w:rPr>
          <w:color w:val="000000" w:themeColor="text1"/>
        </w:rPr>
        <w:t xml:space="preserve">ehavioural </w:t>
      </w:r>
      <w:r w:rsidR="00DF0347">
        <w:rPr>
          <w:color w:val="000000" w:themeColor="text1"/>
        </w:rPr>
        <w:t>t</w:t>
      </w:r>
      <w:r w:rsidRPr="00A372EA">
        <w:rPr>
          <w:color w:val="000000" w:themeColor="text1"/>
        </w:rPr>
        <w:t xml:space="preserve">herapy for </w:t>
      </w:r>
      <w:r w:rsidR="00DF0347">
        <w:rPr>
          <w:color w:val="000000" w:themeColor="text1"/>
        </w:rPr>
        <w:t>p</w:t>
      </w:r>
      <w:r w:rsidRPr="00A372EA">
        <w:rPr>
          <w:color w:val="000000" w:themeColor="text1"/>
        </w:rPr>
        <w:t xml:space="preserve">eople who have </w:t>
      </w:r>
      <w:r w:rsidR="00DF0347">
        <w:rPr>
          <w:color w:val="000000" w:themeColor="text1"/>
        </w:rPr>
        <w:t>i</w:t>
      </w:r>
      <w:r w:rsidRPr="00A372EA">
        <w:rPr>
          <w:color w:val="000000" w:themeColor="text1"/>
        </w:rPr>
        <w:t xml:space="preserve">ntellectual </w:t>
      </w:r>
      <w:r w:rsidR="00DF0347">
        <w:rPr>
          <w:color w:val="000000" w:themeColor="text1"/>
        </w:rPr>
        <w:t>d</w:t>
      </w:r>
      <w:r w:rsidRPr="00A372EA">
        <w:rPr>
          <w:color w:val="000000" w:themeColor="text1"/>
        </w:rPr>
        <w:t xml:space="preserve">isabilities. </w:t>
      </w:r>
      <w:r w:rsidRPr="00A372EA">
        <w:rPr>
          <w:i/>
          <w:iCs/>
          <w:color w:val="000000" w:themeColor="text1"/>
        </w:rPr>
        <w:t>Journal of Applies Research in Intellectual Disabilities</w:t>
      </w:r>
      <w:r w:rsidRPr="00DF0347">
        <w:rPr>
          <w:color w:val="000000" w:themeColor="text1"/>
        </w:rPr>
        <w:t>,</w:t>
      </w:r>
      <w:r w:rsidRPr="00A372EA">
        <w:rPr>
          <w:i/>
          <w:iCs/>
          <w:color w:val="000000" w:themeColor="text1"/>
        </w:rPr>
        <w:t xml:space="preserve"> </w:t>
      </w:r>
      <w:r w:rsidRPr="00DF0347">
        <w:rPr>
          <w:i/>
          <w:iCs/>
          <w:color w:val="000000" w:themeColor="text1"/>
        </w:rPr>
        <w:t>19</w:t>
      </w:r>
      <w:r w:rsidRPr="00A372EA">
        <w:rPr>
          <w:color w:val="000000" w:themeColor="text1"/>
        </w:rPr>
        <w:t>, 81</w:t>
      </w:r>
      <w:r w:rsidR="00037842">
        <w:rPr>
          <w:color w:val="000000" w:themeColor="text1"/>
        </w:rPr>
        <w:t>–</w:t>
      </w:r>
      <w:r w:rsidRPr="00A372EA">
        <w:rPr>
          <w:color w:val="000000" w:themeColor="text1"/>
        </w:rPr>
        <w:t xml:space="preserve">89. </w:t>
      </w:r>
      <w:proofErr w:type="spellStart"/>
      <w:r w:rsidRPr="00A372EA">
        <w:rPr>
          <w:color w:val="000000" w:themeColor="text1"/>
        </w:rPr>
        <w:t>doi</w:t>
      </w:r>
      <w:proofErr w:type="spellEnd"/>
      <w:r w:rsidRPr="00A372EA">
        <w:rPr>
          <w:color w:val="000000" w:themeColor="text1"/>
        </w:rPr>
        <w:t>:</w:t>
      </w:r>
      <w:r w:rsidR="00DF0347">
        <w:rPr>
          <w:color w:val="000000" w:themeColor="text1"/>
        </w:rPr>
        <w:t> </w:t>
      </w:r>
      <w:r w:rsidRPr="00A372EA">
        <w:rPr>
          <w:color w:val="000000" w:themeColor="text1"/>
          <w:shd w:val="clear" w:color="auto" w:fill="FFFFFF"/>
        </w:rPr>
        <w:t>10.1111/j.1468-3148.</w:t>
      </w:r>
      <w:proofErr w:type="gramStart"/>
      <w:r w:rsidRPr="00A372EA">
        <w:rPr>
          <w:color w:val="000000" w:themeColor="text1"/>
          <w:shd w:val="clear" w:color="auto" w:fill="FFFFFF"/>
        </w:rPr>
        <w:t>2005.00286.x</w:t>
      </w:r>
      <w:proofErr w:type="gramEnd"/>
      <w:r w:rsidR="00D21E98">
        <w:rPr>
          <w:color w:val="000000" w:themeColor="text1"/>
          <w:shd w:val="clear" w:color="auto" w:fill="FFFFFF"/>
        </w:rPr>
        <w:t xml:space="preserve"> </w:t>
      </w:r>
    </w:p>
    <w:p w14:paraId="2AFCFCA8" w14:textId="12660104" w:rsidR="001E11CF" w:rsidRPr="00655A41" w:rsidRDefault="001E11CF" w:rsidP="00A372EA">
      <w:pPr>
        <w:pStyle w:val="NoSpacing"/>
        <w:spacing w:line="360" w:lineRule="auto"/>
        <w:ind w:left="567" w:hanging="567"/>
        <w:rPr>
          <w:rStyle w:val="Hyperlink"/>
          <w:color w:val="000000" w:themeColor="text1"/>
          <w:u w:val="none"/>
        </w:rPr>
      </w:pPr>
      <w:r w:rsidRPr="00DF0347">
        <w:rPr>
          <w:b/>
          <w:bCs/>
          <w:color w:val="000000" w:themeColor="text1"/>
        </w:rPr>
        <w:t>Jones, E</w:t>
      </w:r>
      <w:r w:rsidR="00DF0347" w:rsidRPr="00DF0347">
        <w:rPr>
          <w:b/>
          <w:bCs/>
          <w:color w:val="000000" w:themeColor="text1"/>
        </w:rPr>
        <w:t>.</w:t>
      </w:r>
      <w:r w:rsidRPr="00DF0347">
        <w:rPr>
          <w:b/>
          <w:bCs/>
          <w:color w:val="000000" w:themeColor="text1"/>
        </w:rPr>
        <w:t>, Huey, S. J. J., &amp; Rubenson, M.</w:t>
      </w:r>
      <w:r w:rsidRPr="00655A41">
        <w:rPr>
          <w:color w:val="000000" w:themeColor="text1"/>
        </w:rPr>
        <w:t xml:space="preserve"> (2018). Cultural </w:t>
      </w:r>
      <w:r w:rsidR="00DF0347">
        <w:rPr>
          <w:color w:val="000000" w:themeColor="text1"/>
        </w:rPr>
        <w:t>c</w:t>
      </w:r>
      <w:r w:rsidRPr="00655A41">
        <w:rPr>
          <w:color w:val="000000" w:themeColor="text1"/>
        </w:rPr>
        <w:t xml:space="preserve">ompetence in </w:t>
      </w:r>
      <w:r w:rsidR="00DF0347">
        <w:rPr>
          <w:color w:val="000000" w:themeColor="text1"/>
        </w:rPr>
        <w:t>t</w:t>
      </w:r>
      <w:r w:rsidRPr="00655A41">
        <w:rPr>
          <w:color w:val="000000" w:themeColor="text1"/>
        </w:rPr>
        <w:t xml:space="preserve">herapy with African Americans. </w:t>
      </w:r>
      <w:r w:rsidRPr="00655A41">
        <w:rPr>
          <w:i/>
          <w:iCs/>
          <w:color w:val="000000" w:themeColor="text1"/>
        </w:rPr>
        <w:t>Cultural Competence in Applied Psychology</w:t>
      </w:r>
      <w:r w:rsidRPr="00655A41">
        <w:rPr>
          <w:color w:val="000000" w:themeColor="text1"/>
        </w:rPr>
        <w:t xml:space="preserve">, </w:t>
      </w:r>
      <w:hyperlink r:id="rId8" w:history="1">
        <w:r w:rsidRPr="00655A41">
          <w:rPr>
            <w:rStyle w:val="Hyperlink"/>
            <w:color w:val="000000" w:themeColor="text1"/>
            <w:u w:val="none"/>
          </w:rPr>
          <w:t>https://doi.org/10.1007/978-3-319-78997-2_22</w:t>
        </w:r>
      </w:hyperlink>
    </w:p>
    <w:p w14:paraId="27540067" w14:textId="43763698" w:rsidR="001E11CF" w:rsidRPr="00655A41" w:rsidRDefault="001E11CF" w:rsidP="00A372EA">
      <w:pPr>
        <w:pStyle w:val="NoSpacing"/>
        <w:spacing w:line="360" w:lineRule="auto"/>
        <w:ind w:left="567" w:hanging="567"/>
        <w:rPr>
          <w:rStyle w:val="Hyperlink"/>
          <w:color w:val="000000" w:themeColor="text1"/>
          <w:u w:val="none"/>
        </w:rPr>
      </w:pPr>
      <w:proofErr w:type="spellStart"/>
      <w:r w:rsidRPr="00DF0347">
        <w:rPr>
          <w:rStyle w:val="Hyperlink"/>
          <w:b/>
          <w:bCs/>
          <w:color w:val="000000" w:themeColor="text1"/>
          <w:u w:val="none"/>
        </w:rPr>
        <w:t>Kapilashrami</w:t>
      </w:r>
      <w:proofErr w:type="spellEnd"/>
      <w:r w:rsidRPr="00DF0347">
        <w:rPr>
          <w:rStyle w:val="Hyperlink"/>
          <w:b/>
          <w:bCs/>
          <w:color w:val="000000" w:themeColor="text1"/>
          <w:u w:val="none"/>
        </w:rPr>
        <w:t xml:space="preserve">, A., &amp; </w:t>
      </w:r>
      <w:proofErr w:type="spellStart"/>
      <w:r w:rsidRPr="00DF0347">
        <w:rPr>
          <w:rStyle w:val="Hyperlink"/>
          <w:b/>
          <w:bCs/>
          <w:color w:val="000000" w:themeColor="text1"/>
          <w:u w:val="none"/>
        </w:rPr>
        <w:t>Bhui</w:t>
      </w:r>
      <w:proofErr w:type="spellEnd"/>
      <w:r w:rsidRPr="00DF0347">
        <w:rPr>
          <w:rStyle w:val="Hyperlink"/>
          <w:b/>
          <w:bCs/>
          <w:color w:val="000000" w:themeColor="text1"/>
          <w:u w:val="none"/>
        </w:rPr>
        <w:t>, K.</w:t>
      </w:r>
      <w:r w:rsidRPr="00655A41">
        <w:rPr>
          <w:rStyle w:val="Hyperlink"/>
          <w:color w:val="000000" w:themeColor="text1"/>
          <w:u w:val="none"/>
        </w:rPr>
        <w:t xml:space="preserve"> (2020). Mental health and COVID-19: </w:t>
      </w:r>
      <w:proofErr w:type="gramStart"/>
      <w:r w:rsidRPr="00655A41">
        <w:rPr>
          <w:rStyle w:val="Hyperlink"/>
          <w:color w:val="000000" w:themeColor="text1"/>
          <w:u w:val="none"/>
        </w:rPr>
        <w:t>is</w:t>
      </w:r>
      <w:proofErr w:type="gramEnd"/>
      <w:r w:rsidRPr="00655A41">
        <w:rPr>
          <w:rStyle w:val="Hyperlink"/>
          <w:color w:val="000000" w:themeColor="text1"/>
          <w:u w:val="none"/>
        </w:rPr>
        <w:t xml:space="preserve"> the virus racist? </w:t>
      </w:r>
      <w:r w:rsidRPr="00655A41">
        <w:rPr>
          <w:rStyle w:val="Hyperlink"/>
          <w:i/>
          <w:iCs/>
          <w:color w:val="000000" w:themeColor="text1"/>
          <w:u w:val="none"/>
        </w:rPr>
        <w:t>British Journal of Psychiatry</w:t>
      </w:r>
      <w:r w:rsidRPr="00DF0347">
        <w:rPr>
          <w:rStyle w:val="Hyperlink"/>
          <w:color w:val="000000" w:themeColor="text1"/>
          <w:u w:val="none"/>
        </w:rPr>
        <w:t>,</w:t>
      </w:r>
      <w:r w:rsidRPr="00655A41">
        <w:rPr>
          <w:rStyle w:val="Hyperlink"/>
          <w:i/>
          <w:iCs/>
          <w:color w:val="000000" w:themeColor="text1"/>
          <w:u w:val="none"/>
        </w:rPr>
        <w:t xml:space="preserve"> </w:t>
      </w:r>
      <w:r w:rsidRPr="00DF0347">
        <w:rPr>
          <w:rStyle w:val="Hyperlink"/>
          <w:i/>
          <w:iCs/>
          <w:color w:val="000000" w:themeColor="text1"/>
          <w:u w:val="none"/>
        </w:rPr>
        <w:t>217</w:t>
      </w:r>
      <w:r w:rsidRPr="00655A41">
        <w:rPr>
          <w:rStyle w:val="Hyperlink"/>
          <w:color w:val="000000" w:themeColor="text1"/>
          <w:u w:val="none"/>
        </w:rPr>
        <w:t>, 405</w:t>
      </w:r>
      <w:r w:rsidR="00037842">
        <w:rPr>
          <w:color w:val="000000" w:themeColor="text1"/>
        </w:rPr>
        <w:t>–</w:t>
      </w:r>
      <w:r w:rsidRPr="00655A41">
        <w:rPr>
          <w:rStyle w:val="Hyperlink"/>
          <w:color w:val="000000" w:themeColor="text1"/>
          <w:u w:val="none"/>
        </w:rPr>
        <w:t>407.</w:t>
      </w:r>
    </w:p>
    <w:p w14:paraId="0C32BA22" w14:textId="6DE89269" w:rsidR="001E11CF" w:rsidRPr="00655A41" w:rsidRDefault="001E11CF" w:rsidP="00A372EA">
      <w:pPr>
        <w:pStyle w:val="NoSpacing"/>
        <w:spacing w:line="360" w:lineRule="auto"/>
        <w:ind w:left="567" w:hanging="567"/>
        <w:rPr>
          <w:rStyle w:val="Hyperlink"/>
          <w:color w:val="000000" w:themeColor="text1"/>
          <w:u w:val="none"/>
        </w:rPr>
      </w:pPr>
      <w:r w:rsidRPr="00DF0347">
        <w:rPr>
          <w:rStyle w:val="Hyperlink"/>
          <w:b/>
          <w:bCs/>
          <w:color w:val="000000" w:themeColor="text1"/>
          <w:u w:val="none"/>
        </w:rPr>
        <w:t>Khan, M, S., Ali, S, A, M., Adelaine, A., &amp; Karan, A.</w:t>
      </w:r>
      <w:r w:rsidRPr="00655A41">
        <w:rPr>
          <w:rStyle w:val="Hyperlink"/>
          <w:color w:val="000000" w:themeColor="text1"/>
          <w:u w:val="none"/>
        </w:rPr>
        <w:t xml:space="preserve"> (2021). Rethinking vaccine hesitancy among minority groups. </w:t>
      </w:r>
      <w:r w:rsidRPr="00655A41">
        <w:rPr>
          <w:rStyle w:val="Hyperlink"/>
          <w:i/>
          <w:iCs/>
          <w:color w:val="000000" w:themeColor="text1"/>
          <w:u w:val="none"/>
        </w:rPr>
        <w:t>The Lancet</w:t>
      </w:r>
      <w:r w:rsidRPr="00DF0347">
        <w:rPr>
          <w:rStyle w:val="Hyperlink"/>
          <w:color w:val="000000" w:themeColor="text1"/>
          <w:u w:val="none"/>
        </w:rPr>
        <w:t>,</w:t>
      </w:r>
      <w:r w:rsidRPr="00655A41">
        <w:rPr>
          <w:rStyle w:val="Hyperlink"/>
          <w:i/>
          <w:iCs/>
          <w:color w:val="000000" w:themeColor="text1"/>
          <w:u w:val="none"/>
        </w:rPr>
        <w:t xml:space="preserve"> </w:t>
      </w:r>
      <w:r w:rsidRPr="00655A41">
        <w:rPr>
          <w:rStyle w:val="Hyperlink"/>
          <w:color w:val="000000" w:themeColor="text1"/>
          <w:u w:val="none"/>
        </w:rPr>
        <w:t>397, 1863</w:t>
      </w:r>
      <w:r w:rsidR="00037842">
        <w:rPr>
          <w:color w:val="000000" w:themeColor="text1"/>
        </w:rPr>
        <w:t>–</w:t>
      </w:r>
      <w:r w:rsidRPr="00655A41">
        <w:rPr>
          <w:rStyle w:val="Hyperlink"/>
          <w:color w:val="000000" w:themeColor="text1"/>
          <w:u w:val="none"/>
        </w:rPr>
        <w:t>1865.</w:t>
      </w:r>
    </w:p>
    <w:p w14:paraId="65217AB3" w14:textId="2AB2789F" w:rsidR="001E11CF" w:rsidRPr="00655A41" w:rsidRDefault="001E11CF" w:rsidP="00A372EA">
      <w:pPr>
        <w:pStyle w:val="NoSpacing"/>
        <w:spacing w:line="360" w:lineRule="auto"/>
        <w:ind w:left="567" w:hanging="567"/>
        <w:rPr>
          <w:rFonts w:eastAsiaTheme="minorHAnsi"/>
          <w:color w:val="000000" w:themeColor="text1"/>
          <w:lang w:eastAsia="en-US"/>
        </w:rPr>
      </w:pPr>
      <w:r w:rsidRPr="00DF0347">
        <w:rPr>
          <w:rFonts w:eastAsiaTheme="minorHAnsi"/>
          <w:b/>
          <w:bCs/>
          <w:color w:val="000000" w:themeColor="text1"/>
          <w:lang w:eastAsia="en-US"/>
        </w:rPr>
        <w:t>Khan, N, Bower, P., &amp; Rogers, A.</w:t>
      </w:r>
      <w:r w:rsidRPr="00655A41">
        <w:rPr>
          <w:rFonts w:eastAsiaTheme="minorHAnsi"/>
          <w:color w:val="000000" w:themeColor="text1"/>
          <w:lang w:eastAsia="en-US"/>
        </w:rPr>
        <w:t xml:space="preserve"> (2007). Guided self-help in primary care mental health. </w:t>
      </w:r>
      <w:r w:rsidR="00FC53A6">
        <w:rPr>
          <w:rFonts w:eastAsiaTheme="minorHAnsi"/>
          <w:color w:val="000000" w:themeColor="text1"/>
          <w:lang w:eastAsia="en-US"/>
        </w:rPr>
        <w:t>m</w:t>
      </w:r>
      <w:r w:rsidRPr="00655A41">
        <w:rPr>
          <w:rFonts w:eastAsiaTheme="minorHAnsi"/>
          <w:color w:val="000000" w:themeColor="text1"/>
          <w:lang w:eastAsia="en-US"/>
        </w:rPr>
        <w:t xml:space="preserve">eta-synthesis of qualitative studies of patient experience. </w:t>
      </w:r>
      <w:r w:rsidRPr="00655A41">
        <w:rPr>
          <w:rFonts w:eastAsiaTheme="minorHAnsi"/>
          <w:i/>
          <w:iCs/>
          <w:color w:val="000000" w:themeColor="text1"/>
          <w:lang w:eastAsia="en-US"/>
        </w:rPr>
        <w:t>British Journal of Psychiatry</w:t>
      </w:r>
      <w:r w:rsidRPr="00655A41">
        <w:rPr>
          <w:rFonts w:eastAsiaTheme="minorHAnsi"/>
          <w:color w:val="000000" w:themeColor="text1"/>
          <w:lang w:eastAsia="en-US"/>
        </w:rPr>
        <w:t xml:space="preserve">, </w:t>
      </w:r>
      <w:r w:rsidRPr="00FC53A6">
        <w:rPr>
          <w:rFonts w:eastAsiaTheme="minorHAnsi"/>
          <w:i/>
          <w:iCs/>
          <w:color w:val="000000" w:themeColor="text1"/>
          <w:lang w:eastAsia="en-US"/>
        </w:rPr>
        <w:t>191</w:t>
      </w:r>
      <w:r w:rsidRPr="00655A41">
        <w:rPr>
          <w:rFonts w:eastAsiaTheme="minorHAnsi"/>
          <w:color w:val="000000" w:themeColor="text1"/>
          <w:lang w:eastAsia="en-US"/>
        </w:rPr>
        <w:t>, 206</w:t>
      </w:r>
      <w:r w:rsidR="00037842">
        <w:rPr>
          <w:color w:val="000000" w:themeColor="text1"/>
        </w:rPr>
        <w:t>–</w:t>
      </w:r>
      <w:r w:rsidRPr="00655A41">
        <w:rPr>
          <w:rFonts w:eastAsiaTheme="minorHAnsi"/>
          <w:color w:val="000000" w:themeColor="text1"/>
          <w:lang w:eastAsia="en-US"/>
        </w:rPr>
        <w:t xml:space="preserve">211 </w:t>
      </w:r>
      <w:proofErr w:type="spellStart"/>
      <w:r w:rsidRPr="00655A41">
        <w:rPr>
          <w:rFonts w:eastAsiaTheme="minorHAnsi"/>
          <w:color w:val="000000" w:themeColor="text1"/>
          <w:lang w:eastAsia="en-US"/>
        </w:rPr>
        <w:t>doi</w:t>
      </w:r>
      <w:proofErr w:type="spellEnd"/>
      <w:r w:rsidRPr="00655A41">
        <w:rPr>
          <w:rFonts w:eastAsiaTheme="minorHAnsi"/>
          <w:color w:val="000000" w:themeColor="text1"/>
          <w:lang w:eastAsia="en-US"/>
        </w:rPr>
        <w:t>: 10.1192/bjp.bp.106.032011</w:t>
      </w:r>
    </w:p>
    <w:p w14:paraId="48F04184" w14:textId="649F16F0" w:rsidR="001E11CF" w:rsidRPr="00655A41" w:rsidRDefault="001E11CF" w:rsidP="00A372EA">
      <w:pPr>
        <w:pStyle w:val="NoSpacing"/>
        <w:spacing w:line="360" w:lineRule="auto"/>
        <w:ind w:left="567" w:hanging="567"/>
        <w:rPr>
          <w:color w:val="000000" w:themeColor="text1"/>
        </w:rPr>
      </w:pPr>
      <w:proofErr w:type="spellStart"/>
      <w:r w:rsidRPr="00FC53A6">
        <w:rPr>
          <w:b/>
          <w:bCs/>
          <w:color w:val="000000" w:themeColor="text1"/>
        </w:rPr>
        <w:t>Mohdin</w:t>
      </w:r>
      <w:proofErr w:type="spellEnd"/>
      <w:r w:rsidRPr="00FC53A6">
        <w:rPr>
          <w:b/>
          <w:bCs/>
          <w:color w:val="000000" w:themeColor="text1"/>
        </w:rPr>
        <w:t>, A.</w:t>
      </w:r>
      <w:r w:rsidRPr="00655A41">
        <w:rPr>
          <w:color w:val="000000" w:themeColor="text1"/>
        </w:rPr>
        <w:t xml:space="preserve"> (2020). ‘People were abandoned’: injustices of pandemic laid bare in Brent. </w:t>
      </w:r>
      <w:r w:rsidRPr="00655A41">
        <w:rPr>
          <w:i/>
          <w:iCs/>
          <w:color w:val="000000" w:themeColor="text1"/>
        </w:rPr>
        <w:t>The</w:t>
      </w:r>
      <w:r w:rsidR="00FC53A6">
        <w:rPr>
          <w:i/>
          <w:iCs/>
          <w:color w:val="000000" w:themeColor="text1"/>
        </w:rPr>
        <w:t> </w:t>
      </w:r>
      <w:r w:rsidRPr="00655A41">
        <w:rPr>
          <w:i/>
          <w:iCs/>
          <w:color w:val="000000" w:themeColor="text1"/>
        </w:rPr>
        <w:t>Guardian</w:t>
      </w:r>
      <w:r w:rsidR="00FC53A6">
        <w:rPr>
          <w:color w:val="000000" w:themeColor="text1"/>
        </w:rPr>
        <w:t xml:space="preserve">, 27 June 2020. </w:t>
      </w:r>
      <w:hyperlink r:id="rId9" w:history="1">
        <w:r w:rsidR="00FC53A6" w:rsidRPr="00713BCE">
          <w:rPr>
            <w:rStyle w:val="Hyperlink"/>
          </w:rPr>
          <w:t>https://www.theguardian.com/uk-news/2020/jun/27/people-were-abandoned-injustices-of-pandemic-laid-bare-in-brent</w:t>
        </w:r>
      </w:hyperlink>
      <w:r w:rsidRPr="00655A41">
        <w:rPr>
          <w:color w:val="000000" w:themeColor="text1"/>
        </w:rPr>
        <w:t xml:space="preserve">. </w:t>
      </w:r>
    </w:p>
    <w:p w14:paraId="70189816" w14:textId="7EDA65BA" w:rsidR="001E11CF" w:rsidRPr="00655A41" w:rsidRDefault="001E11CF" w:rsidP="00A372EA">
      <w:pPr>
        <w:pStyle w:val="NoSpacing"/>
        <w:spacing w:line="360" w:lineRule="auto"/>
        <w:ind w:left="567" w:hanging="567"/>
        <w:rPr>
          <w:color w:val="000000" w:themeColor="text1"/>
          <w:bdr w:val="none" w:sz="0" w:space="0" w:color="auto" w:frame="1"/>
          <w:shd w:val="clear" w:color="auto" w:fill="FFFFFF"/>
        </w:rPr>
      </w:pPr>
      <w:r w:rsidRPr="00FC53A6">
        <w:rPr>
          <w:b/>
          <w:bCs/>
          <w:color w:val="000000" w:themeColor="text1"/>
        </w:rPr>
        <w:t>Mead, N., &amp; Roland, M.</w:t>
      </w:r>
      <w:r w:rsidRPr="00655A41">
        <w:rPr>
          <w:color w:val="000000" w:themeColor="text1"/>
        </w:rPr>
        <w:t xml:space="preserve"> (2009). Understanding why some ethnic minority patients evaluate medical care more negatively than white patients: a cross sectional analysis of a routine patient survey in English general practices. </w:t>
      </w:r>
      <w:r w:rsidRPr="00655A41">
        <w:rPr>
          <w:i/>
          <w:iCs/>
          <w:color w:val="000000" w:themeColor="text1"/>
        </w:rPr>
        <w:t>BMJ</w:t>
      </w:r>
      <w:r w:rsidRPr="00FC53A6">
        <w:rPr>
          <w:color w:val="000000" w:themeColor="text1"/>
        </w:rPr>
        <w:t>,</w:t>
      </w:r>
      <w:r w:rsidRPr="00655A41">
        <w:rPr>
          <w:i/>
          <w:iCs/>
          <w:color w:val="000000" w:themeColor="text1"/>
        </w:rPr>
        <w:t xml:space="preserve"> </w:t>
      </w:r>
      <w:r w:rsidRPr="00655A41">
        <w:rPr>
          <w:color w:val="000000" w:themeColor="text1"/>
        </w:rPr>
        <w:t>339</w:t>
      </w:r>
      <w:r w:rsidR="00FC53A6">
        <w:rPr>
          <w:color w:val="000000" w:themeColor="text1"/>
        </w:rPr>
        <w:t>,</w:t>
      </w:r>
      <w:r w:rsidRPr="00655A41">
        <w:rPr>
          <w:color w:val="000000" w:themeColor="text1"/>
        </w:rPr>
        <w:t xml:space="preserve"> 1</w:t>
      </w:r>
      <w:r w:rsidR="00037842">
        <w:rPr>
          <w:color w:val="000000" w:themeColor="text1"/>
        </w:rPr>
        <w:t>–</w:t>
      </w:r>
      <w:r w:rsidRPr="00655A41">
        <w:rPr>
          <w:color w:val="000000" w:themeColor="text1"/>
        </w:rPr>
        <w:t xml:space="preserve">10. </w:t>
      </w:r>
      <w:proofErr w:type="spellStart"/>
      <w:r w:rsidRPr="00655A41">
        <w:rPr>
          <w:color w:val="000000" w:themeColor="text1"/>
          <w:shd w:val="clear" w:color="auto" w:fill="FFFFFF"/>
        </w:rPr>
        <w:t>doi</w:t>
      </w:r>
      <w:proofErr w:type="spellEnd"/>
      <w:r w:rsidRPr="00655A41">
        <w:rPr>
          <w:color w:val="000000" w:themeColor="text1"/>
          <w:shd w:val="clear" w:color="auto" w:fill="FFFFFF"/>
        </w:rPr>
        <w:t>: </w:t>
      </w:r>
      <w:hyperlink r:id="rId10" w:history="1">
        <w:r w:rsidRPr="00655A41">
          <w:rPr>
            <w:rStyle w:val="Hyperlink"/>
            <w:color w:val="000000" w:themeColor="text1"/>
            <w:u w:val="none"/>
            <w:bdr w:val="none" w:sz="0" w:space="0" w:color="auto" w:frame="1"/>
            <w:shd w:val="clear" w:color="auto" w:fill="FFFFFF"/>
          </w:rPr>
          <w:t>https://doi.org/10.1136/bmj.b3450</w:t>
        </w:r>
      </w:hyperlink>
      <w:r w:rsidRPr="00655A41">
        <w:rPr>
          <w:color w:val="000000" w:themeColor="text1"/>
          <w:bdr w:val="none" w:sz="0" w:space="0" w:color="auto" w:frame="1"/>
          <w:shd w:val="clear" w:color="auto" w:fill="FFFFFF"/>
        </w:rPr>
        <w:t>.</w:t>
      </w:r>
    </w:p>
    <w:p w14:paraId="6D9BB1AC" w14:textId="4A204942" w:rsidR="001E11CF" w:rsidRPr="00655A41" w:rsidRDefault="001E11CF" w:rsidP="00A372EA">
      <w:pPr>
        <w:pStyle w:val="NoSpacing"/>
        <w:spacing w:line="360" w:lineRule="auto"/>
        <w:ind w:left="567" w:hanging="567"/>
        <w:rPr>
          <w:color w:val="000000" w:themeColor="text1"/>
        </w:rPr>
      </w:pPr>
      <w:r w:rsidRPr="00FC53A6">
        <w:rPr>
          <w:b/>
          <w:bCs/>
          <w:color w:val="000000" w:themeColor="text1"/>
        </w:rPr>
        <w:t>Miller, M. J., &amp; Ambrose, D. M.</w:t>
      </w:r>
      <w:r w:rsidRPr="00655A41">
        <w:rPr>
          <w:color w:val="000000" w:themeColor="text1"/>
        </w:rPr>
        <w:t xml:space="preserve"> (2019). The </w:t>
      </w:r>
      <w:r w:rsidR="00FC53A6">
        <w:rPr>
          <w:color w:val="000000" w:themeColor="text1"/>
        </w:rPr>
        <w:t>p</w:t>
      </w:r>
      <w:r w:rsidRPr="00655A41">
        <w:rPr>
          <w:color w:val="000000" w:themeColor="text1"/>
        </w:rPr>
        <w:t xml:space="preserve">roblem of </w:t>
      </w:r>
      <w:r w:rsidR="00FC53A6">
        <w:rPr>
          <w:color w:val="000000" w:themeColor="text1"/>
        </w:rPr>
        <w:t>m</w:t>
      </w:r>
      <w:r w:rsidRPr="00655A41">
        <w:rPr>
          <w:color w:val="000000" w:themeColor="text1"/>
        </w:rPr>
        <w:t xml:space="preserve">issed </w:t>
      </w:r>
      <w:r w:rsidR="00FC53A6">
        <w:rPr>
          <w:color w:val="000000" w:themeColor="text1"/>
        </w:rPr>
        <w:t>m</w:t>
      </w:r>
      <w:r w:rsidRPr="00655A41">
        <w:rPr>
          <w:color w:val="000000" w:themeColor="text1"/>
        </w:rPr>
        <w:t xml:space="preserve">ental </w:t>
      </w:r>
      <w:r w:rsidR="00FC53A6">
        <w:rPr>
          <w:color w:val="000000" w:themeColor="text1"/>
        </w:rPr>
        <w:t>h</w:t>
      </w:r>
      <w:r w:rsidRPr="00655A41">
        <w:rPr>
          <w:color w:val="000000" w:themeColor="text1"/>
        </w:rPr>
        <w:t xml:space="preserve">ealthcare </w:t>
      </w:r>
      <w:r w:rsidR="00FC53A6">
        <w:rPr>
          <w:color w:val="000000" w:themeColor="text1"/>
        </w:rPr>
        <w:t>a</w:t>
      </w:r>
      <w:r w:rsidRPr="00655A41">
        <w:rPr>
          <w:color w:val="000000" w:themeColor="text1"/>
        </w:rPr>
        <w:t xml:space="preserve">ppointments. </w:t>
      </w:r>
      <w:r w:rsidRPr="00655A41">
        <w:rPr>
          <w:i/>
          <w:iCs/>
          <w:color w:val="000000" w:themeColor="text1"/>
        </w:rPr>
        <w:t>Clinical Schizophrenia &amp; Related Psychoses</w:t>
      </w:r>
      <w:r w:rsidRPr="00655A41">
        <w:rPr>
          <w:color w:val="000000" w:themeColor="text1"/>
        </w:rPr>
        <w:t>, 177</w:t>
      </w:r>
      <w:r w:rsidR="00037842">
        <w:rPr>
          <w:color w:val="000000" w:themeColor="text1"/>
        </w:rPr>
        <w:t>–</w:t>
      </w:r>
      <w:r w:rsidRPr="00655A41">
        <w:rPr>
          <w:color w:val="000000" w:themeColor="text1"/>
        </w:rPr>
        <w:t>184.</w:t>
      </w:r>
    </w:p>
    <w:p w14:paraId="46953AD4" w14:textId="3F3F5DB5" w:rsidR="001E11CF" w:rsidRPr="00655A41" w:rsidRDefault="001E11CF" w:rsidP="00A372EA">
      <w:pPr>
        <w:pStyle w:val="NoSpacing"/>
        <w:spacing w:line="360" w:lineRule="auto"/>
        <w:ind w:left="567" w:hanging="567"/>
        <w:rPr>
          <w:rFonts w:eastAsiaTheme="minorHAnsi"/>
          <w:color w:val="000000" w:themeColor="text1"/>
          <w:lang w:eastAsia="en-US"/>
        </w:rPr>
      </w:pPr>
      <w:r w:rsidRPr="00FC53A6">
        <w:rPr>
          <w:b/>
          <w:bCs/>
          <w:color w:val="000000" w:themeColor="text1"/>
        </w:rPr>
        <w:t xml:space="preserve">Mitchell, A. J., &amp; </w:t>
      </w:r>
      <w:proofErr w:type="spellStart"/>
      <w:r w:rsidRPr="00FC53A6">
        <w:rPr>
          <w:b/>
          <w:bCs/>
          <w:color w:val="000000" w:themeColor="text1"/>
        </w:rPr>
        <w:t>Selmes</w:t>
      </w:r>
      <w:proofErr w:type="spellEnd"/>
      <w:r w:rsidRPr="00FC53A6">
        <w:rPr>
          <w:b/>
          <w:bCs/>
          <w:color w:val="000000" w:themeColor="text1"/>
        </w:rPr>
        <w:t>, T.</w:t>
      </w:r>
      <w:r w:rsidRPr="00655A41">
        <w:rPr>
          <w:color w:val="000000" w:themeColor="text1"/>
        </w:rPr>
        <w:t xml:space="preserve"> (2007). Why don’t patients attend their appointments? Maintaining engagement with psychiatric services. </w:t>
      </w:r>
      <w:r w:rsidRPr="00655A41">
        <w:rPr>
          <w:i/>
          <w:iCs/>
          <w:color w:val="000000" w:themeColor="text1"/>
        </w:rPr>
        <w:t>Advances in Psychiatric Treatment</w:t>
      </w:r>
      <w:r w:rsidRPr="00FC53A6">
        <w:rPr>
          <w:color w:val="000000" w:themeColor="text1"/>
        </w:rPr>
        <w:t>,</w:t>
      </w:r>
      <w:r w:rsidRPr="00655A41">
        <w:rPr>
          <w:i/>
          <w:iCs/>
          <w:color w:val="000000" w:themeColor="text1"/>
        </w:rPr>
        <w:t xml:space="preserve"> </w:t>
      </w:r>
      <w:r w:rsidRPr="00FC53A6">
        <w:rPr>
          <w:i/>
          <w:iCs/>
          <w:color w:val="000000" w:themeColor="text1"/>
        </w:rPr>
        <w:t>13</w:t>
      </w:r>
      <w:r w:rsidRPr="00655A41">
        <w:rPr>
          <w:color w:val="000000" w:themeColor="text1"/>
        </w:rPr>
        <w:t>, 423</w:t>
      </w:r>
      <w:r w:rsidR="00037842">
        <w:rPr>
          <w:color w:val="000000" w:themeColor="text1"/>
        </w:rPr>
        <w:t>–</w:t>
      </w:r>
      <w:r w:rsidRPr="00655A41">
        <w:rPr>
          <w:color w:val="000000" w:themeColor="text1"/>
        </w:rPr>
        <w:t>434</w:t>
      </w:r>
      <w:r w:rsidR="00FC53A6">
        <w:rPr>
          <w:color w:val="000000" w:themeColor="text1"/>
        </w:rPr>
        <w:t>.</w:t>
      </w:r>
      <w:r w:rsidRPr="00655A41">
        <w:rPr>
          <w:color w:val="000000" w:themeColor="text1"/>
        </w:rPr>
        <w:t xml:space="preserve"> </w:t>
      </w:r>
      <w:proofErr w:type="spellStart"/>
      <w:r w:rsidR="00FC53A6">
        <w:rPr>
          <w:rFonts w:eastAsiaTheme="minorHAnsi"/>
          <w:color w:val="000000" w:themeColor="text1"/>
          <w:lang w:eastAsia="en-US"/>
        </w:rPr>
        <w:t>doi</w:t>
      </w:r>
      <w:proofErr w:type="spellEnd"/>
      <w:r w:rsidRPr="00655A41">
        <w:rPr>
          <w:rFonts w:eastAsiaTheme="minorHAnsi"/>
          <w:color w:val="000000" w:themeColor="text1"/>
          <w:lang w:eastAsia="en-US"/>
        </w:rPr>
        <w:t>:</w:t>
      </w:r>
      <w:r w:rsidR="00FC53A6">
        <w:rPr>
          <w:rFonts w:eastAsiaTheme="minorHAnsi"/>
          <w:color w:val="000000" w:themeColor="text1"/>
          <w:lang w:eastAsia="en-US"/>
        </w:rPr>
        <w:t> </w:t>
      </w:r>
      <w:r w:rsidRPr="00655A41">
        <w:rPr>
          <w:rFonts w:eastAsiaTheme="minorHAnsi"/>
          <w:color w:val="000000" w:themeColor="text1"/>
          <w:lang w:eastAsia="en-US"/>
        </w:rPr>
        <w:t>10.1192/apt.bp.106.003202</w:t>
      </w:r>
    </w:p>
    <w:p w14:paraId="741ED265" w14:textId="0B7A8C2B" w:rsidR="001E11CF" w:rsidRPr="00655A41" w:rsidRDefault="001E11CF" w:rsidP="00A372EA">
      <w:pPr>
        <w:pStyle w:val="NoSpacing"/>
        <w:spacing w:line="360" w:lineRule="auto"/>
        <w:ind w:left="567" w:hanging="567"/>
        <w:rPr>
          <w:rStyle w:val="Hyperlink"/>
          <w:color w:val="000000" w:themeColor="text1"/>
          <w:u w:val="none"/>
        </w:rPr>
      </w:pPr>
      <w:r w:rsidRPr="00FC53A6">
        <w:rPr>
          <w:b/>
          <w:bCs/>
          <w:color w:val="000000" w:themeColor="text1"/>
        </w:rPr>
        <w:t>National Collaborating Centre for Mental Health</w:t>
      </w:r>
      <w:r w:rsidRPr="00655A41">
        <w:rPr>
          <w:color w:val="000000" w:themeColor="text1"/>
        </w:rPr>
        <w:t xml:space="preserve"> (2019). Advancing Mental Health Equality: Steps and </w:t>
      </w:r>
      <w:r w:rsidR="00FC53A6">
        <w:rPr>
          <w:color w:val="000000" w:themeColor="text1"/>
        </w:rPr>
        <w:t>G</w:t>
      </w:r>
      <w:r w:rsidRPr="00655A41">
        <w:rPr>
          <w:color w:val="000000" w:themeColor="text1"/>
        </w:rPr>
        <w:t xml:space="preserve">uidance on </w:t>
      </w:r>
      <w:r w:rsidR="00FC53A6">
        <w:rPr>
          <w:color w:val="000000" w:themeColor="text1"/>
        </w:rPr>
        <w:t>C</w:t>
      </w:r>
      <w:r w:rsidRPr="00655A41">
        <w:rPr>
          <w:color w:val="000000" w:themeColor="text1"/>
        </w:rPr>
        <w:t xml:space="preserve">ommissioning and </w:t>
      </w:r>
      <w:r w:rsidR="00FC53A6">
        <w:rPr>
          <w:color w:val="000000" w:themeColor="text1"/>
        </w:rPr>
        <w:t>D</w:t>
      </w:r>
      <w:r w:rsidRPr="00655A41">
        <w:rPr>
          <w:color w:val="000000" w:themeColor="text1"/>
        </w:rPr>
        <w:t xml:space="preserve">elivering </w:t>
      </w:r>
      <w:r w:rsidR="00FC53A6">
        <w:rPr>
          <w:color w:val="000000" w:themeColor="text1"/>
        </w:rPr>
        <w:t>E</w:t>
      </w:r>
      <w:r w:rsidRPr="00655A41">
        <w:rPr>
          <w:color w:val="000000" w:themeColor="text1"/>
        </w:rPr>
        <w:t xml:space="preserve">quality in </w:t>
      </w:r>
      <w:r w:rsidR="00FC53A6">
        <w:rPr>
          <w:color w:val="000000" w:themeColor="text1"/>
        </w:rPr>
        <w:t>M</w:t>
      </w:r>
      <w:r w:rsidRPr="00655A41">
        <w:rPr>
          <w:color w:val="000000" w:themeColor="text1"/>
        </w:rPr>
        <w:t xml:space="preserve">ental </w:t>
      </w:r>
      <w:r w:rsidR="00FC53A6">
        <w:rPr>
          <w:color w:val="000000" w:themeColor="text1"/>
        </w:rPr>
        <w:t>H</w:t>
      </w:r>
      <w:r w:rsidRPr="00655A41">
        <w:rPr>
          <w:color w:val="000000" w:themeColor="text1"/>
        </w:rPr>
        <w:t xml:space="preserve">ealth </w:t>
      </w:r>
      <w:r w:rsidR="00FC53A6">
        <w:rPr>
          <w:color w:val="000000" w:themeColor="text1"/>
        </w:rPr>
        <w:t>C</w:t>
      </w:r>
      <w:r w:rsidRPr="00655A41">
        <w:rPr>
          <w:color w:val="000000" w:themeColor="text1"/>
        </w:rPr>
        <w:t xml:space="preserve">are. London: National Collaborating Centre for Mental Health. </w:t>
      </w:r>
      <w:hyperlink r:id="rId11" w:history="1">
        <w:r w:rsidRPr="00655A41">
          <w:rPr>
            <w:rStyle w:val="Hyperlink"/>
            <w:color w:val="000000" w:themeColor="text1"/>
            <w:u w:val="none"/>
          </w:rPr>
          <w:t>https://www.rcpsych.ac.uk/docs/default-source/improving-care/nccmh/amhe/amhe-resource.pdf</w:t>
        </w:r>
      </w:hyperlink>
    </w:p>
    <w:p w14:paraId="3BFB4703" w14:textId="776010E7" w:rsidR="001E11CF" w:rsidRPr="00655A41" w:rsidRDefault="001E11CF" w:rsidP="00A372EA">
      <w:pPr>
        <w:pStyle w:val="NoSpacing"/>
        <w:spacing w:line="360" w:lineRule="auto"/>
        <w:ind w:left="567" w:hanging="567"/>
        <w:rPr>
          <w:rStyle w:val="Hyperlink"/>
          <w:color w:val="000000" w:themeColor="text1"/>
          <w:u w:val="none"/>
        </w:rPr>
      </w:pPr>
      <w:r w:rsidRPr="00FC53A6">
        <w:rPr>
          <w:rStyle w:val="Hyperlink"/>
          <w:b/>
          <w:bCs/>
          <w:color w:val="000000" w:themeColor="text1"/>
          <w:u w:val="none"/>
        </w:rPr>
        <w:t>Naz, S.</w:t>
      </w:r>
      <w:r w:rsidRPr="00655A41">
        <w:rPr>
          <w:rStyle w:val="Hyperlink"/>
          <w:color w:val="000000" w:themeColor="text1"/>
          <w:u w:val="none"/>
        </w:rPr>
        <w:t xml:space="preserve"> (2020). A letter from Saiqa. </w:t>
      </w:r>
      <w:hyperlink r:id="rId12" w:history="1">
        <w:r w:rsidRPr="00655A41">
          <w:rPr>
            <w:rStyle w:val="Hyperlink"/>
            <w:color w:val="000000" w:themeColor="text1"/>
            <w:u w:val="none"/>
          </w:rPr>
          <w:t>https://notaguru.blog/2020/04/05/a-letter-from-saiqa/</w:t>
        </w:r>
      </w:hyperlink>
    </w:p>
    <w:p w14:paraId="7B9B874C" w14:textId="4852C27D" w:rsidR="001E11CF" w:rsidRPr="00655A41" w:rsidRDefault="001E11CF" w:rsidP="00A372EA">
      <w:pPr>
        <w:pStyle w:val="NoSpacing"/>
        <w:spacing w:line="360" w:lineRule="auto"/>
        <w:ind w:left="567" w:hanging="567"/>
        <w:rPr>
          <w:color w:val="000000" w:themeColor="text1"/>
        </w:rPr>
      </w:pPr>
      <w:r w:rsidRPr="00FC53A6">
        <w:rPr>
          <w:rStyle w:val="Hyperlink"/>
          <w:b/>
          <w:bCs/>
          <w:color w:val="000000" w:themeColor="text1"/>
          <w:u w:val="none"/>
        </w:rPr>
        <w:t>Naz, S., Gregory, R., &amp; Bahu, M.</w:t>
      </w:r>
      <w:r w:rsidRPr="00655A41">
        <w:rPr>
          <w:rStyle w:val="Hyperlink"/>
          <w:color w:val="000000" w:themeColor="text1"/>
          <w:u w:val="none"/>
        </w:rPr>
        <w:t xml:space="preserve"> (2019). Addressing issues of race, </w:t>
      </w:r>
      <w:proofErr w:type="gramStart"/>
      <w:r w:rsidRPr="00655A41">
        <w:rPr>
          <w:rStyle w:val="Hyperlink"/>
          <w:color w:val="000000" w:themeColor="text1"/>
          <w:u w:val="none"/>
        </w:rPr>
        <w:t>ethnicity</w:t>
      </w:r>
      <w:proofErr w:type="gramEnd"/>
      <w:r w:rsidRPr="00655A41">
        <w:rPr>
          <w:rStyle w:val="Hyperlink"/>
          <w:color w:val="000000" w:themeColor="text1"/>
          <w:u w:val="none"/>
        </w:rPr>
        <w:t xml:space="preserve"> and culture in CBT to support therapists and service managers to deliver culturally competent therapy and reduce inequalities in mental health provision for BAME service users. </w:t>
      </w:r>
      <w:r w:rsidR="00FC53A6">
        <w:rPr>
          <w:rStyle w:val="Hyperlink"/>
          <w:i/>
          <w:iCs/>
          <w:color w:val="000000" w:themeColor="text1"/>
          <w:u w:val="none"/>
        </w:rPr>
        <w:t>t</w:t>
      </w:r>
      <w:r w:rsidRPr="00655A41">
        <w:rPr>
          <w:rStyle w:val="Hyperlink"/>
          <w:i/>
          <w:iCs/>
          <w:color w:val="000000" w:themeColor="text1"/>
          <w:u w:val="none"/>
        </w:rPr>
        <w:t>he</w:t>
      </w:r>
      <w:r w:rsidR="00FC53A6">
        <w:rPr>
          <w:rStyle w:val="Hyperlink"/>
          <w:i/>
          <w:iCs/>
          <w:color w:val="000000" w:themeColor="text1"/>
          <w:u w:val="none"/>
        </w:rPr>
        <w:t> </w:t>
      </w:r>
      <w:r w:rsidRPr="00655A41">
        <w:rPr>
          <w:rStyle w:val="Hyperlink"/>
          <w:i/>
          <w:iCs/>
          <w:color w:val="000000" w:themeColor="text1"/>
          <w:u w:val="none"/>
        </w:rPr>
        <w:t>Cognitive Behaviour Therapist</w:t>
      </w:r>
      <w:r w:rsidRPr="00FC53A6">
        <w:rPr>
          <w:rStyle w:val="Hyperlink"/>
          <w:color w:val="000000" w:themeColor="text1"/>
          <w:u w:val="none"/>
        </w:rPr>
        <w:t>,</w:t>
      </w:r>
      <w:r w:rsidRPr="00655A41">
        <w:rPr>
          <w:rStyle w:val="Hyperlink"/>
          <w:i/>
          <w:iCs/>
          <w:color w:val="000000" w:themeColor="text1"/>
          <w:u w:val="none"/>
        </w:rPr>
        <w:t xml:space="preserve"> </w:t>
      </w:r>
      <w:r w:rsidRPr="00FC53A6">
        <w:rPr>
          <w:rStyle w:val="Hyperlink"/>
          <w:i/>
          <w:iCs/>
          <w:color w:val="000000" w:themeColor="text1"/>
          <w:u w:val="none"/>
        </w:rPr>
        <w:t>12</w:t>
      </w:r>
      <w:r w:rsidRPr="00655A41">
        <w:rPr>
          <w:rStyle w:val="Hyperlink"/>
          <w:color w:val="000000" w:themeColor="text1"/>
          <w:u w:val="none"/>
        </w:rPr>
        <w:t>, 1</w:t>
      </w:r>
      <w:r w:rsidR="00037842">
        <w:rPr>
          <w:color w:val="000000" w:themeColor="text1"/>
        </w:rPr>
        <w:t>–</w:t>
      </w:r>
      <w:r w:rsidRPr="00655A41">
        <w:rPr>
          <w:rStyle w:val="Hyperlink"/>
          <w:color w:val="000000" w:themeColor="text1"/>
          <w:u w:val="none"/>
        </w:rPr>
        <w:t>17</w:t>
      </w:r>
      <w:r w:rsidR="00FC53A6">
        <w:rPr>
          <w:rStyle w:val="Hyperlink"/>
          <w:color w:val="000000" w:themeColor="text1"/>
          <w:u w:val="none"/>
        </w:rPr>
        <w:t>.</w:t>
      </w:r>
    </w:p>
    <w:p w14:paraId="272679E8" w14:textId="6F3D6E7D" w:rsidR="001E11CF" w:rsidRPr="00A372EA" w:rsidRDefault="001E11CF" w:rsidP="00A372EA">
      <w:pPr>
        <w:pStyle w:val="NoSpacing"/>
        <w:spacing w:line="360" w:lineRule="auto"/>
        <w:ind w:left="567" w:hanging="567"/>
        <w:rPr>
          <w:color w:val="000000" w:themeColor="text1"/>
        </w:rPr>
      </w:pPr>
      <w:r w:rsidRPr="00BD5A9F">
        <w:rPr>
          <w:b/>
          <w:bCs/>
          <w:color w:val="000000" w:themeColor="text1"/>
        </w:rPr>
        <w:t>Public Health England</w:t>
      </w:r>
      <w:r w:rsidRPr="00A372EA">
        <w:rPr>
          <w:color w:val="000000" w:themeColor="text1"/>
        </w:rPr>
        <w:t xml:space="preserve"> (2020). Disparities in the risk and outcomes of COVID-19. </w:t>
      </w:r>
      <w:hyperlink r:id="rId13" w:history="1">
        <w:r w:rsidRPr="00A372EA">
          <w:rPr>
            <w:rStyle w:val="Hyperlink"/>
            <w:color w:val="000000" w:themeColor="text1"/>
            <w:u w:val="none"/>
          </w:rPr>
          <w:t>https://assets.publishing.service.gov.uk/government/uploads/system/uploads/attachment_data/file/908434/Disparities_in_the_risk_and_outcomes_of_COVID_August_2020_update.pdf</w:t>
        </w:r>
      </w:hyperlink>
      <w:r w:rsidR="00BD5A9F">
        <w:rPr>
          <w:rStyle w:val="Hyperlink"/>
          <w:color w:val="000000" w:themeColor="text1"/>
          <w:u w:val="none"/>
        </w:rPr>
        <w:t xml:space="preserve"> </w:t>
      </w:r>
    </w:p>
    <w:p w14:paraId="733A3908" w14:textId="26F64AB2" w:rsidR="001E11CF" w:rsidRPr="00655A41" w:rsidRDefault="001E11CF" w:rsidP="00A372EA">
      <w:pPr>
        <w:pStyle w:val="NoSpacing"/>
        <w:spacing w:line="360" w:lineRule="auto"/>
        <w:ind w:left="567" w:hanging="567"/>
        <w:rPr>
          <w:color w:val="000000" w:themeColor="text1"/>
        </w:rPr>
      </w:pPr>
      <w:r w:rsidRPr="00FC53A6">
        <w:rPr>
          <w:rFonts w:eastAsiaTheme="minorHAnsi"/>
          <w:b/>
          <w:bCs/>
          <w:color w:val="000000" w:themeColor="text1"/>
          <w:lang w:eastAsia="en-US"/>
        </w:rPr>
        <w:t xml:space="preserve">Rauschenberg, C, Schick, A, </w:t>
      </w:r>
      <w:proofErr w:type="spellStart"/>
      <w:r w:rsidRPr="00FC53A6">
        <w:rPr>
          <w:rFonts w:eastAsiaTheme="minorHAnsi"/>
          <w:b/>
          <w:bCs/>
          <w:color w:val="000000" w:themeColor="text1"/>
          <w:lang w:eastAsia="en-US"/>
        </w:rPr>
        <w:t>Hirjak</w:t>
      </w:r>
      <w:proofErr w:type="spellEnd"/>
      <w:r w:rsidRPr="00FC53A6">
        <w:rPr>
          <w:rFonts w:eastAsiaTheme="minorHAnsi"/>
          <w:b/>
          <w:bCs/>
          <w:color w:val="000000" w:themeColor="text1"/>
          <w:lang w:eastAsia="en-US"/>
        </w:rPr>
        <w:t xml:space="preserve">, D, Seidler, A, Paetzold, I, </w:t>
      </w:r>
      <w:proofErr w:type="spellStart"/>
      <w:r w:rsidRPr="00FC53A6">
        <w:rPr>
          <w:rFonts w:eastAsiaTheme="minorHAnsi"/>
          <w:b/>
          <w:bCs/>
          <w:color w:val="000000" w:themeColor="text1"/>
          <w:lang w:eastAsia="en-US"/>
        </w:rPr>
        <w:t>Apfelbacker</w:t>
      </w:r>
      <w:proofErr w:type="spellEnd"/>
      <w:r w:rsidRPr="00FC53A6">
        <w:rPr>
          <w:rFonts w:eastAsiaTheme="minorHAnsi"/>
          <w:b/>
          <w:bCs/>
          <w:color w:val="000000" w:themeColor="text1"/>
          <w:lang w:eastAsia="en-US"/>
        </w:rPr>
        <w:t xml:space="preserve">, C, Riedel-Heller S. G., &amp; </w:t>
      </w:r>
      <w:proofErr w:type="spellStart"/>
      <w:r w:rsidRPr="00FC53A6">
        <w:rPr>
          <w:rFonts w:eastAsiaTheme="minorHAnsi"/>
          <w:b/>
          <w:bCs/>
          <w:color w:val="000000" w:themeColor="text1"/>
          <w:lang w:eastAsia="en-US"/>
        </w:rPr>
        <w:t>Reininghause</w:t>
      </w:r>
      <w:proofErr w:type="spellEnd"/>
      <w:r w:rsidRPr="00FC53A6">
        <w:rPr>
          <w:rFonts w:eastAsiaTheme="minorHAnsi"/>
          <w:b/>
          <w:bCs/>
          <w:color w:val="000000" w:themeColor="text1"/>
          <w:lang w:eastAsia="en-US"/>
        </w:rPr>
        <w:t>, U.</w:t>
      </w:r>
      <w:r w:rsidRPr="00655A41">
        <w:rPr>
          <w:rFonts w:eastAsiaTheme="minorHAnsi"/>
          <w:color w:val="000000" w:themeColor="text1"/>
          <w:lang w:eastAsia="en-US"/>
        </w:rPr>
        <w:t xml:space="preserve"> (2021). Evidence </w:t>
      </w:r>
      <w:r w:rsidR="00FC53A6">
        <w:rPr>
          <w:rFonts w:eastAsiaTheme="minorHAnsi"/>
          <w:color w:val="000000" w:themeColor="text1"/>
          <w:lang w:eastAsia="en-US"/>
        </w:rPr>
        <w:t>s</w:t>
      </w:r>
      <w:r w:rsidRPr="00655A41">
        <w:rPr>
          <w:rFonts w:eastAsiaTheme="minorHAnsi"/>
          <w:color w:val="000000" w:themeColor="text1"/>
          <w:lang w:eastAsia="en-US"/>
        </w:rPr>
        <w:t xml:space="preserve">ynthesis of </w:t>
      </w:r>
      <w:r w:rsidR="00FC53A6">
        <w:rPr>
          <w:rFonts w:eastAsiaTheme="minorHAnsi"/>
          <w:color w:val="000000" w:themeColor="text1"/>
          <w:lang w:eastAsia="en-US"/>
        </w:rPr>
        <w:t>d</w:t>
      </w:r>
      <w:r w:rsidRPr="00655A41">
        <w:rPr>
          <w:rFonts w:eastAsiaTheme="minorHAnsi"/>
          <w:color w:val="000000" w:themeColor="text1"/>
          <w:lang w:eastAsia="en-US"/>
        </w:rPr>
        <w:t xml:space="preserve">igital </w:t>
      </w:r>
      <w:r w:rsidR="00FC53A6">
        <w:rPr>
          <w:rFonts w:eastAsiaTheme="minorHAnsi"/>
          <w:color w:val="000000" w:themeColor="text1"/>
          <w:lang w:eastAsia="en-US"/>
        </w:rPr>
        <w:t>i</w:t>
      </w:r>
      <w:r w:rsidRPr="00655A41">
        <w:rPr>
          <w:rFonts w:eastAsiaTheme="minorHAnsi"/>
          <w:color w:val="000000" w:themeColor="text1"/>
          <w:lang w:eastAsia="en-US"/>
        </w:rPr>
        <w:t xml:space="preserve">nterventions to </w:t>
      </w:r>
      <w:r w:rsidR="00FC53A6">
        <w:rPr>
          <w:rFonts w:eastAsiaTheme="minorHAnsi"/>
          <w:color w:val="000000" w:themeColor="text1"/>
          <w:lang w:eastAsia="en-US"/>
        </w:rPr>
        <w:t>m</w:t>
      </w:r>
      <w:r w:rsidRPr="00655A41">
        <w:rPr>
          <w:rFonts w:eastAsiaTheme="minorHAnsi"/>
          <w:color w:val="000000" w:themeColor="text1"/>
          <w:lang w:eastAsia="en-US"/>
        </w:rPr>
        <w:t xml:space="preserve">itigate the </w:t>
      </w:r>
      <w:r w:rsidR="00FC53A6">
        <w:rPr>
          <w:rFonts w:eastAsiaTheme="minorHAnsi"/>
          <w:color w:val="000000" w:themeColor="text1"/>
          <w:lang w:eastAsia="en-US"/>
        </w:rPr>
        <w:t>n</w:t>
      </w:r>
      <w:r w:rsidRPr="00655A41">
        <w:rPr>
          <w:rFonts w:eastAsiaTheme="minorHAnsi"/>
          <w:color w:val="000000" w:themeColor="text1"/>
          <w:lang w:eastAsia="en-US"/>
        </w:rPr>
        <w:t xml:space="preserve">egative </w:t>
      </w:r>
      <w:r w:rsidR="00FC53A6">
        <w:rPr>
          <w:rFonts w:eastAsiaTheme="minorHAnsi"/>
          <w:color w:val="000000" w:themeColor="text1"/>
          <w:lang w:eastAsia="en-US"/>
        </w:rPr>
        <w:t>i</w:t>
      </w:r>
      <w:r w:rsidRPr="00655A41">
        <w:rPr>
          <w:rFonts w:eastAsiaTheme="minorHAnsi"/>
          <w:color w:val="000000" w:themeColor="text1"/>
          <w:lang w:eastAsia="en-US"/>
        </w:rPr>
        <w:t xml:space="preserve">mpact of the COVID-19 </w:t>
      </w:r>
      <w:r w:rsidR="00FC53A6">
        <w:rPr>
          <w:rFonts w:eastAsiaTheme="minorHAnsi"/>
          <w:color w:val="000000" w:themeColor="text1"/>
          <w:lang w:eastAsia="en-US"/>
        </w:rPr>
        <w:t>p</w:t>
      </w:r>
      <w:r w:rsidRPr="00655A41">
        <w:rPr>
          <w:rFonts w:eastAsiaTheme="minorHAnsi"/>
          <w:color w:val="000000" w:themeColor="text1"/>
          <w:lang w:eastAsia="en-US"/>
        </w:rPr>
        <w:t xml:space="preserve">andemic on </w:t>
      </w:r>
      <w:r w:rsidR="00FC53A6">
        <w:rPr>
          <w:rFonts w:eastAsiaTheme="minorHAnsi"/>
          <w:color w:val="000000" w:themeColor="text1"/>
          <w:lang w:eastAsia="en-US"/>
        </w:rPr>
        <w:t>p</w:t>
      </w:r>
      <w:r w:rsidRPr="00655A41">
        <w:rPr>
          <w:rFonts w:eastAsiaTheme="minorHAnsi"/>
          <w:color w:val="000000" w:themeColor="text1"/>
          <w:lang w:eastAsia="en-US"/>
        </w:rPr>
        <w:t xml:space="preserve">ublic </w:t>
      </w:r>
      <w:r w:rsidR="00FC53A6">
        <w:rPr>
          <w:rFonts w:eastAsiaTheme="minorHAnsi"/>
          <w:color w:val="000000" w:themeColor="text1"/>
          <w:lang w:eastAsia="en-US"/>
        </w:rPr>
        <w:t>m</w:t>
      </w:r>
      <w:r w:rsidRPr="00655A41">
        <w:rPr>
          <w:rFonts w:eastAsiaTheme="minorHAnsi"/>
          <w:color w:val="000000" w:themeColor="text1"/>
          <w:lang w:eastAsia="en-US"/>
        </w:rPr>
        <w:t xml:space="preserve">ental </w:t>
      </w:r>
      <w:r w:rsidR="00FC53A6">
        <w:rPr>
          <w:rFonts w:eastAsiaTheme="minorHAnsi"/>
          <w:color w:val="000000" w:themeColor="text1"/>
          <w:lang w:eastAsia="en-US"/>
        </w:rPr>
        <w:t>h</w:t>
      </w:r>
      <w:r w:rsidRPr="00655A41">
        <w:rPr>
          <w:rFonts w:eastAsiaTheme="minorHAnsi"/>
          <w:color w:val="000000" w:themeColor="text1"/>
          <w:lang w:eastAsia="en-US"/>
        </w:rPr>
        <w:t xml:space="preserve">ealth: </w:t>
      </w:r>
      <w:r w:rsidR="00FC53A6">
        <w:rPr>
          <w:rFonts w:eastAsiaTheme="minorHAnsi"/>
          <w:color w:val="000000" w:themeColor="text1"/>
          <w:lang w:eastAsia="en-US"/>
        </w:rPr>
        <w:t>r</w:t>
      </w:r>
      <w:r w:rsidRPr="00655A41">
        <w:rPr>
          <w:rFonts w:eastAsiaTheme="minorHAnsi"/>
          <w:color w:val="000000" w:themeColor="text1"/>
          <w:lang w:eastAsia="en-US"/>
        </w:rPr>
        <w:t xml:space="preserve">apid </w:t>
      </w:r>
      <w:r w:rsidR="00FC53A6">
        <w:rPr>
          <w:rFonts w:eastAsiaTheme="minorHAnsi"/>
          <w:color w:val="000000" w:themeColor="text1"/>
          <w:lang w:eastAsia="en-US"/>
        </w:rPr>
        <w:t>m</w:t>
      </w:r>
      <w:r w:rsidRPr="00655A41">
        <w:rPr>
          <w:rFonts w:eastAsiaTheme="minorHAnsi"/>
          <w:color w:val="000000" w:themeColor="text1"/>
          <w:lang w:eastAsia="en-US"/>
        </w:rPr>
        <w:t xml:space="preserve">eta-review. </w:t>
      </w:r>
      <w:r w:rsidRPr="00655A41">
        <w:rPr>
          <w:rFonts w:eastAsiaTheme="minorHAnsi"/>
          <w:i/>
          <w:iCs/>
          <w:color w:val="000000" w:themeColor="text1"/>
          <w:lang w:eastAsia="en-US"/>
        </w:rPr>
        <w:t>Journal of Medical Internet Research</w:t>
      </w:r>
      <w:r w:rsidRPr="00655A41">
        <w:rPr>
          <w:rFonts w:eastAsiaTheme="minorHAnsi"/>
          <w:color w:val="000000" w:themeColor="text1"/>
          <w:lang w:eastAsia="en-US"/>
        </w:rPr>
        <w:t xml:space="preserve">, </w:t>
      </w:r>
      <w:r w:rsidRPr="00FC53A6">
        <w:rPr>
          <w:rFonts w:eastAsiaTheme="minorHAnsi"/>
          <w:i/>
          <w:iCs/>
          <w:color w:val="000000" w:themeColor="text1"/>
          <w:lang w:eastAsia="en-US"/>
        </w:rPr>
        <w:t>23</w:t>
      </w:r>
      <w:r w:rsidR="00FC53A6">
        <w:rPr>
          <w:rFonts w:eastAsiaTheme="minorHAnsi"/>
          <w:color w:val="000000" w:themeColor="text1"/>
          <w:lang w:eastAsia="en-US"/>
        </w:rPr>
        <w:t xml:space="preserve">. </w:t>
      </w:r>
      <w:hyperlink r:id="rId14" w:history="1">
        <w:proofErr w:type="spellStart"/>
        <w:r w:rsidRPr="00655A41">
          <w:rPr>
            <w:rStyle w:val="Hyperlink"/>
            <w:color w:val="000000" w:themeColor="text1"/>
            <w:u w:val="none"/>
            <w:shd w:val="clear" w:color="auto" w:fill="FFFFFF"/>
          </w:rPr>
          <w:t>doi</w:t>
        </w:r>
        <w:proofErr w:type="spellEnd"/>
        <w:r w:rsidRPr="00655A41">
          <w:rPr>
            <w:rStyle w:val="Hyperlink"/>
            <w:color w:val="000000" w:themeColor="text1"/>
            <w:u w:val="none"/>
            <w:shd w:val="clear" w:color="auto" w:fill="FFFFFF"/>
          </w:rPr>
          <w:t>:</w:t>
        </w:r>
        <w:r w:rsidR="00FC53A6">
          <w:rPr>
            <w:rStyle w:val="Hyperlink"/>
            <w:color w:val="000000" w:themeColor="text1"/>
            <w:u w:val="none"/>
            <w:shd w:val="clear" w:color="auto" w:fill="FFFFFF"/>
          </w:rPr>
          <w:t> </w:t>
        </w:r>
        <w:r w:rsidRPr="00655A41">
          <w:rPr>
            <w:rStyle w:val="Hyperlink"/>
            <w:color w:val="000000" w:themeColor="text1"/>
            <w:u w:val="none"/>
            <w:shd w:val="clear" w:color="auto" w:fill="FFFFFF"/>
          </w:rPr>
          <w:t>10.2196/23365</w:t>
        </w:r>
      </w:hyperlink>
    </w:p>
    <w:p w14:paraId="070D268C" w14:textId="5960C319" w:rsidR="001E11CF" w:rsidRPr="00A372EA" w:rsidRDefault="001E11CF" w:rsidP="00A372EA">
      <w:pPr>
        <w:pStyle w:val="NoSpacing"/>
        <w:spacing w:line="360" w:lineRule="auto"/>
        <w:ind w:left="567" w:hanging="567"/>
        <w:rPr>
          <w:rFonts w:eastAsiaTheme="minorHAnsi"/>
          <w:color w:val="000000" w:themeColor="text1"/>
          <w:lang w:eastAsia="en-US"/>
        </w:rPr>
      </w:pPr>
      <w:r w:rsidRPr="00BD5A9F">
        <w:rPr>
          <w:rFonts w:eastAsiaTheme="minorHAnsi"/>
          <w:b/>
          <w:bCs/>
          <w:color w:val="000000" w:themeColor="text1"/>
          <w:lang w:eastAsia="en-US"/>
        </w:rPr>
        <w:t>Sanghara, H</w:t>
      </w:r>
      <w:r w:rsidR="00FC53A6">
        <w:rPr>
          <w:rFonts w:eastAsiaTheme="minorHAnsi"/>
          <w:b/>
          <w:bCs/>
          <w:color w:val="000000" w:themeColor="text1"/>
          <w:lang w:eastAsia="en-US"/>
        </w:rPr>
        <w:t>.</w:t>
      </w:r>
      <w:r w:rsidRPr="00BD5A9F">
        <w:rPr>
          <w:rFonts w:eastAsiaTheme="minorHAnsi"/>
          <w:b/>
          <w:bCs/>
          <w:color w:val="000000" w:themeColor="text1"/>
          <w:lang w:eastAsia="en-US"/>
        </w:rPr>
        <w:t xml:space="preserve">, </w:t>
      </w:r>
      <w:proofErr w:type="spellStart"/>
      <w:r w:rsidRPr="00BD5A9F">
        <w:rPr>
          <w:rFonts w:eastAsiaTheme="minorHAnsi"/>
          <w:b/>
          <w:bCs/>
          <w:color w:val="000000" w:themeColor="text1"/>
          <w:lang w:eastAsia="en-US"/>
        </w:rPr>
        <w:t>Kravariti</w:t>
      </w:r>
      <w:proofErr w:type="spellEnd"/>
      <w:r w:rsidRPr="00BD5A9F">
        <w:rPr>
          <w:rFonts w:eastAsiaTheme="minorHAnsi"/>
          <w:b/>
          <w:bCs/>
          <w:color w:val="000000" w:themeColor="text1"/>
          <w:lang w:eastAsia="en-US"/>
        </w:rPr>
        <w:t>, E</w:t>
      </w:r>
      <w:r w:rsidR="00FC53A6">
        <w:rPr>
          <w:rFonts w:eastAsiaTheme="minorHAnsi"/>
          <w:b/>
          <w:bCs/>
          <w:color w:val="000000" w:themeColor="text1"/>
          <w:lang w:eastAsia="en-US"/>
        </w:rPr>
        <w:t>.</w:t>
      </w:r>
      <w:r w:rsidRPr="00BD5A9F">
        <w:rPr>
          <w:rFonts w:eastAsiaTheme="minorHAnsi"/>
          <w:b/>
          <w:bCs/>
          <w:color w:val="000000" w:themeColor="text1"/>
          <w:lang w:eastAsia="en-US"/>
        </w:rPr>
        <w:t xml:space="preserve">, </w:t>
      </w:r>
      <w:proofErr w:type="spellStart"/>
      <w:r w:rsidRPr="00BD5A9F">
        <w:rPr>
          <w:rFonts w:eastAsiaTheme="minorHAnsi"/>
          <w:b/>
          <w:bCs/>
          <w:color w:val="000000" w:themeColor="text1"/>
          <w:lang w:eastAsia="en-US"/>
        </w:rPr>
        <w:t>Jokobsen</w:t>
      </w:r>
      <w:proofErr w:type="spellEnd"/>
      <w:r w:rsidRPr="00BD5A9F">
        <w:rPr>
          <w:rFonts w:eastAsiaTheme="minorHAnsi"/>
          <w:b/>
          <w:bCs/>
          <w:color w:val="000000" w:themeColor="text1"/>
          <w:lang w:eastAsia="en-US"/>
        </w:rPr>
        <w:t>, H., &amp; Okocha, C. I.</w:t>
      </w:r>
      <w:r w:rsidRPr="00A372EA">
        <w:rPr>
          <w:rFonts w:eastAsiaTheme="minorHAnsi"/>
          <w:color w:val="000000" w:themeColor="text1"/>
          <w:lang w:eastAsia="en-US"/>
        </w:rPr>
        <w:t xml:space="preserve"> (2010). Using short messages services in mental health services: assessing feasibility. </w:t>
      </w:r>
      <w:r w:rsidRPr="00A372EA">
        <w:rPr>
          <w:rFonts w:eastAsiaTheme="minorHAnsi"/>
          <w:i/>
          <w:iCs/>
          <w:color w:val="000000" w:themeColor="text1"/>
          <w:lang w:eastAsia="en-US"/>
        </w:rPr>
        <w:t>Mental Health Review Journal</w:t>
      </w:r>
      <w:r w:rsidRPr="00A372EA">
        <w:rPr>
          <w:rFonts w:eastAsiaTheme="minorHAnsi"/>
          <w:color w:val="000000" w:themeColor="text1"/>
          <w:lang w:eastAsia="en-US"/>
        </w:rPr>
        <w:t xml:space="preserve">, </w:t>
      </w:r>
      <w:r w:rsidRPr="00FC53A6">
        <w:rPr>
          <w:rFonts w:eastAsiaTheme="minorHAnsi"/>
          <w:i/>
          <w:iCs/>
          <w:color w:val="000000" w:themeColor="text1"/>
          <w:lang w:eastAsia="en-US"/>
        </w:rPr>
        <w:t>15</w:t>
      </w:r>
      <w:r w:rsidRPr="00A372EA">
        <w:rPr>
          <w:rFonts w:eastAsiaTheme="minorHAnsi"/>
          <w:color w:val="000000" w:themeColor="text1"/>
          <w:lang w:eastAsia="en-US"/>
        </w:rPr>
        <w:t>, 28</w:t>
      </w:r>
      <w:r w:rsidR="00037842">
        <w:rPr>
          <w:color w:val="000000" w:themeColor="text1"/>
        </w:rPr>
        <w:t>–</w:t>
      </w:r>
      <w:r w:rsidRPr="00A372EA">
        <w:rPr>
          <w:rFonts w:eastAsiaTheme="minorHAnsi"/>
          <w:color w:val="000000" w:themeColor="text1"/>
          <w:lang w:eastAsia="en-US"/>
        </w:rPr>
        <w:t>33.</w:t>
      </w:r>
      <w:r w:rsidR="00BD5A9F">
        <w:rPr>
          <w:rFonts w:eastAsiaTheme="minorHAnsi"/>
          <w:color w:val="000000" w:themeColor="text1"/>
          <w:lang w:eastAsia="en-US"/>
        </w:rPr>
        <w:t xml:space="preserve"> </w:t>
      </w:r>
    </w:p>
    <w:p w14:paraId="0C267C77" w14:textId="5D03C569" w:rsidR="001E11CF" w:rsidRPr="00655A41" w:rsidRDefault="001E11CF" w:rsidP="00A372EA">
      <w:pPr>
        <w:pStyle w:val="NoSpacing"/>
        <w:spacing w:line="360" w:lineRule="auto"/>
        <w:ind w:left="567" w:hanging="567"/>
        <w:rPr>
          <w:color w:val="000000" w:themeColor="text1"/>
        </w:rPr>
      </w:pPr>
      <w:r w:rsidRPr="00FC53A6">
        <w:rPr>
          <w:b/>
          <w:bCs/>
          <w:color w:val="000000" w:themeColor="text1"/>
        </w:rPr>
        <w:t>Williams, R, Farquharson, L, Palmer, L, Bassett, P, Clarke, J, Clark, D. M., &amp; Crawford, M. J.</w:t>
      </w:r>
      <w:r w:rsidR="00F349CF" w:rsidRPr="00655A41">
        <w:rPr>
          <w:color w:val="000000" w:themeColor="text1"/>
        </w:rPr>
        <w:t xml:space="preserve"> </w:t>
      </w:r>
      <w:r w:rsidRPr="00655A41">
        <w:rPr>
          <w:color w:val="000000" w:themeColor="text1"/>
        </w:rPr>
        <w:t xml:space="preserve">(2016). Patient preference in psychological treatment and associations with self-reported outcome: national cross-sectional survey in England and Wales. </w:t>
      </w:r>
      <w:r w:rsidRPr="00655A41">
        <w:rPr>
          <w:i/>
          <w:iCs/>
          <w:color w:val="000000" w:themeColor="text1"/>
        </w:rPr>
        <w:t>BMC Psychiatry</w:t>
      </w:r>
      <w:r w:rsidRPr="00655A41">
        <w:rPr>
          <w:color w:val="000000" w:themeColor="text1"/>
        </w:rPr>
        <w:t xml:space="preserve">, </w:t>
      </w:r>
      <w:r w:rsidRPr="00FC53A6">
        <w:rPr>
          <w:i/>
          <w:iCs/>
          <w:color w:val="000000" w:themeColor="text1"/>
        </w:rPr>
        <w:t>16</w:t>
      </w:r>
      <w:r w:rsidR="00FC53A6">
        <w:rPr>
          <w:color w:val="000000" w:themeColor="text1"/>
        </w:rPr>
        <w:t>,</w:t>
      </w:r>
      <w:r w:rsidRPr="00655A41">
        <w:rPr>
          <w:color w:val="000000" w:themeColor="text1"/>
        </w:rPr>
        <w:t xml:space="preserve"> 1</w:t>
      </w:r>
      <w:r w:rsidR="00037842">
        <w:rPr>
          <w:color w:val="000000" w:themeColor="text1"/>
        </w:rPr>
        <w:t>–</w:t>
      </w:r>
      <w:r w:rsidRPr="00655A41">
        <w:rPr>
          <w:color w:val="000000" w:themeColor="text1"/>
        </w:rPr>
        <w:t>8</w:t>
      </w:r>
      <w:r w:rsidR="00FC53A6">
        <w:rPr>
          <w:color w:val="000000" w:themeColor="text1"/>
        </w:rPr>
        <w:t>.</w:t>
      </w:r>
      <w:r w:rsidRPr="00655A41">
        <w:rPr>
          <w:color w:val="000000" w:themeColor="text1"/>
        </w:rPr>
        <w:t xml:space="preserve"> </w:t>
      </w:r>
      <w:proofErr w:type="spellStart"/>
      <w:r w:rsidR="00FC53A6">
        <w:rPr>
          <w:rFonts w:eastAsiaTheme="minorHAnsi"/>
          <w:color w:val="000000" w:themeColor="text1"/>
          <w:lang w:eastAsia="en-US"/>
        </w:rPr>
        <w:t>doi</w:t>
      </w:r>
      <w:proofErr w:type="spellEnd"/>
      <w:r w:rsidR="00FC53A6">
        <w:rPr>
          <w:rFonts w:eastAsiaTheme="minorHAnsi"/>
          <w:color w:val="000000" w:themeColor="text1"/>
          <w:lang w:eastAsia="en-US"/>
        </w:rPr>
        <w:t>: </w:t>
      </w:r>
      <w:r w:rsidRPr="00655A41">
        <w:rPr>
          <w:rFonts w:eastAsiaTheme="minorHAnsi"/>
          <w:color w:val="000000" w:themeColor="text1"/>
          <w:lang w:eastAsia="en-US"/>
        </w:rPr>
        <w:t>10.1186/s12888-015-0702-8</w:t>
      </w:r>
    </w:p>
    <w:p w14:paraId="74721E16" w14:textId="1D469EB4" w:rsidR="001E11CF" w:rsidRPr="00655A41" w:rsidRDefault="001E11CF" w:rsidP="00A372EA">
      <w:pPr>
        <w:pStyle w:val="NoSpacing"/>
        <w:spacing w:line="360" w:lineRule="auto"/>
        <w:ind w:left="567" w:hanging="567"/>
        <w:rPr>
          <w:color w:val="000000" w:themeColor="text1"/>
        </w:rPr>
      </w:pPr>
      <w:r w:rsidRPr="00FC53A6">
        <w:rPr>
          <w:b/>
          <w:bCs/>
          <w:color w:val="000000" w:themeColor="text1"/>
        </w:rPr>
        <w:t>Women’s Budget Group</w:t>
      </w:r>
      <w:r w:rsidRPr="00655A41">
        <w:rPr>
          <w:color w:val="000000" w:themeColor="text1"/>
        </w:rPr>
        <w:t xml:space="preserve"> (2020). BAME women and COVID-19 – </w:t>
      </w:r>
      <w:r w:rsidR="00FC53A6">
        <w:rPr>
          <w:color w:val="000000" w:themeColor="text1"/>
        </w:rPr>
        <w:t>r</w:t>
      </w:r>
      <w:r w:rsidRPr="00655A41">
        <w:rPr>
          <w:color w:val="000000" w:themeColor="text1"/>
        </w:rPr>
        <w:t xml:space="preserve">esearch evidence. </w:t>
      </w:r>
      <w:hyperlink r:id="rId15" w:history="1">
        <w:r w:rsidRPr="00655A41">
          <w:rPr>
            <w:rStyle w:val="Hyperlink"/>
            <w:color w:val="000000" w:themeColor="text1"/>
            <w:u w:val="none"/>
          </w:rPr>
          <w:t>https://wbg.org.uk/wp-content/uploads/2020/06/BAME-women-and-Covid-FINAL.pdf</w:t>
        </w:r>
      </w:hyperlink>
    </w:p>
    <w:p w14:paraId="58F93950" w14:textId="77777777" w:rsidR="001E11CF" w:rsidRPr="00161D4B" w:rsidRDefault="001E11CF" w:rsidP="00161D4B">
      <w:pPr>
        <w:pStyle w:val="NoSpacing"/>
        <w:spacing w:line="360" w:lineRule="auto"/>
        <w:ind w:left="360" w:hanging="851"/>
      </w:pPr>
    </w:p>
    <w:p w14:paraId="6C188DB3" w14:textId="77777777" w:rsidR="001E11CF" w:rsidRPr="00161D4B" w:rsidRDefault="001E11CF" w:rsidP="00161D4B">
      <w:pPr>
        <w:pStyle w:val="NoSpacing"/>
        <w:spacing w:line="360" w:lineRule="auto"/>
        <w:ind w:left="360" w:hanging="851"/>
      </w:pPr>
    </w:p>
    <w:bookmarkEnd w:id="0"/>
    <w:bookmarkEnd w:id="1"/>
    <w:bookmarkEnd w:id="2"/>
    <w:p w14:paraId="2ED438EC" w14:textId="2B28BC92" w:rsidR="006B48BE" w:rsidRPr="00161D4B" w:rsidRDefault="00D242F7" w:rsidP="006B48BE">
      <w:pPr>
        <w:spacing w:line="360" w:lineRule="auto"/>
        <w:jc w:val="both"/>
      </w:pPr>
      <w:r>
        <w:rPr>
          <w:b/>
          <w:bCs/>
        </w:rPr>
        <w:t>Figure</w:t>
      </w:r>
      <w:r w:rsidR="006B48BE" w:rsidRPr="00161D4B">
        <w:rPr>
          <w:b/>
          <w:bCs/>
        </w:rPr>
        <w:t xml:space="preserve"> 1</w:t>
      </w:r>
      <w:r w:rsidR="006B48BE" w:rsidRPr="00D242F7">
        <w:rPr>
          <w:b/>
          <w:bCs/>
        </w:rPr>
        <w:t>.</w:t>
      </w:r>
      <w:r w:rsidR="006B48BE" w:rsidRPr="00161D4B">
        <w:t xml:space="preserve"> </w:t>
      </w:r>
      <w:r>
        <w:t>Graph s</w:t>
      </w:r>
      <w:r w:rsidR="006B48BE" w:rsidRPr="00161D4B">
        <w:t xml:space="preserve">howing ethnicity recorded as </w:t>
      </w:r>
      <w:r>
        <w:t>‘n</w:t>
      </w:r>
      <w:r w:rsidR="006B48BE" w:rsidRPr="00161D4B">
        <w:t xml:space="preserve">ot </w:t>
      </w:r>
      <w:r>
        <w:t>s</w:t>
      </w:r>
      <w:r w:rsidR="006B48BE" w:rsidRPr="00161D4B">
        <w:t>tated</w:t>
      </w:r>
      <w:r>
        <w:t>’</w:t>
      </w:r>
      <w:r w:rsidR="006B48BE" w:rsidRPr="00161D4B">
        <w:t xml:space="preserve"> on </w:t>
      </w:r>
      <w:proofErr w:type="spellStart"/>
      <w:r w:rsidR="006B48BE" w:rsidRPr="00161D4B">
        <w:t>IAPTus</w:t>
      </w:r>
      <w:proofErr w:type="spellEnd"/>
      <w:r w:rsidR="006B48BE" w:rsidRPr="00161D4B">
        <w:t xml:space="preserve"> in 2019 and 2020</w:t>
      </w:r>
      <w:r>
        <w:t>.</w:t>
      </w:r>
    </w:p>
    <w:p w14:paraId="1E987A4C" w14:textId="77777777" w:rsidR="006B48BE" w:rsidRPr="00161D4B" w:rsidRDefault="006B48BE" w:rsidP="006B48BE">
      <w:pPr>
        <w:spacing w:line="360" w:lineRule="auto"/>
        <w:jc w:val="both"/>
      </w:pPr>
    </w:p>
    <w:p w14:paraId="5A9870CD" w14:textId="77777777" w:rsidR="006B48BE" w:rsidRPr="00161D4B" w:rsidRDefault="006B48BE" w:rsidP="006B48BE">
      <w:pPr>
        <w:spacing w:line="360" w:lineRule="auto"/>
        <w:jc w:val="both"/>
      </w:pPr>
      <w:r w:rsidRPr="00161D4B">
        <w:rPr>
          <w:noProof/>
        </w:rPr>
        <w:drawing>
          <wp:inline distT="0" distB="0" distL="0" distR="0" wp14:anchorId="252C5558" wp14:editId="30D2E7E3">
            <wp:extent cx="5247005" cy="3048000"/>
            <wp:effectExtent l="0" t="0" r="10795" b="12700"/>
            <wp:docPr id="2" name="Chart 2">
              <a:extLst xmlns:a="http://schemas.openxmlformats.org/drawingml/2006/main">
                <a:ext uri="{FF2B5EF4-FFF2-40B4-BE49-F238E27FC236}">
                  <a16:creationId xmlns:a16="http://schemas.microsoft.com/office/drawing/2014/main" id="{DD267C7C-2665-3EC2-4A76-DFFA3EB87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6BA6B2" w14:textId="16E6D28F" w:rsidR="0078554F" w:rsidRDefault="0078554F" w:rsidP="00161D4B">
      <w:pPr>
        <w:spacing w:line="360" w:lineRule="auto"/>
      </w:pPr>
    </w:p>
    <w:p w14:paraId="6B220DC2" w14:textId="77777777" w:rsidR="006B48BE" w:rsidRDefault="006B48BE" w:rsidP="00161D4B">
      <w:pPr>
        <w:spacing w:line="360" w:lineRule="auto"/>
      </w:pPr>
    </w:p>
    <w:p w14:paraId="2A00E019" w14:textId="77777777" w:rsidR="006B48BE" w:rsidRDefault="006B48BE" w:rsidP="00161D4B">
      <w:pPr>
        <w:spacing w:line="360" w:lineRule="auto"/>
      </w:pPr>
    </w:p>
    <w:p w14:paraId="24E5FDC8" w14:textId="77777777" w:rsidR="006B48BE" w:rsidRDefault="006B48BE" w:rsidP="00161D4B">
      <w:pPr>
        <w:spacing w:line="360" w:lineRule="auto"/>
      </w:pPr>
    </w:p>
    <w:p w14:paraId="39CBFB46" w14:textId="77777777" w:rsidR="00BD5A9F" w:rsidRDefault="00BD5A9F" w:rsidP="006B48BE">
      <w:pPr>
        <w:spacing w:line="360" w:lineRule="auto"/>
        <w:jc w:val="both"/>
        <w:rPr>
          <w:b/>
          <w:bCs/>
        </w:rPr>
      </w:pPr>
    </w:p>
    <w:p w14:paraId="24805E71" w14:textId="77777777" w:rsidR="00BD5A9F" w:rsidRDefault="00BD5A9F" w:rsidP="006B48BE">
      <w:pPr>
        <w:spacing w:line="360" w:lineRule="auto"/>
        <w:jc w:val="both"/>
        <w:rPr>
          <w:b/>
          <w:bCs/>
        </w:rPr>
      </w:pPr>
    </w:p>
    <w:p w14:paraId="70AF94B2" w14:textId="77777777" w:rsidR="00BD5A9F" w:rsidRDefault="00BD5A9F" w:rsidP="006B48BE">
      <w:pPr>
        <w:spacing w:line="360" w:lineRule="auto"/>
        <w:jc w:val="both"/>
        <w:rPr>
          <w:b/>
          <w:bCs/>
        </w:rPr>
      </w:pPr>
    </w:p>
    <w:p w14:paraId="6130928D" w14:textId="77777777" w:rsidR="00BD5A9F" w:rsidRDefault="00BD5A9F" w:rsidP="006B48BE">
      <w:pPr>
        <w:spacing w:line="360" w:lineRule="auto"/>
        <w:jc w:val="both"/>
        <w:rPr>
          <w:b/>
          <w:bCs/>
        </w:rPr>
      </w:pPr>
    </w:p>
    <w:p w14:paraId="32293300" w14:textId="77777777" w:rsidR="00BD5A9F" w:rsidRDefault="00BD5A9F" w:rsidP="006B48BE">
      <w:pPr>
        <w:spacing w:line="360" w:lineRule="auto"/>
        <w:jc w:val="both"/>
        <w:rPr>
          <w:b/>
          <w:bCs/>
        </w:rPr>
      </w:pPr>
    </w:p>
    <w:p w14:paraId="3053122F" w14:textId="77777777" w:rsidR="00BD5A9F" w:rsidRDefault="00BD5A9F" w:rsidP="006B48BE">
      <w:pPr>
        <w:spacing w:line="360" w:lineRule="auto"/>
        <w:jc w:val="both"/>
        <w:rPr>
          <w:b/>
          <w:bCs/>
        </w:rPr>
      </w:pPr>
    </w:p>
    <w:p w14:paraId="00AC02ED" w14:textId="77777777" w:rsidR="00B5786D" w:rsidRDefault="00B5786D" w:rsidP="006B48BE">
      <w:pPr>
        <w:spacing w:line="360" w:lineRule="auto"/>
        <w:jc w:val="both"/>
        <w:rPr>
          <w:b/>
          <w:bCs/>
        </w:rPr>
      </w:pPr>
    </w:p>
    <w:p w14:paraId="28C54A25" w14:textId="77777777" w:rsidR="00B5786D" w:rsidRDefault="00B5786D" w:rsidP="006B48BE">
      <w:pPr>
        <w:spacing w:line="360" w:lineRule="auto"/>
        <w:jc w:val="both"/>
        <w:rPr>
          <w:b/>
          <w:bCs/>
        </w:rPr>
      </w:pPr>
    </w:p>
    <w:p w14:paraId="09D8D3FA" w14:textId="61F901C2" w:rsidR="006B48BE" w:rsidRDefault="006B48BE" w:rsidP="006B48BE">
      <w:pPr>
        <w:spacing w:line="360" w:lineRule="auto"/>
        <w:jc w:val="both"/>
        <w:rPr>
          <w:b/>
          <w:bCs/>
        </w:rPr>
      </w:pPr>
      <w:r w:rsidRPr="00161D4B">
        <w:rPr>
          <w:b/>
          <w:bCs/>
        </w:rPr>
        <w:t>Table 1.</w:t>
      </w:r>
      <w:r w:rsidRPr="00161D4B">
        <w:t xml:space="preserve"> </w:t>
      </w:r>
      <w:r w:rsidR="001C47F6">
        <w:t>Percentage re</w:t>
      </w:r>
      <w:r w:rsidRPr="00161D4B">
        <w:t>covery rates across three years</w:t>
      </w:r>
    </w:p>
    <w:p w14:paraId="17857CF2" w14:textId="77777777" w:rsidR="004E2388" w:rsidRDefault="004E2388" w:rsidP="006B48BE">
      <w:pPr>
        <w:spacing w:line="360" w:lineRule="auto"/>
        <w:jc w:val="both"/>
        <w:rPr>
          <w:b/>
          <w:bCs/>
        </w:rPr>
      </w:pPr>
    </w:p>
    <w:p w14:paraId="49EF793B" w14:textId="77777777" w:rsidR="004E2388" w:rsidRDefault="004E2388" w:rsidP="006B48BE">
      <w:pPr>
        <w:spacing w:line="360" w:lineRule="auto"/>
        <w:jc w:val="both"/>
        <w:rPr>
          <w:b/>
          <w:bCs/>
        </w:rPr>
      </w:pPr>
    </w:p>
    <w:p w14:paraId="4BD5CEE0" w14:textId="77777777" w:rsidR="004E2388" w:rsidRPr="00161D4B" w:rsidRDefault="004E2388" w:rsidP="006B48BE">
      <w:pPr>
        <w:spacing w:line="360" w:lineRule="auto"/>
        <w:jc w:val="both"/>
        <w:rPr>
          <w:b/>
          <w:bCs/>
        </w:rPr>
      </w:pPr>
    </w:p>
    <w:p w14:paraId="5E48E5FA" w14:textId="77777777" w:rsidR="006B48BE" w:rsidRPr="00161D4B" w:rsidRDefault="006B48BE" w:rsidP="006B48BE">
      <w:pPr>
        <w:spacing w:line="360" w:lineRule="auto"/>
        <w:jc w:val="both"/>
        <w:rPr>
          <w:b/>
          <w:bCs/>
        </w:rPr>
      </w:pPr>
    </w:p>
    <w:tbl>
      <w:tblPr>
        <w:tblpPr w:leftFromText="180" w:rightFromText="180" w:vertAnchor="page" w:horzAnchor="margin" w:tblpY="2332"/>
        <w:tblW w:w="5805"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2407"/>
        <w:gridCol w:w="991"/>
        <w:gridCol w:w="1039"/>
        <w:gridCol w:w="1368"/>
      </w:tblGrid>
      <w:tr w:rsidR="006B48BE" w:rsidRPr="001C47F6" w14:paraId="3C61AA8B" w14:textId="77777777" w:rsidTr="0069484D">
        <w:trPr>
          <w:trHeight w:val="372"/>
        </w:trPr>
        <w:tc>
          <w:tcPr>
            <w:tcW w:w="2410"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bottom"/>
            <w:hideMark/>
          </w:tcPr>
          <w:p w14:paraId="2DAB7E97" w14:textId="77777777" w:rsidR="006B48BE" w:rsidRPr="00161D4B" w:rsidRDefault="006B48BE" w:rsidP="0069484D">
            <w:pPr>
              <w:spacing w:line="360" w:lineRule="auto"/>
              <w:rPr>
                <w:b/>
                <w:bCs/>
              </w:rPr>
            </w:pPr>
          </w:p>
        </w:tc>
        <w:tc>
          <w:tcPr>
            <w:tcW w:w="992"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bottom"/>
            <w:hideMark/>
          </w:tcPr>
          <w:p w14:paraId="2724275F" w14:textId="7F8E03B0" w:rsidR="006B48BE" w:rsidRPr="001C47F6" w:rsidRDefault="006B48BE" w:rsidP="001C47F6">
            <w:pPr>
              <w:spacing w:line="360" w:lineRule="auto"/>
              <w:ind w:left="132"/>
              <w:jc w:val="both"/>
              <w:rPr>
                <w:lang w:eastAsia="en-US"/>
              </w:rPr>
            </w:pPr>
            <w:r w:rsidRPr="001C47F6">
              <w:rPr>
                <w:lang w:eastAsia="en-US"/>
              </w:rPr>
              <w:t>2018</w:t>
            </w:r>
          </w:p>
        </w:tc>
        <w:tc>
          <w:tcPr>
            <w:tcW w:w="1040"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bottom"/>
            <w:hideMark/>
          </w:tcPr>
          <w:p w14:paraId="31072A0D" w14:textId="2202089A" w:rsidR="006B48BE" w:rsidRPr="001C47F6" w:rsidRDefault="006B48BE" w:rsidP="001C47F6">
            <w:pPr>
              <w:spacing w:line="360" w:lineRule="auto"/>
              <w:ind w:left="132"/>
              <w:jc w:val="both"/>
              <w:rPr>
                <w:lang w:eastAsia="en-US"/>
              </w:rPr>
            </w:pPr>
            <w:r w:rsidRPr="001C47F6">
              <w:rPr>
                <w:lang w:eastAsia="en-US"/>
              </w:rPr>
              <w:t>2019</w:t>
            </w:r>
          </w:p>
        </w:tc>
        <w:tc>
          <w:tcPr>
            <w:tcW w:w="1370"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bottom"/>
            <w:hideMark/>
          </w:tcPr>
          <w:p w14:paraId="7AE4F396" w14:textId="4B4C5015" w:rsidR="006B48BE" w:rsidRPr="001C47F6" w:rsidRDefault="006B48BE" w:rsidP="001C47F6">
            <w:pPr>
              <w:spacing w:line="360" w:lineRule="auto"/>
              <w:ind w:left="132"/>
              <w:jc w:val="both"/>
              <w:rPr>
                <w:lang w:eastAsia="en-US"/>
              </w:rPr>
            </w:pPr>
            <w:r w:rsidRPr="001C47F6">
              <w:rPr>
                <w:lang w:eastAsia="en-US"/>
              </w:rPr>
              <w:t>2020</w:t>
            </w:r>
          </w:p>
        </w:tc>
      </w:tr>
      <w:tr w:rsidR="006B48BE" w:rsidRPr="00161D4B" w14:paraId="10E9EB72" w14:textId="77777777" w:rsidTr="0069484D">
        <w:trPr>
          <w:trHeight w:val="372"/>
        </w:trPr>
        <w:tc>
          <w:tcPr>
            <w:tcW w:w="2410" w:type="dxa"/>
            <w:tcBorders>
              <w:top w:val="single" w:sz="4" w:space="0" w:color="auto"/>
              <w:left w:val="nil"/>
              <w:bottom w:val="nil"/>
              <w:right w:val="nil"/>
            </w:tcBorders>
            <w:shd w:val="clear" w:color="auto" w:fill="FFFFFF"/>
            <w:tcMar>
              <w:top w:w="15" w:type="dxa"/>
              <w:left w:w="15" w:type="dxa"/>
              <w:bottom w:w="0" w:type="dxa"/>
              <w:right w:w="15" w:type="dxa"/>
            </w:tcMar>
            <w:vAlign w:val="bottom"/>
            <w:hideMark/>
          </w:tcPr>
          <w:p w14:paraId="09D86373" w14:textId="77777777" w:rsidR="006B48BE" w:rsidRPr="001C47F6" w:rsidRDefault="006B48BE" w:rsidP="0069484D">
            <w:pPr>
              <w:spacing w:line="360" w:lineRule="auto"/>
              <w:jc w:val="both"/>
              <w:rPr>
                <w:lang w:eastAsia="en-US"/>
              </w:rPr>
            </w:pPr>
            <w:r w:rsidRPr="001C47F6">
              <w:rPr>
                <w:lang w:eastAsia="en-US"/>
              </w:rPr>
              <w:t>Asian</w:t>
            </w:r>
          </w:p>
        </w:tc>
        <w:tc>
          <w:tcPr>
            <w:tcW w:w="992" w:type="dxa"/>
            <w:tcBorders>
              <w:top w:val="single" w:sz="4" w:space="0" w:color="auto"/>
              <w:left w:val="nil"/>
              <w:bottom w:val="nil"/>
              <w:right w:val="nil"/>
            </w:tcBorders>
            <w:shd w:val="clear" w:color="auto" w:fill="FFFFFF"/>
            <w:tcMar>
              <w:top w:w="15" w:type="dxa"/>
              <w:left w:w="15" w:type="dxa"/>
              <w:bottom w:w="0" w:type="dxa"/>
              <w:right w:w="15" w:type="dxa"/>
            </w:tcMar>
            <w:vAlign w:val="bottom"/>
            <w:hideMark/>
          </w:tcPr>
          <w:p w14:paraId="4D6BFB28" w14:textId="77777777" w:rsidR="006B48BE" w:rsidRPr="00161D4B" w:rsidRDefault="006B48BE" w:rsidP="001C47F6">
            <w:pPr>
              <w:spacing w:line="360" w:lineRule="auto"/>
              <w:ind w:left="132"/>
              <w:jc w:val="both"/>
              <w:rPr>
                <w:lang w:eastAsia="en-US"/>
              </w:rPr>
            </w:pPr>
            <w:r w:rsidRPr="00161D4B">
              <w:rPr>
                <w:lang w:eastAsia="en-US"/>
              </w:rPr>
              <w:t>52.4</w:t>
            </w:r>
          </w:p>
        </w:tc>
        <w:tc>
          <w:tcPr>
            <w:tcW w:w="1040" w:type="dxa"/>
            <w:tcBorders>
              <w:top w:val="single" w:sz="4" w:space="0" w:color="auto"/>
              <w:left w:val="nil"/>
              <w:bottom w:val="nil"/>
              <w:right w:val="nil"/>
            </w:tcBorders>
            <w:shd w:val="clear" w:color="auto" w:fill="FFFFFF"/>
            <w:tcMar>
              <w:top w:w="15" w:type="dxa"/>
              <w:left w:w="15" w:type="dxa"/>
              <w:bottom w:w="0" w:type="dxa"/>
              <w:right w:w="15" w:type="dxa"/>
            </w:tcMar>
            <w:vAlign w:val="bottom"/>
            <w:hideMark/>
          </w:tcPr>
          <w:p w14:paraId="428F1934" w14:textId="77777777" w:rsidR="006B48BE" w:rsidRPr="00161D4B" w:rsidRDefault="006B48BE" w:rsidP="001C47F6">
            <w:pPr>
              <w:spacing w:line="360" w:lineRule="auto"/>
              <w:ind w:left="132"/>
              <w:jc w:val="both"/>
              <w:rPr>
                <w:lang w:eastAsia="en-US"/>
              </w:rPr>
            </w:pPr>
            <w:r w:rsidRPr="00161D4B">
              <w:rPr>
                <w:lang w:eastAsia="en-US"/>
              </w:rPr>
              <w:t>51.3</w:t>
            </w:r>
          </w:p>
        </w:tc>
        <w:tc>
          <w:tcPr>
            <w:tcW w:w="1370" w:type="dxa"/>
            <w:tcBorders>
              <w:top w:val="single" w:sz="4" w:space="0" w:color="auto"/>
              <w:left w:val="nil"/>
              <w:bottom w:val="nil"/>
              <w:right w:val="nil"/>
            </w:tcBorders>
            <w:shd w:val="clear" w:color="auto" w:fill="FFFFFF"/>
            <w:tcMar>
              <w:top w:w="15" w:type="dxa"/>
              <w:left w:w="15" w:type="dxa"/>
              <w:bottom w:w="0" w:type="dxa"/>
              <w:right w:w="15" w:type="dxa"/>
            </w:tcMar>
            <w:vAlign w:val="bottom"/>
            <w:hideMark/>
          </w:tcPr>
          <w:p w14:paraId="06C6BA68" w14:textId="77777777" w:rsidR="006B48BE" w:rsidRPr="00161D4B" w:rsidRDefault="006B48BE" w:rsidP="001C47F6">
            <w:pPr>
              <w:spacing w:line="360" w:lineRule="auto"/>
              <w:ind w:left="132"/>
              <w:jc w:val="both"/>
              <w:rPr>
                <w:lang w:eastAsia="en-US"/>
              </w:rPr>
            </w:pPr>
            <w:r w:rsidRPr="00161D4B">
              <w:rPr>
                <w:lang w:eastAsia="en-US"/>
              </w:rPr>
              <w:t>47.3</w:t>
            </w:r>
          </w:p>
        </w:tc>
      </w:tr>
      <w:tr w:rsidR="006B48BE" w:rsidRPr="00161D4B" w14:paraId="104B46CB" w14:textId="77777777" w:rsidTr="0069484D">
        <w:trPr>
          <w:trHeight w:val="372"/>
        </w:trPr>
        <w:tc>
          <w:tcPr>
            <w:tcW w:w="2410" w:type="dxa"/>
            <w:tcBorders>
              <w:top w:val="nil"/>
              <w:left w:val="nil"/>
              <w:bottom w:val="nil"/>
              <w:right w:val="nil"/>
            </w:tcBorders>
            <w:shd w:val="clear" w:color="auto" w:fill="FFFFFF"/>
            <w:tcMar>
              <w:top w:w="15" w:type="dxa"/>
              <w:left w:w="15" w:type="dxa"/>
              <w:bottom w:w="0" w:type="dxa"/>
              <w:right w:w="15" w:type="dxa"/>
            </w:tcMar>
            <w:vAlign w:val="bottom"/>
            <w:hideMark/>
          </w:tcPr>
          <w:p w14:paraId="78FA28B6" w14:textId="77777777" w:rsidR="006B48BE" w:rsidRPr="001C47F6" w:rsidRDefault="006B48BE" w:rsidP="0069484D">
            <w:pPr>
              <w:spacing w:line="360" w:lineRule="auto"/>
              <w:jc w:val="both"/>
              <w:rPr>
                <w:lang w:eastAsia="en-US"/>
              </w:rPr>
            </w:pPr>
            <w:r w:rsidRPr="001C47F6">
              <w:rPr>
                <w:lang w:eastAsia="en-US"/>
              </w:rPr>
              <w:t>White British</w:t>
            </w:r>
          </w:p>
        </w:tc>
        <w:tc>
          <w:tcPr>
            <w:tcW w:w="992" w:type="dxa"/>
            <w:tcBorders>
              <w:top w:val="nil"/>
              <w:left w:val="nil"/>
              <w:bottom w:val="nil"/>
              <w:right w:val="nil"/>
            </w:tcBorders>
            <w:shd w:val="clear" w:color="auto" w:fill="FFFFFF"/>
            <w:tcMar>
              <w:top w:w="15" w:type="dxa"/>
              <w:left w:w="15" w:type="dxa"/>
              <w:bottom w:w="0" w:type="dxa"/>
              <w:right w:w="15" w:type="dxa"/>
            </w:tcMar>
            <w:vAlign w:val="bottom"/>
            <w:hideMark/>
          </w:tcPr>
          <w:p w14:paraId="2FF8C614" w14:textId="77777777" w:rsidR="006B48BE" w:rsidRPr="00161D4B" w:rsidRDefault="006B48BE" w:rsidP="001C47F6">
            <w:pPr>
              <w:spacing w:line="360" w:lineRule="auto"/>
              <w:ind w:left="132"/>
              <w:jc w:val="both"/>
              <w:rPr>
                <w:lang w:eastAsia="en-US"/>
              </w:rPr>
            </w:pPr>
            <w:r w:rsidRPr="00161D4B">
              <w:rPr>
                <w:lang w:eastAsia="en-US"/>
              </w:rPr>
              <w:t>60.5</w:t>
            </w:r>
          </w:p>
        </w:tc>
        <w:tc>
          <w:tcPr>
            <w:tcW w:w="1040" w:type="dxa"/>
            <w:tcBorders>
              <w:top w:val="nil"/>
              <w:left w:val="nil"/>
              <w:bottom w:val="nil"/>
              <w:right w:val="nil"/>
            </w:tcBorders>
            <w:shd w:val="clear" w:color="auto" w:fill="FFFFFF"/>
            <w:tcMar>
              <w:top w:w="15" w:type="dxa"/>
              <w:left w:w="15" w:type="dxa"/>
              <w:bottom w:w="0" w:type="dxa"/>
              <w:right w:w="15" w:type="dxa"/>
            </w:tcMar>
            <w:vAlign w:val="bottom"/>
            <w:hideMark/>
          </w:tcPr>
          <w:p w14:paraId="75D3BFC2" w14:textId="77777777" w:rsidR="006B48BE" w:rsidRPr="00161D4B" w:rsidRDefault="006B48BE" w:rsidP="001C47F6">
            <w:pPr>
              <w:spacing w:line="360" w:lineRule="auto"/>
              <w:ind w:left="132"/>
              <w:jc w:val="both"/>
              <w:rPr>
                <w:lang w:eastAsia="en-US"/>
              </w:rPr>
            </w:pPr>
            <w:r w:rsidRPr="00161D4B">
              <w:rPr>
                <w:lang w:eastAsia="en-US"/>
              </w:rPr>
              <w:t>59.3</w:t>
            </w:r>
          </w:p>
        </w:tc>
        <w:tc>
          <w:tcPr>
            <w:tcW w:w="1370" w:type="dxa"/>
            <w:tcBorders>
              <w:top w:val="nil"/>
              <w:left w:val="nil"/>
              <w:bottom w:val="nil"/>
              <w:right w:val="nil"/>
            </w:tcBorders>
            <w:shd w:val="clear" w:color="auto" w:fill="FFFFFF"/>
            <w:tcMar>
              <w:top w:w="15" w:type="dxa"/>
              <w:left w:w="15" w:type="dxa"/>
              <w:bottom w:w="0" w:type="dxa"/>
              <w:right w:w="15" w:type="dxa"/>
            </w:tcMar>
            <w:vAlign w:val="bottom"/>
            <w:hideMark/>
          </w:tcPr>
          <w:p w14:paraId="57707527" w14:textId="77777777" w:rsidR="006B48BE" w:rsidRPr="00161D4B" w:rsidRDefault="006B48BE" w:rsidP="001C47F6">
            <w:pPr>
              <w:spacing w:line="360" w:lineRule="auto"/>
              <w:ind w:left="132"/>
              <w:jc w:val="both"/>
              <w:rPr>
                <w:lang w:eastAsia="en-US"/>
              </w:rPr>
            </w:pPr>
            <w:r w:rsidRPr="00161D4B">
              <w:rPr>
                <w:lang w:eastAsia="en-US"/>
              </w:rPr>
              <w:t>51.9</w:t>
            </w:r>
          </w:p>
        </w:tc>
      </w:tr>
      <w:tr w:rsidR="006B48BE" w:rsidRPr="00161D4B" w14:paraId="0340A53C" w14:textId="77777777" w:rsidTr="0069484D">
        <w:trPr>
          <w:trHeight w:val="372"/>
        </w:trPr>
        <w:tc>
          <w:tcPr>
            <w:tcW w:w="241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32E78342" w14:textId="77777777" w:rsidR="006B48BE" w:rsidRPr="001C47F6" w:rsidRDefault="006B48BE" w:rsidP="0069484D">
            <w:pPr>
              <w:spacing w:line="360" w:lineRule="auto"/>
              <w:jc w:val="both"/>
              <w:rPr>
                <w:lang w:eastAsia="en-US"/>
              </w:rPr>
            </w:pPr>
            <w:r w:rsidRPr="001C47F6">
              <w:rPr>
                <w:lang w:eastAsia="en-US"/>
              </w:rPr>
              <w:t>Black African/Caribbean</w:t>
            </w:r>
          </w:p>
        </w:tc>
        <w:tc>
          <w:tcPr>
            <w:tcW w:w="992"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76A34694" w14:textId="0783E2E4" w:rsidR="006B48BE" w:rsidRPr="00161D4B" w:rsidRDefault="006B48BE" w:rsidP="001C47F6">
            <w:pPr>
              <w:spacing w:line="360" w:lineRule="auto"/>
              <w:ind w:left="132"/>
              <w:jc w:val="both"/>
              <w:rPr>
                <w:lang w:eastAsia="en-US"/>
              </w:rPr>
            </w:pPr>
            <w:r w:rsidRPr="00161D4B">
              <w:rPr>
                <w:lang w:eastAsia="en-US"/>
              </w:rPr>
              <w:t>54.8</w:t>
            </w:r>
            <w:r w:rsidR="00F349CF">
              <w:rPr>
                <w:lang w:eastAsia="en-US"/>
              </w:rPr>
              <w:t xml:space="preserve"> </w:t>
            </w:r>
          </w:p>
        </w:tc>
        <w:tc>
          <w:tcPr>
            <w:tcW w:w="104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70D7802B" w14:textId="0FAE8714" w:rsidR="006B48BE" w:rsidRPr="00161D4B" w:rsidRDefault="006B48BE" w:rsidP="001C47F6">
            <w:pPr>
              <w:spacing w:line="360" w:lineRule="auto"/>
              <w:ind w:left="132"/>
              <w:jc w:val="both"/>
              <w:rPr>
                <w:lang w:eastAsia="en-US"/>
              </w:rPr>
            </w:pPr>
            <w:r w:rsidRPr="00161D4B">
              <w:rPr>
                <w:lang w:eastAsia="en-US"/>
              </w:rPr>
              <w:t>54.5.</w:t>
            </w:r>
            <w:r w:rsidR="00F349CF">
              <w:rPr>
                <w:lang w:eastAsia="en-US"/>
              </w:rPr>
              <w:t xml:space="preserve"> </w:t>
            </w:r>
          </w:p>
        </w:tc>
        <w:tc>
          <w:tcPr>
            <w:tcW w:w="137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165CDAC0" w14:textId="77777777" w:rsidR="006B48BE" w:rsidRPr="00161D4B" w:rsidRDefault="006B48BE" w:rsidP="001C47F6">
            <w:pPr>
              <w:spacing w:line="360" w:lineRule="auto"/>
              <w:ind w:left="132"/>
              <w:jc w:val="both"/>
              <w:rPr>
                <w:lang w:eastAsia="en-US"/>
              </w:rPr>
            </w:pPr>
            <w:r w:rsidRPr="00161D4B">
              <w:rPr>
                <w:lang w:eastAsia="en-US"/>
              </w:rPr>
              <w:t>53.3</w:t>
            </w:r>
          </w:p>
        </w:tc>
      </w:tr>
    </w:tbl>
    <w:p w14:paraId="59C42500" w14:textId="77777777" w:rsidR="006B48BE" w:rsidRDefault="006B48BE" w:rsidP="00161D4B">
      <w:pPr>
        <w:spacing w:line="360" w:lineRule="auto"/>
      </w:pPr>
    </w:p>
    <w:p w14:paraId="0E49B82A" w14:textId="77777777" w:rsidR="006B48BE" w:rsidRDefault="006B48BE" w:rsidP="00161D4B">
      <w:pPr>
        <w:spacing w:line="360" w:lineRule="auto"/>
      </w:pPr>
    </w:p>
    <w:p w14:paraId="327399D4" w14:textId="77777777" w:rsidR="006B48BE" w:rsidRDefault="006B48BE" w:rsidP="00161D4B">
      <w:pPr>
        <w:spacing w:line="360" w:lineRule="auto"/>
      </w:pPr>
    </w:p>
    <w:p w14:paraId="336D02CE" w14:textId="77777777" w:rsidR="006B48BE" w:rsidRDefault="006B48BE" w:rsidP="00161D4B">
      <w:pPr>
        <w:spacing w:line="360" w:lineRule="auto"/>
      </w:pPr>
    </w:p>
    <w:p w14:paraId="4CF3D05A" w14:textId="77777777" w:rsidR="006B48BE" w:rsidRDefault="006B48BE" w:rsidP="00161D4B">
      <w:pPr>
        <w:spacing w:line="360" w:lineRule="auto"/>
      </w:pPr>
    </w:p>
    <w:p w14:paraId="78E7E244" w14:textId="77777777" w:rsidR="006B48BE" w:rsidRDefault="006B48BE" w:rsidP="00161D4B">
      <w:pPr>
        <w:spacing w:line="360" w:lineRule="auto"/>
      </w:pPr>
    </w:p>
    <w:p w14:paraId="13460635" w14:textId="039FA422" w:rsidR="006B48BE" w:rsidRPr="001A3873" w:rsidRDefault="006B48BE" w:rsidP="006B48BE">
      <w:pPr>
        <w:spacing w:line="360" w:lineRule="auto"/>
        <w:jc w:val="both"/>
        <w:rPr>
          <w:b/>
          <w:bCs/>
        </w:rPr>
      </w:pPr>
      <w:r w:rsidRPr="00161D4B">
        <w:rPr>
          <w:b/>
          <w:bCs/>
        </w:rPr>
        <w:t>Table 2.</w:t>
      </w:r>
      <w:r w:rsidRPr="00161D4B">
        <w:t xml:space="preserve"> </w:t>
      </w:r>
      <w:r w:rsidR="001A3873">
        <w:t>Percentage t</w:t>
      </w:r>
      <w:r w:rsidRPr="00161D4B">
        <w:t xml:space="preserve">reatment adherence in 2019 across three broad ethnic groups </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3969"/>
        <w:gridCol w:w="1276"/>
        <w:gridCol w:w="1202"/>
        <w:gridCol w:w="2163"/>
      </w:tblGrid>
      <w:tr w:rsidR="006B48BE" w:rsidRPr="00161D4B" w14:paraId="6E8A60DE" w14:textId="77777777" w:rsidTr="001A3873">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nil"/>
              <w:bottom w:val="single" w:sz="4" w:space="0" w:color="auto"/>
              <w:right w:val="nil"/>
            </w:tcBorders>
          </w:tcPr>
          <w:p w14:paraId="0068CE8A" w14:textId="77777777" w:rsidR="006B48BE" w:rsidRPr="00161D4B" w:rsidRDefault="006B48BE" w:rsidP="0069484D">
            <w:pPr>
              <w:spacing w:line="360" w:lineRule="auto"/>
              <w:jc w:val="both"/>
              <w:rPr>
                <w:lang w:eastAsia="en-US"/>
              </w:rPr>
            </w:pPr>
          </w:p>
        </w:tc>
        <w:tc>
          <w:tcPr>
            <w:tcW w:w="1276" w:type="dxa"/>
            <w:tcBorders>
              <w:top w:val="single" w:sz="4" w:space="0" w:color="auto"/>
              <w:left w:val="nil"/>
              <w:bottom w:val="single" w:sz="4" w:space="0" w:color="auto"/>
              <w:right w:val="nil"/>
            </w:tcBorders>
            <w:hideMark/>
          </w:tcPr>
          <w:p w14:paraId="4FC828D9" w14:textId="00B5D0CC"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Asian</w:t>
            </w:r>
          </w:p>
        </w:tc>
        <w:tc>
          <w:tcPr>
            <w:tcW w:w="1202" w:type="dxa"/>
            <w:tcBorders>
              <w:top w:val="single" w:sz="4" w:space="0" w:color="auto"/>
              <w:left w:val="nil"/>
              <w:bottom w:val="single" w:sz="4" w:space="0" w:color="auto"/>
              <w:right w:val="nil"/>
            </w:tcBorders>
            <w:hideMark/>
          </w:tcPr>
          <w:p w14:paraId="4CD3E6D2" w14:textId="704E0EA2"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White British</w:t>
            </w:r>
          </w:p>
        </w:tc>
        <w:tc>
          <w:tcPr>
            <w:tcW w:w="2163" w:type="dxa"/>
            <w:tcBorders>
              <w:top w:val="single" w:sz="4" w:space="0" w:color="auto"/>
              <w:left w:val="nil"/>
              <w:bottom w:val="single" w:sz="4" w:space="0" w:color="auto"/>
              <w:right w:val="nil"/>
            </w:tcBorders>
            <w:hideMark/>
          </w:tcPr>
          <w:p w14:paraId="784AF448" w14:textId="7500A63A"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Black African/Caribbean</w:t>
            </w:r>
          </w:p>
        </w:tc>
      </w:tr>
      <w:tr w:rsidR="006B48BE" w:rsidRPr="00161D4B" w14:paraId="5D238C54" w14:textId="77777777" w:rsidTr="001A387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nil"/>
              <w:bottom w:val="nil"/>
              <w:right w:val="nil"/>
            </w:tcBorders>
            <w:hideMark/>
          </w:tcPr>
          <w:p w14:paraId="4DB32872" w14:textId="615E7B30" w:rsidR="006B48BE" w:rsidRPr="00161D4B" w:rsidRDefault="006B48BE" w:rsidP="001A3873">
            <w:pPr>
              <w:spacing w:line="360" w:lineRule="auto"/>
              <w:rPr>
                <w:b w:val="0"/>
                <w:bCs w:val="0"/>
                <w:lang w:eastAsia="en-US"/>
              </w:rPr>
            </w:pPr>
            <w:r w:rsidRPr="00161D4B">
              <w:rPr>
                <w:b w:val="0"/>
                <w:bCs w:val="0"/>
                <w:lang w:eastAsia="en-US"/>
              </w:rPr>
              <w:t>Low</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c</w:t>
            </w:r>
            <w:r w:rsidRPr="00161D4B">
              <w:rPr>
                <w:b w:val="0"/>
                <w:bCs w:val="0"/>
                <w:lang w:eastAsia="en-US"/>
              </w:rPr>
              <w:t>ompleted treatment</w:t>
            </w:r>
          </w:p>
        </w:tc>
        <w:tc>
          <w:tcPr>
            <w:tcW w:w="1276" w:type="dxa"/>
            <w:tcBorders>
              <w:top w:val="single" w:sz="4" w:space="0" w:color="auto"/>
              <w:left w:val="nil"/>
              <w:bottom w:val="nil"/>
              <w:right w:val="nil"/>
            </w:tcBorders>
            <w:hideMark/>
          </w:tcPr>
          <w:p w14:paraId="6D238ABB"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31</w:t>
            </w:r>
          </w:p>
        </w:tc>
        <w:tc>
          <w:tcPr>
            <w:tcW w:w="1202" w:type="dxa"/>
            <w:tcBorders>
              <w:top w:val="single" w:sz="4" w:space="0" w:color="auto"/>
              <w:left w:val="nil"/>
              <w:bottom w:val="nil"/>
              <w:right w:val="nil"/>
            </w:tcBorders>
            <w:hideMark/>
          </w:tcPr>
          <w:p w14:paraId="078E28AA"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30</w:t>
            </w:r>
          </w:p>
        </w:tc>
        <w:tc>
          <w:tcPr>
            <w:tcW w:w="2163" w:type="dxa"/>
            <w:tcBorders>
              <w:top w:val="single" w:sz="4" w:space="0" w:color="auto"/>
              <w:left w:val="nil"/>
              <w:bottom w:val="nil"/>
              <w:right w:val="nil"/>
            </w:tcBorders>
            <w:hideMark/>
          </w:tcPr>
          <w:p w14:paraId="73BAB7A1"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23</w:t>
            </w:r>
          </w:p>
        </w:tc>
      </w:tr>
      <w:tr w:rsidR="006B48BE" w:rsidRPr="00161D4B" w14:paraId="14552ECA" w14:textId="77777777" w:rsidTr="001A3873">
        <w:trPr>
          <w:trHeight w:val="364"/>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hideMark/>
          </w:tcPr>
          <w:p w14:paraId="37CB61A3" w14:textId="00A8DC13" w:rsidR="006B48BE" w:rsidRPr="00161D4B" w:rsidRDefault="006B48BE" w:rsidP="001A3873">
            <w:pPr>
              <w:spacing w:line="360" w:lineRule="auto"/>
              <w:rPr>
                <w:b w:val="0"/>
                <w:bCs w:val="0"/>
                <w:lang w:eastAsia="en-US"/>
              </w:rPr>
            </w:pPr>
            <w:r w:rsidRPr="00161D4B">
              <w:rPr>
                <w:b w:val="0"/>
                <w:bCs w:val="0"/>
                <w:lang w:eastAsia="en-US"/>
              </w:rPr>
              <w:t>Low</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d</w:t>
            </w:r>
            <w:r w:rsidRPr="00161D4B">
              <w:rPr>
                <w:b w:val="0"/>
                <w:bCs w:val="0"/>
                <w:lang w:eastAsia="en-US"/>
              </w:rPr>
              <w:t>ropped out (unscheduled discontinuation)</w:t>
            </w:r>
          </w:p>
        </w:tc>
        <w:tc>
          <w:tcPr>
            <w:tcW w:w="1276" w:type="dxa"/>
            <w:tcBorders>
              <w:top w:val="nil"/>
              <w:left w:val="nil"/>
              <w:bottom w:val="nil"/>
              <w:right w:val="nil"/>
            </w:tcBorders>
            <w:hideMark/>
          </w:tcPr>
          <w:p w14:paraId="106D6C01"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16</w:t>
            </w:r>
          </w:p>
        </w:tc>
        <w:tc>
          <w:tcPr>
            <w:tcW w:w="1202" w:type="dxa"/>
            <w:tcBorders>
              <w:top w:val="nil"/>
              <w:left w:val="nil"/>
              <w:bottom w:val="nil"/>
              <w:right w:val="nil"/>
            </w:tcBorders>
            <w:hideMark/>
          </w:tcPr>
          <w:p w14:paraId="50D52845"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13</w:t>
            </w:r>
          </w:p>
        </w:tc>
        <w:tc>
          <w:tcPr>
            <w:tcW w:w="2163" w:type="dxa"/>
            <w:tcBorders>
              <w:top w:val="nil"/>
              <w:left w:val="nil"/>
              <w:bottom w:val="nil"/>
              <w:right w:val="nil"/>
            </w:tcBorders>
            <w:hideMark/>
          </w:tcPr>
          <w:p w14:paraId="1C76CAF7"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18</w:t>
            </w:r>
          </w:p>
        </w:tc>
      </w:tr>
      <w:tr w:rsidR="006B48BE" w:rsidRPr="00161D4B" w14:paraId="38B87C20" w14:textId="77777777" w:rsidTr="001A387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hideMark/>
          </w:tcPr>
          <w:p w14:paraId="22F0B2AF" w14:textId="690F6D23" w:rsidR="006B48BE" w:rsidRPr="00161D4B" w:rsidRDefault="006B48BE" w:rsidP="001A3873">
            <w:pPr>
              <w:spacing w:line="360" w:lineRule="auto"/>
              <w:rPr>
                <w:b w:val="0"/>
                <w:bCs w:val="0"/>
                <w:lang w:eastAsia="en-US"/>
              </w:rPr>
            </w:pPr>
            <w:r w:rsidRPr="00161D4B">
              <w:rPr>
                <w:b w:val="0"/>
                <w:bCs w:val="0"/>
                <w:lang w:eastAsia="en-US"/>
              </w:rPr>
              <w:t>High</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c</w:t>
            </w:r>
            <w:r w:rsidRPr="00161D4B">
              <w:rPr>
                <w:b w:val="0"/>
                <w:bCs w:val="0"/>
                <w:lang w:eastAsia="en-US"/>
              </w:rPr>
              <w:t>ompleted treatment</w:t>
            </w:r>
          </w:p>
        </w:tc>
        <w:tc>
          <w:tcPr>
            <w:tcW w:w="1276" w:type="dxa"/>
            <w:tcBorders>
              <w:top w:val="nil"/>
              <w:left w:val="nil"/>
              <w:bottom w:val="nil"/>
              <w:right w:val="nil"/>
            </w:tcBorders>
            <w:hideMark/>
          </w:tcPr>
          <w:p w14:paraId="07039900"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34</w:t>
            </w:r>
          </w:p>
        </w:tc>
        <w:tc>
          <w:tcPr>
            <w:tcW w:w="1202" w:type="dxa"/>
            <w:tcBorders>
              <w:top w:val="nil"/>
              <w:left w:val="nil"/>
              <w:bottom w:val="nil"/>
              <w:right w:val="nil"/>
            </w:tcBorders>
            <w:hideMark/>
          </w:tcPr>
          <w:p w14:paraId="30115C09"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40</w:t>
            </w:r>
          </w:p>
        </w:tc>
        <w:tc>
          <w:tcPr>
            <w:tcW w:w="2163" w:type="dxa"/>
            <w:tcBorders>
              <w:top w:val="nil"/>
              <w:left w:val="nil"/>
              <w:bottom w:val="nil"/>
              <w:right w:val="nil"/>
            </w:tcBorders>
            <w:hideMark/>
          </w:tcPr>
          <w:p w14:paraId="2504803D"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34</w:t>
            </w:r>
          </w:p>
        </w:tc>
      </w:tr>
      <w:tr w:rsidR="006B48BE" w:rsidRPr="00161D4B" w14:paraId="6EB41257" w14:textId="77777777" w:rsidTr="001A3873">
        <w:trPr>
          <w:trHeight w:val="364"/>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single" w:sz="4" w:space="0" w:color="auto"/>
              <w:right w:val="nil"/>
            </w:tcBorders>
            <w:hideMark/>
          </w:tcPr>
          <w:p w14:paraId="187EBAE8" w14:textId="0FDAC650" w:rsidR="006B48BE" w:rsidRPr="00161D4B" w:rsidRDefault="006B48BE" w:rsidP="001A3873">
            <w:pPr>
              <w:spacing w:line="360" w:lineRule="auto"/>
              <w:rPr>
                <w:b w:val="0"/>
                <w:bCs w:val="0"/>
                <w:lang w:eastAsia="en-US"/>
              </w:rPr>
            </w:pPr>
            <w:r w:rsidRPr="00161D4B">
              <w:rPr>
                <w:b w:val="0"/>
                <w:bCs w:val="0"/>
                <w:lang w:eastAsia="en-US"/>
              </w:rPr>
              <w:t>High</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d</w:t>
            </w:r>
            <w:r w:rsidRPr="00161D4B">
              <w:rPr>
                <w:b w:val="0"/>
                <w:bCs w:val="0"/>
                <w:lang w:eastAsia="en-US"/>
              </w:rPr>
              <w:t>ropped out (unscheduled discontinuation)</w:t>
            </w:r>
          </w:p>
        </w:tc>
        <w:tc>
          <w:tcPr>
            <w:tcW w:w="1276" w:type="dxa"/>
            <w:tcBorders>
              <w:top w:val="nil"/>
              <w:left w:val="nil"/>
              <w:bottom w:val="single" w:sz="4" w:space="0" w:color="auto"/>
              <w:right w:val="nil"/>
            </w:tcBorders>
            <w:hideMark/>
          </w:tcPr>
          <w:p w14:paraId="50D5239B"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19</w:t>
            </w:r>
          </w:p>
        </w:tc>
        <w:tc>
          <w:tcPr>
            <w:tcW w:w="1202" w:type="dxa"/>
            <w:tcBorders>
              <w:top w:val="nil"/>
              <w:left w:val="nil"/>
              <w:bottom w:val="single" w:sz="4" w:space="0" w:color="auto"/>
              <w:right w:val="nil"/>
            </w:tcBorders>
            <w:hideMark/>
          </w:tcPr>
          <w:p w14:paraId="1BC3DC89"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17</w:t>
            </w:r>
          </w:p>
        </w:tc>
        <w:tc>
          <w:tcPr>
            <w:tcW w:w="2163" w:type="dxa"/>
            <w:tcBorders>
              <w:top w:val="nil"/>
              <w:left w:val="nil"/>
              <w:bottom w:val="single" w:sz="4" w:space="0" w:color="auto"/>
              <w:right w:val="nil"/>
            </w:tcBorders>
            <w:hideMark/>
          </w:tcPr>
          <w:p w14:paraId="43F02479"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25</w:t>
            </w:r>
          </w:p>
        </w:tc>
      </w:tr>
    </w:tbl>
    <w:p w14:paraId="0D309263" w14:textId="77777777" w:rsidR="006B48BE" w:rsidRPr="00161D4B" w:rsidRDefault="006B48BE" w:rsidP="006B48BE">
      <w:pPr>
        <w:spacing w:line="360" w:lineRule="auto"/>
        <w:jc w:val="both"/>
      </w:pPr>
    </w:p>
    <w:p w14:paraId="1FE04C77" w14:textId="77777777" w:rsidR="006B48BE" w:rsidRDefault="006B48BE" w:rsidP="00161D4B">
      <w:pPr>
        <w:spacing w:line="360" w:lineRule="auto"/>
      </w:pPr>
    </w:p>
    <w:p w14:paraId="0709437C" w14:textId="77777777" w:rsidR="00B5786D" w:rsidRDefault="00B5786D" w:rsidP="006B48BE">
      <w:pPr>
        <w:spacing w:line="360" w:lineRule="auto"/>
        <w:jc w:val="both"/>
        <w:rPr>
          <w:b/>
          <w:bCs/>
        </w:rPr>
      </w:pPr>
    </w:p>
    <w:p w14:paraId="7609F0E8" w14:textId="77777777" w:rsidR="00B5786D" w:rsidRDefault="00B5786D" w:rsidP="006B48BE">
      <w:pPr>
        <w:spacing w:line="360" w:lineRule="auto"/>
        <w:jc w:val="both"/>
        <w:rPr>
          <w:b/>
          <w:bCs/>
        </w:rPr>
      </w:pPr>
    </w:p>
    <w:p w14:paraId="24C03FB1" w14:textId="77777777" w:rsidR="00B5786D" w:rsidRDefault="00B5786D" w:rsidP="006B48BE">
      <w:pPr>
        <w:spacing w:line="360" w:lineRule="auto"/>
        <w:jc w:val="both"/>
        <w:rPr>
          <w:b/>
          <w:bCs/>
        </w:rPr>
      </w:pPr>
    </w:p>
    <w:p w14:paraId="190F2508" w14:textId="77777777" w:rsidR="00B5786D" w:rsidRDefault="00B5786D" w:rsidP="006B48BE">
      <w:pPr>
        <w:spacing w:line="360" w:lineRule="auto"/>
        <w:jc w:val="both"/>
        <w:rPr>
          <w:b/>
          <w:bCs/>
        </w:rPr>
      </w:pPr>
    </w:p>
    <w:p w14:paraId="7764068B" w14:textId="77777777" w:rsidR="00B5786D" w:rsidRDefault="00B5786D" w:rsidP="006B48BE">
      <w:pPr>
        <w:spacing w:line="360" w:lineRule="auto"/>
        <w:jc w:val="both"/>
        <w:rPr>
          <w:b/>
          <w:bCs/>
        </w:rPr>
      </w:pPr>
    </w:p>
    <w:p w14:paraId="0B8FE266" w14:textId="77777777" w:rsidR="00B5786D" w:rsidRDefault="00B5786D" w:rsidP="006B48BE">
      <w:pPr>
        <w:spacing w:line="360" w:lineRule="auto"/>
        <w:jc w:val="both"/>
        <w:rPr>
          <w:b/>
          <w:bCs/>
        </w:rPr>
      </w:pPr>
    </w:p>
    <w:p w14:paraId="088BC550" w14:textId="77777777" w:rsidR="00B5786D" w:rsidRDefault="00B5786D" w:rsidP="006B48BE">
      <w:pPr>
        <w:spacing w:line="360" w:lineRule="auto"/>
        <w:jc w:val="both"/>
        <w:rPr>
          <w:b/>
          <w:bCs/>
        </w:rPr>
      </w:pPr>
    </w:p>
    <w:p w14:paraId="7FA16EB4" w14:textId="77777777" w:rsidR="00B5786D" w:rsidRDefault="00B5786D" w:rsidP="006B48BE">
      <w:pPr>
        <w:spacing w:line="360" w:lineRule="auto"/>
        <w:jc w:val="both"/>
        <w:rPr>
          <w:b/>
          <w:bCs/>
        </w:rPr>
      </w:pPr>
    </w:p>
    <w:p w14:paraId="5F325957" w14:textId="77777777" w:rsidR="00B5786D" w:rsidRDefault="00B5786D" w:rsidP="006B48BE">
      <w:pPr>
        <w:spacing w:line="360" w:lineRule="auto"/>
        <w:jc w:val="both"/>
        <w:rPr>
          <w:b/>
          <w:bCs/>
        </w:rPr>
      </w:pPr>
    </w:p>
    <w:p w14:paraId="4926388F" w14:textId="6F20FA61" w:rsidR="006B48BE" w:rsidRPr="001A3873" w:rsidRDefault="006B48BE" w:rsidP="006B48BE">
      <w:pPr>
        <w:spacing w:line="360" w:lineRule="auto"/>
        <w:jc w:val="both"/>
      </w:pPr>
      <w:r w:rsidRPr="00161D4B">
        <w:rPr>
          <w:b/>
          <w:bCs/>
        </w:rPr>
        <w:t>Table 3.</w:t>
      </w:r>
      <w:r w:rsidRPr="00161D4B">
        <w:t xml:space="preserve"> </w:t>
      </w:r>
      <w:r w:rsidR="001A3873">
        <w:t>Percentage t</w:t>
      </w:r>
      <w:r w:rsidRPr="00161D4B">
        <w:t xml:space="preserve">reatment adherence in 2020 across three broad ethnic groups </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3545"/>
        <w:gridCol w:w="1038"/>
        <w:gridCol w:w="1230"/>
        <w:gridCol w:w="2002"/>
      </w:tblGrid>
      <w:tr w:rsidR="006B48BE" w:rsidRPr="00161D4B" w14:paraId="0E839FB2" w14:textId="77777777" w:rsidTr="0069484D">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auto"/>
              <w:left w:val="nil"/>
              <w:bottom w:val="single" w:sz="4" w:space="0" w:color="auto"/>
              <w:right w:val="nil"/>
            </w:tcBorders>
          </w:tcPr>
          <w:p w14:paraId="5A54A688" w14:textId="77777777" w:rsidR="006B48BE" w:rsidRPr="00161D4B" w:rsidRDefault="006B48BE" w:rsidP="0069484D">
            <w:pPr>
              <w:spacing w:line="360" w:lineRule="auto"/>
              <w:jc w:val="both"/>
              <w:rPr>
                <w:lang w:eastAsia="en-US"/>
              </w:rPr>
            </w:pPr>
          </w:p>
        </w:tc>
        <w:tc>
          <w:tcPr>
            <w:tcW w:w="1038" w:type="dxa"/>
            <w:tcBorders>
              <w:top w:val="single" w:sz="4" w:space="0" w:color="auto"/>
              <w:left w:val="nil"/>
              <w:bottom w:val="single" w:sz="4" w:space="0" w:color="auto"/>
              <w:right w:val="nil"/>
            </w:tcBorders>
            <w:hideMark/>
          </w:tcPr>
          <w:p w14:paraId="7C858E69" w14:textId="4BDF60F2"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Asian</w:t>
            </w:r>
          </w:p>
        </w:tc>
        <w:tc>
          <w:tcPr>
            <w:tcW w:w="1230" w:type="dxa"/>
            <w:tcBorders>
              <w:top w:val="single" w:sz="4" w:space="0" w:color="auto"/>
              <w:left w:val="nil"/>
              <w:bottom w:val="single" w:sz="4" w:space="0" w:color="auto"/>
              <w:right w:val="nil"/>
            </w:tcBorders>
            <w:hideMark/>
          </w:tcPr>
          <w:p w14:paraId="2AB55EA3" w14:textId="5BA4635B"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White British</w:t>
            </w:r>
          </w:p>
        </w:tc>
        <w:tc>
          <w:tcPr>
            <w:tcW w:w="1559" w:type="dxa"/>
            <w:tcBorders>
              <w:top w:val="single" w:sz="4" w:space="0" w:color="auto"/>
              <w:left w:val="nil"/>
              <w:bottom w:val="single" w:sz="4" w:space="0" w:color="auto"/>
              <w:right w:val="nil"/>
            </w:tcBorders>
            <w:hideMark/>
          </w:tcPr>
          <w:p w14:paraId="0AFC5CDF" w14:textId="401CC0F0" w:rsidR="006B48BE" w:rsidRPr="001A3873" w:rsidRDefault="006B48BE" w:rsidP="0069484D">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001A3873">
              <w:rPr>
                <w:b w:val="0"/>
                <w:bCs w:val="0"/>
                <w:lang w:eastAsia="en-US"/>
              </w:rPr>
              <w:t>Black African/Caribbean</w:t>
            </w:r>
          </w:p>
        </w:tc>
      </w:tr>
      <w:tr w:rsidR="006B48BE" w:rsidRPr="00161D4B" w14:paraId="4DD8ED40" w14:textId="77777777" w:rsidTr="0069484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45" w:type="dxa"/>
            <w:tcBorders>
              <w:top w:val="single" w:sz="4" w:space="0" w:color="auto"/>
              <w:left w:val="nil"/>
              <w:bottom w:val="nil"/>
              <w:right w:val="nil"/>
            </w:tcBorders>
            <w:hideMark/>
          </w:tcPr>
          <w:p w14:paraId="6A922A7B" w14:textId="42113983" w:rsidR="006B48BE" w:rsidRPr="00161D4B" w:rsidRDefault="006B48BE" w:rsidP="001A3873">
            <w:pPr>
              <w:spacing w:line="360" w:lineRule="auto"/>
              <w:rPr>
                <w:lang w:eastAsia="en-US"/>
              </w:rPr>
            </w:pPr>
            <w:r w:rsidRPr="00161D4B">
              <w:rPr>
                <w:b w:val="0"/>
                <w:bCs w:val="0"/>
                <w:lang w:eastAsia="en-US"/>
              </w:rPr>
              <w:t>Low</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c</w:t>
            </w:r>
            <w:r w:rsidRPr="00161D4B">
              <w:rPr>
                <w:b w:val="0"/>
                <w:bCs w:val="0"/>
                <w:lang w:eastAsia="en-US"/>
              </w:rPr>
              <w:t>ompleted treatment</w:t>
            </w:r>
          </w:p>
        </w:tc>
        <w:tc>
          <w:tcPr>
            <w:tcW w:w="1038" w:type="dxa"/>
            <w:tcBorders>
              <w:top w:val="single" w:sz="4" w:space="0" w:color="auto"/>
              <w:left w:val="nil"/>
              <w:bottom w:val="nil"/>
              <w:right w:val="nil"/>
            </w:tcBorders>
            <w:hideMark/>
          </w:tcPr>
          <w:p w14:paraId="0474A114"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38</w:t>
            </w:r>
          </w:p>
        </w:tc>
        <w:tc>
          <w:tcPr>
            <w:tcW w:w="1230" w:type="dxa"/>
            <w:tcBorders>
              <w:top w:val="single" w:sz="4" w:space="0" w:color="auto"/>
              <w:left w:val="nil"/>
              <w:bottom w:val="nil"/>
              <w:right w:val="nil"/>
            </w:tcBorders>
            <w:hideMark/>
          </w:tcPr>
          <w:p w14:paraId="0954416E"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34</w:t>
            </w:r>
          </w:p>
        </w:tc>
        <w:tc>
          <w:tcPr>
            <w:tcW w:w="1559" w:type="dxa"/>
            <w:tcBorders>
              <w:top w:val="single" w:sz="4" w:space="0" w:color="auto"/>
              <w:left w:val="nil"/>
              <w:bottom w:val="nil"/>
              <w:right w:val="nil"/>
            </w:tcBorders>
            <w:hideMark/>
          </w:tcPr>
          <w:p w14:paraId="005EBF2E"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30</w:t>
            </w:r>
          </w:p>
        </w:tc>
      </w:tr>
      <w:tr w:rsidR="006B48BE" w:rsidRPr="00161D4B" w14:paraId="11434AC7" w14:textId="77777777" w:rsidTr="0069484D">
        <w:trPr>
          <w:trHeight w:val="362"/>
        </w:trPr>
        <w:tc>
          <w:tcPr>
            <w:cnfStyle w:val="001000000000" w:firstRow="0" w:lastRow="0" w:firstColumn="1" w:lastColumn="0" w:oddVBand="0" w:evenVBand="0" w:oddHBand="0" w:evenHBand="0" w:firstRowFirstColumn="0" w:firstRowLastColumn="0" w:lastRowFirstColumn="0" w:lastRowLastColumn="0"/>
            <w:tcW w:w="3545" w:type="dxa"/>
            <w:tcBorders>
              <w:top w:val="nil"/>
              <w:left w:val="nil"/>
              <w:bottom w:val="nil"/>
              <w:right w:val="nil"/>
            </w:tcBorders>
            <w:hideMark/>
          </w:tcPr>
          <w:p w14:paraId="16128A2B" w14:textId="69B57206" w:rsidR="006B48BE" w:rsidRPr="00161D4B" w:rsidRDefault="006B48BE" w:rsidP="001A3873">
            <w:pPr>
              <w:spacing w:line="360" w:lineRule="auto"/>
              <w:rPr>
                <w:b w:val="0"/>
                <w:bCs w:val="0"/>
                <w:lang w:eastAsia="en-US"/>
              </w:rPr>
            </w:pPr>
            <w:r w:rsidRPr="00161D4B">
              <w:rPr>
                <w:b w:val="0"/>
                <w:bCs w:val="0"/>
                <w:lang w:eastAsia="en-US"/>
              </w:rPr>
              <w:t>Low</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d</w:t>
            </w:r>
            <w:r w:rsidRPr="00161D4B">
              <w:rPr>
                <w:b w:val="0"/>
                <w:bCs w:val="0"/>
                <w:lang w:eastAsia="en-US"/>
              </w:rPr>
              <w:t>ropped out (unscheduled discontinuation)</w:t>
            </w:r>
          </w:p>
        </w:tc>
        <w:tc>
          <w:tcPr>
            <w:tcW w:w="1038" w:type="dxa"/>
            <w:tcBorders>
              <w:top w:val="nil"/>
              <w:left w:val="nil"/>
              <w:bottom w:val="nil"/>
              <w:right w:val="nil"/>
            </w:tcBorders>
            <w:hideMark/>
          </w:tcPr>
          <w:p w14:paraId="604B5448"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14</w:t>
            </w:r>
          </w:p>
        </w:tc>
        <w:tc>
          <w:tcPr>
            <w:tcW w:w="1230" w:type="dxa"/>
            <w:tcBorders>
              <w:top w:val="nil"/>
              <w:left w:val="nil"/>
              <w:bottom w:val="nil"/>
              <w:right w:val="nil"/>
            </w:tcBorders>
            <w:hideMark/>
          </w:tcPr>
          <w:p w14:paraId="44ED44FE"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11</w:t>
            </w:r>
          </w:p>
        </w:tc>
        <w:tc>
          <w:tcPr>
            <w:tcW w:w="1559" w:type="dxa"/>
            <w:tcBorders>
              <w:top w:val="nil"/>
              <w:left w:val="nil"/>
              <w:bottom w:val="nil"/>
              <w:right w:val="nil"/>
            </w:tcBorders>
            <w:hideMark/>
          </w:tcPr>
          <w:p w14:paraId="5D7CA142"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12</w:t>
            </w:r>
          </w:p>
        </w:tc>
      </w:tr>
      <w:tr w:rsidR="006B48BE" w:rsidRPr="00161D4B" w14:paraId="7FEE8F90" w14:textId="77777777" w:rsidTr="0069484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45" w:type="dxa"/>
            <w:tcBorders>
              <w:top w:val="nil"/>
              <w:left w:val="nil"/>
              <w:bottom w:val="nil"/>
              <w:right w:val="nil"/>
            </w:tcBorders>
            <w:hideMark/>
          </w:tcPr>
          <w:p w14:paraId="5D987A0D" w14:textId="26C3648F" w:rsidR="006B48BE" w:rsidRPr="00161D4B" w:rsidRDefault="006B48BE" w:rsidP="001A3873">
            <w:pPr>
              <w:spacing w:line="360" w:lineRule="auto"/>
              <w:rPr>
                <w:b w:val="0"/>
                <w:bCs w:val="0"/>
                <w:lang w:eastAsia="en-US"/>
              </w:rPr>
            </w:pPr>
            <w:r w:rsidRPr="00161D4B">
              <w:rPr>
                <w:b w:val="0"/>
                <w:bCs w:val="0"/>
                <w:lang w:eastAsia="en-US"/>
              </w:rPr>
              <w:t>High</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c</w:t>
            </w:r>
            <w:r w:rsidRPr="00161D4B">
              <w:rPr>
                <w:b w:val="0"/>
                <w:bCs w:val="0"/>
                <w:lang w:eastAsia="en-US"/>
              </w:rPr>
              <w:t>ompleted treatment</w:t>
            </w:r>
          </w:p>
        </w:tc>
        <w:tc>
          <w:tcPr>
            <w:tcW w:w="1038" w:type="dxa"/>
            <w:tcBorders>
              <w:top w:val="nil"/>
              <w:left w:val="nil"/>
              <w:bottom w:val="nil"/>
              <w:right w:val="nil"/>
            </w:tcBorders>
            <w:hideMark/>
          </w:tcPr>
          <w:p w14:paraId="3D8F22AF"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35</w:t>
            </w:r>
          </w:p>
        </w:tc>
        <w:tc>
          <w:tcPr>
            <w:tcW w:w="1230" w:type="dxa"/>
            <w:tcBorders>
              <w:top w:val="nil"/>
              <w:left w:val="nil"/>
              <w:bottom w:val="nil"/>
              <w:right w:val="nil"/>
            </w:tcBorders>
            <w:hideMark/>
          </w:tcPr>
          <w:p w14:paraId="373264DF"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42</w:t>
            </w:r>
          </w:p>
        </w:tc>
        <w:tc>
          <w:tcPr>
            <w:tcW w:w="1559" w:type="dxa"/>
            <w:tcBorders>
              <w:top w:val="nil"/>
              <w:left w:val="nil"/>
              <w:bottom w:val="nil"/>
              <w:right w:val="nil"/>
            </w:tcBorders>
            <w:hideMark/>
          </w:tcPr>
          <w:p w14:paraId="23549BED" w14:textId="77777777" w:rsidR="006B48BE" w:rsidRPr="00161D4B" w:rsidRDefault="006B48BE" w:rsidP="0069484D">
            <w:pPr>
              <w:spacing w:line="360"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161D4B">
              <w:rPr>
                <w:lang w:eastAsia="en-US"/>
              </w:rPr>
              <w:t>39</w:t>
            </w:r>
          </w:p>
        </w:tc>
      </w:tr>
      <w:tr w:rsidR="006B48BE" w:rsidRPr="00161D4B" w14:paraId="64CFE9D4" w14:textId="77777777" w:rsidTr="0069484D">
        <w:trPr>
          <w:trHeight w:val="67"/>
        </w:trPr>
        <w:tc>
          <w:tcPr>
            <w:cnfStyle w:val="001000000000" w:firstRow="0" w:lastRow="0" w:firstColumn="1" w:lastColumn="0" w:oddVBand="0" w:evenVBand="0" w:oddHBand="0" w:evenHBand="0" w:firstRowFirstColumn="0" w:firstRowLastColumn="0" w:lastRowFirstColumn="0" w:lastRowLastColumn="0"/>
            <w:tcW w:w="3545" w:type="dxa"/>
            <w:tcBorders>
              <w:top w:val="nil"/>
              <w:left w:val="nil"/>
              <w:bottom w:val="single" w:sz="4" w:space="0" w:color="auto"/>
              <w:right w:val="nil"/>
            </w:tcBorders>
            <w:hideMark/>
          </w:tcPr>
          <w:p w14:paraId="7E06778D" w14:textId="72C13E28" w:rsidR="006B48BE" w:rsidRPr="00161D4B" w:rsidRDefault="006B48BE" w:rsidP="001A3873">
            <w:pPr>
              <w:spacing w:line="360" w:lineRule="auto"/>
              <w:rPr>
                <w:b w:val="0"/>
                <w:bCs w:val="0"/>
                <w:lang w:eastAsia="en-US"/>
              </w:rPr>
            </w:pPr>
            <w:r w:rsidRPr="00161D4B">
              <w:rPr>
                <w:b w:val="0"/>
                <w:bCs w:val="0"/>
                <w:lang w:eastAsia="en-US"/>
              </w:rPr>
              <w:t>High</w:t>
            </w:r>
            <w:r w:rsidR="001A3873">
              <w:rPr>
                <w:b w:val="0"/>
                <w:bCs w:val="0"/>
                <w:lang w:eastAsia="en-US"/>
              </w:rPr>
              <w:t>-</w:t>
            </w:r>
            <w:r w:rsidRPr="00161D4B">
              <w:rPr>
                <w:b w:val="0"/>
                <w:bCs w:val="0"/>
                <w:lang w:eastAsia="en-US"/>
              </w:rPr>
              <w:t>intensity treatment</w:t>
            </w:r>
            <w:r w:rsidR="001A3873">
              <w:rPr>
                <w:b w:val="0"/>
                <w:bCs w:val="0"/>
                <w:lang w:eastAsia="en-US"/>
              </w:rPr>
              <w:t>,</w:t>
            </w:r>
            <w:r w:rsidRPr="00161D4B">
              <w:rPr>
                <w:b w:val="0"/>
                <w:bCs w:val="0"/>
                <w:lang w:eastAsia="en-US"/>
              </w:rPr>
              <w:t xml:space="preserve"> </w:t>
            </w:r>
            <w:r w:rsidR="001A3873">
              <w:rPr>
                <w:b w:val="0"/>
                <w:bCs w:val="0"/>
                <w:lang w:eastAsia="en-US"/>
              </w:rPr>
              <w:t>d</w:t>
            </w:r>
            <w:r w:rsidRPr="00161D4B">
              <w:rPr>
                <w:b w:val="0"/>
                <w:bCs w:val="0"/>
                <w:lang w:eastAsia="en-US"/>
              </w:rPr>
              <w:t>ropped out (unscheduled discontinuation)</w:t>
            </w:r>
          </w:p>
        </w:tc>
        <w:tc>
          <w:tcPr>
            <w:tcW w:w="1038" w:type="dxa"/>
            <w:tcBorders>
              <w:top w:val="nil"/>
              <w:left w:val="nil"/>
              <w:bottom w:val="single" w:sz="4" w:space="0" w:color="auto"/>
              <w:right w:val="nil"/>
            </w:tcBorders>
          </w:tcPr>
          <w:p w14:paraId="59256052"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p>
          <w:p w14:paraId="09ED0CA0"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13</w:t>
            </w:r>
          </w:p>
        </w:tc>
        <w:tc>
          <w:tcPr>
            <w:tcW w:w="1230" w:type="dxa"/>
            <w:tcBorders>
              <w:top w:val="nil"/>
              <w:left w:val="nil"/>
              <w:bottom w:val="single" w:sz="4" w:space="0" w:color="auto"/>
              <w:right w:val="nil"/>
            </w:tcBorders>
          </w:tcPr>
          <w:p w14:paraId="6609F9A4"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p>
          <w:p w14:paraId="27BAE62A"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13</w:t>
            </w:r>
          </w:p>
        </w:tc>
        <w:tc>
          <w:tcPr>
            <w:tcW w:w="1559" w:type="dxa"/>
            <w:tcBorders>
              <w:top w:val="nil"/>
              <w:left w:val="nil"/>
              <w:bottom w:val="single" w:sz="4" w:space="0" w:color="auto"/>
              <w:right w:val="nil"/>
            </w:tcBorders>
          </w:tcPr>
          <w:p w14:paraId="481CAE14"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p>
          <w:p w14:paraId="0F4F006C" w14:textId="77777777" w:rsidR="006B48BE" w:rsidRPr="00161D4B" w:rsidRDefault="006B48BE" w:rsidP="0069484D">
            <w:pPr>
              <w:spacing w:line="360" w:lineRule="auto"/>
              <w:jc w:val="both"/>
              <w:cnfStyle w:val="000000000000" w:firstRow="0" w:lastRow="0" w:firstColumn="0" w:lastColumn="0" w:oddVBand="0" w:evenVBand="0" w:oddHBand="0" w:evenHBand="0" w:firstRowFirstColumn="0" w:firstRowLastColumn="0" w:lastRowFirstColumn="0" w:lastRowLastColumn="0"/>
              <w:rPr>
                <w:lang w:eastAsia="en-US"/>
              </w:rPr>
            </w:pPr>
            <w:r w:rsidRPr="00161D4B">
              <w:rPr>
                <w:lang w:eastAsia="en-US"/>
              </w:rPr>
              <w:t>19</w:t>
            </w:r>
          </w:p>
        </w:tc>
      </w:tr>
    </w:tbl>
    <w:p w14:paraId="1BEBDBDF" w14:textId="77777777" w:rsidR="006B48BE" w:rsidRDefault="006B48BE" w:rsidP="00161D4B">
      <w:pPr>
        <w:spacing w:line="360" w:lineRule="auto"/>
      </w:pPr>
    </w:p>
    <w:p w14:paraId="49B38B57" w14:textId="77777777" w:rsidR="006B48BE" w:rsidRDefault="006B48BE" w:rsidP="00161D4B">
      <w:pPr>
        <w:spacing w:line="360" w:lineRule="auto"/>
      </w:pPr>
    </w:p>
    <w:p w14:paraId="5633DA7F" w14:textId="488D4F13" w:rsidR="006B48BE" w:rsidRPr="001A3873" w:rsidRDefault="006B48BE" w:rsidP="006B48BE">
      <w:pPr>
        <w:spacing w:line="360" w:lineRule="auto"/>
        <w:jc w:val="both"/>
        <w:rPr>
          <w:b/>
          <w:bCs/>
        </w:rPr>
      </w:pPr>
      <w:r w:rsidRPr="00161D4B">
        <w:rPr>
          <w:b/>
          <w:bCs/>
        </w:rPr>
        <w:t xml:space="preserve">Table 4. </w:t>
      </w:r>
      <w:r w:rsidRPr="00161D4B">
        <w:t xml:space="preserve">Means of dependent variables and independent variables </w:t>
      </w:r>
    </w:p>
    <w:tbl>
      <w:tblPr>
        <w:tblStyle w:val="TableGrid"/>
        <w:tblW w:w="96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24"/>
        <w:gridCol w:w="723"/>
        <w:gridCol w:w="857"/>
        <w:gridCol w:w="142"/>
        <w:gridCol w:w="1059"/>
        <w:gridCol w:w="2057"/>
        <w:gridCol w:w="993"/>
      </w:tblGrid>
      <w:tr w:rsidR="006B48BE" w:rsidRPr="00161D4B" w14:paraId="16C7AF1F" w14:textId="77777777" w:rsidTr="004E2388">
        <w:tc>
          <w:tcPr>
            <w:tcW w:w="1985" w:type="dxa"/>
            <w:tcBorders>
              <w:top w:val="single" w:sz="4" w:space="0" w:color="auto"/>
              <w:left w:val="nil"/>
              <w:bottom w:val="single" w:sz="4" w:space="0" w:color="auto"/>
              <w:right w:val="nil"/>
            </w:tcBorders>
            <w:hideMark/>
          </w:tcPr>
          <w:p w14:paraId="1E522FB4" w14:textId="75C5B846" w:rsidR="006B48BE" w:rsidRPr="001A3873" w:rsidRDefault="006B48BE" w:rsidP="0069484D">
            <w:pPr>
              <w:spacing w:line="360" w:lineRule="auto"/>
              <w:jc w:val="both"/>
              <w:rPr>
                <w:lang w:eastAsia="en-US"/>
              </w:rPr>
            </w:pPr>
            <w:r w:rsidRPr="001A3873">
              <w:rPr>
                <w:lang w:eastAsia="en-US"/>
              </w:rPr>
              <w:t xml:space="preserve">Dependent </w:t>
            </w:r>
            <w:r w:rsidR="004E2388">
              <w:rPr>
                <w:lang w:eastAsia="en-US"/>
              </w:rPr>
              <w:t>v</w:t>
            </w:r>
            <w:r w:rsidRPr="001A3873">
              <w:rPr>
                <w:lang w:eastAsia="en-US"/>
              </w:rPr>
              <w:t xml:space="preserve">ariable </w:t>
            </w:r>
          </w:p>
        </w:tc>
        <w:tc>
          <w:tcPr>
            <w:tcW w:w="1824" w:type="dxa"/>
            <w:tcBorders>
              <w:top w:val="single" w:sz="4" w:space="0" w:color="auto"/>
              <w:left w:val="nil"/>
              <w:bottom w:val="single" w:sz="4" w:space="0" w:color="auto"/>
              <w:right w:val="nil"/>
            </w:tcBorders>
            <w:hideMark/>
          </w:tcPr>
          <w:p w14:paraId="51FCBFA4" w14:textId="77777777" w:rsidR="006B48BE" w:rsidRPr="001A3873" w:rsidRDefault="006B48BE" w:rsidP="0069484D">
            <w:pPr>
              <w:spacing w:line="360" w:lineRule="auto"/>
              <w:jc w:val="both"/>
              <w:rPr>
                <w:lang w:eastAsia="en-US"/>
              </w:rPr>
            </w:pPr>
            <w:r w:rsidRPr="001A3873">
              <w:rPr>
                <w:lang w:eastAsia="en-US"/>
              </w:rPr>
              <w:t xml:space="preserve">Ethnicity </w:t>
            </w:r>
          </w:p>
        </w:tc>
        <w:tc>
          <w:tcPr>
            <w:tcW w:w="723" w:type="dxa"/>
            <w:tcBorders>
              <w:top w:val="single" w:sz="4" w:space="0" w:color="auto"/>
              <w:left w:val="nil"/>
              <w:bottom w:val="single" w:sz="4" w:space="0" w:color="auto"/>
              <w:right w:val="nil"/>
            </w:tcBorders>
            <w:hideMark/>
          </w:tcPr>
          <w:p w14:paraId="6850D9B5" w14:textId="77777777" w:rsidR="006B48BE" w:rsidRPr="001A3873" w:rsidRDefault="006B48BE" w:rsidP="0069484D">
            <w:pPr>
              <w:spacing w:line="360" w:lineRule="auto"/>
              <w:jc w:val="both"/>
              <w:rPr>
                <w:lang w:eastAsia="en-US"/>
              </w:rPr>
            </w:pPr>
            <w:r w:rsidRPr="001A3873">
              <w:rPr>
                <w:lang w:eastAsia="en-US"/>
              </w:rPr>
              <w:t>Year</w:t>
            </w:r>
          </w:p>
        </w:tc>
        <w:tc>
          <w:tcPr>
            <w:tcW w:w="857" w:type="dxa"/>
            <w:tcBorders>
              <w:top w:val="single" w:sz="4" w:space="0" w:color="auto"/>
              <w:left w:val="nil"/>
              <w:bottom w:val="single" w:sz="4" w:space="0" w:color="auto"/>
              <w:right w:val="nil"/>
            </w:tcBorders>
            <w:hideMark/>
          </w:tcPr>
          <w:p w14:paraId="00BCDA83" w14:textId="77777777" w:rsidR="006B48BE" w:rsidRPr="001A3873" w:rsidRDefault="006B48BE" w:rsidP="0069484D">
            <w:pPr>
              <w:spacing w:line="360" w:lineRule="auto"/>
              <w:jc w:val="both"/>
              <w:rPr>
                <w:lang w:eastAsia="en-US"/>
              </w:rPr>
            </w:pPr>
            <w:r w:rsidRPr="001A3873">
              <w:rPr>
                <w:lang w:eastAsia="en-US"/>
              </w:rPr>
              <w:t>Mean</w:t>
            </w:r>
          </w:p>
        </w:tc>
        <w:tc>
          <w:tcPr>
            <w:tcW w:w="1201" w:type="dxa"/>
            <w:gridSpan w:val="2"/>
            <w:tcBorders>
              <w:top w:val="single" w:sz="4" w:space="0" w:color="auto"/>
              <w:left w:val="nil"/>
              <w:bottom w:val="single" w:sz="4" w:space="0" w:color="auto"/>
              <w:right w:val="nil"/>
            </w:tcBorders>
            <w:hideMark/>
          </w:tcPr>
          <w:p w14:paraId="68177A53" w14:textId="567AFF4B" w:rsidR="006B48BE" w:rsidRPr="001A3873" w:rsidRDefault="004E2388" w:rsidP="0069484D">
            <w:pPr>
              <w:spacing w:line="360" w:lineRule="auto"/>
              <w:jc w:val="both"/>
              <w:rPr>
                <w:lang w:eastAsia="en-US"/>
              </w:rPr>
            </w:pPr>
            <w:r>
              <w:rPr>
                <w:lang w:eastAsia="en-US"/>
              </w:rPr>
              <w:t>Standard error</w:t>
            </w:r>
          </w:p>
        </w:tc>
        <w:tc>
          <w:tcPr>
            <w:tcW w:w="3049" w:type="dxa"/>
            <w:gridSpan w:val="2"/>
            <w:tcBorders>
              <w:top w:val="single" w:sz="4" w:space="0" w:color="auto"/>
              <w:left w:val="nil"/>
              <w:bottom w:val="single" w:sz="4" w:space="0" w:color="auto"/>
              <w:right w:val="nil"/>
            </w:tcBorders>
            <w:hideMark/>
          </w:tcPr>
          <w:p w14:paraId="67BCBED5" w14:textId="6F78B050" w:rsidR="006B48BE" w:rsidRPr="001A3873" w:rsidRDefault="006B48BE" w:rsidP="0069484D">
            <w:pPr>
              <w:spacing w:line="360" w:lineRule="auto"/>
              <w:jc w:val="both"/>
              <w:rPr>
                <w:lang w:eastAsia="en-US"/>
              </w:rPr>
            </w:pPr>
            <w:r w:rsidRPr="001A3873">
              <w:rPr>
                <w:lang w:eastAsia="en-US"/>
              </w:rPr>
              <w:t xml:space="preserve">95% Confidence </w:t>
            </w:r>
            <w:r w:rsidR="004E2388">
              <w:rPr>
                <w:lang w:eastAsia="en-US"/>
              </w:rPr>
              <w:t>i</w:t>
            </w:r>
            <w:r w:rsidRPr="001A3873">
              <w:rPr>
                <w:lang w:eastAsia="en-US"/>
              </w:rPr>
              <w:t xml:space="preserve">nterval </w:t>
            </w:r>
          </w:p>
          <w:p w14:paraId="4EF1E046" w14:textId="29FE510A" w:rsidR="006B48BE" w:rsidRPr="001A3873" w:rsidRDefault="006B48BE" w:rsidP="0069484D">
            <w:pPr>
              <w:spacing w:line="360" w:lineRule="auto"/>
              <w:jc w:val="both"/>
              <w:rPr>
                <w:lang w:eastAsia="en-US"/>
              </w:rPr>
            </w:pPr>
            <w:r w:rsidRPr="001A3873">
              <w:rPr>
                <w:lang w:eastAsia="en-US"/>
              </w:rPr>
              <w:t>Lower</w:t>
            </w:r>
            <w:r w:rsidR="00F349CF" w:rsidRPr="001A3873">
              <w:rPr>
                <w:lang w:eastAsia="en-US"/>
              </w:rPr>
              <w:t xml:space="preserve"> </w:t>
            </w:r>
            <w:r w:rsidRPr="001A3873">
              <w:rPr>
                <w:lang w:eastAsia="en-US"/>
              </w:rPr>
              <w:t>Upper</w:t>
            </w:r>
          </w:p>
          <w:p w14:paraId="3035B0AD" w14:textId="03BB2329" w:rsidR="006B48BE" w:rsidRPr="001A3873" w:rsidRDefault="004E2388" w:rsidP="0069484D">
            <w:pPr>
              <w:spacing w:line="360" w:lineRule="auto"/>
              <w:jc w:val="both"/>
              <w:rPr>
                <w:lang w:eastAsia="en-US"/>
              </w:rPr>
            </w:pPr>
            <w:r>
              <w:rPr>
                <w:lang w:eastAsia="en-US"/>
              </w:rPr>
              <w:t>b</w:t>
            </w:r>
            <w:r w:rsidR="006B48BE" w:rsidRPr="001A3873">
              <w:rPr>
                <w:lang w:eastAsia="en-US"/>
              </w:rPr>
              <w:t>ound</w:t>
            </w:r>
            <w:r w:rsidR="00F349CF" w:rsidRPr="001A3873">
              <w:rPr>
                <w:lang w:eastAsia="en-US"/>
              </w:rPr>
              <w:t xml:space="preserve"> </w:t>
            </w:r>
            <w:proofErr w:type="spellStart"/>
            <w:r>
              <w:rPr>
                <w:lang w:eastAsia="en-US"/>
              </w:rPr>
              <w:t>b</w:t>
            </w:r>
            <w:r w:rsidR="006B48BE" w:rsidRPr="001A3873">
              <w:rPr>
                <w:lang w:eastAsia="en-US"/>
              </w:rPr>
              <w:t>ound</w:t>
            </w:r>
            <w:proofErr w:type="spellEnd"/>
          </w:p>
        </w:tc>
      </w:tr>
      <w:tr w:rsidR="006B48BE" w:rsidRPr="00161D4B" w14:paraId="7A527F87" w14:textId="77777777" w:rsidTr="004E2388">
        <w:tc>
          <w:tcPr>
            <w:tcW w:w="1985" w:type="dxa"/>
            <w:vMerge w:val="restart"/>
            <w:tcBorders>
              <w:top w:val="nil"/>
              <w:left w:val="nil"/>
              <w:bottom w:val="nil"/>
              <w:right w:val="nil"/>
            </w:tcBorders>
            <w:hideMark/>
          </w:tcPr>
          <w:p w14:paraId="0595FCAD" w14:textId="6FBDFEF8" w:rsidR="006B48BE" w:rsidRPr="00161D4B" w:rsidRDefault="006B48BE" w:rsidP="004E2388">
            <w:pPr>
              <w:spacing w:line="360" w:lineRule="auto"/>
              <w:rPr>
                <w:lang w:eastAsia="en-US"/>
              </w:rPr>
            </w:pPr>
            <w:r w:rsidRPr="00161D4B">
              <w:rPr>
                <w:lang w:eastAsia="en-US"/>
              </w:rPr>
              <w:t xml:space="preserve">Therapy </w:t>
            </w:r>
            <w:r w:rsidR="004E2388">
              <w:rPr>
                <w:lang w:eastAsia="en-US"/>
              </w:rPr>
              <w:t>l</w:t>
            </w:r>
            <w:r w:rsidRPr="00161D4B">
              <w:rPr>
                <w:lang w:eastAsia="en-US"/>
              </w:rPr>
              <w:t xml:space="preserve">evel of </w:t>
            </w:r>
            <w:r w:rsidR="004E2388">
              <w:rPr>
                <w:lang w:eastAsia="en-US"/>
              </w:rPr>
              <w:t>i</w:t>
            </w:r>
            <w:r w:rsidRPr="00161D4B">
              <w:rPr>
                <w:lang w:eastAsia="en-US"/>
              </w:rPr>
              <w:t xml:space="preserve">ntensity </w:t>
            </w:r>
          </w:p>
        </w:tc>
        <w:tc>
          <w:tcPr>
            <w:tcW w:w="1824" w:type="dxa"/>
            <w:tcBorders>
              <w:top w:val="nil"/>
              <w:left w:val="nil"/>
              <w:bottom w:val="nil"/>
              <w:right w:val="nil"/>
            </w:tcBorders>
            <w:hideMark/>
          </w:tcPr>
          <w:p w14:paraId="660B261A" w14:textId="77777777" w:rsidR="006B48BE" w:rsidRPr="00161D4B" w:rsidRDefault="006B48BE" w:rsidP="0069484D">
            <w:pPr>
              <w:spacing w:line="360" w:lineRule="auto"/>
              <w:jc w:val="both"/>
              <w:rPr>
                <w:lang w:eastAsia="en-US"/>
              </w:rPr>
            </w:pPr>
            <w:r w:rsidRPr="00161D4B">
              <w:rPr>
                <w:lang w:eastAsia="en-US"/>
              </w:rPr>
              <w:t>White British</w:t>
            </w:r>
          </w:p>
        </w:tc>
        <w:tc>
          <w:tcPr>
            <w:tcW w:w="723" w:type="dxa"/>
            <w:tcBorders>
              <w:top w:val="nil"/>
              <w:left w:val="nil"/>
              <w:bottom w:val="nil"/>
              <w:right w:val="nil"/>
            </w:tcBorders>
            <w:hideMark/>
          </w:tcPr>
          <w:p w14:paraId="54C1A88F"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nil"/>
              <w:left w:val="nil"/>
              <w:bottom w:val="nil"/>
              <w:right w:val="nil"/>
            </w:tcBorders>
            <w:hideMark/>
          </w:tcPr>
          <w:p w14:paraId="246C4C1E" w14:textId="77777777" w:rsidR="006B48BE" w:rsidRPr="00161D4B" w:rsidRDefault="006B48BE" w:rsidP="0069484D">
            <w:pPr>
              <w:spacing w:line="360" w:lineRule="auto"/>
              <w:jc w:val="both"/>
              <w:rPr>
                <w:lang w:eastAsia="en-US"/>
              </w:rPr>
            </w:pPr>
            <w:r w:rsidRPr="00161D4B">
              <w:rPr>
                <w:lang w:eastAsia="en-US"/>
              </w:rPr>
              <w:t>2.570</w:t>
            </w:r>
          </w:p>
        </w:tc>
        <w:tc>
          <w:tcPr>
            <w:tcW w:w="1059" w:type="dxa"/>
            <w:tcBorders>
              <w:top w:val="nil"/>
              <w:left w:val="nil"/>
              <w:bottom w:val="nil"/>
              <w:right w:val="nil"/>
            </w:tcBorders>
            <w:hideMark/>
          </w:tcPr>
          <w:p w14:paraId="69B0F064" w14:textId="77777777" w:rsidR="006B48BE" w:rsidRPr="00161D4B" w:rsidRDefault="006B48BE" w:rsidP="0069484D">
            <w:pPr>
              <w:spacing w:line="360" w:lineRule="auto"/>
              <w:jc w:val="both"/>
              <w:rPr>
                <w:lang w:eastAsia="en-US"/>
              </w:rPr>
            </w:pPr>
            <w:r w:rsidRPr="00161D4B">
              <w:rPr>
                <w:lang w:eastAsia="en-US"/>
              </w:rPr>
              <w:t>.020</w:t>
            </w:r>
          </w:p>
        </w:tc>
        <w:tc>
          <w:tcPr>
            <w:tcW w:w="2057" w:type="dxa"/>
            <w:tcBorders>
              <w:top w:val="nil"/>
              <w:left w:val="nil"/>
              <w:bottom w:val="nil"/>
              <w:right w:val="nil"/>
            </w:tcBorders>
            <w:hideMark/>
          </w:tcPr>
          <w:p w14:paraId="44030FD5" w14:textId="77777777" w:rsidR="006B48BE" w:rsidRPr="00161D4B" w:rsidRDefault="006B48BE" w:rsidP="0069484D">
            <w:pPr>
              <w:spacing w:line="360" w:lineRule="auto"/>
              <w:jc w:val="both"/>
              <w:rPr>
                <w:lang w:eastAsia="en-US"/>
              </w:rPr>
            </w:pPr>
            <w:r w:rsidRPr="00161D4B">
              <w:rPr>
                <w:lang w:eastAsia="en-US"/>
              </w:rPr>
              <w:t>2.531</w:t>
            </w:r>
          </w:p>
        </w:tc>
        <w:tc>
          <w:tcPr>
            <w:tcW w:w="993" w:type="dxa"/>
            <w:tcBorders>
              <w:top w:val="nil"/>
              <w:left w:val="nil"/>
              <w:bottom w:val="nil"/>
              <w:right w:val="nil"/>
            </w:tcBorders>
            <w:hideMark/>
          </w:tcPr>
          <w:p w14:paraId="4483409C" w14:textId="77777777" w:rsidR="006B48BE" w:rsidRPr="00161D4B" w:rsidRDefault="006B48BE" w:rsidP="0069484D">
            <w:pPr>
              <w:spacing w:line="360" w:lineRule="auto"/>
              <w:jc w:val="both"/>
              <w:rPr>
                <w:lang w:eastAsia="en-US"/>
              </w:rPr>
            </w:pPr>
            <w:r w:rsidRPr="00161D4B">
              <w:rPr>
                <w:lang w:eastAsia="en-US"/>
              </w:rPr>
              <w:t>2.608</w:t>
            </w:r>
          </w:p>
        </w:tc>
      </w:tr>
      <w:tr w:rsidR="006B48BE" w:rsidRPr="00161D4B" w14:paraId="43383D6C" w14:textId="77777777" w:rsidTr="004E2388">
        <w:tc>
          <w:tcPr>
            <w:tcW w:w="1985" w:type="dxa"/>
            <w:vMerge/>
            <w:tcBorders>
              <w:top w:val="nil"/>
              <w:left w:val="nil"/>
              <w:bottom w:val="nil"/>
              <w:right w:val="nil"/>
            </w:tcBorders>
            <w:vAlign w:val="center"/>
            <w:hideMark/>
          </w:tcPr>
          <w:p w14:paraId="49F35C99" w14:textId="77777777" w:rsidR="006B48BE" w:rsidRPr="00161D4B" w:rsidRDefault="006B48BE" w:rsidP="0069484D">
            <w:pPr>
              <w:spacing w:line="360" w:lineRule="auto"/>
              <w:rPr>
                <w:lang w:eastAsia="en-US"/>
              </w:rPr>
            </w:pPr>
          </w:p>
        </w:tc>
        <w:tc>
          <w:tcPr>
            <w:tcW w:w="1824" w:type="dxa"/>
            <w:tcBorders>
              <w:top w:val="nil"/>
              <w:left w:val="nil"/>
              <w:bottom w:val="nil"/>
              <w:right w:val="nil"/>
            </w:tcBorders>
          </w:tcPr>
          <w:p w14:paraId="18342B7B" w14:textId="77777777" w:rsidR="006B48BE" w:rsidRPr="00161D4B" w:rsidRDefault="006B48BE" w:rsidP="0069484D">
            <w:pPr>
              <w:spacing w:line="360" w:lineRule="auto"/>
              <w:jc w:val="both"/>
              <w:rPr>
                <w:lang w:eastAsia="en-US"/>
              </w:rPr>
            </w:pPr>
          </w:p>
        </w:tc>
        <w:tc>
          <w:tcPr>
            <w:tcW w:w="723" w:type="dxa"/>
            <w:tcBorders>
              <w:top w:val="nil"/>
              <w:left w:val="nil"/>
              <w:bottom w:val="nil"/>
              <w:right w:val="nil"/>
            </w:tcBorders>
            <w:hideMark/>
          </w:tcPr>
          <w:p w14:paraId="2474D59E"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nil"/>
              <w:right w:val="nil"/>
            </w:tcBorders>
            <w:hideMark/>
          </w:tcPr>
          <w:p w14:paraId="3133D043" w14:textId="77777777" w:rsidR="006B48BE" w:rsidRPr="00161D4B" w:rsidRDefault="006B48BE" w:rsidP="0069484D">
            <w:pPr>
              <w:spacing w:line="360" w:lineRule="auto"/>
              <w:jc w:val="both"/>
              <w:rPr>
                <w:lang w:eastAsia="en-US"/>
              </w:rPr>
            </w:pPr>
            <w:r w:rsidRPr="00161D4B">
              <w:rPr>
                <w:lang w:eastAsia="en-US"/>
              </w:rPr>
              <w:t>2.533</w:t>
            </w:r>
          </w:p>
        </w:tc>
        <w:tc>
          <w:tcPr>
            <w:tcW w:w="1059" w:type="dxa"/>
            <w:tcBorders>
              <w:top w:val="nil"/>
              <w:left w:val="nil"/>
              <w:bottom w:val="nil"/>
              <w:right w:val="nil"/>
            </w:tcBorders>
            <w:hideMark/>
          </w:tcPr>
          <w:p w14:paraId="2BC96738" w14:textId="77777777" w:rsidR="006B48BE" w:rsidRPr="00161D4B" w:rsidRDefault="006B48BE" w:rsidP="0069484D">
            <w:pPr>
              <w:spacing w:line="360" w:lineRule="auto"/>
              <w:jc w:val="both"/>
              <w:rPr>
                <w:lang w:eastAsia="en-US"/>
              </w:rPr>
            </w:pPr>
            <w:r w:rsidRPr="00161D4B">
              <w:rPr>
                <w:lang w:eastAsia="en-US"/>
              </w:rPr>
              <w:t>.020</w:t>
            </w:r>
          </w:p>
        </w:tc>
        <w:tc>
          <w:tcPr>
            <w:tcW w:w="2057" w:type="dxa"/>
            <w:tcBorders>
              <w:top w:val="nil"/>
              <w:left w:val="nil"/>
              <w:bottom w:val="nil"/>
              <w:right w:val="nil"/>
            </w:tcBorders>
            <w:hideMark/>
          </w:tcPr>
          <w:p w14:paraId="688990C1" w14:textId="77777777" w:rsidR="006B48BE" w:rsidRPr="00161D4B" w:rsidRDefault="006B48BE" w:rsidP="0069484D">
            <w:pPr>
              <w:spacing w:line="360" w:lineRule="auto"/>
              <w:jc w:val="both"/>
              <w:rPr>
                <w:lang w:eastAsia="en-US"/>
              </w:rPr>
            </w:pPr>
            <w:r w:rsidRPr="00161D4B">
              <w:rPr>
                <w:lang w:eastAsia="en-US"/>
              </w:rPr>
              <w:t>2.514</w:t>
            </w:r>
          </w:p>
        </w:tc>
        <w:tc>
          <w:tcPr>
            <w:tcW w:w="993" w:type="dxa"/>
            <w:tcBorders>
              <w:top w:val="nil"/>
              <w:left w:val="nil"/>
              <w:bottom w:val="nil"/>
              <w:right w:val="nil"/>
            </w:tcBorders>
            <w:hideMark/>
          </w:tcPr>
          <w:p w14:paraId="00832BE9" w14:textId="77777777" w:rsidR="006B48BE" w:rsidRPr="00161D4B" w:rsidRDefault="006B48BE" w:rsidP="0069484D">
            <w:pPr>
              <w:spacing w:line="360" w:lineRule="auto"/>
              <w:jc w:val="both"/>
              <w:rPr>
                <w:lang w:eastAsia="en-US"/>
              </w:rPr>
            </w:pPr>
            <w:r w:rsidRPr="00161D4B">
              <w:rPr>
                <w:lang w:eastAsia="en-US"/>
              </w:rPr>
              <w:t>2.592</w:t>
            </w:r>
          </w:p>
        </w:tc>
      </w:tr>
      <w:tr w:rsidR="006B48BE" w:rsidRPr="00161D4B" w14:paraId="199CCBBF" w14:textId="77777777" w:rsidTr="004E2388">
        <w:tc>
          <w:tcPr>
            <w:tcW w:w="1985" w:type="dxa"/>
            <w:vMerge/>
            <w:tcBorders>
              <w:top w:val="nil"/>
              <w:left w:val="nil"/>
              <w:bottom w:val="nil"/>
              <w:right w:val="nil"/>
            </w:tcBorders>
            <w:vAlign w:val="center"/>
            <w:hideMark/>
          </w:tcPr>
          <w:p w14:paraId="5F991F6A" w14:textId="77777777" w:rsidR="006B48BE" w:rsidRPr="00161D4B" w:rsidRDefault="006B48BE" w:rsidP="0069484D">
            <w:pPr>
              <w:spacing w:line="360" w:lineRule="auto"/>
              <w:rPr>
                <w:lang w:eastAsia="en-US"/>
              </w:rPr>
            </w:pPr>
          </w:p>
        </w:tc>
        <w:tc>
          <w:tcPr>
            <w:tcW w:w="1824" w:type="dxa"/>
            <w:tcBorders>
              <w:top w:val="nil"/>
              <w:left w:val="nil"/>
              <w:bottom w:val="nil"/>
              <w:right w:val="nil"/>
            </w:tcBorders>
            <w:hideMark/>
          </w:tcPr>
          <w:p w14:paraId="1057203E" w14:textId="77777777" w:rsidR="006B48BE" w:rsidRPr="00161D4B" w:rsidRDefault="006B48BE" w:rsidP="0069484D">
            <w:pPr>
              <w:spacing w:line="360" w:lineRule="auto"/>
              <w:jc w:val="both"/>
              <w:rPr>
                <w:lang w:eastAsia="en-US"/>
              </w:rPr>
            </w:pPr>
            <w:r w:rsidRPr="00161D4B">
              <w:rPr>
                <w:lang w:eastAsia="en-US"/>
              </w:rPr>
              <w:t xml:space="preserve">Asian </w:t>
            </w:r>
          </w:p>
        </w:tc>
        <w:tc>
          <w:tcPr>
            <w:tcW w:w="723" w:type="dxa"/>
            <w:tcBorders>
              <w:top w:val="nil"/>
              <w:left w:val="nil"/>
              <w:bottom w:val="nil"/>
              <w:right w:val="nil"/>
            </w:tcBorders>
            <w:hideMark/>
          </w:tcPr>
          <w:p w14:paraId="797CB23A"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nil"/>
              <w:left w:val="nil"/>
              <w:bottom w:val="nil"/>
              <w:right w:val="nil"/>
            </w:tcBorders>
            <w:hideMark/>
          </w:tcPr>
          <w:p w14:paraId="3FCE54C1" w14:textId="77777777" w:rsidR="006B48BE" w:rsidRPr="00161D4B" w:rsidRDefault="006B48BE" w:rsidP="0069484D">
            <w:pPr>
              <w:spacing w:line="360" w:lineRule="auto"/>
              <w:jc w:val="both"/>
              <w:rPr>
                <w:lang w:eastAsia="en-US"/>
              </w:rPr>
            </w:pPr>
            <w:r w:rsidRPr="00161D4B">
              <w:rPr>
                <w:lang w:eastAsia="en-US"/>
              </w:rPr>
              <w:t>2.528</w:t>
            </w:r>
          </w:p>
        </w:tc>
        <w:tc>
          <w:tcPr>
            <w:tcW w:w="1059" w:type="dxa"/>
            <w:tcBorders>
              <w:top w:val="nil"/>
              <w:left w:val="nil"/>
              <w:bottom w:val="nil"/>
              <w:right w:val="nil"/>
            </w:tcBorders>
            <w:hideMark/>
          </w:tcPr>
          <w:p w14:paraId="6996495A" w14:textId="77777777" w:rsidR="006B48BE" w:rsidRPr="00161D4B" w:rsidRDefault="006B48BE" w:rsidP="0069484D">
            <w:pPr>
              <w:spacing w:line="360" w:lineRule="auto"/>
              <w:jc w:val="both"/>
              <w:rPr>
                <w:lang w:eastAsia="en-US"/>
              </w:rPr>
            </w:pPr>
            <w:r w:rsidRPr="00161D4B">
              <w:rPr>
                <w:lang w:eastAsia="en-US"/>
              </w:rPr>
              <w:t>.023</w:t>
            </w:r>
          </w:p>
        </w:tc>
        <w:tc>
          <w:tcPr>
            <w:tcW w:w="2057" w:type="dxa"/>
            <w:tcBorders>
              <w:top w:val="nil"/>
              <w:left w:val="nil"/>
              <w:bottom w:val="nil"/>
              <w:right w:val="nil"/>
            </w:tcBorders>
            <w:hideMark/>
          </w:tcPr>
          <w:p w14:paraId="4588E859" w14:textId="77777777" w:rsidR="006B48BE" w:rsidRPr="00161D4B" w:rsidRDefault="006B48BE" w:rsidP="0069484D">
            <w:pPr>
              <w:spacing w:line="360" w:lineRule="auto"/>
              <w:jc w:val="both"/>
              <w:rPr>
                <w:lang w:eastAsia="en-US"/>
              </w:rPr>
            </w:pPr>
            <w:r w:rsidRPr="00161D4B">
              <w:rPr>
                <w:lang w:eastAsia="en-US"/>
              </w:rPr>
              <w:t>2.484</w:t>
            </w:r>
          </w:p>
        </w:tc>
        <w:tc>
          <w:tcPr>
            <w:tcW w:w="993" w:type="dxa"/>
            <w:tcBorders>
              <w:top w:val="nil"/>
              <w:left w:val="nil"/>
              <w:bottom w:val="nil"/>
              <w:right w:val="nil"/>
            </w:tcBorders>
            <w:hideMark/>
          </w:tcPr>
          <w:p w14:paraId="30467254" w14:textId="77777777" w:rsidR="006B48BE" w:rsidRPr="00161D4B" w:rsidRDefault="006B48BE" w:rsidP="0069484D">
            <w:pPr>
              <w:spacing w:line="360" w:lineRule="auto"/>
              <w:jc w:val="both"/>
              <w:rPr>
                <w:lang w:eastAsia="en-US"/>
              </w:rPr>
            </w:pPr>
            <w:r w:rsidRPr="00161D4B">
              <w:rPr>
                <w:lang w:eastAsia="en-US"/>
              </w:rPr>
              <w:t>2.572</w:t>
            </w:r>
          </w:p>
        </w:tc>
      </w:tr>
      <w:tr w:rsidR="006B48BE" w:rsidRPr="00161D4B" w14:paraId="486DAC72" w14:textId="77777777" w:rsidTr="004E2388">
        <w:tc>
          <w:tcPr>
            <w:tcW w:w="1985" w:type="dxa"/>
            <w:vMerge/>
            <w:tcBorders>
              <w:top w:val="nil"/>
              <w:left w:val="nil"/>
              <w:bottom w:val="nil"/>
              <w:right w:val="nil"/>
            </w:tcBorders>
            <w:vAlign w:val="center"/>
            <w:hideMark/>
          </w:tcPr>
          <w:p w14:paraId="2F411FF3" w14:textId="77777777" w:rsidR="006B48BE" w:rsidRPr="00161D4B" w:rsidRDefault="006B48BE" w:rsidP="0069484D">
            <w:pPr>
              <w:spacing w:line="360" w:lineRule="auto"/>
              <w:rPr>
                <w:lang w:eastAsia="en-US"/>
              </w:rPr>
            </w:pPr>
          </w:p>
        </w:tc>
        <w:tc>
          <w:tcPr>
            <w:tcW w:w="1824" w:type="dxa"/>
            <w:tcBorders>
              <w:top w:val="nil"/>
              <w:left w:val="nil"/>
              <w:bottom w:val="nil"/>
              <w:right w:val="nil"/>
            </w:tcBorders>
          </w:tcPr>
          <w:p w14:paraId="707384A4" w14:textId="77777777" w:rsidR="006B48BE" w:rsidRPr="00161D4B" w:rsidRDefault="006B48BE" w:rsidP="0069484D">
            <w:pPr>
              <w:spacing w:line="360" w:lineRule="auto"/>
              <w:jc w:val="both"/>
              <w:rPr>
                <w:lang w:eastAsia="en-US"/>
              </w:rPr>
            </w:pPr>
          </w:p>
        </w:tc>
        <w:tc>
          <w:tcPr>
            <w:tcW w:w="723" w:type="dxa"/>
            <w:tcBorders>
              <w:top w:val="nil"/>
              <w:left w:val="nil"/>
              <w:bottom w:val="nil"/>
              <w:right w:val="nil"/>
            </w:tcBorders>
            <w:hideMark/>
          </w:tcPr>
          <w:p w14:paraId="1AB47FD7"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nil"/>
              <w:right w:val="nil"/>
            </w:tcBorders>
            <w:hideMark/>
          </w:tcPr>
          <w:p w14:paraId="1999231D" w14:textId="77777777" w:rsidR="006B48BE" w:rsidRPr="00161D4B" w:rsidRDefault="006B48BE" w:rsidP="0069484D">
            <w:pPr>
              <w:spacing w:line="360" w:lineRule="auto"/>
              <w:jc w:val="both"/>
              <w:rPr>
                <w:lang w:eastAsia="en-US"/>
              </w:rPr>
            </w:pPr>
            <w:r w:rsidRPr="00161D4B">
              <w:rPr>
                <w:lang w:eastAsia="en-US"/>
              </w:rPr>
              <w:t>2.479</w:t>
            </w:r>
          </w:p>
        </w:tc>
        <w:tc>
          <w:tcPr>
            <w:tcW w:w="1059" w:type="dxa"/>
            <w:tcBorders>
              <w:top w:val="nil"/>
              <w:left w:val="nil"/>
              <w:bottom w:val="nil"/>
              <w:right w:val="nil"/>
            </w:tcBorders>
            <w:hideMark/>
          </w:tcPr>
          <w:p w14:paraId="22E4D85E" w14:textId="77777777" w:rsidR="006B48BE" w:rsidRPr="00161D4B" w:rsidRDefault="006B48BE" w:rsidP="0069484D">
            <w:pPr>
              <w:spacing w:line="360" w:lineRule="auto"/>
              <w:jc w:val="both"/>
              <w:rPr>
                <w:lang w:eastAsia="en-US"/>
              </w:rPr>
            </w:pPr>
            <w:r w:rsidRPr="00161D4B">
              <w:rPr>
                <w:lang w:eastAsia="en-US"/>
              </w:rPr>
              <w:t>.025</w:t>
            </w:r>
          </w:p>
        </w:tc>
        <w:tc>
          <w:tcPr>
            <w:tcW w:w="2057" w:type="dxa"/>
            <w:tcBorders>
              <w:top w:val="nil"/>
              <w:left w:val="nil"/>
              <w:bottom w:val="nil"/>
              <w:right w:val="nil"/>
            </w:tcBorders>
            <w:hideMark/>
          </w:tcPr>
          <w:p w14:paraId="404D56E7" w14:textId="77777777" w:rsidR="006B48BE" w:rsidRPr="00161D4B" w:rsidRDefault="006B48BE" w:rsidP="0069484D">
            <w:pPr>
              <w:spacing w:line="360" w:lineRule="auto"/>
              <w:jc w:val="both"/>
              <w:rPr>
                <w:lang w:eastAsia="en-US"/>
              </w:rPr>
            </w:pPr>
            <w:r w:rsidRPr="00161D4B">
              <w:rPr>
                <w:lang w:eastAsia="en-US"/>
              </w:rPr>
              <w:t>2.430</w:t>
            </w:r>
          </w:p>
        </w:tc>
        <w:tc>
          <w:tcPr>
            <w:tcW w:w="993" w:type="dxa"/>
            <w:tcBorders>
              <w:top w:val="nil"/>
              <w:left w:val="nil"/>
              <w:bottom w:val="nil"/>
              <w:right w:val="nil"/>
            </w:tcBorders>
            <w:hideMark/>
          </w:tcPr>
          <w:p w14:paraId="720BC411" w14:textId="77777777" w:rsidR="006B48BE" w:rsidRPr="00161D4B" w:rsidRDefault="006B48BE" w:rsidP="0069484D">
            <w:pPr>
              <w:spacing w:line="360" w:lineRule="auto"/>
              <w:jc w:val="both"/>
              <w:rPr>
                <w:lang w:eastAsia="en-US"/>
              </w:rPr>
            </w:pPr>
            <w:r w:rsidRPr="00161D4B">
              <w:rPr>
                <w:lang w:eastAsia="en-US"/>
              </w:rPr>
              <w:t>2.527</w:t>
            </w:r>
          </w:p>
        </w:tc>
      </w:tr>
      <w:tr w:rsidR="006B48BE" w:rsidRPr="00161D4B" w14:paraId="30A48021" w14:textId="77777777" w:rsidTr="004E2388">
        <w:tc>
          <w:tcPr>
            <w:tcW w:w="1985" w:type="dxa"/>
            <w:vMerge/>
            <w:tcBorders>
              <w:top w:val="nil"/>
              <w:left w:val="nil"/>
              <w:bottom w:val="nil"/>
              <w:right w:val="nil"/>
            </w:tcBorders>
            <w:vAlign w:val="center"/>
            <w:hideMark/>
          </w:tcPr>
          <w:p w14:paraId="327D7D63" w14:textId="77777777" w:rsidR="006B48BE" w:rsidRPr="00161D4B" w:rsidRDefault="006B48BE" w:rsidP="0069484D">
            <w:pPr>
              <w:spacing w:line="360" w:lineRule="auto"/>
              <w:rPr>
                <w:lang w:eastAsia="en-US"/>
              </w:rPr>
            </w:pPr>
          </w:p>
        </w:tc>
        <w:tc>
          <w:tcPr>
            <w:tcW w:w="1824" w:type="dxa"/>
            <w:tcBorders>
              <w:top w:val="nil"/>
              <w:left w:val="nil"/>
              <w:bottom w:val="nil"/>
              <w:right w:val="nil"/>
            </w:tcBorders>
            <w:hideMark/>
          </w:tcPr>
          <w:p w14:paraId="13400EFE" w14:textId="77777777" w:rsidR="006B48BE" w:rsidRPr="00161D4B" w:rsidRDefault="006B48BE" w:rsidP="0069484D">
            <w:pPr>
              <w:spacing w:line="360" w:lineRule="auto"/>
              <w:jc w:val="both"/>
              <w:rPr>
                <w:lang w:eastAsia="en-US"/>
              </w:rPr>
            </w:pPr>
            <w:r w:rsidRPr="00161D4B">
              <w:rPr>
                <w:lang w:eastAsia="en-US"/>
              </w:rPr>
              <w:t>Black African/Caribbean</w:t>
            </w:r>
          </w:p>
        </w:tc>
        <w:tc>
          <w:tcPr>
            <w:tcW w:w="723" w:type="dxa"/>
            <w:tcBorders>
              <w:top w:val="nil"/>
              <w:left w:val="nil"/>
              <w:bottom w:val="nil"/>
              <w:right w:val="nil"/>
            </w:tcBorders>
            <w:hideMark/>
          </w:tcPr>
          <w:p w14:paraId="1B8BD974"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nil"/>
              <w:left w:val="nil"/>
              <w:bottom w:val="nil"/>
              <w:right w:val="nil"/>
            </w:tcBorders>
            <w:hideMark/>
          </w:tcPr>
          <w:p w14:paraId="5F21ECF0" w14:textId="77777777" w:rsidR="006B48BE" w:rsidRPr="00161D4B" w:rsidRDefault="006B48BE" w:rsidP="0069484D">
            <w:pPr>
              <w:spacing w:line="360" w:lineRule="auto"/>
              <w:jc w:val="both"/>
              <w:rPr>
                <w:lang w:eastAsia="en-US"/>
              </w:rPr>
            </w:pPr>
            <w:r w:rsidRPr="00161D4B">
              <w:rPr>
                <w:lang w:eastAsia="en-US"/>
              </w:rPr>
              <w:t>2.582</w:t>
            </w:r>
          </w:p>
        </w:tc>
        <w:tc>
          <w:tcPr>
            <w:tcW w:w="1059" w:type="dxa"/>
            <w:tcBorders>
              <w:top w:val="nil"/>
              <w:left w:val="nil"/>
              <w:bottom w:val="nil"/>
              <w:right w:val="nil"/>
            </w:tcBorders>
            <w:hideMark/>
          </w:tcPr>
          <w:p w14:paraId="338B9D10" w14:textId="77777777" w:rsidR="006B48BE" w:rsidRPr="00161D4B" w:rsidRDefault="006B48BE" w:rsidP="0069484D">
            <w:pPr>
              <w:spacing w:line="360" w:lineRule="auto"/>
              <w:jc w:val="both"/>
              <w:rPr>
                <w:lang w:eastAsia="en-US"/>
              </w:rPr>
            </w:pPr>
            <w:r w:rsidRPr="00161D4B">
              <w:rPr>
                <w:lang w:eastAsia="en-US"/>
              </w:rPr>
              <w:t>.024</w:t>
            </w:r>
          </w:p>
        </w:tc>
        <w:tc>
          <w:tcPr>
            <w:tcW w:w="2057" w:type="dxa"/>
            <w:tcBorders>
              <w:top w:val="nil"/>
              <w:left w:val="nil"/>
              <w:bottom w:val="nil"/>
              <w:right w:val="nil"/>
            </w:tcBorders>
            <w:hideMark/>
          </w:tcPr>
          <w:p w14:paraId="0E153B8B" w14:textId="77777777" w:rsidR="006B48BE" w:rsidRPr="00161D4B" w:rsidRDefault="006B48BE" w:rsidP="0069484D">
            <w:pPr>
              <w:spacing w:line="360" w:lineRule="auto"/>
              <w:jc w:val="both"/>
              <w:rPr>
                <w:lang w:eastAsia="en-US"/>
              </w:rPr>
            </w:pPr>
            <w:r w:rsidRPr="00161D4B">
              <w:rPr>
                <w:lang w:eastAsia="en-US"/>
              </w:rPr>
              <w:t>2.548</w:t>
            </w:r>
          </w:p>
        </w:tc>
        <w:tc>
          <w:tcPr>
            <w:tcW w:w="993" w:type="dxa"/>
            <w:tcBorders>
              <w:top w:val="nil"/>
              <w:left w:val="nil"/>
              <w:bottom w:val="nil"/>
              <w:right w:val="nil"/>
            </w:tcBorders>
            <w:hideMark/>
          </w:tcPr>
          <w:p w14:paraId="5F99F6F8" w14:textId="77777777" w:rsidR="006B48BE" w:rsidRPr="00161D4B" w:rsidRDefault="006B48BE" w:rsidP="0069484D">
            <w:pPr>
              <w:spacing w:line="360" w:lineRule="auto"/>
              <w:jc w:val="both"/>
              <w:rPr>
                <w:lang w:eastAsia="en-US"/>
              </w:rPr>
            </w:pPr>
            <w:r w:rsidRPr="00161D4B">
              <w:rPr>
                <w:lang w:eastAsia="en-US"/>
              </w:rPr>
              <w:t>2.616</w:t>
            </w:r>
          </w:p>
        </w:tc>
      </w:tr>
      <w:tr w:rsidR="006B48BE" w:rsidRPr="00161D4B" w14:paraId="0F62C443" w14:textId="77777777" w:rsidTr="004E2388">
        <w:tc>
          <w:tcPr>
            <w:tcW w:w="1985" w:type="dxa"/>
            <w:tcBorders>
              <w:top w:val="nil"/>
              <w:left w:val="nil"/>
              <w:bottom w:val="nil"/>
              <w:right w:val="nil"/>
            </w:tcBorders>
          </w:tcPr>
          <w:p w14:paraId="31D44B61" w14:textId="77777777" w:rsidR="006B48BE" w:rsidRPr="00161D4B" w:rsidRDefault="006B48BE" w:rsidP="0069484D">
            <w:pPr>
              <w:spacing w:line="360" w:lineRule="auto"/>
              <w:jc w:val="both"/>
              <w:rPr>
                <w:b/>
                <w:bCs/>
                <w:lang w:eastAsia="en-US"/>
              </w:rPr>
            </w:pPr>
          </w:p>
        </w:tc>
        <w:tc>
          <w:tcPr>
            <w:tcW w:w="1824" w:type="dxa"/>
            <w:tcBorders>
              <w:top w:val="nil"/>
              <w:left w:val="nil"/>
              <w:bottom w:val="single" w:sz="4" w:space="0" w:color="auto"/>
              <w:right w:val="nil"/>
            </w:tcBorders>
          </w:tcPr>
          <w:p w14:paraId="385C9677" w14:textId="77777777" w:rsidR="006B48BE" w:rsidRPr="00161D4B" w:rsidRDefault="006B48BE" w:rsidP="0069484D">
            <w:pPr>
              <w:spacing w:line="360" w:lineRule="auto"/>
              <w:jc w:val="both"/>
              <w:rPr>
                <w:lang w:eastAsia="en-US"/>
              </w:rPr>
            </w:pPr>
          </w:p>
        </w:tc>
        <w:tc>
          <w:tcPr>
            <w:tcW w:w="723" w:type="dxa"/>
            <w:tcBorders>
              <w:top w:val="nil"/>
              <w:left w:val="nil"/>
              <w:bottom w:val="single" w:sz="4" w:space="0" w:color="auto"/>
              <w:right w:val="nil"/>
            </w:tcBorders>
            <w:hideMark/>
          </w:tcPr>
          <w:p w14:paraId="53051EFB"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single" w:sz="4" w:space="0" w:color="auto"/>
              <w:right w:val="nil"/>
            </w:tcBorders>
            <w:hideMark/>
          </w:tcPr>
          <w:p w14:paraId="06827587" w14:textId="77777777" w:rsidR="006B48BE" w:rsidRPr="00161D4B" w:rsidRDefault="006B48BE" w:rsidP="0069484D">
            <w:pPr>
              <w:spacing w:line="360" w:lineRule="auto"/>
              <w:jc w:val="both"/>
              <w:rPr>
                <w:lang w:eastAsia="en-US"/>
              </w:rPr>
            </w:pPr>
            <w:r w:rsidRPr="00161D4B">
              <w:rPr>
                <w:lang w:eastAsia="en-US"/>
              </w:rPr>
              <w:t>2.583</w:t>
            </w:r>
          </w:p>
        </w:tc>
        <w:tc>
          <w:tcPr>
            <w:tcW w:w="1059" w:type="dxa"/>
            <w:tcBorders>
              <w:top w:val="nil"/>
              <w:left w:val="nil"/>
              <w:bottom w:val="single" w:sz="4" w:space="0" w:color="auto"/>
              <w:right w:val="nil"/>
            </w:tcBorders>
            <w:hideMark/>
          </w:tcPr>
          <w:p w14:paraId="55E37690" w14:textId="77777777" w:rsidR="006B48BE" w:rsidRPr="00161D4B" w:rsidRDefault="006B48BE" w:rsidP="0069484D">
            <w:pPr>
              <w:spacing w:line="360" w:lineRule="auto"/>
              <w:jc w:val="both"/>
              <w:rPr>
                <w:lang w:eastAsia="en-US"/>
              </w:rPr>
            </w:pPr>
            <w:r w:rsidRPr="00161D4B">
              <w:rPr>
                <w:lang w:eastAsia="en-US"/>
              </w:rPr>
              <w:t>.025</w:t>
            </w:r>
          </w:p>
        </w:tc>
        <w:tc>
          <w:tcPr>
            <w:tcW w:w="2057" w:type="dxa"/>
            <w:tcBorders>
              <w:top w:val="nil"/>
              <w:left w:val="nil"/>
              <w:bottom w:val="single" w:sz="4" w:space="0" w:color="auto"/>
              <w:right w:val="nil"/>
            </w:tcBorders>
            <w:hideMark/>
          </w:tcPr>
          <w:p w14:paraId="124846D6" w14:textId="77777777" w:rsidR="006B48BE" w:rsidRPr="00161D4B" w:rsidRDefault="006B48BE" w:rsidP="0069484D">
            <w:pPr>
              <w:spacing w:line="360" w:lineRule="auto"/>
              <w:jc w:val="both"/>
              <w:rPr>
                <w:lang w:eastAsia="en-US"/>
              </w:rPr>
            </w:pPr>
            <w:r w:rsidRPr="00161D4B">
              <w:rPr>
                <w:lang w:eastAsia="en-US"/>
              </w:rPr>
              <w:t>2.534</w:t>
            </w:r>
          </w:p>
        </w:tc>
        <w:tc>
          <w:tcPr>
            <w:tcW w:w="993" w:type="dxa"/>
            <w:tcBorders>
              <w:top w:val="nil"/>
              <w:left w:val="nil"/>
              <w:bottom w:val="single" w:sz="4" w:space="0" w:color="auto"/>
              <w:right w:val="nil"/>
            </w:tcBorders>
            <w:hideMark/>
          </w:tcPr>
          <w:p w14:paraId="79D22F05" w14:textId="77777777" w:rsidR="006B48BE" w:rsidRPr="00161D4B" w:rsidRDefault="006B48BE" w:rsidP="0069484D">
            <w:pPr>
              <w:spacing w:line="360" w:lineRule="auto"/>
              <w:jc w:val="both"/>
              <w:rPr>
                <w:lang w:eastAsia="en-US"/>
              </w:rPr>
            </w:pPr>
            <w:r w:rsidRPr="00161D4B">
              <w:rPr>
                <w:lang w:eastAsia="en-US"/>
              </w:rPr>
              <w:t>2.631</w:t>
            </w:r>
          </w:p>
        </w:tc>
      </w:tr>
      <w:tr w:rsidR="006B48BE" w:rsidRPr="00161D4B" w14:paraId="4B9D3651" w14:textId="77777777" w:rsidTr="004E2388">
        <w:tc>
          <w:tcPr>
            <w:tcW w:w="1985" w:type="dxa"/>
            <w:vMerge w:val="restart"/>
            <w:tcBorders>
              <w:top w:val="nil"/>
              <w:left w:val="nil"/>
              <w:bottom w:val="nil"/>
              <w:right w:val="nil"/>
            </w:tcBorders>
            <w:hideMark/>
          </w:tcPr>
          <w:p w14:paraId="5B0FF21D" w14:textId="3D13D612" w:rsidR="006B48BE" w:rsidRPr="00161D4B" w:rsidRDefault="006B48BE" w:rsidP="0069484D">
            <w:pPr>
              <w:spacing w:line="360" w:lineRule="auto"/>
              <w:jc w:val="both"/>
              <w:rPr>
                <w:lang w:eastAsia="en-US"/>
              </w:rPr>
            </w:pPr>
            <w:r w:rsidRPr="00161D4B">
              <w:rPr>
                <w:lang w:eastAsia="en-US"/>
              </w:rPr>
              <w:t xml:space="preserve">Discharge </w:t>
            </w:r>
            <w:r w:rsidR="004E2388">
              <w:rPr>
                <w:lang w:eastAsia="en-US"/>
              </w:rPr>
              <w:t>o</w:t>
            </w:r>
            <w:r w:rsidRPr="00161D4B">
              <w:rPr>
                <w:lang w:eastAsia="en-US"/>
              </w:rPr>
              <w:t>utcome</w:t>
            </w:r>
          </w:p>
        </w:tc>
        <w:tc>
          <w:tcPr>
            <w:tcW w:w="1824" w:type="dxa"/>
            <w:tcBorders>
              <w:top w:val="single" w:sz="4" w:space="0" w:color="auto"/>
              <w:left w:val="nil"/>
              <w:bottom w:val="nil"/>
              <w:right w:val="nil"/>
            </w:tcBorders>
            <w:hideMark/>
          </w:tcPr>
          <w:p w14:paraId="0DC83015" w14:textId="77777777" w:rsidR="006B48BE" w:rsidRPr="00161D4B" w:rsidRDefault="006B48BE" w:rsidP="0069484D">
            <w:pPr>
              <w:spacing w:line="360" w:lineRule="auto"/>
              <w:jc w:val="both"/>
              <w:rPr>
                <w:lang w:eastAsia="en-US"/>
              </w:rPr>
            </w:pPr>
            <w:r w:rsidRPr="00161D4B">
              <w:rPr>
                <w:lang w:eastAsia="en-US"/>
              </w:rPr>
              <w:t xml:space="preserve">White British </w:t>
            </w:r>
          </w:p>
        </w:tc>
        <w:tc>
          <w:tcPr>
            <w:tcW w:w="723" w:type="dxa"/>
            <w:tcBorders>
              <w:top w:val="single" w:sz="4" w:space="0" w:color="auto"/>
              <w:left w:val="nil"/>
              <w:bottom w:val="nil"/>
              <w:right w:val="nil"/>
            </w:tcBorders>
            <w:hideMark/>
          </w:tcPr>
          <w:p w14:paraId="53E95E89"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single" w:sz="4" w:space="0" w:color="auto"/>
              <w:left w:val="nil"/>
              <w:bottom w:val="nil"/>
              <w:right w:val="nil"/>
            </w:tcBorders>
            <w:hideMark/>
          </w:tcPr>
          <w:p w14:paraId="3ADC7D7E" w14:textId="77777777" w:rsidR="006B48BE" w:rsidRPr="00161D4B" w:rsidRDefault="006B48BE" w:rsidP="0069484D">
            <w:pPr>
              <w:spacing w:line="360" w:lineRule="auto"/>
              <w:jc w:val="both"/>
              <w:rPr>
                <w:lang w:eastAsia="en-US"/>
              </w:rPr>
            </w:pPr>
            <w:r w:rsidRPr="00161D4B">
              <w:rPr>
                <w:lang w:eastAsia="en-US"/>
              </w:rPr>
              <w:t>1.301</w:t>
            </w:r>
          </w:p>
        </w:tc>
        <w:tc>
          <w:tcPr>
            <w:tcW w:w="1059" w:type="dxa"/>
            <w:tcBorders>
              <w:top w:val="single" w:sz="4" w:space="0" w:color="auto"/>
              <w:left w:val="nil"/>
              <w:bottom w:val="nil"/>
              <w:right w:val="nil"/>
            </w:tcBorders>
            <w:hideMark/>
          </w:tcPr>
          <w:p w14:paraId="37C72ECE" w14:textId="77777777" w:rsidR="006B48BE" w:rsidRPr="00161D4B" w:rsidRDefault="006B48BE" w:rsidP="0069484D">
            <w:pPr>
              <w:spacing w:line="360" w:lineRule="auto"/>
              <w:jc w:val="both"/>
              <w:rPr>
                <w:lang w:eastAsia="en-US"/>
              </w:rPr>
            </w:pPr>
            <w:r w:rsidRPr="00161D4B">
              <w:rPr>
                <w:lang w:eastAsia="en-US"/>
              </w:rPr>
              <w:t>.018</w:t>
            </w:r>
          </w:p>
        </w:tc>
        <w:tc>
          <w:tcPr>
            <w:tcW w:w="2057" w:type="dxa"/>
            <w:tcBorders>
              <w:top w:val="single" w:sz="4" w:space="0" w:color="auto"/>
              <w:left w:val="nil"/>
              <w:bottom w:val="nil"/>
              <w:right w:val="nil"/>
            </w:tcBorders>
            <w:hideMark/>
          </w:tcPr>
          <w:p w14:paraId="6F5B5B1E" w14:textId="77777777" w:rsidR="006B48BE" w:rsidRPr="00161D4B" w:rsidRDefault="006B48BE" w:rsidP="0069484D">
            <w:pPr>
              <w:spacing w:line="360" w:lineRule="auto"/>
              <w:jc w:val="both"/>
              <w:rPr>
                <w:lang w:eastAsia="en-US"/>
              </w:rPr>
            </w:pPr>
            <w:r w:rsidRPr="00161D4B">
              <w:rPr>
                <w:lang w:eastAsia="en-US"/>
              </w:rPr>
              <w:t>1.266</w:t>
            </w:r>
          </w:p>
        </w:tc>
        <w:tc>
          <w:tcPr>
            <w:tcW w:w="993" w:type="dxa"/>
            <w:tcBorders>
              <w:top w:val="single" w:sz="4" w:space="0" w:color="auto"/>
              <w:left w:val="nil"/>
              <w:bottom w:val="nil"/>
              <w:right w:val="nil"/>
            </w:tcBorders>
            <w:hideMark/>
          </w:tcPr>
          <w:p w14:paraId="1EC37647" w14:textId="77777777" w:rsidR="006B48BE" w:rsidRPr="00161D4B" w:rsidRDefault="006B48BE" w:rsidP="0069484D">
            <w:pPr>
              <w:spacing w:line="360" w:lineRule="auto"/>
              <w:jc w:val="both"/>
              <w:rPr>
                <w:lang w:eastAsia="en-US"/>
              </w:rPr>
            </w:pPr>
            <w:r w:rsidRPr="00161D4B">
              <w:rPr>
                <w:lang w:eastAsia="en-US"/>
              </w:rPr>
              <w:t>1.337</w:t>
            </w:r>
          </w:p>
        </w:tc>
      </w:tr>
      <w:tr w:rsidR="006B48BE" w:rsidRPr="00161D4B" w14:paraId="593969B1" w14:textId="77777777" w:rsidTr="004E2388">
        <w:tc>
          <w:tcPr>
            <w:tcW w:w="1985" w:type="dxa"/>
            <w:vMerge/>
            <w:tcBorders>
              <w:top w:val="nil"/>
              <w:left w:val="nil"/>
              <w:bottom w:val="nil"/>
              <w:right w:val="nil"/>
            </w:tcBorders>
            <w:vAlign w:val="center"/>
            <w:hideMark/>
          </w:tcPr>
          <w:p w14:paraId="6939A7ED" w14:textId="77777777" w:rsidR="006B48BE" w:rsidRPr="00161D4B" w:rsidRDefault="006B48BE" w:rsidP="0069484D">
            <w:pPr>
              <w:spacing w:line="360" w:lineRule="auto"/>
              <w:rPr>
                <w:lang w:eastAsia="en-US"/>
              </w:rPr>
            </w:pPr>
          </w:p>
        </w:tc>
        <w:tc>
          <w:tcPr>
            <w:tcW w:w="1824" w:type="dxa"/>
            <w:tcBorders>
              <w:top w:val="nil"/>
              <w:left w:val="nil"/>
              <w:bottom w:val="nil"/>
              <w:right w:val="nil"/>
            </w:tcBorders>
          </w:tcPr>
          <w:p w14:paraId="63EC1B84" w14:textId="77777777" w:rsidR="006B48BE" w:rsidRPr="00161D4B" w:rsidRDefault="006B48BE" w:rsidP="0069484D">
            <w:pPr>
              <w:spacing w:line="360" w:lineRule="auto"/>
              <w:jc w:val="both"/>
              <w:rPr>
                <w:lang w:eastAsia="en-US"/>
              </w:rPr>
            </w:pPr>
          </w:p>
        </w:tc>
        <w:tc>
          <w:tcPr>
            <w:tcW w:w="723" w:type="dxa"/>
            <w:tcBorders>
              <w:top w:val="nil"/>
              <w:left w:val="nil"/>
              <w:bottom w:val="nil"/>
              <w:right w:val="nil"/>
            </w:tcBorders>
            <w:hideMark/>
          </w:tcPr>
          <w:p w14:paraId="73E890C9"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nil"/>
              <w:right w:val="nil"/>
            </w:tcBorders>
            <w:hideMark/>
          </w:tcPr>
          <w:p w14:paraId="3C075632" w14:textId="77777777" w:rsidR="006B48BE" w:rsidRPr="00161D4B" w:rsidRDefault="006B48BE" w:rsidP="0069484D">
            <w:pPr>
              <w:spacing w:line="360" w:lineRule="auto"/>
              <w:jc w:val="both"/>
              <w:rPr>
                <w:lang w:eastAsia="en-US"/>
              </w:rPr>
            </w:pPr>
            <w:r w:rsidRPr="00161D4B">
              <w:rPr>
                <w:lang w:eastAsia="en-US"/>
              </w:rPr>
              <w:t>1.238</w:t>
            </w:r>
          </w:p>
        </w:tc>
        <w:tc>
          <w:tcPr>
            <w:tcW w:w="1059" w:type="dxa"/>
            <w:tcBorders>
              <w:top w:val="nil"/>
              <w:left w:val="nil"/>
              <w:bottom w:val="nil"/>
              <w:right w:val="nil"/>
            </w:tcBorders>
            <w:hideMark/>
          </w:tcPr>
          <w:p w14:paraId="00829AA7" w14:textId="77777777" w:rsidR="006B48BE" w:rsidRPr="00161D4B" w:rsidRDefault="006B48BE" w:rsidP="0069484D">
            <w:pPr>
              <w:spacing w:line="360" w:lineRule="auto"/>
              <w:jc w:val="both"/>
              <w:rPr>
                <w:lang w:eastAsia="en-US"/>
              </w:rPr>
            </w:pPr>
            <w:r w:rsidRPr="00161D4B">
              <w:rPr>
                <w:lang w:eastAsia="en-US"/>
              </w:rPr>
              <w:t>.019</w:t>
            </w:r>
          </w:p>
        </w:tc>
        <w:tc>
          <w:tcPr>
            <w:tcW w:w="2057" w:type="dxa"/>
            <w:tcBorders>
              <w:top w:val="nil"/>
              <w:left w:val="nil"/>
              <w:bottom w:val="nil"/>
              <w:right w:val="nil"/>
            </w:tcBorders>
            <w:hideMark/>
          </w:tcPr>
          <w:p w14:paraId="2D73AE05" w14:textId="77777777" w:rsidR="006B48BE" w:rsidRPr="00161D4B" w:rsidRDefault="006B48BE" w:rsidP="0069484D">
            <w:pPr>
              <w:spacing w:line="360" w:lineRule="auto"/>
              <w:jc w:val="both"/>
              <w:rPr>
                <w:lang w:eastAsia="en-US"/>
              </w:rPr>
            </w:pPr>
            <w:r w:rsidRPr="00161D4B">
              <w:rPr>
                <w:lang w:eastAsia="en-US"/>
              </w:rPr>
              <w:t>1.202</w:t>
            </w:r>
          </w:p>
        </w:tc>
        <w:tc>
          <w:tcPr>
            <w:tcW w:w="993" w:type="dxa"/>
            <w:tcBorders>
              <w:top w:val="nil"/>
              <w:left w:val="nil"/>
              <w:bottom w:val="nil"/>
              <w:right w:val="nil"/>
            </w:tcBorders>
            <w:hideMark/>
          </w:tcPr>
          <w:p w14:paraId="49E7B5E2" w14:textId="77777777" w:rsidR="006B48BE" w:rsidRPr="00161D4B" w:rsidRDefault="006B48BE" w:rsidP="0069484D">
            <w:pPr>
              <w:spacing w:line="360" w:lineRule="auto"/>
              <w:jc w:val="both"/>
              <w:rPr>
                <w:lang w:eastAsia="en-US"/>
              </w:rPr>
            </w:pPr>
            <w:r w:rsidRPr="00161D4B">
              <w:rPr>
                <w:lang w:eastAsia="en-US"/>
              </w:rPr>
              <w:t>1.275</w:t>
            </w:r>
          </w:p>
        </w:tc>
      </w:tr>
      <w:tr w:rsidR="006B48BE" w:rsidRPr="00161D4B" w14:paraId="00A3B537" w14:textId="77777777" w:rsidTr="004E2388">
        <w:tc>
          <w:tcPr>
            <w:tcW w:w="1985" w:type="dxa"/>
            <w:vMerge/>
            <w:tcBorders>
              <w:top w:val="nil"/>
              <w:left w:val="nil"/>
              <w:bottom w:val="nil"/>
              <w:right w:val="nil"/>
            </w:tcBorders>
            <w:vAlign w:val="center"/>
            <w:hideMark/>
          </w:tcPr>
          <w:p w14:paraId="0A989182" w14:textId="77777777" w:rsidR="006B48BE" w:rsidRPr="00161D4B" w:rsidRDefault="006B48BE" w:rsidP="0069484D">
            <w:pPr>
              <w:spacing w:line="360" w:lineRule="auto"/>
              <w:rPr>
                <w:lang w:eastAsia="en-US"/>
              </w:rPr>
            </w:pPr>
          </w:p>
        </w:tc>
        <w:tc>
          <w:tcPr>
            <w:tcW w:w="1824" w:type="dxa"/>
            <w:tcBorders>
              <w:top w:val="nil"/>
              <w:left w:val="nil"/>
              <w:bottom w:val="nil"/>
              <w:right w:val="nil"/>
            </w:tcBorders>
            <w:hideMark/>
          </w:tcPr>
          <w:p w14:paraId="1A12D26A" w14:textId="77777777" w:rsidR="006B48BE" w:rsidRPr="00161D4B" w:rsidRDefault="006B48BE" w:rsidP="0069484D">
            <w:pPr>
              <w:spacing w:line="360" w:lineRule="auto"/>
              <w:jc w:val="both"/>
              <w:rPr>
                <w:lang w:eastAsia="en-US"/>
              </w:rPr>
            </w:pPr>
            <w:r w:rsidRPr="00161D4B">
              <w:rPr>
                <w:lang w:eastAsia="en-US"/>
              </w:rPr>
              <w:t xml:space="preserve">Asian </w:t>
            </w:r>
          </w:p>
        </w:tc>
        <w:tc>
          <w:tcPr>
            <w:tcW w:w="723" w:type="dxa"/>
            <w:tcBorders>
              <w:top w:val="nil"/>
              <w:left w:val="nil"/>
              <w:bottom w:val="nil"/>
              <w:right w:val="nil"/>
            </w:tcBorders>
            <w:hideMark/>
          </w:tcPr>
          <w:p w14:paraId="5F1EEA19"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nil"/>
              <w:left w:val="nil"/>
              <w:bottom w:val="nil"/>
              <w:right w:val="nil"/>
            </w:tcBorders>
            <w:hideMark/>
          </w:tcPr>
          <w:p w14:paraId="4007A6C3" w14:textId="77777777" w:rsidR="006B48BE" w:rsidRPr="00161D4B" w:rsidRDefault="006B48BE" w:rsidP="0069484D">
            <w:pPr>
              <w:spacing w:line="360" w:lineRule="auto"/>
              <w:jc w:val="both"/>
              <w:rPr>
                <w:lang w:eastAsia="en-US"/>
              </w:rPr>
            </w:pPr>
            <w:r w:rsidRPr="00161D4B">
              <w:rPr>
                <w:lang w:eastAsia="en-US"/>
              </w:rPr>
              <w:t>1.353</w:t>
            </w:r>
          </w:p>
        </w:tc>
        <w:tc>
          <w:tcPr>
            <w:tcW w:w="1059" w:type="dxa"/>
            <w:tcBorders>
              <w:top w:val="nil"/>
              <w:left w:val="nil"/>
              <w:bottom w:val="nil"/>
              <w:right w:val="nil"/>
            </w:tcBorders>
            <w:hideMark/>
          </w:tcPr>
          <w:p w14:paraId="00954CFA" w14:textId="77777777" w:rsidR="006B48BE" w:rsidRPr="00161D4B" w:rsidRDefault="006B48BE" w:rsidP="0069484D">
            <w:pPr>
              <w:spacing w:line="360" w:lineRule="auto"/>
              <w:jc w:val="both"/>
              <w:rPr>
                <w:lang w:eastAsia="en-US"/>
              </w:rPr>
            </w:pPr>
            <w:r w:rsidRPr="00161D4B">
              <w:rPr>
                <w:lang w:eastAsia="en-US"/>
              </w:rPr>
              <w:t>.021</w:t>
            </w:r>
          </w:p>
        </w:tc>
        <w:tc>
          <w:tcPr>
            <w:tcW w:w="2057" w:type="dxa"/>
            <w:tcBorders>
              <w:top w:val="nil"/>
              <w:left w:val="nil"/>
              <w:bottom w:val="nil"/>
              <w:right w:val="nil"/>
            </w:tcBorders>
            <w:hideMark/>
          </w:tcPr>
          <w:p w14:paraId="7AB6C6E4" w14:textId="77777777" w:rsidR="006B48BE" w:rsidRPr="00161D4B" w:rsidRDefault="006B48BE" w:rsidP="0069484D">
            <w:pPr>
              <w:spacing w:line="360" w:lineRule="auto"/>
              <w:jc w:val="both"/>
              <w:rPr>
                <w:lang w:eastAsia="en-US"/>
              </w:rPr>
            </w:pPr>
            <w:r w:rsidRPr="00161D4B">
              <w:rPr>
                <w:lang w:eastAsia="en-US"/>
              </w:rPr>
              <w:t>1.312</w:t>
            </w:r>
          </w:p>
        </w:tc>
        <w:tc>
          <w:tcPr>
            <w:tcW w:w="993" w:type="dxa"/>
            <w:tcBorders>
              <w:top w:val="nil"/>
              <w:left w:val="nil"/>
              <w:bottom w:val="nil"/>
              <w:right w:val="nil"/>
            </w:tcBorders>
            <w:hideMark/>
          </w:tcPr>
          <w:p w14:paraId="50F9223F" w14:textId="77777777" w:rsidR="006B48BE" w:rsidRPr="00161D4B" w:rsidRDefault="006B48BE" w:rsidP="0069484D">
            <w:pPr>
              <w:spacing w:line="360" w:lineRule="auto"/>
              <w:jc w:val="both"/>
              <w:rPr>
                <w:lang w:eastAsia="en-US"/>
              </w:rPr>
            </w:pPr>
            <w:r w:rsidRPr="00161D4B">
              <w:rPr>
                <w:lang w:eastAsia="en-US"/>
              </w:rPr>
              <w:t>1.394</w:t>
            </w:r>
          </w:p>
        </w:tc>
      </w:tr>
      <w:tr w:rsidR="006B48BE" w:rsidRPr="00161D4B" w14:paraId="0F1352C0" w14:textId="77777777" w:rsidTr="004E2388">
        <w:tc>
          <w:tcPr>
            <w:tcW w:w="1985" w:type="dxa"/>
            <w:vMerge/>
            <w:tcBorders>
              <w:top w:val="nil"/>
              <w:left w:val="nil"/>
              <w:bottom w:val="nil"/>
              <w:right w:val="nil"/>
            </w:tcBorders>
            <w:vAlign w:val="center"/>
            <w:hideMark/>
          </w:tcPr>
          <w:p w14:paraId="236BA8CB" w14:textId="77777777" w:rsidR="006B48BE" w:rsidRPr="00161D4B" w:rsidRDefault="006B48BE" w:rsidP="0069484D">
            <w:pPr>
              <w:spacing w:line="360" w:lineRule="auto"/>
              <w:rPr>
                <w:lang w:eastAsia="en-US"/>
              </w:rPr>
            </w:pPr>
          </w:p>
        </w:tc>
        <w:tc>
          <w:tcPr>
            <w:tcW w:w="1824" w:type="dxa"/>
            <w:tcBorders>
              <w:top w:val="nil"/>
              <w:left w:val="nil"/>
              <w:bottom w:val="nil"/>
              <w:right w:val="nil"/>
            </w:tcBorders>
          </w:tcPr>
          <w:p w14:paraId="743734DB" w14:textId="77777777" w:rsidR="006B48BE" w:rsidRPr="00161D4B" w:rsidRDefault="006B48BE" w:rsidP="0069484D">
            <w:pPr>
              <w:spacing w:line="360" w:lineRule="auto"/>
              <w:jc w:val="both"/>
              <w:rPr>
                <w:lang w:eastAsia="en-US"/>
              </w:rPr>
            </w:pPr>
          </w:p>
        </w:tc>
        <w:tc>
          <w:tcPr>
            <w:tcW w:w="723" w:type="dxa"/>
            <w:tcBorders>
              <w:top w:val="nil"/>
              <w:left w:val="nil"/>
              <w:bottom w:val="nil"/>
              <w:right w:val="nil"/>
            </w:tcBorders>
            <w:hideMark/>
          </w:tcPr>
          <w:p w14:paraId="04F3BB59"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nil"/>
              <w:right w:val="nil"/>
            </w:tcBorders>
            <w:hideMark/>
          </w:tcPr>
          <w:p w14:paraId="1566F1EB" w14:textId="77777777" w:rsidR="006B48BE" w:rsidRPr="00161D4B" w:rsidRDefault="006B48BE" w:rsidP="0069484D">
            <w:pPr>
              <w:spacing w:line="360" w:lineRule="auto"/>
              <w:jc w:val="both"/>
              <w:rPr>
                <w:lang w:eastAsia="en-US"/>
              </w:rPr>
            </w:pPr>
            <w:r w:rsidRPr="00161D4B">
              <w:rPr>
                <w:lang w:eastAsia="en-US"/>
              </w:rPr>
              <w:t>1.270</w:t>
            </w:r>
          </w:p>
        </w:tc>
        <w:tc>
          <w:tcPr>
            <w:tcW w:w="1059" w:type="dxa"/>
            <w:tcBorders>
              <w:top w:val="nil"/>
              <w:left w:val="nil"/>
              <w:bottom w:val="nil"/>
              <w:right w:val="nil"/>
            </w:tcBorders>
            <w:hideMark/>
          </w:tcPr>
          <w:p w14:paraId="295B7AC5" w14:textId="77777777" w:rsidR="006B48BE" w:rsidRPr="00161D4B" w:rsidRDefault="006B48BE" w:rsidP="0069484D">
            <w:pPr>
              <w:spacing w:line="360" w:lineRule="auto"/>
              <w:jc w:val="both"/>
              <w:rPr>
                <w:lang w:eastAsia="en-US"/>
              </w:rPr>
            </w:pPr>
            <w:r w:rsidRPr="00161D4B">
              <w:rPr>
                <w:lang w:eastAsia="en-US"/>
              </w:rPr>
              <w:t>.023</w:t>
            </w:r>
          </w:p>
        </w:tc>
        <w:tc>
          <w:tcPr>
            <w:tcW w:w="2057" w:type="dxa"/>
            <w:tcBorders>
              <w:top w:val="nil"/>
              <w:left w:val="nil"/>
              <w:bottom w:val="nil"/>
              <w:right w:val="nil"/>
            </w:tcBorders>
            <w:hideMark/>
          </w:tcPr>
          <w:p w14:paraId="3581AC76" w14:textId="77777777" w:rsidR="006B48BE" w:rsidRPr="00161D4B" w:rsidRDefault="006B48BE" w:rsidP="0069484D">
            <w:pPr>
              <w:spacing w:line="360" w:lineRule="auto"/>
              <w:jc w:val="both"/>
              <w:rPr>
                <w:lang w:eastAsia="en-US"/>
              </w:rPr>
            </w:pPr>
            <w:r w:rsidRPr="00161D4B">
              <w:rPr>
                <w:lang w:eastAsia="en-US"/>
              </w:rPr>
              <w:t>1.224</w:t>
            </w:r>
          </w:p>
        </w:tc>
        <w:tc>
          <w:tcPr>
            <w:tcW w:w="993" w:type="dxa"/>
            <w:tcBorders>
              <w:top w:val="nil"/>
              <w:left w:val="nil"/>
              <w:bottom w:val="nil"/>
              <w:right w:val="nil"/>
            </w:tcBorders>
            <w:hideMark/>
          </w:tcPr>
          <w:p w14:paraId="4AC1FCFD" w14:textId="77777777" w:rsidR="006B48BE" w:rsidRPr="00161D4B" w:rsidRDefault="006B48BE" w:rsidP="0069484D">
            <w:pPr>
              <w:spacing w:line="360" w:lineRule="auto"/>
              <w:jc w:val="both"/>
              <w:rPr>
                <w:lang w:eastAsia="en-US"/>
              </w:rPr>
            </w:pPr>
            <w:r w:rsidRPr="00161D4B">
              <w:rPr>
                <w:lang w:eastAsia="en-US"/>
              </w:rPr>
              <w:t>1.315</w:t>
            </w:r>
          </w:p>
        </w:tc>
      </w:tr>
      <w:tr w:rsidR="006B48BE" w:rsidRPr="00161D4B" w14:paraId="452416FF" w14:textId="77777777" w:rsidTr="004E2388">
        <w:tc>
          <w:tcPr>
            <w:tcW w:w="1985" w:type="dxa"/>
            <w:vMerge/>
            <w:tcBorders>
              <w:top w:val="nil"/>
              <w:left w:val="nil"/>
              <w:bottom w:val="nil"/>
              <w:right w:val="nil"/>
            </w:tcBorders>
            <w:vAlign w:val="center"/>
            <w:hideMark/>
          </w:tcPr>
          <w:p w14:paraId="735A453F" w14:textId="77777777" w:rsidR="006B48BE" w:rsidRPr="00161D4B" w:rsidRDefault="006B48BE" w:rsidP="0069484D">
            <w:pPr>
              <w:spacing w:line="360" w:lineRule="auto"/>
              <w:rPr>
                <w:lang w:eastAsia="en-US"/>
              </w:rPr>
            </w:pPr>
          </w:p>
        </w:tc>
        <w:tc>
          <w:tcPr>
            <w:tcW w:w="1824" w:type="dxa"/>
            <w:tcBorders>
              <w:top w:val="nil"/>
              <w:left w:val="nil"/>
              <w:bottom w:val="nil"/>
              <w:right w:val="nil"/>
            </w:tcBorders>
            <w:hideMark/>
          </w:tcPr>
          <w:p w14:paraId="691F7640" w14:textId="77777777" w:rsidR="006B48BE" w:rsidRPr="00161D4B" w:rsidRDefault="006B48BE" w:rsidP="0069484D">
            <w:pPr>
              <w:spacing w:line="360" w:lineRule="auto"/>
              <w:jc w:val="both"/>
              <w:rPr>
                <w:lang w:eastAsia="en-US"/>
              </w:rPr>
            </w:pPr>
            <w:r w:rsidRPr="00161D4B">
              <w:rPr>
                <w:lang w:eastAsia="en-US"/>
              </w:rPr>
              <w:t>Black African/Caribbean</w:t>
            </w:r>
          </w:p>
        </w:tc>
        <w:tc>
          <w:tcPr>
            <w:tcW w:w="723" w:type="dxa"/>
            <w:tcBorders>
              <w:top w:val="nil"/>
              <w:left w:val="nil"/>
              <w:bottom w:val="nil"/>
              <w:right w:val="nil"/>
            </w:tcBorders>
            <w:hideMark/>
          </w:tcPr>
          <w:p w14:paraId="77085288" w14:textId="77777777" w:rsidR="006B48BE" w:rsidRPr="00161D4B" w:rsidRDefault="006B48BE" w:rsidP="0069484D">
            <w:pPr>
              <w:spacing w:line="360" w:lineRule="auto"/>
              <w:jc w:val="both"/>
              <w:rPr>
                <w:lang w:eastAsia="en-US"/>
              </w:rPr>
            </w:pPr>
            <w:r w:rsidRPr="00161D4B">
              <w:rPr>
                <w:lang w:eastAsia="en-US"/>
              </w:rPr>
              <w:t>2019</w:t>
            </w:r>
          </w:p>
        </w:tc>
        <w:tc>
          <w:tcPr>
            <w:tcW w:w="999" w:type="dxa"/>
            <w:gridSpan w:val="2"/>
            <w:tcBorders>
              <w:top w:val="nil"/>
              <w:left w:val="nil"/>
              <w:bottom w:val="nil"/>
              <w:right w:val="nil"/>
            </w:tcBorders>
            <w:hideMark/>
          </w:tcPr>
          <w:p w14:paraId="15533115" w14:textId="77777777" w:rsidR="006B48BE" w:rsidRPr="00161D4B" w:rsidRDefault="006B48BE" w:rsidP="0069484D">
            <w:pPr>
              <w:spacing w:line="360" w:lineRule="auto"/>
              <w:jc w:val="both"/>
              <w:rPr>
                <w:lang w:eastAsia="en-US"/>
              </w:rPr>
            </w:pPr>
            <w:r w:rsidRPr="00161D4B">
              <w:rPr>
                <w:lang w:eastAsia="en-US"/>
              </w:rPr>
              <w:t>1.430</w:t>
            </w:r>
          </w:p>
        </w:tc>
        <w:tc>
          <w:tcPr>
            <w:tcW w:w="1059" w:type="dxa"/>
            <w:tcBorders>
              <w:top w:val="nil"/>
              <w:left w:val="nil"/>
              <w:bottom w:val="nil"/>
              <w:right w:val="nil"/>
            </w:tcBorders>
            <w:hideMark/>
          </w:tcPr>
          <w:p w14:paraId="338EA7E7" w14:textId="77777777" w:rsidR="006B48BE" w:rsidRPr="00161D4B" w:rsidRDefault="006B48BE" w:rsidP="0069484D">
            <w:pPr>
              <w:spacing w:line="360" w:lineRule="auto"/>
              <w:jc w:val="both"/>
              <w:rPr>
                <w:lang w:eastAsia="en-US"/>
              </w:rPr>
            </w:pPr>
            <w:r w:rsidRPr="00161D4B">
              <w:rPr>
                <w:lang w:eastAsia="en-US"/>
              </w:rPr>
              <w:t>.023</w:t>
            </w:r>
          </w:p>
        </w:tc>
        <w:tc>
          <w:tcPr>
            <w:tcW w:w="2057" w:type="dxa"/>
            <w:tcBorders>
              <w:top w:val="nil"/>
              <w:left w:val="nil"/>
              <w:bottom w:val="nil"/>
              <w:right w:val="nil"/>
            </w:tcBorders>
            <w:hideMark/>
          </w:tcPr>
          <w:p w14:paraId="02CC2861" w14:textId="77777777" w:rsidR="006B48BE" w:rsidRPr="00161D4B" w:rsidRDefault="006B48BE" w:rsidP="0069484D">
            <w:pPr>
              <w:spacing w:line="360" w:lineRule="auto"/>
              <w:jc w:val="both"/>
              <w:rPr>
                <w:lang w:eastAsia="en-US"/>
              </w:rPr>
            </w:pPr>
            <w:r w:rsidRPr="00161D4B">
              <w:rPr>
                <w:lang w:eastAsia="en-US"/>
              </w:rPr>
              <w:t>1.386</w:t>
            </w:r>
          </w:p>
        </w:tc>
        <w:tc>
          <w:tcPr>
            <w:tcW w:w="993" w:type="dxa"/>
            <w:tcBorders>
              <w:top w:val="nil"/>
              <w:left w:val="nil"/>
              <w:bottom w:val="nil"/>
              <w:right w:val="nil"/>
            </w:tcBorders>
            <w:hideMark/>
          </w:tcPr>
          <w:p w14:paraId="6D35D472" w14:textId="77777777" w:rsidR="006B48BE" w:rsidRPr="00161D4B" w:rsidRDefault="006B48BE" w:rsidP="0069484D">
            <w:pPr>
              <w:spacing w:line="360" w:lineRule="auto"/>
              <w:jc w:val="both"/>
              <w:rPr>
                <w:lang w:eastAsia="en-US"/>
              </w:rPr>
            </w:pPr>
            <w:r w:rsidRPr="00161D4B">
              <w:rPr>
                <w:lang w:eastAsia="en-US"/>
              </w:rPr>
              <w:t>1.475</w:t>
            </w:r>
          </w:p>
        </w:tc>
      </w:tr>
      <w:tr w:rsidR="006B48BE" w:rsidRPr="00161D4B" w14:paraId="51BC1BF2" w14:textId="77777777" w:rsidTr="004E2388">
        <w:tc>
          <w:tcPr>
            <w:tcW w:w="1985" w:type="dxa"/>
            <w:tcBorders>
              <w:top w:val="nil"/>
              <w:left w:val="nil"/>
              <w:bottom w:val="single" w:sz="4" w:space="0" w:color="auto"/>
              <w:right w:val="nil"/>
            </w:tcBorders>
          </w:tcPr>
          <w:p w14:paraId="14930FAD" w14:textId="77777777" w:rsidR="006B48BE" w:rsidRPr="00161D4B" w:rsidRDefault="006B48BE" w:rsidP="0069484D">
            <w:pPr>
              <w:spacing w:line="360" w:lineRule="auto"/>
              <w:jc w:val="both"/>
              <w:rPr>
                <w:b/>
                <w:bCs/>
                <w:lang w:eastAsia="en-US"/>
              </w:rPr>
            </w:pPr>
          </w:p>
        </w:tc>
        <w:tc>
          <w:tcPr>
            <w:tcW w:w="1824" w:type="dxa"/>
            <w:tcBorders>
              <w:top w:val="nil"/>
              <w:left w:val="nil"/>
              <w:bottom w:val="single" w:sz="4" w:space="0" w:color="auto"/>
              <w:right w:val="nil"/>
            </w:tcBorders>
          </w:tcPr>
          <w:p w14:paraId="68CD2DEC" w14:textId="77777777" w:rsidR="006B48BE" w:rsidRPr="00161D4B" w:rsidRDefault="006B48BE" w:rsidP="0069484D">
            <w:pPr>
              <w:spacing w:line="360" w:lineRule="auto"/>
              <w:jc w:val="both"/>
              <w:rPr>
                <w:lang w:eastAsia="en-US"/>
              </w:rPr>
            </w:pPr>
          </w:p>
        </w:tc>
        <w:tc>
          <w:tcPr>
            <w:tcW w:w="723" w:type="dxa"/>
            <w:tcBorders>
              <w:top w:val="nil"/>
              <w:left w:val="nil"/>
              <w:bottom w:val="single" w:sz="4" w:space="0" w:color="auto"/>
              <w:right w:val="nil"/>
            </w:tcBorders>
            <w:hideMark/>
          </w:tcPr>
          <w:p w14:paraId="22679AEA" w14:textId="77777777" w:rsidR="006B48BE" w:rsidRPr="00161D4B" w:rsidRDefault="006B48BE" w:rsidP="0069484D">
            <w:pPr>
              <w:spacing w:line="360" w:lineRule="auto"/>
              <w:jc w:val="both"/>
              <w:rPr>
                <w:lang w:eastAsia="en-US"/>
              </w:rPr>
            </w:pPr>
            <w:r w:rsidRPr="00161D4B">
              <w:rPr>
                <w:lang w:eastAsia="en-US"/>
              </w:rPr>
              <w:t>2020</w:t>
            </w:r>
          </w:p>
        </w:tc>
        <w:tc>
          <w:tcPr>
            <w:tcW w:w="999" w:type="dxa"/>
            <w:gridSpan w:val="2"/>
            <w:tcBorders>
              <w:top w:val="nil"/>
              <w:left w:val="nil"/>
              <w:bottom w:val="single" w:sz="4" w:space="0" w:color="auto"/>
              <w:right w:val="nil"/>
            </w:tcBorders>
            <w:hideMark/>
          </w:tcPr>
          <w:p w14:paraId="7BAED739" w14:textId="77777777" w:rsidR="006B48BE" w:rsidRPr="00161D4B" w:rsidRDefault="006B48BE" w:rsidP="0069484D">
            <w:pPr>
              <w:spacing w:line="360" w:lineRule="auto"/>
              <w:jc w:val="both"/>
              <w:rPr>
                <w:lang w:eastAsia="en-US"/>
              </w:rPr>
            </w:pPr>
            <w:r w:rsidRPr="00161D4B">
              <w:rPr>
                <w:lang w:eastAsia="en-US"/>
              </w:rPr>
              <w:t>1.313</w:t>
            </w:r>
          </w:p>
        </w:tc>
        <w:tc>
          <w:tcPr>
            <w:tcW w:w="1059" w:type="dxa"/>
            <w:tcBorders>
              <w:top w:val="nil"/>
              <w:left w:val="nil"/>
              <w:bottom w:val="single" w:sz="4" w:space="0" w:color="auto"/>
              <w:right w:val="nil"/>
            </w:tcBorders>
            <w:hideMark/>
          </w:tcPr>
          <w:p w14:paraId="7D83AC33" w14:textId="77777777" w:rsidR="006B48BE" w:rsidRPr="00161D4B" w:rsidRDefault="006B48BE" w:rsidP="0069484D">
            <w:pPr>
              <w:spacing w:line="360" w:lineRule="auto"/>
              <w:jc w:val="both"/>
              <w:rPr>
                <w:lang w:eastAsia="en-US"/>
              </w:rPr>
            </w:pPr>
            <w:r w:rsidRPr="00161D4B">
              <w:rPr>
                <w:lang w:eastAsia="en-US"/>
              </w:rPr>
              <w:t>.023</w:t>
            </w:r>
          </w:p>
        </w:tc>
        <w:tc>
          <w:tcPr>
            <w:tcW w:w="2057" w:type="dxa"/>
            <w:tcBorders>
              <w:top w:val="nil"/>
              <w:left w:val="nil"/>
              <w:bottom w:val="single" w:sz="4" w:space="0" w:color="auto"/>
              <w:right w:val="nil"/>
            </w:tcBorders>
            <w:hideMark/>
          </w:tcPr>
          <w:p w14:paraId="3F722287" w14:textId="77777777" w:rsidR="006B48BE" w:rsidRPr="00161D4B" w:rsidRDefault="006B48BE" w:rsidP="0069484D">
            <w:pPr>
              <w:spacing w:line="360" w:lineRule="auto"/>
              <w:jc w:val="both"/>
              <w:rPr>
                <w:lang w:eastAsia="en-US"/>
              </w:rPr>
            </w:pPr>
            <w:r w:rsidRPr="00161D4B">
              <w:rPr>
                <w:lang w:eastAsia="en-US"/>
              </w:rPr>
              <w:t>1.267</w:t>
            </w:r>
          </w:p>
        </w:tc>
        <w:tc>
          <w:tcPr>
            <w:tcW w:w="993" w:type="dxa"/>
            <w:tcBorders>
              <w:top w:val="nil"/>
              <w:left w:val="nil"/>
              <w:bottom w:val="single" w:sz="4" w:space="0" w:color="auto"/>
              <w:right w:val="nil"/>
            </w:tcBorders>
            <w:hideMark/>
          </w:tcPr>
          <w:p w14:paraId="18A37494" w14:textId="77777777" w:rsidR="006B48BE" w:rsidRPr="00161D4B" w:rsidRDefault="006B48BE" w:rsidP="0069484D">
            <w:pPr>
              <w:spacing w:line="360" w:lineRule="auto"/>
              <w:jc w:val="both"/>
              <w:rPr>
                <w:lang w:eastAsia="en-US"/>
              </w:rPr>
            </w:pPr>
            <w:r w:rsidRPr="00161D4B">
              <w:rPr>
                <w:lang w:eastAsia="en-US"/>
              </w:rPr>
              <w:t>1.353</w:t>
            </w:r>
          </w:p>
        </w:tc>
      </w:tr>
    </w:tbl>
    <w:p w14:paraId="3888E603" w14:textId="77777777" w:rsidR="006B48BE" w:rsidRPr="00161D4B" w:rsidRDefault="006B48BE" w:rsidP="006B48BE">
      <w:pPr>
        <w:spacing w:line="360" w:lineRule="auto"/>
        <w:jc w:val="both"/>
        <w:rPr>
          <w:b/>
          <w:bCs/>
        </w:rPr>
      </w:pPr>
    </w:p>
    <w:p w14:paraId="69955AB1" w14:textId="77777777" w:rsidR="006B48BE" w:rsidRDefault="006B48BE" w:rsidP="00161D4B">
      <w:pPr>
        <w:spacing w:line="360" w:lineRule="auto"/>
      </w:pPr>
    </w:p>
    <w:sectPr w:rsidR="006B48BE" w:rsidSect="00241C7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80A"/>
    <w:multiLevelType w:val="hybridMultilevel"/>
    <w:tmpl w:val="B718A4D0"/>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0307B"/>
    <w:multiLevelType w:val="hybridMultilevel"/>
    <w:tmpl w:val="FD88E3E6"/>
    <w:lvl w:ilvl="0" w:tplc="96C0E7D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B1AB2"/>
    <w:multiLevelType w:val="hybridMultilevel"/>
    <w:tmpl w:val="3A9008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44362"/>
    <w:multiLevelType w:val="hybridMultilevel"/>
    <w:tmpl w:val="14460DCC"/>
    <w:lvl w:ilvl="0" w:tplc="B9DA7FE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E7A1A"/>
    <w:multiLevelType w:val="hybridMultilevel"/>
    <w:tmpl w:val="5A98D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2363A"/>
    <w:multiLevelType w:val="hybridMultilevel"/>
    <w:tmpl w:val="2E721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018E4"/>
    <w:multiLevelType w:val="hybridMultilevel"/>
    <w:tmpl w:val="0B54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86A1E"/>
    <w:multiLevelType w:val="hybridMultilevel"/>
    <w:tmpl w:val="4AB67DEC"/>
    <w:lvl w:ilvl="0" w:tplc="E60AA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E4C7E"/>
    <w:multiLevelType w:val="hybridMultilevel"/>
    <w:tmpl w:val="A27E3BDA"/>
    <w:lvl w:ilvl="0" w:tplc="671AF1F4">
      <w:start w:val="1"/>
      <w:numFmt w:val="bullet"/>
      <w:lvlText w:val="•"/>
      <w:lvlJc w:val="left"/>
      <w:pPr>
        <w:tabs>
          <w:tab w:val="num" w:pos="720"/>
        </w:tabs>
        <w:ind w:left="720" w:hanging="360"/>
      </w:pPr>
      <w:rPr>
        <w:rFonts w:ascii="Arial" w:hAnsi="Arial" w:hint="default"/>
      </w:rPr>
    </w:lvl>
    <w:lvl w:ilvl="1" w:tplc="BE78BC48" w:tentative="1">
      <w:start w:val="1"/>
      <w:numFmt w:val="bullet"/>
      <w:lvlText w:val="•"/>
      <w:lvlJc w:val="left"/>
      <w:pPr>
        <w:tabs>
          <w:tab w:val="num" w:pos="1440"/>
        </w:tabs>
        <w:ind w:left="1440" w:hanging="360"/>
      </w:pPr>
      <w:rPr>
        <w:rFonts w:ascii="Arial" w:hAnsi="Arial" w:hint="default"/>
      </w:rPr>
    </w:lvl>
    <w:lvl w:ilvl="2" w:tplc="93E41EFE" w:tentative="1">
      <w:start w:val="1"/>
      <w:numFmt w:val="bullet"/>
      <w:lvlText w:val="•"/>
      <w:lvlJc w:val="left"/>
      <w:pPr>
        <w:tabs>
          <w:tab w:val="num" w:pos="2160"/>
        </w:tabs>
        <w:ind w:left="2160" w:hanging="360"/>
      </w:pPr>
      <w:rPr>
        <w:rFonts w:ascii="Arial" w:hAnsi="Arial" w:hint="default"/>
      </w:rPr>
    </w:lvl>
    <w:lvl w:ilvl="3" w:tplc="5C92BF80" w:tentative="1">
      <w:start w:val="1"/>
      <w:numFmt w:val="bullet"/>
      <w:lvlText w:val="•"/>
      <w:lvlJc w:val="left"/>
      <w:pPr>
        <w:tabs>
          <w:tab w:val="num" w:pos="2880"/>
        </w:tabs>
        <w:ind w:left="2880" w:hanging="360"/>
      </w:pPr>
      <w:rPr>
        <w:rFonts w:ascii="Arial" w:hAnsi="Arial" w:hint="default"/>
      </w:rPr>
    </w:lvl>
    <w:lvl w:ilvl="4" w:tplc="11A07C82" w:tentative="1">
      <w:start w:val="1"/>
      <w:numFmt w:val="bullet"/>
      <w:lvlText w:val="•"/>
      <w:lvlJc w:val="left"/>
      <w:pPr>
        <w:tabs>
          <w:tab w:val="num" w:pos="3600"/>
        </w:tabs>
        <w:ind w:left="3600" w:hanging="360"/>
      </w:pPr>
      <w:rPr>
        <w:rFonts w:ascii="Arial" w:hAnsi="Arial" w:hint="default"/>
      </w:rPr>
    </w:lvl>
    <w:lvl w:ilvl="5" w:tplc="1B9227EE" w:tentative="1">
      <w:start w:val="1"/>
      <w:numFmt w:val="bullet"/>
      <w:lvlText w:val="•"/>
      <w:lvlJc w:val="left"/>
      <w:pPr>
        <w:tabs>
          <w:tab w:val="num" w:pos="4320"/>
        </w:tabs>
        <w:ind w:left="4320" w:hanging="360"/>
      </w:pPr>
      <w:rPr>
        <w:rFonts w:ascii="Arial" w:hAnsi="Arial" w:hint="default"/>
      </w:rPr>
    </w:lvl>
    <w:lvl w:ilvl="6" w:tplc="249A8008" w:tentative="1">
      <w:start w:val="1"/>
      <w:numFmt w:val="bullet"/>
      <w:lvlText w:val="•"/>
      <w:lvlJc w:val="left"/>
      <w:pPr>
        <w:tabs>
          <w:tab w:val="num" w:pos="5040"/>
        </w:tabs>
        <w:ind w:left="5040" w:hanging="360"/>
      </w:pPr>
      <w:rPr>
        <w:rFonts w:ascii="Arial" w:hAnsi="Arial" w:hint="default"/>
      </w:rPr>
    </w:lvl>
    <w:lvl w:ilvl="7" w:tplc="1B84D854" w:tentative="1">
      <w:start w:val="1"/>
      <w:numFmt w:val="bullet"/>
      <w:lvlText w:val="•"/>
      <w:lvlJc w:val="left"/>
      <w:pPr>
        <w:tabs>
          <w:tab w:val="num" w:pos="5760"/>
        </w:tabs>
        <w:ind w:left="5760" w:hanging="360"/>
      </w:pPr>
      <w:rPr>
        <w:rFonts w:ascii="Arial" w:hAnsi="Arial" w:hint="default"/>
      </w:rPr>
    </w:lvl>
    <w:lvl w:ilvl="8" w:tplc="9EB6535C" w:tentative="1">
      <w:start w:val="1"/>
      <w:numFmt w:val="bullet"/>
      <w:lvlText w:val="•"/>
      <w:lvlJc w:val="left"/>
      <w:pPr>
        <w:tabs>
          <w:tab w:val="num" w:pos="6480"/>
        </w:tabs>
        <w:ind w:left="6480" w:hanging="360"/>
      </w:pPr>
      <w:rPr>
        <w:rFonts w:ascii="Arial" w:hAnsi="Arial" w:hint="default"/>
      </w:rPr>
    </w:lvl>
  </w:abstractNum>
  <w:num w:numId="1" w16cid:durableId="1768694925">
    <w:abstractNumId w:val="8"/>
  </w:num>
  <w:num w:numId="2" w16cid:durableId="188297203">
    <w:abstractNumId w:val="1"/>
  </w:num>
  <w:num w:numId="3" w16cid:durableId="2050060636">
    <w:abstractNumId w:val="4"/>
  </w:num>
  <w:num w:numId="4" w16cid:durableId="1490295020">
    <w:abstractNumId w:val="2"/>
  </w:num>
  <w:num w:numId="5" w16cid:durableId="1673533986">
    <w:abstractNumId w:val="0"/>
  </w:num>
  <w:num w:numId="6" w16cid:durableId="1432815790">
    <w:abstractNumId w:val="3"/>
  </w:num>
  <w:num w:numId="7" w16cid:durableId="1136678904">
    <w:abstractNumId w:val="5"/>
  </w:num>
  <w:num w:numId="8" w16cid:durableId="533730592">
    <w:abstractNumId w:val="6"/>
  </w:num>
  <w:num w:numId="9" w16cid:durableId="1816994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34"/>
    <w:rsid w:val="000050A9"/>
    <w:rsid w:val="0001163B"/>
    <w:rsid w:val="00013E4C"/>
    <w:rsid w:val="00015805"/>
    <w:rsid w:val="00020EDD"/>
    <w:rsid w:val="00021624"/>
    <w:rsid w:val="00022BF9"/>
    <w:rsid w:val="0002448E"/>
    <w:rsid w:val="000321E6"/>
    <w:rsid w:val="00036ED5"/>
    <w:rsid w:val="00037842"/>
    <w:rsid w:val="00040718"/>
    <w:rsid w:val="00042BFE"/>
    <w:rsid w:val="00052070"/>
    <w:rsid w:val="00055101"/>
    <w:rsid w:val="00063BE2"/>
    <w:rsid w:val="00066F43"/>
    <w:rsid w:val="0007121F"/>
    <w:rsid w:val="00072CDD"/>
    <w:rsid w:val="000838AF"/>
    <w:rsid w:val="00083A50"/>
    <w:rsid w:val="000855AC"/>
    <w:rsid w:val="00092838"/>
    <w:rsid w:val="00095E57"/>
    <w:rsid w:val="000B1B57"/>
    <w:rsid w:val="000B52DC"/>
    <w:rsid w:val="000B5B3D"/>
    <w:rsid w:val="000F26A0"/>
    <w:rsid w:val="000F74A7"/>
    <w:rsid w:val="00103A87"/>
    <w:rsid w:val="00106FB2"/>
    <w:rsid w:val="00125509"/>
    <w:rsid w:val="00134DFA"/>
    <w:rsid w:val="00134E4F"/>
    <w:rsid w:val="0013706B"/>
    <w:rsid w:val="0014154B"/>
    <w:rsid w:val="00143023"/>
    <w:rsid w:val="0014367C"/>
    <w:rsid w:val="00152646"/>
    <w:rsid w:val="0015649B"/>
    <w:rsid w:val="00161D4B"/>
    <w:rsid w:val="00170F90"/>
    <w:rsid w:val="00171E5F"/>
    <w:rsid w:val="00171E73"/>
    <w:rsid w:val="001730B2"/>
    <w:rsid w:val="00176BAD"/>
    <w:rsid w:val="00180E54"/>
    <w:rsid w:val="00186081"/>
    <w:rsid w:val="001924D6"/>
    <w:rsid w:val="00194C51"/>
    <w:rsid w:val="001A0F71"/>
    <w:rsid w:val="001A3873"/>
    <w:rsid w:val="001A3A5D"/>
    <w:rsid w:val="001A4784"/>
    <w:rsid w:val="001A6234"/>
    <w:rsid w:val="001B5649"/>
    <w:rsid w:val="001B78F1"/>
    <w:rsid w:val="001C4720"/>
    <w:rsid w:val="001C47F6"/>
    <w:rsid w:val="001D0BAE"/>
    <w:rsid w:val="001E11CF"/>
    <w:rsid w:val="001E2869"/>
    <w:rsid w:val="001E35B8"/>
    <w:rsid w:val="001E58B3"/>
    <w:rsid w:val="001E6642"/>
    <w:rsid w:val="001F15F4"/>
    <w:rsid w:val="001F2BE8"/>
    <w:rsid w:val="001F4A48"/>
    <w:rsid w:val="001F570B"/>
    <w:rsid w:val="00201C81"/>
    <w:rsid w:val="00204826"/>
    <w:rsid w:val="00206D3B"/>
    <w:rsid w:val="00207FF9"/>
    <w:rsid w:val="00217813"/>
    <w:rsid w:val="00221A8A"/>
    <w:rsid w:val="00223D50"/>
    <w:rsid w:val="00224BF5"/>
    <w:rsid w:val="00225AB9"/>
    <w:rsid w:val="00232889"/>
    <w:rsid w:val="00232C63"/>
    <w:rsid w:val="002358BD"/>
    <w:rsid w:val="00237B83"/>
    <w:rsid w:val="00240A13"/>
    <w:rsid w:val="00241C78"/>
    <w:rsid w:val="00243647"/>
    <w:rsid w:val="0025265D"/>
    <w:rsid w:val="00255D0E"/>
    <w:rsid w:val="002635E4"/>
    <w:rsid w:val="00265B3B"/>
    <w:rsid w:val="00267B4F"/>
    <w:rsid w:val="00271625"/>
    <w:rsid w:val="00282BE7"/>
    <w:rsid w:val="00284C46"/>
    <w:rsid w:val="002967DE"/>
    <w:rsid w:val="002B3ED1"/>
    <w:rsid w:val="002B4384"/>
    <w:rsid w:val="002B4854"/>
    <w:rsid w:val="002C79B9"/>
    <w:rsid w:val="002D1DE0"/>
    <w:rsid w:val="002D4B11"/>
    <w:rsid w:val="002D5825"/>
    <w:rsid w:val="002D7CBD"/>
    <w:rsid w:val="002E3552"/>
    <w:rsid w:val="002E374B"/>
    <w:rsid w:val="002E3A11"/>
    <w:rsid w:val="002F3330"/>
    <w:rsid w:val="00300DB0"/>
    <w:rsid w:val="003044DD"/>
    <w:rsid w:val="0033114D"/>
    <w:rsid w:val="00331ABA"/>
    <w:rsid w:val="00340FD2"/>
    <w:rsid w:val="00346895"/>
    <w:rsid w:val="00355D32"/>
    <w:rsid w:val="00356EC0"/>
    <w:rsid w:val="0036581F"/>
    <w:rsid w:val="003673EE"/>
    <w:rsid w:val="00370920"/>
    <w:rsid w:val="00373567"/>
    <w:rsid w:val="003738E0"/>
    <w:rsid w:val="003A24D7"/>
    <w:rsid w:val="003C2060"/>
    <w:rsid w:val="003D4B65"/>
    <w:rsid w:val="003E1636"/>
    <w:rsid w:val="003F27B7"/>
    <w:rsid w:val="00403C69"/>
    <w:rsid w:val="00406EE1"/>
    <w:rsid w:val="00413C21"/>
    <w:rsid w:val="0041512F"/>
    <w:rsid w:val="00416CA1"/>
    <w:rsid w:val="00435A08"/>
    <w:rsid w:val="00435F04"/>
    <w:rsid w:val="00440B4F"/>
    <w:rsid w:val="004463E3"/>
    <w:rsid w:val="00454BCB"/>
    <w:rsid w:val="004570D0"/>
    <w:rsid w:val="00461C0C"/>
    <w:rsid w:val="00461C71"/>
    <w:rsid w:val="00462751"/>
    <w:rsid w:val="00463768"/>
    <w:rsid w:val="004649D8"/>
    <w:rsid w:val="00466E8F"/>
    <w:rsid w:val="00474463"/>
    <w:rsid w:val="004810D1"/>
    <w:rsid w:val="00486CC0"/>
    <w:rsid w:val="00490278"/>
    <w:rsid w:val="00491865"/>
    <w:rsid w:val="004943BB"/>
    <w:rsid w:val="00495461"/>
    <w:rsid w:val="00495BD4"/>
    <w:rsid w:val="004A1070"/>
    <w:rsid w:val="004A2A7E"/>
    <w:rsid w:val="004A416F"/>
    <w:rsid w:val="004A64C2"/>
    <w:rsid w:val="004A7372"/>
    <w:rsid w:val="004B0232"/>
    <w:rsid w:val="004B14B6"/>
    <w:rsid w:val="004B21C2"/>
    <w:rsid w:val="004B56AD"/>
    <w:rsid w:val="004C432C"/>
    <w:rsid w:val="004C5772"/>
    <w:rsid w:val="004D1810"/>
    <w:rsid w:val="004D4797"/>
    <w:rsid w:val="004D5713"/>
    <w:rsid w:val="004D7CB0"/>
    <w:rsid w:val="004E1FE0"/>
    <w:rsid w:val="004E2388"/>
    <w:rsid w:val="004E7C3E"/>
    <w:rsid w:val="004F26D3"/>
    <w:rsid w:val="00500C67"/>
    <w:rsid w:val="00502809"/>
    <w:rsid w:val="0050381A"/>
    <w:rsid w:val="00504975"/>
    <w:rsid w:val="005151C3"/>
    <w:rsid w:val="00523F4E"/>
    <w:rsid w:val="00524A84"/>
    <w:rsid w:val="00526DB4"/>
    <w:rsid w:val="00531FEF"/>
    <w:rsid w:val="00542701"/>
    <w:rsid w:val="00544CE3"/>
    <w:rsid w:val="005455D4"/>
    <w:rsid w:val="00551A16"/>
    <w:rsid w:val="00554E18"/>
    <w:rsid w:val="00556ADB"/>
    <w:rsid w:val="0056435C"/>
    <w:rsid w:val="0056636C"/>
    <w:rsid w:val="00572581"/>
    <w:rsid w:val="00585570"/>
    <w:rsid w:val="005913AB"/>
    <w:rsid w:val="00597CFA"/>
    <w:rsid w:val="005A01C5"/>
    <w:rsid w:val="005A19D3"/>
    <w:rsid w:val="005A31A1"/>
    <w:rsid w:val="005A377E"/>
    <w:rsid w:val="005B4887"/>
    <w:rsid w:val="005C517E"/>
    <w:rsid w:val="005D1F3D"/>
    <w:rsid w:val="005D440E"/>
    <w:rsid w:val="005D5CF0"/>
    <w:rsid w:val="005E2850"/>
    <w:rsid w:val="005E4CE8"/>
    <w:rsid w:val="005F21F1"/>
    <w:rsid w:val="005F32CD"/>
    <w:rsid w:val="005F3C58"/>
    <w:rsid w:val="005F58B2"/>
    <w:rsid w:val="00600130"/>
    <w:rsid w:val="0060744B"/>
    <w:rsid w:val="0061132C"/>
    <w:rsid w:val="00612568"/>
    <w:rsid w:val="00612E57"/>
    <w:rsid w:val="00613347"/>
    <w:rsid w:val="00625448"/>
    <w:rsid w:val="00626423"/>
    <w:rsid w:val="006514F1"/>
    <w:rsid w:val="00654AAA"/>
    <w:rsid w:val="006550C9"/>
    <w:rsid w:val="00655A41"/>
    <w:rsid w:val="0065611E"/>
    <w:rsid w:val="0065798C"/>
    <w:rsid w:val="00663E67"/>
    <w:rsid w:val="00677AA8"/>
    <w:rsid w:val="00677BC9"/>
    <w:rsid w:val="00683EBA"/>
    <w:rsid w:val="006965A1"/>
    <w:rsid w:val="006A045A"/>
    <w:rsid w:val="006B1BD8"/>
    <w:rsid w:val="006B46AF"/>
    <w:rsid w:val="006B48BE"/>
    <w:rsid w:val="006B5ED7"/>
    <w:rsid w:val="006B75E1"/>
    <w:rsid w:val="006B7C1E"/>
    <w:rsid w:val="006C4DAC"/>
    <w:rsid w:val="006C52D5"/>
    <w:rsid w:val="006C6B22"/>
    <w:rsid w:val="006D337F"/>
    <w:rsid w:val="006D4368"/>
    <w:rsid w:val="006E04F9"/>
    <w:rsid w:val="006E2322"/>
    <w:rsid w:val="006F316D"/>
    <w:rsid w:val="006F3D4B"/>
    <w:rsid w:val="006F62C3"/>
    <w:rsid w:val="00703B7C"/>
    <w:rsid w:val="00712B34"/>
    <w:rsid w:val="007159B9"/>
    <w:rsid w:val="007177F6"/>
    <w:rsid w:val="00717A5C"/>
    <w:rsid w:val="007204D1"/>
    <w:rsid w:val="007321CE"/>
    <w:rsid w:val="00734989"/>
    <w:rsid w:val="007362AC"/>
    <w:rsid w:val="00737A80"/>
    <w:rsid w:val="007404C9"/>
    <w:rsid w:val="0074124B"/>
    <w:rsid w:val="00755136"/>
    <w:rsid w:val="007569F7"/>
    <w:rsid w:val="00760366"/>
    <w:rsid w:val="0077324C"/>
    <w:rsid w:val="00774E22"/>
    <w:rsid w:val="007773FD"/>
    <w:rsid w:val="0078554F"/>
    <w:rsid w:val="00790762"/>
    <w:rsid w:val="007A2C93"/>
    <w:rsid w:val="007A76CB"/>
    <w:rsid w:val="007B7437"/>
    <w:rsid w:val="007D2987"/>
    <w:rsid w:val="007D3F3D"/>
    <w:rsid w:val="007D4DC4"/>
    <w:rsid w:val="007E1345"/>
    <w:rsid w:val="007E2391"/>
    <w:rsid w:val="007E5233"/>
    <w:rsid w:val="007E5D94"/>
    <w:rsid w:val="007F23C9"/>
    <w:rsid w:val="007F383F"/>
    <w:rsid w:val="0080004C"/>
    <w:rsid w:val="00807576"/>
    <w:rsid w:val="00810002"/>
    <w:rsid w:val="008118AA"/>
    <w:rsid w:val="00811B67"/>
    <w:rsid w:val="00814D6F"/>
    <w:rsid w:val="0081763D"/>
    <w:rsid w:val="008254AB"/>
    <w:rsid w:val="00827B8C"/>
    <w:rsid w:val="008311F0"/>
    <w:rsid w:val="00834E36"/>
    <w:rsid w:val="00836C37"/>
    <w:rsid w:val="00836E3A"/>
    <w:rsid w:val="008370B8"/>
    <w:rsid w:val="00837AA5"/>
    <w:rsid w:val="00841607"/>
    <w:rsid w:val="008422C5"/>
    <w:rsid w:val="008514BB"/>
    <w:rsid w:val="00851F5D"/>
    <w:rsid w:val="008576B9"/>
    <w:rsid w:val="00863589"/>
    <w:rsid w:val="00872127"/>
    <w:rsid w:val="008732AC"/>
    <w:rsid w:val="0087334E"/>
    <w:rsid w:val="008756D2"/>
    <w:rsid w:val="00876D54"/>
    <w:rsid w:val="008809FE"/>
    <w:rsid w:val="0088436B"/>
    <w:rsid w:val="008A20CE"/>
    <w:rsid w:val="008A2EB6"/>
    <w:rsid w:val="008A52C4"/>
    <w:rsid w:val="008B5EE4"/>
    <w:rsid w:val="008C5A99"/>
    <w:rsid w:val="008D2B67"/>
    <w:rsid w:val="008D4BDE"/>
    <w:rsid w:val="008D754E"/>
    <w:rsid w:val="008D775A"/>
    <w:rsid w:val="008E1FF0"/>
    <w:rsid w:val="008E3EEF"/>
    <w:rsid w:val="008F26AA"/>
    <w:rsid w:val="009110AB"/>
    <w:rsid w:val="00911971"/>
    <w:rsid w:val="009206F9"/>
    <w:rsid w:val="00942EB2"/>
    <w:rsid w:val="009458E4"/>
    <w:rsid w:val="0095138B"/>
    <w:rsid w:val="009524BE"/>
    <w:rsid w:val="00954001"/>
    <w:rsid w:val="00954981"/>
    <w:rsid w:val="009778D0"/>
    <w:rsid w:val="00980624"/>
    <w:rsid w:val="0098199A"/>
    <w:rsid w:val="00984C75"/>
    <w:rsid w:val="0098540A"/>
    <w:rsid w:val="00997DAB"/>
    <w:rsid w:val="009A20E0"/>
    <w:rsid w:val="009A72E7"/>
    <w:rsid w:val="009B6F9B"/>
    <w:rsid w:val="009C6D04"/>
    <w:rsid w:val="009C7C36"/>
    <w:rsid w:val="009D43B9"/>
    <w:rsid w:val="009D72B8"/>
    <w:rsid w:val="009E10B1"/>
    <w:rsid w:val="009E50FF"/>
    <w:rsid w:val="00A01E56"/>
    <w:rsid w:val="00A021B0"/>
    <w:rsid w:val="00A13717"/>
    <w:rsid w:val="00A20148"/>
    <w:rsid w:val="00A3075A"/>
    <w:rsid w:val="00A372EA"/>
    <w:rsid w:val="00A460C3"/>
    <w:rsid w:val="00A47AFD"/>
    <w:rsid w:val="00A628F0"/>
    <w:rsid w:val="00A67672"/>
    <w:rsid w:val="00A76EB1"/>
    <w:rsid w:val="00A77BC0"/>
    <w:rsid w:val="00A815DB"/>
    <w:rsid w:val="00A8728E"/>
    <w:rsid w:val="00AA087F"/>
    <w:rsid w:val="00AA2B0F"/>
    <w:rsid w:val="00AA4AB3"/>
    <w:rsid w:val="00AA5E80"/>
    <w:rsid w:val="00AA7EBB"/>
    <w:rsid w:val="00AB2F26"/>
    <w:rsid w:val="00AB3276"/>
    <w:rsid w:val="00AB414D"/>
    <w:rsid w:val="00AC5C29"/>
    <w:rsid w:val="00AC6887"/>
    <w:rsid w:val="00AC6B5F"/>
    <w:rsid w:val="00AD1B90"/>
    <w:rsid w:val="00AD68E2"/>
    <w:rsid w:val="00AE176A"/>
    <w:rsid w:val="00AF5442"/>
    <w:rsid w:val="00B00477"/>
    <w:rsid w:val="00B033DC"/>
    <w:rsid w:val="00B06F0D"/>
    <w:rsid w:val="00B07886"/>
    <w:rsid w:val="00B109F6"/>
    <w:rsid w:val="00B10F94"/>
    <w:rsid w:val="00B13087"/>
    <w:rsid w:val="00B135C3"/>
    <w:rsid w:val="00B17889"/>
    <w:rsid w:val="00B20C2C"/>
    <w:rsid w:val="00B2320F"/>
    <w:rsid w:val="00B24377"/>
    <w:rsid w:val="00B318B0"/>
    <w:rsid w:val="00B327AF"/>
    <w:rsid w:val="00B334BD"/>
    <w:rsid w:val="00B33C44"/>
    <w:rsid w:val="00B33CCB"/>
    <w:rsid w:val="00B33EA9"/>
    <w:rsid w:val="00B37262"/>
    <w:rsid w:val="00B5185D"/>
    <w:rsid w:val="00B55E73"/>
    <w:rsid w:val="00B5786D"/>
    <w:rsid w:val="00B679D7"/>
    <w:rsid w:val="00B67A2B"/>
    <w:rsid w:val="00B73BA8"/>
    <w:rsid w:val="00B762DC"/>
    <w:rsid w:val="00B83482"/>
    <w:rsid w:val="00B94B9E"/>
    <w:rsid w:val="00B95479"/>
    <w:rsid w:val="00B954EC"/>
    <w:rsid w:val="00B95FF8"/>
    <w:rsid w:val="00BA3E3C"/>
    <w:rsid w:val="00BA41C7"/>
    <w:rsid w:val="00BB2672"/>
    <w:rsid w:val="00BB31EA"/>
    <w:rsid w:val="00BB4623"/>
    <w:rsid w:val="00BB7E75"/>
    <w:rsid w:val="00BC0F46"/>
    <w:rsid w:val="00BC2C33"/>
    <w:rsid w:val="00BD5A9F"/>
    <w:rsid w:val="00BD5D12"/>
    <w:rsid w:val="00BE07C6"/>
    <w:rsid w:val="00BE380A"/>
    <w:rsid w:val="00BE3A76"/>
    <w:rsid w:val="00BE75FB"/>
    <w:rsid w:val="00C0002D"/>
    <w:rsid w:val="00C03586"/>
    <w:rsid w:val="00C03B01"/>
    <w:rsid w:val="00C0430B"/>
    <w:rsid w:val="00C050BD"/>
    <w:rsid w:val="00C14887"/>
    <w:rsid w:val="00C149A4"/>
    <w:rsid w:val="00C17A93"/>
    <w:rsid w:val="00C20777"/>
    <w:rsid w:val="00C22BC4"/>
    <w:rsid w:val="00C25877"/>
    <w:rsid w:val="00C3033A"/>
    <w:rsid w:val="00C31C50"/>
    <w:rsid w:val="00C350E8"/>
    <w:rsid w:val="00C35626"/>
    <w:rsid w:val="00C40350"/>
    <w:rsid w:val="00C41381"/>
    <w:rsid w:val="00C45D5A"/>
    <w:rsid w:val="00C472E3"/>
    <w:rsid w:val="00C544B1"/>
    <w:rsid w:val="00C54753"/>
    <w:rsid w:val="00C64E91"/>
    <w:rsid w:val="00C74996"/>
    <w:rsid w:val="00C75BEE"/>
    <w:rsid w:val="00C75C3B"/>
    <w:rsid w:val="00C77150"/>
    <w:rsid w:val="00C806D5"/>
    <w:rsid w:val="00C81C42"/>
    <w:rsid w:val="00C82DF1"/>
    <w:rsid w:val="00C93863"/>
    <w:rsid w:val="00CA14AB"/>
    <w:rsid w:val="00CB7601"/>
    <w:rsid w:val="00CC616B"/>
    <w:rsid w:val="00CC6BCD"/>
    <w:rsid w:val="00CD4624"/>
    <w:rsid w:val="00CD65E2"/>
    <w:rsid w:val="00CE4766"/>
    <w:rsid w:val="00CF110C"/>
    <w:rsid w:val="00CF3C06"/>
    <w:rsid w:val="00D21E98"/>
    <w:rsid w:val="00D242F7"/>
    <w:rsid w:val="00D2547C"/>
    <w:rsid w:val="00D353CB"/>
    <w:rsid w:val="00D52AE3"/>
    <w:rsid w:val="00D53C9E"/>
    <w:rsid w:val="00D6567A"/>
    <w:rsid w:val="00D65DF7"/>
    <w:rsid w:val="00D72249"/>
    <w:rsid w:val="00D727B5"/>
    <w:rsid w:val="00D7613A"/>
    <w:rsid w:val="00D80571"/>
    <w:rsid w:val="00D8597C"/>
    <w:rsid w:val="00D94D4D"/>
    <w:rsid w:val="00DB0296"/>
    <w:rsid w:val="00DB0608"/>
    <w:rsid w:val="00DB0CF5"/>
    <w:rsid w:val="00DB64EA"/>
    <w:rsid w:val="00DC425F"/>
    <w:rsid w:val="00DC48B7"/>
    <w:rsid w:val="00DD7964"/>
    <w:rsid w:val="00DE7245"/>
    <w:rsid w:val="00DF0347"/>
    <w:rsid w:val="00E044C8"/>
    <w:rsid w:val="00E12302"/>
    <w:rsid w:val="00E272F8"/>
    <w:rsid w:val="00E27634"/>
    <w:rsid w:val="00E31D2D"/>
    <w:rsid w:val="00E3251D"/>
    <w:rsid w:val="00E401E7"/>
    <w:rsid w:val="00E41798"/>
    <w:rsid w:val="00E448B8"/>
    <w:rsid w:val="00E459F0"/>
    <w:rsid w:val="00E55893"/>
    <w:rsid w:val="00E57EF8"/>
    <w:rsid w:val="00E66CAE"/>
    <w:rsid w:val="00E73853"/>
    <w:rsid w:val="00E748CF"/>
    <w:rsid w:val="00E87D36"/>
    <w:rsid w:val="00E90ACB"/>
    <w:rsid w:val="00EA589A"/>
    <w:rsid w:val="00EB2B1C"/>
    <w:rsid w:val="00EB32D4"/>
    <w:rsid w:val="00EB764F"/>
    <w:rsid w:val="00EC0E8E"/>
    <w:rsid w:val="00EC505C"/>
    <w:rsid w:val="00EC5FE7"/>
    <w:rsid w:val="00ED2341"/>
    <w:rsid w:val="00ED5477"/>
    <w:rsid w:val="00ED5E9C"/>
    <w:rsid w:val="00EE768F"/>
    <w:rsid w:val="00EF2A30"/>
    <w:rsid w:val="00EF3370"/>
    <w:rsid w:val="00EF5F97"/>
    <w:rsid w:val="00F215D3"/>
    <w:rsid w:val="00F25DB2"/>
    <w:rsid w:val="00F310BE"/>
    <w:rsid w:val="00F334E0"/>
    <w:rsid w:val="00F349CF"/>
    <w:rsid w:val="00F3530A"/>
    <w:rsid w:val="00F41950"/>
    <w:rsid w:val="00F54CFE"/>
    <w:rsid w:val="00F62028"/>
    <w:rsid w:val="00F63E45"/>
    <w:rsid w:val="00F77A9A"/>
    <w:rsid w:val="00F80394"/>
    <w:rsid w:val="00F846E9"/>
    <w:rsid w:val="00F85F3F"/>
    <w:rsid w:val="00FA09D7"/>
    <w:rsid w:val="00FA0E47"/>
    <w:rsid w:val="00FA1373"/>
    <w:rsid w:val="00FA2FDD"/>
    <w:rsid w:val="00FA42C3"/>
    <w:rsid w:val="00FB5B8A"/>
    <w:rsid w:val="00FB670F"/>
    <w:rsid w:val="00FB6EB1"/>
    <w:rsid w:val="00FC3FA1"/>
    <w:rsid w:val="00FC4AE2"/>
    <w:rsid w:val="00FC53A6"/>
    <w:rsid w:val="00FD0990"/>
    <w:rsid w:val="00FE0107"/>
    <w:rsid w:val="00FE3272"/>
    <w:rsid w:val="00FE4CE0"/>
    <w:rsid w:val="00FF67FE"/>
    <w:rsid w:val="00FF75CE"/>
    <w:rsid w:val="00FF791C"/>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CEDA"/>
  <w14:defaultImageDpi w14:val="32767"/>
  <w15:chartTrackingRefBased/>
  <w15:docId w15:val="{2DAA81A4-7B3F-8048-8309-DA3DCDB5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EB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14D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14D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33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33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33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10002"/>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855AC"/>
    <w:rPr>
      <w:color w:val="0000FF"/>
      <w:u w:val="single"/>
    </w:rPr>
  </w:style>
  <w:style w:type="character" w:styleId="UnresolvedMention">
    <w:name w:val="Unresolved Mention"/>
    <w:basedOn w:val="DefaultParagraphFont"/>
    <w:uiPriority w:val="99"/>
    <w:rsid w:val="0078554F"/>
    <w:rPr>
      <w:color w:val="605E5C"/>
      <w:shd w:val="clear" w:color="auto" w:fill="E1DFDD"/>
    </w:rPr>
  </w:style>
  <w:style w:type="character" w:styleId="CommentReference">
    <w:name w:val="annotation reference"/>
    <w:basedOn w:val="DefaultParagraphFont"/>
    <w:uiPriority w:val="99"/>
    <w:semiHidden/>
    <w:unhideWhenUsed/>
    <w:rsid w:val="004A7372"/>
    <w:rPr>
      <w:sz w:val="16"/>
      <w:szCs w:val="16"/>
    </w:rPr>
  </w:style>
  <w:style w:type="paragraph" w:styleId="CommentText">
    <w:name w:val="annotation text"/>
    <w:basedOn w:val="Normal"/>
    <w:link w:val="CommentTextChar"/>
    <w:uiPriority w:val="99"/>
    <w:unhideWhenUsed/>
    <w:rsid w:val="004A737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A7372"/>
    <w:rPr>
      <w:sz w:val="20"/>
      <w:szCs w:val="20"/>
    </w:rPr>
  </w:style>
  <w:style w:type="paragraph" w:styleId="CommentSubject">
    <w:name w:val="annotation subject"/>
    <w:basedOn w:val="CommentText"/>
    <w:next w:val="CommentText"/>
    <w:link w:val="CommentSubjectChar"/>
    <w:uiPriority w:val="99"/>
    <w:semiHidden/>
    <w:unhideWhenUsed/>
    <w:rsid w:val="004A7372"/>
    <w:rPr>
      <w:b/>
      <w:bCs/>
    </w:rPr>
  </w:style>
  <w:style w:type="character" w:customStyle="1" w:styleId="CommentSubjectChar">
    <w:name w:val="Comment Subject Char"/>
    <w:basedOn w:val="CommentTextChar"/>
    <w:link w:val="CommentSubject"/>
    <w:uiPriority w:val="99"/>
    <w:semiHidden/>
    <w:rsid w:val="004A7372"/>
    <w:rPr>
      <w:b/>
      <w:bCs/>
      <w:sz w:val="20"/>
      <w:szCs w:val="20"/>
    </w:rPr>
  </w:style>
  <w:style w:type="paragraph" w:styleId="NormalWeb">
    <w:name w:val="Normal (Web)"/>
    <w:basedOn w:val="Normal"/>
    <w:uiPriority w:val="99"/>
    <w:unhideWhenUsed/>
    <w:rsid w:val="006F62C3"/>
    <w:pPr>
      <w:spacing w:before="100" w:beforeAutospacing="1" w:after="100" w:afterAutospacing="1"/>
    </w:pPr>
  </w:style>
  <w:style w:type="paragraph" w:styleId="NoSpacing">
    <w:name w:val="No Spacing"/>
    <w:link w:val="NoSpacingChar"/>
    <w:uiPriority w:val="1"/>
    <w:qFormat/>
    <w:rsid w:val="00683EBA"/>
    <w:rPr>
      <w:rFonts w:ascii="Times New Roman" w:eastAsia="Times New Roman" w:hAnsi="Times New Roman" w:cs="Times New Roman"/>
      <w:lang w:eastAsia="en-GB"/>
    </w:rPr>
  </w:style>
  <w:style w:type="character" w:customStyle="1" w:styleId="NoSpacingChar">
    <w:name w:val="No Spacing Char"/>
    <w:basedOn w:val="DefaultParagraphFont"/>
    <w:link w:val="NoSpacing"/>
    <w:uiPriority w:val="1"/>
    <w:rsid w:val="00C45D5A"/>
    <w:rPr>
      <w:rFonts w:ascii="Times New Roman" w:eastAsia="Times New Roman" w:hAnsi="Times New Roman" w:cs="Times New Roman"/>
      <w:lang w:eastAsia="en-GB"/>
    </w:rPr>
  </w:style>
  <w:style w:type="character" w:customStyle="1" w:styleId="ms-button-flexcontainer">
    <w:name w:val="ms-button-flexcontainer"/>
    <w:basedOn w:val="DefaultParagraphFont"/>
    <w:rsid w:val="00872127"/>
  </w:style>
  <w:style w:type="character" w:styleId="FollowedHyperlink">
    <w:name w:val="FollowedHyperlink"/>
    <w:basedOn w:val="DefaultParagraphFont"/>
    <w:uiPriority w:val="99"/>
    <w:semiHidden/>
    <w:unhideWhenUsed/>
    <w:rsid w:val="008809FE"/>
    <w:rPr>
      <w:color w:val="954F72" w:themeColor="followedHyperlink"/>
      <w:u w:val="single"/>
    </w:rPr>
  </w:style>
  <w:style w:type="paragraph" w:styleId="Revision">
    <w:name w:val="Revision"/>
    <w:hidden/>
    <w:uiPriority w:val="99"/>
    <w:semiHidden/>
    <w:rsid w:val="007D3F3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5211">
      <w:bodyDiv w:val="1"/>
      <w:marLeft w:val="0"/>
      <w:marRight w:val="0"/>
      <w:marTop w:val="0"/>
      <w:marBottom w:val="0"/>
      <w:divBdr>
        <w:top w:val="none" w:sz="0" w:space="0" w:color="auto"/>
        <w:left w:val="none" w:sz="0" w:space="0" w:color="auto"/>
        <w:bottom w:val="none" w:sz="0" w:space="0" w:color="auto"/>
        <w:right w:val="none" w:sz="0" w:space="0" w:color="auto"/>
      </w:divBdr>
    </w:div>
    <w:div w:id="421725232">
      <w:bodyDiv w:val="1"/>
      <w:marLeft w:val="0"/>
      <w:marRight w:val="0"/>
      <w:marTop w:val="0"/>
      <w:marBottom w:val="0"/>
      <w:divBdr>
        <w:top w:val="none" w:sz="0" w:space="0" w:color="auto"/>
        <w:left w:val="none" w:sz="0" w:space="0" w:color="auto"/>
        <w:bottom w:val="none" w:sz="0" w:space="0" w:color="auto"/>
        <w:right w:val="none" w:sz="0" w:space="0" w:color="auto"/>
      </w:divBdr>
    </w:div>
    <w:div w:id="485324411">
      <w:bodyDiv w:val="1"/>
      <w:marLeft w:val="0"/>
      <w:marRight w:val="0"/>
      <w:marTop w:val="0"/>
      <w:marBottom w:val="0"/>
      <w:divBdr>
        <w:top w:val="none" w:sz="0" w:space="0" w:color="auto"/>
        <w:left w:val="none" w:sz="0" w:space="0" w:color="auto"/>
        <w:bottom w:val="none" w:sz="0" w:space="0" w:color="auto"/>
        <w:right w:val="none" w:sz="0" w:space="0" w:color="auto"/>
      </w:divBdr>
    </w:div>
    <w:div w:id="595788426">
      <w:bodyDiv w:val="1"/>
      <w:marLeft w:val="0"/>
      <w:marRight w:val="0"/>
      <w:marTop w:val="0"/>
      <w:marBottom w:val="0"/>
      <w:divBdr>
        <w:top w:val="none" w:sz="0" w:space="0" w:color="auto"/>
        <w:left w:val="none" w:sz="0" w:space="0" w:color="auto"/>
        <w:bottom w:val="none" w:sz="0" w:space="0" w:color="auto"/>
        <w:right w:val="none" w:sz="0" w:space="0" w:color="auto"/>
      </w:divBdr>
    </w:div>
    <w:div w:id="633020867">
      <w:bodyDiv w:val="1"/>
      <w:marLeft w:val="0"/>
      <w:marRight w:val="0"/>
      <w:marTop w:val="0"/>
      <w:marBottom w:val="0"/>
      <w:divBdr>
        <w:top w:val="none" w:sz="0" w:space="0" w:color="auto"/>
        <w:left w:val="none" w:sz="0" w:space="0" w:color="auto"/>
        <w:bottom w:val="none" w:sz="0" w:space="0" w:color="auto"/>
        <w:right w:val="none" w:sz="0" w:space="0" w:color="auto"/>
      </w:divBdr>
    </w:div>
    <w:div w:id="669260062">
      <w:bodyDiv w:val="1"/>
      <w:marLeft w:val="0"/>
      <w:marRight w:val="0"/>
      <w:marTop w:val="0"/>
      <w:marBottom w:val="0"/>
      <w:divBdr>
        <w:top w:val="none" w:sz="0" w:space="0" w:color="auto"/>
        <w:left w:val="none" w:sz="0" w:space="0" w:color="auto"/>
        <w:bottom w:val="none" w:sz="0" w:space="0" w:color="auto"/>
        <w:right w:val="none" w:sz="0" w:space="0" w:color="auto"/>
      </w:divBdr>
    </w:div>
    <w:div w:id="672413700">
      <w:bodyDiv w:val="1"/>
      <w:marLeft w:val="0"/>
      <w:marRight w:val="0"/>
      <w:marTop w:val="0"/>
      <w:marBottom w:val="0"/>
      <w:divBdr>
        <w:top w:val="none" w:sz="0" w:space="0" w:color="auto"/>
        <w:left w:val="none" w:sz="0" w:space="0" w:color="auto"/>
        <w:bottom w:val="none" w:sz="0" w:space="0" w:color="auto"/>
        <w:right w:val="none" w:sz="0" w:space="0" w:color="auto"/>
      </w:divBdr>
    </w:div>
    <w:div w:id="826671845">
      <w:bodyDiv w:val="1"/>
      <w:marLeft w:val="0"/>
      <w:marRight w:val="0"/>
      <w:marTop w:val="0"/>
      <w:marBottom w:val="0"/>
      <w:divBdr>
        <w:top w:val="none" w:sz="0" w:space="0" w:color="auto"/>
        <w:left w:val="none" w:sz="0" w:space="0" w:color="auto"/>
        <w:bottom w:val="none" w:sz="0" w:space="0" w:color="auto"/>
        <w:right w:val="none" w:sz="0" w:space="0" w:color="auto"/>
      </w:divBdr>
    </w:div>
    <w:div w:id="858130232">
      <w:bodyDiv w:val="1"/>
      <w:marLeft w:val="0"/>
      <w:marRight w:val="0"/>
      <w:marTop w:val="0"/>
      <w:marBottom w:val="0"/>
      <w:divBdr>
        <w:top w:val="none" w:sz="0" w:space="0" w:color="auto"/>
        <w:left w:val="none" w:sz="0" w:space="0" w:color="auto"/>
        <w:bottom w:val="none" w:sz="0" w:space="0" w:color="auto"/>
        <w:right w:val="none" w:sz="0" w:space="0" w:color="auto"/>
      </w:divBdr>
    </w:div>
    <w:div w:id="971011954">
      <w:bodyDiv w:val="1"/>
      <w:marLeft w:val="0"/>
      <w:marRight w:val="0"/>
      <w:marTop w:val="0"/>
      <w:marBottom w:val="0"/>
      <w:divBdr>
        <w:top w:val="none" w:sz="0" w:space="0" w:color="auto"/>
        <w:left w:val="none" w:sz="0" w:space="0" w:color="auto"/>
        <w:bottom w:val="none" w:sz="0" w:space="0" w:color="auto"/>
        <w:right w:val="none" w:sz="0" w:space="0" w:color="auto"/>
      </w:divBdr>
      <w:divsChild>
        <w:div w:id="1613855057">
          <w:marLeft w:val="446"/>
          <w:marRight w:val="0"/>
          <w:marTop w:val="0"/>
          <w:marBottom w:val="0"/>
          <w:divBdr>
            <w:top w:val="none" w:sz="0" w:space="0" w:color="auto"/>
            <w:left w:val="none" w:sz="0" w:space="0" w:color="auto"/>
            <w:bottom w:val="none" w:sz="0" w:space="0" w:color="auto"/>
            <w:right w:val="none" w:sz="0" w:space="0" w:color="auto"/>
          </w:divBdr>
        </w:div>
      </w:divsChild>
    </w:div>
    <w:div w:id="981154816">
      <w:bodyDiv w:val="1"/>
      <w:marLeft w:val="0"/>
      <w:marRight w:val="0"/>
      <w:marTop w:val="0"/>
      <w:marBottom w:val="0"/>
      <w:divBdr>
        <w:top w:val="none" w:sz="0" w:space="0" w:color="auto"/>
        <w:left w:val="none" w:sz="0" w:space="0" w:color="auto"/>
        <w:bottom w:val="none" w:sz="0" w:space="0" w:color="auto"/>
        <w:right w:val="none" w:sz="0" w:space="0" w:color="auto"/>
      </w:divBdr>
    </w:div>
    <w:div w:id="996425071">
      <w:bodyDiv w:val="1"/>
      <w:marLeft w:val="0"/>
      <w:marRight w:val="0"/>
      <w:marTop w:val="0"/>
      <w:marBottom w:val="0"/>
      <w:divBdr>
        <w:top w:val="none" w:sz="0" w:space="0" w:color="auto"/>
        <w:left w:val="none" w:sz="0" w:space="0" w:color="auto"/>
        <w:bottom w:val="none" w:sz="0" w:space="0" w:color="auto"/>
        <w:right w:val="none" w:sz="0" w:space="0" w:color="auto"/>
      </w:divBdr>
    </w:div>
    <w:div w:id="1213344917">
      <w:bodyDiv w:val="1"/>
      <w:marLeft w:val="0"/>
      <w:marRight w:val="0"/>
      <w:marTop w:val="0"/>
      <w:marBottom w:val="0"/>
      <w:divBdr>
        <w:top w:val="none" w:sz="0" w:space="0" w:color="auto"/>
        <w:left w:val="none" w:sz="0" w:space="0" w:color="auto"/>
        <w:bottom w:val="none" w:sz="0" w:space="0" w:color="auto"/>
        <w:right w:val="none" w:sz="0" w:space="0" w:color="auto"/>
      </w:divBdr>
    </w:div>
    <w:div w:id="1262294952">
      <w:bodyDiv w:val="1"/>
      <w:marLeft w:val="0"/>
      <w:marRight w:val="0"/>
      <w:marTop w:val="0"/>
      <w:marBottom w:val="0"/>
      <w:divBdr>
        <w:top w:val="none" w:sz="0" w:space="0" w:color="auto"/>
        <w:left w:val="none" w:sz="0" w:space="0" w:color="auto"/>
        <w:bottom w:val="none" w:sz="0" w:space="0" w:color="auto"/>
        <w:right w:val="none" w:sz="0" w:space="0" w:color="auto"/>
      </w:divBdr>
    </w:div>
    <w:div w:id="1322660677">
      <w:bodyDiv w:val="1"/>
      <w:marLeft w:val="0"/>
      <w:marRight w:val="0"/>
      <w:marTop w:val="0"/>
      <w:marBottom w:val="0"/>
      <w:divBdr>
        <w:top w:val="none" w:sz="0" w:space="0" w:color="auto"/>
        <w:left w:val="none" w:sz="0" w:space="0" w:color="auto"/>
        <w:bottom w:val="none" w:sz="0" w:space="0" w:color="auto"/>
        <w:right w:val="none" w:sz="0" w:space="0" w:color="auto"/>
      </w:divBdr>
    </w:div>
    <w:div w:id="1345086294">
      <w:bodyDiv w:val="1"/>
      <w:marLeft w:val="0"/>
      <w:marRight w:val="0"/>
      <w:marTop w:val="0"/>
      <w:marBottom w:val="0"/>
      <w:divBdr>
        <w:top w:val="none" w:sz="0" w:space="0" w:color="auto"/>
        <w:left w:val="none" w:sz="0" w:space="0" w:color="auto"/>
        <w:bottom w:val="none" w:sz="0" w:space="0" w:color="auto"/>
        <w:right w:val="none" w:sz="0" w:space="0" w:color="auto"/>
      </w:divBdr>
      <w:divsChild>
        <w:div w:id="1504592289">
          <w:marLeft w:val="780"/>
          <w:marRight w:val="240"/>
          <w:marTop w:val="180"/>
          <w:marBottom w:val="0"/>
          <w:divBdr>
            <w:top w:val="none" w:sz="0" w:space="0" w:color="auto"/>
            <w:left w:val="none" w:sz="0" w:space="0" w:color="auto"/>
            <w:bottom w:val="none" w:sz="0" w:space="0" w:color="auto"/>
            <w:right w:val="none" w:sz="0" w:space="0" w:color="auto"/>
          </w:divBdr>
          <w:divsChild>
            <w:div w:id="965894950">
              <w:marLeft w:val="0"/>
              <w:marRight w:val="0"/>
              <w:marTop w:val="0"/>
              <w:marBottom w:val="0"/>
              <w:divBdr>
                <w:top w:val="none" w:sz="0" w:space="0" w:color="auto"/>
                <w:left w:val="none" w:sz="0" w:space="0" w:color="auto"/>
                <w:bottom w:val="none" w:sz="0" w:space="0" w:color="auto"/>
                <w:right w:val="none" w:sz="0" w:space="0" w:color="auto"/>
              </w:divBdr>
              <w:divsChild>
                <w:div w:id="634067784">
                  <w:marLeft w:val="0"/>
                  <w:marRight w:val="0"/>
                  <w:marTop w:val="0"/>
                  <w:marBottom w:val="0"/>
                  <w:divBdr>
                    <w:top w:val="none" w:sz="0" w:space="0" w:color="auto"/>
                    <w:left w:val="none" w:sz="0" w:space="0" w:color="auto"/>
                    <w:bottom w:val="none" w:sz="0" w:space="0" w:color="auto"/>
                    <w:right w:val="none" w:sz="0" w:space="0" w:color="auto"/>
                  </w:divBdr>
                  <w:divsChild>
                    <w:div w:id="288702312">
                      <w:marLeft w:val="0"/>
                      <w:marRight w:val="0"/>
                      <w:marTop w:val="0"/>
                      <w:marBottom w:val="0"/>
                      <w:divBdr>
                        <w:top w:val="none" w:sz="0" w:space="0" w:color="auto"/>
                        <w:left w:val="none" w:sz="0" w:space="0" w:color="auto"/>
                        <w:bottom w:val="none" w:sz="0" w:space="0" w:color="auto"/>
                        <w:right w:val="none" w:sz="0" w:space="0" w:color="auto"/>
                      </w:divBdr>
                      <w:divsChild>
                        <w:div w:id="19036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29266">
          <w:marLeft w:val="465"/>
          <w:marRight w:val="0"/>
          <w:marTop w:val="0"/>
          <w:marBottom w:val="0"/>
          <w:divBdr>
            <w:top w:val="none" w:sz="0" w:space="0" w:color="auto"/>
            <w:left w:val="none" w:sz="0" w:space="0" w:color="auto"/>
            <w:bottom w:val="none" w:sz="0" w:space="0" w:color="auto"/>
            <w:right w:val="none" w:sz="0" w:space="0" w:color="auto"/>
          </w:divBdr>
          <w:divsChild>
            <w:div w:id="43717963">
              <w:marLeft w:val="0"/>
              <w:marRight w:val="0"/>
              <w:marTop w:val="0"/>
              <w:marBottom w:val="0"/>
              <w:divBdr>
                <w:top w:val="none" w:sz="0" w:space="0" w:color="auto"/>
                <w:left w:val="none" w:sz="0" w:space="0" w:color="auto"/>
                <w:bottom w:val="none" w:sz="0" w:space="0" w:color="auto"/>
                <w:right w:val="none" w:sz="0" w:space="0" w:color="auto"/>
              </w:divBdr>
              <w:divsChild>
                <w:div w:id="1857766928">
                  <w:marLeft w:val="0"/>
                  <w:marRight w:val="0"/>
                  <w:marTop w:val="0"/>
                  <w:marBottom w:val="0"/>
                  <w:divBdr>
                    <w:top w:val="none" w:sz="0" w:space="0" w:color="auto"/>
                    <w:left w:val="none" w:sz="0" w:space="0" w:color="auto"/>
                    <w:bottom w:val="none" w:sz="0" w:space="0" w:color="auto"/>
                    <w:right w:val="none" w:sz="0" w:space="0" w:color="auto"/>
                  </w:divBdr>
                  <w:divsChild>
                    <w:div w:id="1820920936">
                      <w:marLeft w:val="0"/>
                      <w:marRight w:val="0"/>
                      <w:marTop w:val="0"/>
                      <w:marBottom w:val="0"/>
                      <w:divBdr>
                        <w:top w:val="none" w:sz="0" w:space="0" w:color="auto"/>
                        <w:left w:val="none" w:sz="0" w:space="0" w:color="auto"/>
                        <w:bottom w:val="none" w:sz="0" w:space="0" w:color="auto"/>
                        <w:right w:val="none" w:sz="0" w:space="0" w:color="auto"/>
                      </w:divBdr>
                      <w:divsChild>
                        <w:div w:id="525405351">
                          <w:marLeft w:val="0"/>
                          <w:marRight w:val="0"/>
                          <w:marTop w:val="0"/>
                          <w:marBottom w:val="0"/>
                          <w:divBdr>
                            <w:top w:val="none" w:sz="0" w:space="0" w:color="auto"/>
                            <w:left w:val="none" w:sz="0" w:space="0" w:color="auto"/>
                            <w:bottom w:val="none" w:sz="0" w:space="0" w:color="auto"/>
                            <w:right w:val="none" w:sz="0" w:space="0" w:color="auto"/>
                          </w:divBdr>
                          <w:divsChild>
                            <w:div w:id="17563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2984">
      <w:bodyDiv w:val="1"/>
      <w:marLeft w:val="0"/>
      <w:marRight w:val="0"/>
      <w:marTop w:val="0"/>
      <w:marBottom w:val="0"/>
      <w:divBdr>
        <w:top w:val="none" w:sz="0" w:space="0" w:color="auto"/>
        <w:left w:val="none" w:sz="0" w:space="0" w:color="auto"/>
        <w:bottom w:val="none" w:sz="0" w:space="0" w:color="auto"/>
        <w:right w:val="none" w:sz="0" w:space="0" w:color="auto"/>
      </w:divBdr>
    </w:div>
    <w:div w:id="1731004330">
      <w:bodyDiv w:val="1"/>
      <w:marLeft w:val="0"/>
      <w:marRight w:val="0"/>
      <w:marTop w:val="0"/>
      <w:marBottom w:val="0"/>
      <w:divBdr>
        <w:top w:val="none" w:sz="0" w:space="0" w:color="auto"/>
        <w:left w:val="none" w:sz="0" w:space="0" w:color="auto"/>
        <w:bottom w:val="none" w:sz="0" w:space="0" w:color="auto"/>
        <w:right w:val="none" w:sz="0" w:space="0" w:color="auto"/>
      </w:divBdr>
    </w:div>
    <w:div w:id="1734497651">
      <w:bodyDiv w:val="1"/>
      <w:marLeft w:val="0"/>
      <w:marRight w:val="0"/>
      <w:marTop w:val="0"/>
      <w:marBottom w:val="0"/>
      <w:divBdr>
        <w:top w:val="none" w:sz="0" w:space="0" w:color="auto"/>
        <w:left w:val="none" w:sz="0" w:space="0" w:color="auto"/>
        <w:bottom w:val="none" w:sz="0" w:space="0" w:color="auto"/>
        <w:right w:val="none" w:sz="0" w:space="0" w:color="auto"/>
      </w:divBdr>
      <w:divsChild>
        <w:div w:id="522591371">
          <w:marLeft w:val="0"/>
          <w:marRight w:val="0"/>
          <w:marTop w:val="0"/>
          <w:marBottom w:val="0"/>
          <w:divBdr>
            <w:top w:val="none" w:sz="0" w:space="0" w:color="auto"/>
            <w:left w:val="none" w:sz="0" w:space="0" w:color="auto"/>
            <w:bottom w:val="none" w:sz="0" w:space="0" w:color="auto"/>
            <w:right w:val="none" w:sz="0" w:space="0" w:color="auto"/>
          </w:divBdr>
        </w:div>
        <w:div w:id="155193436">
          <w:marLeft w:val="0"/>
          <w:marRight w:val="0"/>
          <w:marTop w:val="0"/>
          <w:marBottom w:val="0"/>
          <w:divBdr>
            <w:top w:val="none" w:sz="0" w:space="0" w:color="auto"/>
            <w:left w:val="none" w:sz="0" w:space="0" w:color="auto"/>
            <w:bottom w:val="none" w:sz="0" w:space="0" w:color="auto"/>
            <w:right w:val="none" w:sz="0" w:space="0" w:color="auto"/>
          </w:divBdr>
        </w:div>
        <w:div w:id="830482744">
          <w:marLeft w:val="0"/>
          <w:marRight w:val="0"/>
          <w:marTop w:val="0"/>
          <w:marBottom w:val="0"/>
          <w:divBdr>
            <w:top w:val="none" w:sz="0" w:space="0" w:color="auto"/>
            <w:left w:val="none" w:sz="0" w:space="0" w:color="auto"/>
            <w:bottom w:val="none" w:sz="0" w:space="0" w:color="auto"/>
            <w:right w:val="none" w:sz="0" w:space="0" w:color="auto"/>
          </w:divBdr>
        </w:div>
        <w:div w:id="1607345329">
          <w:marLeft w:val="0"/>
          <w:marRight w:val="0"/>
          <w:marTop w:val="0"/>
          <w:marBottom w:val="0"/>
          <w:divBdr>
            <w:top w:val="none" w:sz="0" w:space="0" w:color="auto"/>
            <w:left w:val="none" w:sz="0" w:space="0" w:color="auto"/>
            <w:bottom w:val="none" w:sz="0" w:space="0" w:color="auto"/>
            <w:right w:val="none" w:sz="0" w:space="0" w:color="auto"/>
          </w:divBdr>
        </w:div>
        <w:div w:id="1050494700">
          <w:marLeft w:val="0"/>
          <w:marRight w:val="0"/>
          <w:marTop w:val="0"/>
          <w:marBottom w:val="0"/>
          <w:divBdr>
            <w:top w:val="none" w:sz="0" w:space="0" w:color="auto"/>
            <w:left w:val="none" w:sz="0" w:space="0" w:color="auto"/>
            <w:bottom w:val="none" w:sz="0" w:space="0" w:color="auto"/>
            <w:right w:val="none" w:sz="0" w:space="0" w:color="auto"/>
          </w:divBdr>
        </w:div>
      </w:divsChild>
    </w:div>
    <w:div w:id="1816600175">
      <w:bodyDiv w:val="1"/>
      <w:marLeft w:val="0"/>
      <w:marRight w:val="0"/>
      <w:marTop w:val="0"/>
      <w:marBottom w:val="0"/>
      <w:divBdr>
        <w:top w:val="none" w:sz="0" w:space="0" w:color="auto"/>
        <w:left w:val="none" w:sz="0" w:space="0" w:color="auto"/>
        <w:bottom w:val="none" w:sz="0" w:space="0" w:color="auto"/>
        <w:right w:val="none" w:sz="0" w:space="0" w:color="auto"/>
      </w:divBdr>
    </w:div>
    <w:div w:id="2081173101">
      <w:bodyDiv w:val="1"/>
      <w:marLeft w:val="0"/>
      <w:marRight w:val="0"/>
      <w:marTop w:val="0"/>
      <w:marBottom w:val="0"/>
      <w:divBdr>
        <w:top w:val="none" w:sz="0" w:space="0" w:color="auto"/>
        <w:left w:val="none" w:sz="0" w:space="0" w:color="auto"/>
        <w:bottom w:val="none" w:sz="0" w:space="0" w:color="auto"/>
        <w:right w:val="none" w:sz="0" w:space="0" w:color="auto"/>
      </w:divBdr>
    </w:div>
    <w:div w:id="21441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78997-2_22" TargetMode="External"/><Relationship Id="rId13" Type="http://schemas.openxmlformats.org/officeDocument/2006/relationships/hyperlink" Target="https://assets.publishing.service.gov.uk/government/uploads/system/uploads/attachment_data/file/908434/Disparities_in_the_risk_and_outcomes_of_COVID_August_2020_updat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hnicity-facts-figures.service.gov.uk/uk-population-by-ethnicity/national-and-regional-populations/regional-ethnic-diversity/latest" TargetMode="External"/><Relationship Id="rId12" Type="http://schemas.openxmlformats.org/officeDocument/2006/relationships/hyperlink" Target="https://notaguru.blog/2020/04/05/a-letter-from-saiq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s://www.ethnicity-facts-figures.service.gov.uk/uk-population-by-ethnicity/demographics/people-living-in-deprived-neighbourhoods/latest" TargetMode="External"/><Relationship Id="rId11" Type="http://schemas.openxmlformats.org/officeDocument/2006/relationships/hyperlink" Target="https://www.rcpsych.ac.uk/docs/default-source/improving-care/nccmh/amhe/amhe-resource.pdf" TargetMode="External"/><Relationship Id="rId5" Type="http://schemas.openxmlformats.org/officeDocument/2006/relationships/hyperlink" Target="https://www.mentalhealth.org.uk/sites/default/files/FPLD-positive-practice-guide.pdf" TargetMode="External"/><Relationship Id="rId15" Type="http://schemas.openxmlformats.org/officeDocument/2006/relationships/hyperlink" Target="https://wbg.org.uk/wp-content/uploads/2020/06/BAME-women-and-Covid-FINAL.pdf" TargetMode="External"/><Relationship Id="rId10" Type="http://schemas.openxmlformats.org/officeDocument/2006/relationships/hyperlink" Target="https://doi.org/10.1136/bmj.b3450" TargetMode="External"/><Relationship Id="rId4" Type="http://schemas.openxmlformats.org/officeDocument/2006/relationships/webSettings" Target="webSettings.xml"/><Relationship Id="rId9" Type="http://schemas.openxmlformats.org/officeDocument/2006/relationships/hyperlink" Target="https://www.theguardian.com/uk-news/2020/jun/27/people-were-abandoned-injustices-of-pandemic-laid-bare-in-brent" TargetMode="External"/><Relationship Id="rId14" Type="http://schemas.openxmlformats.org/officeDocument/2006/relationships/hyperlink" Target="https://doi.org/10.2196/2336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ishamurshed\Documents\Research\Papers\Brent%20IAPT%20BME\IAPTus%20Data\BAME%20Audits%202019%202020\Ethnicity%202019%20and%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effectLst/>
              </a:rPr>
              <a:t>Ethnicity recorded on IAPTus as Not Stated in 2019 and 2020</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'Ethnicity 2020'!$M$28</c:f>
              <c:strCache>
                <c:ptCount val="1"/>
                <c:pt idx="0">
                  <c:v>2019</c:v>
                </c:pt>
              </c:strCache>
            </c:strRef>
          </c:tx>
          <c:spPr>
            <a:ln w="28575" cap="rnd">
              <a:solidFill>
                <a:schemeClr val="bg2">
                  <a:lumMod val="75000"/>
                </a:schemeClr>
              </a:solidFill>
              <a:round/>
            </a:ln>
            <a:effectLst/>
          </c:spPr>
          <c:marker>
            <c:symbol val="none"/>
          </c:marker>
          <c:cat>
            <c:strRef>
              <c:f>'Ethnicity 2020'!$L$29:$L$40</c:f>
              <c:strCache>
                <c:ptCount val="12"/>
                <c:pt idx="0">
                  <c:v>January </c:v>
                </c:pt>
                <c:pt idx="1">
                  <c:v>February</c:v>
                </c:pt>
                <c:pt idx="2">
                  <c:v>March </c:v>
                </c:pt>
                <c:pt idx="3">
                  <c:v>April</c:v>
                </c:pt>
                <c:pt idx="4">
                  <c:v>May</c:v>
                </c:pt>
                <c:pt idx="5">
                  <c:v>June</c:v>
                </c:pt>
                <c:pt idx="6">
                  <c:v>July</c:v>
                </c:pt>
                <c:pt idx="7">
                  <c:v>August</c:v>
                </c:pt>
                <c:pt idx="8">
                  <c:v>September</c:v>
                </c:pt>
                <c:pt idx="9">
                  <c:v>October</c:v>
                </c:pt>
                <c:pt idx="10">
                  <c:v>November</c:v>
                </c:pt>
                <c:pt idx="11">
                  <c:v>December </c:v>
                </c:pt>
              </c:strCache>
            </c:strRef>
          </c:cat>
          <c:val>
            <c:numRef>
              <c:f>'Ethnicity 2020'!$M$29:$M$40</c:f>
              <c:numCache>
                <c:formatCode>General</c:formatCode>
                <c:ptCount val="12"/>
                <c:pt idx="0">
                  <c:v>72</c:v>
                </c:pt>
                <c:pt idx="1">
                  <c:v>148</c:v>
                </c:pt>
                <c:pt idx="2">
                  <c:v>138</c:v>
                </c:pt>
                <c:pt idx="3">
                  <c:v>112</c:v>
                </c:pt>
                <c:pt idx="4">
                  <c:v>94</c:v>
                </c:pt>
                <c:pt idx="5">
                  <c:v>102</c:v>
                </c:pt>
                <c:pt idx="6">
                  <c:v>74</c:v>
                </c:pt>
                <c:pt idx="7">
                  <c:v>65</c:v>
                </c:pt>
                <c:pt idx="8">
                  <c:v>148</c:v>
                </c:pt>
                <c:pt idx="9">
                  <c:v>120</c:v>
                </c:pt>
                <c:pt idx="10">
                  <c:v>108</c:v>
                </c:pt>
                <c:pt idx="11">
                  <c:v>77</c:v>
                </c:pt>
              </c:numCache>
            </c:numRef>
          </c:val>
          <c:smooth val="0"/>
          <c:extLst>
            <c:ext xmlns:c16="http://schemas.microsoft.com/office/drawing/2014/chart" uri="{C3380CC4-5D6E-409C-BE32-E72D297353CC}">
              <c16:uniqueId val="{00000000-294B-4B9E-B50C-3C155E8FDA9D}"/>
            </c:ext>
          </c:extLst>
        </c:ser>
        <c:ser>
          <c:idx val="1"/>
          <c:order val="1"/>
          <c:tx>
            <c:strRef>
              <c:f>'Ethnicity 2020'!$N$28</c:f>
              <c:strCache>
                <c:ptCount val="1"/>
                <c:pt idx="0">
                  <c:v>2020</c:v>
                </c:pt>
              </c:strCache>
            </c:strRef>
          </c:tx>
          <c:spPr>
            <a:ln w="28575" cap="rnd">
              <a:solidFill>
                <a:schemeClr val="tx1">
                  <a:lumMod val="65000"/>
                  <a:lumOff val="35000"/>
                </a:schemeClr>
              </a:solidFill>
              <a:round/>
            </a:ln>
            <a:effectLst/>
          </c:spPr>
          <c:marker>
            <c:symbol val="none"/>
          </c:marker>
          <c:dPt>
            <c:idx val="1"/>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2-294B-4B9E-B50C-3C155E8FDA9D}"/>
              </c:ext>
            </c:extLst>
          </c:dPt>
          <c:dPt>
            <c:idx val="2"/>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4-294B-4B9E-B50C-3C155E8FDA9D}"/>
              </c:ext>
            </c:extLst>
          </c:dPt>
          <c:dPt>
            <c:idx val="3"/>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6-294B-4B9E-B50C-3C155E8FDA9D}"/>
              </c:ext>
            </c:extLst>
          </c:dPt>
          <c:dPt>
            <c:idx val="4"/>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8-294B-4B9E-B50C-3C155E8FDA9D}"/>
              </c:ext>
            </c:extLst>
          </c:dPt>
          <c:dPt>
            <c:idx val="5"/>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A-294B-4B9E-B50C-3C155E8FDA9D}"/>
              </c:ext>
            </c:extLst>
          </c:dPt>
          <c:dPt>
            <c:idx val="6"/>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C-294B-4B9E-B50C-3C155E8FDA9D}"/>
              </c:ext>
            </c:extLst>
          </c:dPt>
          <c:dPt>
            <c:idx val="7"/>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0E-294B-4B9E-B50C-3C155E8FDA9D}"/>
              </c:ext>
            </c:extLst>
          </c:dPt>
          <c:dPt>
            <c:idx val="8"/>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10-294B-4B9E-B50C-3C155E8FDA9D}"/>
              </c:ext>
            </c:extLst>
          </c:dPt>
          <c:dPt>
            <c:idx val="9"/>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12-294B-4B9E-B50C-3C155E8FDA9D}"/>
              </c:ext>
            </c:extLst>
          </c:dPt>
          <c:dPt>
            <c:idx val="10"/>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14-294B-4B9E-B50C-3C155E8FDA9D}"/>
              </c:ext>
            </c:extLst>
          </c:dPt>
          <c:dPt>
            <c:idx val="11"/>
            <c:marker>
              <c:symbol val="none"/>
            </c:marker>
            <c:bubble3D val="0"/>
            <c:spPr>
              <a:ln w="28575" cap="rnd">
                <a:solidFill>
                  <a:schemeClr val="tx1">
                    <a:lumMod val="65000"/>
                    <a:lumOff val="35000"/>
                  </a:schemeClr>
                </a:solidFill>
                <a:round/>
              </a:ln>
              <a:effectLst/>
            </c:spPr>
            <c:extLst>
              <c:ext xmlns:c16="http://schemas.microsoft.com/office/drawing/2014/chart" uri="{C3380CC4-5D6E-409C-BE32-E72D297353CC}">
                <c16:uniqueId val="{00000016-294B-4B9E-B50C-3C155E8FDA9D}"/>
              </c:ext>
            </c:extLst>
          </c:dPt>
          <c:cat>
            <c:strRef>
              <c:f>'Ethnicity 2020'!$L$29:$L$40</c:f>
              <c:strCache>
                <c:ptCount val="12"/>
                <c:pt idx="0">
                  <c:v>January </c:v>
                </c:pt>
                <c:pt idx="1">
                  <c:v>February</c:v>
                </c:pt>
                <c:pt idx="2">
                  <c:v>March </c:v>
                </c:pt>
                <c:pt idx="3">
                  <c:v>April</c:v>
                </c:pt>
                <c:pt idx="4">
                  <c:v>May</c:v>
                </c:pt>
                <c:pt idx="5">
                  <c:v>June</c:v>
                </c:pt>
                <c:pt idx="6">
                  <c:v>July</c:v>
                </c:pt>
                <c:pt idx="7">
                  <c:v>August</c:v>
                </c:pt>
                <c:pt idx="8">
                  <c:v>September</c:v>
                </c:pt>
                <c:pt idx="9">
                  <c:v>October</c:v>
                </c:pt>
                <c:pt idx="10">
                  <c:v>November</c:v>
                </c:pt>
                <c:pt idx="11">
                  <c:v>December </c:v>
                </c:pt>
              </c:strCache>
            </c:strRef>
          </c:cat>
          <c:val>
            <c:numRef>
              <c:f>'Ethnicity 2020'!$N$29:$N$40</c:f>
              <c:numCache>
                <c:formatCode>General</c:formatCode>
                <c:ptCount val="12"/>
                <c:pt idx="0">
                  <c:v>228</c:v>
                </c:pt>
                <c:pt idx="1">
                  <c:v>234</c:v>
                </c:pt>
                <c:pt idx="2">
                  <c:v>132</c:v>
                </c:pt>
                <c:pt idx="3">
                  <c:v>24</c:v>
                </c:pt>
                <c:pt idx="4">
                  <c:v>34</c:v>
                </c:pt>
                <c:pt idx="5">
                  <c:v>22</c:v>
                </c:pt>
                <c:pt idx="6">
                  <c:v>12</c:v>
                </c:pt>
                <c:pt idx="7">
                  <c:v>17</c:v>
                </c:pt>
                <c:pt idx="8">
                  <c:v>24</c:v>
                </c:pt>
                <c:pt idx="9">
                  <c:v>56</c:v>
                </c:pt>
                <c:pt idx="10">
                  <c:v>33</c:v>
                </c:pt>
                <c:pt idx="11">
                  <c:v>21</c:v>
                </c:pt>
              </c:numCache>
            </c:numRef>
          </c:val>
          <c:smooth val="0"/>
          <c:extLst>
            <c:ext xmlns:c16="http://schemas.microsoft.com/office/drawing/2014/chart" uri="{C3380CC4-5D6E-409C-BE32-E72D297353CC}">
              <c16:uniqueId val="{00000017-294B-4B9E-B50C-3C155E8FDA9D}"/>
            </c:ext>
          </c:extLst>
        </c:ser>
        <c:dLbls>
          <c:showLegendKey val="0"/>
          <c:showVal val="0"/>
          <c:showCatName val="0"/>
          <c:showSerName val="0"/>
          <c:showPercent val="0"/>
          <c:showBubbleSize val="0"/>
        </c:dLbls>
        <c:smooth val="0"/>
        <c:axId val="1952915503"/>
        <c:axId val="1901681679"/>
      </c:lineChart>
      <c:catAx>
        <c:axId val="1952915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681679"/>
        <c:crosses val="autoZero"/>
        <c:auto val="1"/>
        <c:lblAlgn val="ctr"/>
        <c:lblOffset val="100"/>
        <c:noMultiLvlLbl val="0"/>
      </c:catAx>
      <c:valAx>
        <c:axId val="190168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2915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Maisha Murshed</dc:creator>
  <cp:keywords/>
  <dc:description/>
  <cp:lastModifiedBy>Diana Jones</cp:lastModifiedBy>
  <cp:revision>3</cp:revision>
  <dcterms:created xsi:type="dcterms:W3CDTF">2023-05-02T15:36:00Z</dcterms:created>
  <dcterms:modified xsi:type="dcterms:W3CDTF">2023-05-02T15:38:00Z</dcterms:modified>
</cp:coreProperties>
</file>