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DD11" w14:textId="77777777" w:rsidR="008B0F54" w:rsidRPr="007E24DE" w:rsidRDefault="008B0F54" w:rsidP="008B0F54">
      <w:pPr>
        <w:spacing w:line="480" w:lineRule="auto"/>
        <w:ind w:firstLine="0"/>
        <w:jc w:val="center"/>
        <w:rPr>
          <w:b/>
        </w:rPr>
      </w:pPr>
      <w:r>
        <w:rPr>
          <w:b/>
        </w:rPr>
        <w:t>Abstract:</w:t>
      </w:r>
    </w:p>
    <w:p w14:paraId="2544C20C" w14:textId="77777777" w:rsidR="008B0F54" w:rsidRPr="007E24DE" w:rsidRDefault="008B0F54" w:rsidP="008B0F54">
      <w:pPr>
        <w:spacing w:line="480" w:lineRule="auto"/>
        <w:ind w:firstLine="0"/>
        <w:rPr>
          <w:lang w:val="en-US"/>
        </w:rPr>
      </w:pPr>
      <w:r w:rsidRPr="007E24DE">
        <w:t xml:space="preserve">Survivor guilt is a complex emotional reaction that </w:t>
      </w:r>
      <w:r>
        <w:t>can arise</w:t>
      </w:r>
      <w:r w:rsidRPr="007E24DE">
        <w:t xml:space="preserve"> after surviving trauma</w:t>
      </w:r>
      <w:r>
        <w:t xml:space="preserve"> in which others die</w:t>
      </w:r>
      <w:r w:rsidRPr="007E24DE">
        <w:t xml:space="preserve">. </w:t>
      </w:r>
      <w:r w:rsidRPr="007E24DE">
        <w:rPr>
          <w:lang w:eastAsia="en-GB"/>
        </w:rPr>
        <w:t xml:space="preserve">No studies have systematically investigated psychological treatment </w:t>
      </w:r>
      <w:r>
        <w:rPr>
          <w:lang w:eastAsia="en-GB"/>
        </w:rPr>
        <w:t>f</w:t>
      </w:r>
      <w:r w:rsidRPr="007E24DE">
        <w:rPr>
          <w:lang w:eastAsia="en-GB"/>
        </w:rPr>
        <w:t>o</w:t>
      </w:r>
      <w:r>
        <w:rPr>
          <w:lang w:eastAsia="en-GB"/>
        </w:rPr>
        <w:t>r</w:t>
      </w:r>
      <w:r w:rsidRPr="007E24DE">
        <w:rPr>
          <w:lang w:eastAsia="en-GB"/>
        </w:rPr>
        <w:t xml:space="preserve"> survivor guilt.</w:t>
      </w:r>
      <w:r w:rsidRPr="007E24DE">
        <w:t xml:space="preserve"> </w:t>
      </w:r>
      <w:r w:rsidRPr="007E24DE">
        <w:rPr>
          <w:lang w:val="en-US"/>
        </w:rPr>
        <w:t xml:space="preserve">Imagery </w:t>
      </w:r>
      <w:r w:rsidRPr="007E24DE">
        <w:t>Rescripting</w:t>
      </w:r>
      <w:r w:rsidRPr="007E24DE">
        <w:rPr>
          <w:lang w:val="en-US"/>
        </w:rPr>
        <w:t xml:space="preserve"> (ImRs) </w:t>
      </w:r>
      <w:r w:rsidRPr="007E24DE">
        <w:rPr>
          <w:lang w:eastAsia="en-GB"/>
        </w:rPr>
        <w:t>involves mental manipulation of imagery, with the aim of updating its meaning and emotional valence. The present study was a proof-of-concept investigation of treatment of survivor guilt using ImRs</w:t>
      </w:r>
      <w:r w:rsidRPr="007E24DE">
        <w:rPr>
          <w:lang w:val="en-US"/>
        </w:rPr>
        <w:t>.</w:t>
      </w:r>
      <w:r>
        <w:rPr>
          <w:i/>
        </w:rPr>
        <w:t xml:space="preserve"> </w:t>
      </w:r>
      <w:r w:rsidRPr="007E24DE">
        <w:t>ImRs was evaluated as a separate experiential technique, delivered as an add</w:t>
      </w:r>
      <w:r>
        <w:t>itional</w:t>
      </w:r>
      <w:r w:rsidRPr="007E24DE">
        <w:t xml:space="preserve"> </w:t>
      </w:r>
      <w:r>
        <w:t xml:space="preserve">module </w:t>
      </w:r>
      <w:r w:rsidRPr="007E24DE">
        <w:t>to standard treatment for Post-Traumatic Stress Disorder</w:t>
      </w:r>
      <w:r>
        <w:t xml:space="preserve"> (PTSD)</w:t>
      </w:r>
      <w:r w:rsidRPr="007E24DE">
        <w:t xml:space="preserve">. </w:t>
      </w:r>
      <w:r w:rsidRPr="007E24DE">
        <w:rPr>
          <w:lang w:eastAsia="en-GB"/>
        </w:rPr>
        <w:t xml:space="preserve">Thirteen participants with self-reported survivor guilt attended two consecutive imagery therapy sessions. </w:t>
      </w:r>
      <w:r w:rsidRPr="007E24DE">
        <w:t>The elaboration session focused on exploring imagery, the rescripting session used ImRs to modify imagery</w:t>
      </w:r>
      <w:r w:rsidRPr="007E24DE">
        <w:rPr>
          <w:lang w:eastAsia="en-GB"/>
        </w:rPr>
        <w:t>.</w:t>
      </w:r>
      <w:r>
        <w:rPr>
          <w:i/>
        </w:rPr>
        <w:t xml:space="preserve"> </w:t>
      </w:r>
      <w:r w:rsidRPr="007E24DE">
        <w:rPr>
          <w:lang w:eastAsia="en-GB"/>
        </w:rPr>
        <w:t xml:space="preserve">Significant improvements were observed on idiographic process measures of cognitive and emotional components of survivor guilt and distress from survivor guilt imagery following the rescripting session. </w:t>
      </w:r>
      <w:r>
        <w:rPr>
          <w:lang w:eastAsia="en-GB"/>
        </w:rPr>
        <w:t>However, s</w:t>
      </w:r>
      <w:r w:rsidRPr="007E24DE">
        <w:rPr>
          <w:lang w:eastAsia="en-GB"/>
        </w:rPr>
        <w:t>tandard outcome measures</w:t>
      </w:r>
      <w:r>
        <w:rPr>
          <w:lang w:eastAsia="en-GB"/>
        </w:rPr>
        <w:t xml:space="preserve"> for PTSD and depression</w:t>
      </w:r>
      <w:r w:rsidRPr="007E24DE">
        <w:rPr>
          <w:lang w:eastAsia="en-GB"/>
        </w:rPr>
        <w:t xml:space="preserve"> failed to detect effects. </w:t>
      </w:r>
      <w:r w:rsidRPr="007E24DE">
        <w:rPr>
          <w:lang w:val="en-US" w:eastAsia="en-GB"/>
        </w:rPr>
        <w:t>There was a trend for treatment</w:t>
      </w:r>
      <w:r w:rsidRPr="007E24DE">
        <w:rPr>
          <w:lang w:eastAsia="en-GB"/>
        </w:rPr>
        <w:t xml:space="preserve"> responders to more commonly experience survivor guilt relating to the meaning of survival (rather than regretted actions)</w:t>
      </w:r>
      <w:r>
        <w:rPr>
          <w:lang w:eastAsia="en-GB"/>
        </w:rPr>
        <w:t>, and to use rescripts involving the afterlife</w:t>
      </w:r>
      <w:r w:rsidRPr="007E24DE">
        <w:rPr>
          <w:lang w:val="en-US"/>
        </w:rPr>
        <w:t>.</w:t>
      </w:r>
      <w:r>
        <w:rPr>
          <w:lang w:val="en-US"/>
        </w:rPr>
        <w:t xml:space="preserve"> </w:t>
      </w:r>
      <w:r w:rsidRPr="007E24DE">
        <w:t xml:space="preserve">The study provides preliminary evidence that </w:t>
      </w:r>
      <w:r w:rsidRPr="007E24DE">
        <w:rPr>
          <w:lang w:val="en-US"/>
        </w:rPr>
        <w:t xml:space="preserve">ImRs can be used as an experiential technique to treat survivor guilt. </w:t>
      </w:r>
    </w:p>
    <w:p w14:paraId="59D51D5A" w14:textId="77777777" w:rsidR="00F67F80" w:rsidRDefault="00F67F80" w:rsidP="007E24DE">
      <w:pPr>
        <w:spacing w:line="480" w:lineRule="auto"/>
        <w:ind w:firstLine="0"/>
        <w:rPr>
          <w:lang w:val="en-US"/>
        </w:rPr>
      </w:pPr>
    </w:p>
    <w:p w14:paraId="5FD3DB1D" w14:textId="77777777" w:rsidR="00464118" w:rsidRDefault="00464118" w:rsidP="007E24DE">
      <w:pPr>
        <w:spacing w:line="480" w:lineRule="auto"/>
        <w:ind w:firstLine="0"/>
      </w:pPr>
    </w:p>
    <w:p w14:paraId="5D89C412" w14:textId="77777777" w:rsidR="00464118" w:rsidRDefault="00441414" w:rsidP="007E24DE">
      <w:pPr>
        <w:spacing w:line="480" w:lineRule="auto"/>
        <w:ind w:firstLine="0"/>
        <w:rPr>
          <w:lang w:val="en-US"/>
        </w:rPr>
      </w:pPr>
      <w:r w:rsidRPr="00464118">
        <w:rPr>
          <w:b/>
        </w:rPr>
        <w:t>Keywords:</w:t>
      </w:r>
    </w:p>
    <w:p w14:paraId="0933CCE5" w14:textId="77777777" w:rsidR="00EB23A1" w:rsidRPr="007E24DE" w:rsidRDefault="00441414" w:rsidP="007E24DE">
      <w:pPr>
        <w:spacing w:line="480" w:lineRule="auto"/>
        <w:ind w:firstLine="0"/>
        <w:rPr>
          <w:lang w:val="en-US"/>
        </w:rPr>
      </w:pPr>
      <w:r w:rsidRPr="007E24DE">
        <w:t xml:space="preserve">Survivor guilt, Guilt, Trauma, </w:t>
      </w:r>
      <w:r w:rsidR="00A34A03">
        <w:t xml:space="preserve">PTSD, </w:t>
      </w:r>
      <w:r w:rsidR="00FA35FB" w:rsidRPr="007E24DE">
        <w:rPr>
          <w:lang w:val="en-US"/>
        </w:rPr>
        <w:t xml:space="preserve">Imagery, </w:t>
      </w:r>
      <w:r w:rsidRPr="007E24DE">
        <w:t>Imagery rescripting</w:t>
      </w:r>
      <w:r w:rsidR="000C63DE" w:rsidRPr="007E24DE">
        <w:t>.</w:t>
      </w:r>
    </w:p>
    <w:p w14:paraId="23482551" w14:textId="77777777" w:rsidR="0028710C" w:rsidRDefault="0028710C" w:rsidP="007E24DE">
      <w:pPr>
        <w:spacing w:line="480" w:lineRule="auto"/>
        <w:rPr>
          <w:lang w:val="en-US"/>
        </w:rPr>
      </w:pPr>
      <w:r>
        <w:rPr>
          <w:lang w:val="en-US"/>
        </w:rPr>
        <w:br w:type="page"/>
      </w:r>
    </w:p>
    <w:p w14:paraId="21CC49C7" w14:textId="77777777" w:rsidR="00E15D30" w:rsidRPr="007E24DE" w:rsidRDefault="00F84597" w:rsidP="00816201">
      <w:pPr>
        <w:spacing w:line="480" w:lineRule="auto"/>
      </w:pPr>
      <w:r w:rsidRPr="007E24DE">
        <w:rPr>
          <w:lang w:val="en-US"/>
        </w:rPr>
        <w:lastRenderedPageBreak/>
        <w:t>Feelings of guilt are common after traumatic e</w:t>
      </w:r>
      <w:r w:rsidR="00D40312">
        <w:rPr>
          <w:lang w:val="en-US"/>
        </w:rPr>
        <w:t>xperiences</w:t>
      </w:r>
      <w:r w:rsidRPr="007E24DE">
        <w:rPr>
          <w:lang w:val="en-US"/>
        </w:rPr>
        <w:t xml:space="preserve"> and often play a</w:t>
      </w:r>
      <w:r w:rsidRPr="007E24DE">
        <w:t xml:space="preserve"> role </w:t>
      </w:r>
      <w:r w:rsidR="009E0C14" w:rsidRPr="007E24DE">
        <w:t xml:space="preserve">in </w:t>
      </w:r>
      <w:r w:rsidR="00F27C6E">
        <w:t xml:space="preserve">the </w:t>
      </w:r>
      <w:r w:rsidR="009E0C14" w:rsidRPr="007E24DE">
        <w:t>development and maintenance of</w:t>
      </w:r>
      <w:r w:rsidRPr="007E24DE">
        <w:t xml:space="preserve"> </w:t>
      </w:r>
      <w:r w:rsidR="006E1716">
        <w:t>p</w:t>
      </w:r>
      <w:r w:rsidR="006E1716" w:rsidRPr="007E24DE">
        <w:t>ost</w:t>
      </w:r>
      <w:r w:rsidRPr="007E24DE">
        <w:t>-</w:t>
      </w:r>
      <w:r w:rsidR="006E1716">
        <w:t>t</w:t>
      </w:r>
      <w:r w:rsidRPr="007E24DE">
        <w:t xml:space="preserve">raumatic </w:t>
      </w:r>
      <w:r w:rsidR="006E1716">
        <w:t>s</w:t>
      </w:r>
      <w:r w:rsidRPr="007E24DE">
        <w:t xml:space="preserve">tress </w:t>
      </w:r>
      <w:r w:rsidR="006E1716">
        <w:t>d</w:t>
      </w:r>
      <w:r w:rsidRPr="007E24DE">
        <w:t>isorder</w:t>
      </w:r>
      <w:r w:rsidRPr="007E24DE">
        <w:rPr>
          <w:lang w:val="en-US"/>
        </w:rPr>
        <w:t xml:space="preserve"> (PTSD; Kubany et al., 1996</w:t>
      </w:r>
      <w:r w:rsidR="008E3105">
        <w:rPr>
          <w:lang w:val="en-US"/>
        </w:rPr>
        <w:t>; Oktedalen, Hoffart, &amp; Lagkaas, 2015</w:t>
      </w:r>
      <w:r w:rsidRPr="007E24DE">
        <w:rPr>
          <w:lang w:val="en-US"/>
        </w:rPr>
        <w:t xml:space="preserve">). </w:t>
      </w:r>
      <w:r w:rsidRPr="007E24DE">
        <w:t xml:space="preserve">Guilt can relate to a range of peri- and post-traumatic experiences and reactions. </w:t>
      </w:r>
      <w:r w:rsidR="00F26543" w:rsidRPr="007E24DE">
        <w:t>Individuals who survive a</w:t>
      </w:r>
      <w:r w:rsidR="00EB23A1" w:rsidRPr="007E24DE">
        <w:t xml:space="preserve"> traumatic event</w:t>
      </w:r>
      <w:r w:rsidR="00F26543" w:rsidRPr="007E24DE">
        <w:t xml:space="preserve"> in which others died</w:t>
      </w:r>
      <w:r w:rsidRPr="007E24DE">
        <w:t xml:space="preserve"> may feel intense guilt</w:t>
      </w:r>
      <w:r w:rsidR="00F26543" w:rsidRPr="007E24DE">
        <w:t xml:space="preserve"> about being </w:t>
      </w:r>
      <w:r w:rsidRPr="007E24DE">
        <w:t xml:space="preserve">fortunate to remain alive. </w:t>
      </w:r>
      <w:r w:rsidR="00F26543" w:rsidRPr="007E24DE">
        <w:t xml:space="preserve">They </w:t>
      </w:r>
      <w:r w:rsidRPr="007E24DE">
        <w:t xml:space="preserve">may grapple with questions about the role </w:t>
      </w:r>
      <w:r w:rsidR="00011C9C" w:rsidRPr="007E24DE">
        <w:t>that they played</w:t>
      </w:r>
      <w:r w:rsidRPr="007E24DE">
        <w:t>, whether they deserved to survive, and the meaning of survival</w:t>
      </w:r>
      <w:r w:rsidR="00D14CB1" w:rsidRPr="007E24DE">
        <w:t xml:space="preserve"> (</w:t>
      </w:r>
      <w:r w:rsidR="0008505C" w:rsidRPr="007E24DE">
        <w:t>Matsakis, 1999</w:t>
      </w:r>
      <w:r w:rsidR="00791EFF">
        <w:t>; Pethania, 2018</w:t>
      </w:r>
      <w:r w:rsidR="00D14CB1" w:rsidRPr="007E24DE">
        <w:t>)</w:t>
      </w:r>
      <w:r w:rsidRPr="007E24DE">
        <w:t>.</w:t>
      </w:r>
      <w:r w:rsidR="002A22D5">
        <w:t xml:space="preserve"> Survivor guilt is common amongst PTSD sufferers (Murray, </w:t>
      </w:r>
      <w:r w:rsidR="00D2480D">
        <w:t>2018</w:t>
      </w:r>
      <w:r w:rsidR="002A22D5">
        <w:t>) but, as yet, no empirically validated treatments have addressed this distressing experience. This paper describes a preliminary evaluation of an experiential technique, imagery rescripting</w:t>
      </w:r>
      <w:r w:rsidR="004628D5">
        <w:t xml:space="preserve"> (ImRs)</w:t>
      </w:r>
      <w:r w:rsidR="002A22D5">
        <w:t>, to address survivor guilt.</w:t>
      </w:r>
    </w:p>
    <w:p w14:paraId="3537175C" w14:textId="77777777" w:rsidR="00F84597" w:rsidRPr="007E24DE" w:rsidRDefault="00F84597" w:rsidP="007E24DE">
      <w:pPr>
        <w:pStyle w:val="Heading2"/>
        <w:numPr>
          <w:ilvl w:val="0"/>
          <w:numId w:val="0"/>
        </w:numPr>
        <w:spacing w:line="480" w:lineRule="auto"/>
        <w:rPr>
          <w:lang w:val="en-US"/>
        </w:rPr>
      </w:pPr>
      <w:r w:rsidRPr="007E24DE">
        <w:rPr>
          <w:lang w:val="en-US"/>
        </w:rPr>
        <w:t>Survivor guilt</w:t>
      </w:r>
    </w:p>
    <w:p w14:paraId="1D87E384" w14:textId="77777777" w:rsidR="00F84597" w:rsidRPr="007E24DE" w:rsidRDefault="001756CC" w:rsidP="007E24DE">
      <w:pPr>
        <w:spacing w:line="480" w:lineRule="auto"/>
      </w:pPr>
      <w:r w:rsidRPr="007E24DE">
        <w:t>There h</w:t>
      </w:r>
      <w:r w:rsidR="00577745" w:rsidRPr="007E24DE">
        <w:t>ave</w:t>
      </w:r>
      <w:r w:rsidRPr="007E24DE">
        <w:t xml:space="preserve"> been few e</w:t>
      </w:r>
      <w:r w:rsidR="00F84597" w:rsidRPr="007E24DE">
        <w:t>mpirical inv</w:t>
      </w:r>
      <w:r w:rsidR="00C0284B" w:rsidRPr="007E24DE">
        <w:t>estigation</w:t>
      </w:r>
      <w:r w:rsidR="00577745" w:rsidRPr="007E24DE">
        <w:t>s</w:t>
      </w:r>
      <w:r w:rsidR="00C0284B" w:rsidRPr="007E24DE">
        <w:t xml:space="preserve"> of survivor guilt </w:t>
      </w:r>
      <w:r w:rsidR="00F84597" w:rsidRPr="007E24DE">
        <w:t xml:space="preserve">in contemporary research. Survivor guilt was first </w:t>
      </w:r>
      <w:r w:rsidR="00EB2F53" w:rsidRPr="007E24DE">
        <w:t>documented</w:t>
      </w:r>
      <w:r w:rsidR="00F84597" w:rsidRPr="007E24DE">
        <w:t xml:space="preserve"> in</w:t>
      </w:r>
      <w:r w:rsidR="003D072A" w:rsidRPr="007E24DE">
        <w:t xml:space="preserve"> the literature </w:t>
      </w:r>
      <w:r w:rsidR="002A22D5">
        <w:t>on</w:t>
      </w:r>
      <w:r w:rsidR="002A22D5" w:rsidRPr="007E24DE">
        <w:t xml:space="preserve"> </w:t>
      </w:r>
      <w:r w:rsidR="00F84597" w:rsidRPr="007E24DE">
        <w:t>Holocaust concentration camp survivors (</w:t>
      </w:r>
      <w:r w:rsidR="00762D25" w:rsidRPr="007E24DE">
        <w:t xml:space="preserve">Carmelly, 1975; </w:t>
      </w:r>
      <w:r w:rsidR="00F84597" w:rsidRPr="007E24DE">
        <w:t xml:space="preserve">Jaffe, 1970; </w:t>
      </w:r>
      <w:r w:rsidR="00F2632D" w:rsidRPr="007E24DE">
        <w:t>N</w:t>
      </w:r>
      <w:r w:rsidR="00762D25" w:rsidRPr="007E24DE">
        <w:t>i</w:t>
      </w:r>
      <w:r w:rsidR="00F2632D" w:rsidRPr="007E24DE">
        <w:t>e</w:t>
      </w:r>
      <w:r w:rsidR="00762D25" w:rsidRPr="007E24DE">
        <w:t>derland, 1968</w:t>
      </w:r>
      <w:r w:rsidR="00F2632D" w:rsidRPr="007E24DE">
        <w:t>, 1981</w:t>
      </w:r>
      <w:r w:rsidR="00AC58EF" w:rsidRPr="007E24DE">
        <w:rPr>
          <w:lang w:val="en-US"/>
        </w:rPr>
        <w:t xml:space="preserve">), </w:t>
      </w:r>
      <w:r w:rsidR="00F84597" w:rsidRPr="007E24DE">
        <w:t xml:space="preserve">survivors of </w:t>
      </w:r>
      <w:r w:rsidR="003D072A" w:rsidRPr="007E24DE">
        <w:t xml:space="preserve">the </w:t>
      </w:r>
      <w:r w:rsidR="00F84597" w:rsidRPr="007E24DE">
        <w:t xml:space="preserve">Hiroshima bombing (Lifton, 1976) and Vietnam </w:t>
      </w:r>
      <w:r w:rsidR="00A73BEB" w:rsidRPr="007E24DE">
        <w:t>War</w:t>
      </w:r>
      <w:r w:rsidR="00F84597" w:rsidRPr="007E24DE">
        <w:t xml:space="preserve"> veterans (Glover, 1984). </w:t>
      </w:r>
      <w:r w:rsidR="00291BFC" w:rsidRPr="007E24DE">
        <w:t>It</w:t>
      </w:r>
      <w:r w:rsidR="00F84597" w:rsidRPr="007E24DE">
        <w:t xml:space="preserve"> </w:t>
      </w:r>
      <w:r w:rsidR="003D037D" w:rsidRPr="007E24DE">
        <w:t>has been</w:t>
      </w:r>
      <w:r w:rsidR="00F84597" w:rsidRPr="007E24DE">
        <w:t xml:space="preserve"> linked to </w:t>
      </w:r>
      <w:r w:rsidR="003D037D" w:rsidRPr="007E24DE">
        <w:t>greater</w:t>
      </w:r>
      <w:r w:rsidR="00F84597" w:rsidRPr="007E24DE">
        <w:t xml:space="preserve"> PTSD </w:t>
      </w:r>
      <w:r w:rsidR="003D037D" w:rsidRPr="007E24DE">
        <w:t>severity</w:t>
      </w:r>
      <w:r w:rsidR="00F84597" w:rsidRPr="007E24DE">
        <w:t xml:space="preserve"> in Vietnam </w:t>
      </w:r>
      <w:r w:rsidR="00A73BEB" w:rsidRPr="007E24DE">
        <w:t>War</w:t>
      </w:r>
      <w:r w:rsidR="00F84597" w:rsidRPr="007E24DE">
        <w:t xml:space="preserve"> veterans (Henning &amp; Frueh, </w:t>
      </w:r>
      <w:r w:rsidR="00F84597" w:rsidRPr="007E24DE">
        <w:rPr>
          <w:lang w:val="en-US"/>
        </w:rPr>
        <w:t>1997</w:t>
      </w:r>
      <w:r w:rsidR="00F84597" w:rsidRPr="007E24DE">
        <w:t>), Nigerian army veterans (Okulate, &amp; Jones, 2006), and survivors of disasters (</w:t>
      </w:r>
      <w:r w:rsidR="006A5D64" w:rsidRPr="007E24DE">
        <w:t xml:space="preserve">Hull, </w:t>
      </w:r>
      <w:r w:rsidR="006A5D64" w:rsidRPr="007E24DE">
        <w:rPr>
          <w:lang w:val="en-US"/>
        </w:rPr>
        <w:t xml:space="preserve">Alexander, &amp; Klein, 2002; </w:t>
      </w:r>
      <w:r w:rsidR="00F84597" w:rsidRPr="007E24DE">
        <w:rPr>
          <w:lang w:val="en-US"/>
        </w:rPr>
        <w:t>Joseph</w:t>
      </w:r>
      <w:r w:rsidR="00572372" w:rsidRPr="007E24DE">
        <w:rPr>
          <w:lang w:val="en-US"/>
        </w:rPr>
        <w:t xml:space="preserve">, </w:t>
      </w:r>
      <w:r w:rsidR="00572372" w:rsidRPr="007E24DE">
        <w:rPr>
          <w:rFonts w:cs="Helvetica"/>
          <w:lang w:val="en-US"/>
        </w:rPr>
        <w:t xml:space="preserve">Hodgkinson, Yule, &amp; Williams, </w:t>
      </w:r>
      <w:r w:rsidR="00F84597" w:rsidRPr="007E24DE">
        <w:rPr>
          <w:lang w:val="en-US"/>
        </w:rPr>
        <w:t>1993</w:t>
      </w:r>
      <w:r w:rsidR="00FA56E3" w:rsidRPr="007E24DE">
        <w:t xml:space="preserve">). </w:t>
      </w:r>
      <w:r w:rsidR="00027A97" w:rsidRPr="007E24DE">
        <w:t>S</w:t>
      </w:r>
      <w:r w:rsidR="00F84597" w:rsidRPr="007E24DE">
        <w:t xml:space="preserve">urvivor guilt </w:t>
      </w:r>
      <w:r w:rsidR="00027A97" w:rsidRPr="007E24DE">
        <w:t>has been shown to be</w:t>
      </w:r>
      <w:r w:rsidR="00F84597" w:rsidRPr="007E24DE">
        <w:t xml:space="preserve"> common in veterans who attempt suicide (Hendin &amp; Haas, 1991) and is associated with increased risk of suici</w:t>
      </w:r>
      <w:r w:rsidR="00FA56E3" w:rsidRPr="007E24DE">
        <w:t xml:space="preserve">de after military combat </w:t>
      </w:r>
      <w:r w:rsidR="00F84597" w:rsidRPr="007E24DE">
        <w:t>(</w:t>
      </w:r>
      <w:r w:rsidR="00F84597" w:rsidRPr="007E24DE">
        <w:rPr>
          <w:lang w:val="en-US"/>
        </w:rPr>
        <w:t>Hyer, McCranie, Woods, &amp; Boudewyns,</w:t>
      </w:r>
      <w:r w:rsidR="00F84597" w:rsidRPr="007E24DE">
        <w:t xml:space="preserve"> 1990). In addition, it has been observed clinically that survivor gui</w:t>
      </w:r>
      <w:r w:rsidR="009E6A61" w:rsidRPr="007E24DE">
        <w:t xml:space="preserve">lt can be entrenched and </w:t>
      </w:r>
      <w:r w:rsidR="00F84597" w:rsidRPr="007E24DE">
        <w:t>resistant to change (</w:t>
      </w:r>
      <w:r w:rsidR="00B237BC" w:rsidRPr="007E24DE">
        <w:rPr>
          <w:lang w:val="en-US"/>
        </w:rPr>
        <w:t>H</w:t>
      </w:r>
      <w:r w:rsidR="00F84597" w:rsidRPr="007E24DE">
        <w:t>yer et al., 1990</w:t>
      </w:r>
      <w:r w:rsidR="00B237BC" w:rsidRPr="007E24DE">
        <w:rPr>
          <w:lang w:val="en-US"/>
        </w:rPr>
        <w:t xml:space="preserve">; </w:t>
      </w:r>
      <w:r w:rsidR="00D40312" w:rsidRPr="007E24DE">
        <w:t>Khouzam &amp; Kissmeyer, 1997</w:t>
      </w:r>
      <w:r w:rsidR="00D40312">
        <w:t xml:space="preserve">; </w:t>
      </w:r>
      <w:r w:rsidR="00111ADB" w:rsidRPr="007E24DE">
        <w:t>Niederland, 1981</w:t>
      </w:r>
      <w:r w:rsidR="00F84597" w:rsidRPr="007E24DE">
        <w:t xml:space="preserve">). </w:t>
      </w:r>
      <w:r w:rsidR="002A22D5">
        <w:t xml:space="preserve">A recent study of survivor guilt among a UK clinic sample of PTSD sufferers (Murray, </w:t>
      </w:r>
      <w:r w:rsidR="00816201">
        <w:t>2018</w:t>
      </w:r>
      <w:r w:rsidR="002A22D5">
        <w:t>) revealed that over 90% of those who had survived events in which others died reported guilt about surviving, often at severe levels.</w:t>
      </w:r>
    </w:p>
    <w:p w14:paraId="012FF02F" w14:textId="77777777" w:rsidR="00F84597" w:rsidRPr="007E24DE" w:rsidRDefault="00F16C2D" w:rsidP="007E24DE">
      <w:pPr>
        <w:spacing w:line="480" w:lineRule="auto"/>
      </w:pPr>
      <w:r w:rsidRPr="007E24DE">
        <w:lastRenderedPageBreak/>
        <w:t>T</w:t>
      </w:r>
      <w:r w:rsidR="00F84597" w:rsidRPr="007E24DE">
        <w:t xml:space="preserve">here is currently no agreed definition </w:t>
      </w:r>
      <w:r w:rsidR="00A66202" w:rsidRPr="007E24DE">
        <w:t>or clinical conceptualisation</w:t>
      </w:r>
      <w:r w:rsidR="0063223A" w:rsidRPr="007E24DE">
        <w:t xml:space="preserve"> </w:t>
      </w:r>
      <w:r w:rsidR="00A66202" w:rsidRPr="007E24DE">
        <w:t xml:space="preserve">of survivor guilt </w:t>
      </w:r>
      <w:r w:rsidR="00F84597" w:rsidRPr="007E24DE">
        <w:t xml:space="preserve">(Tangney, &amp; Fischer, 1995). Niederland (1968) observed that the source of </w:t>
      </w:r>
      <w:r w:rsidR="00000F48" w:rsidRPr="007E24DE">
        <w:t xml:space="preserve">survivors’ </w:t>
      </w:r>
      <w:r w:rsidR="00F84597" w:rsidRPr="007E24DE">
        <w:t xml:space="preserve">distress was often decisions and actions </w:t>
      </w:r>
      <w:r w:rsidR="00291BFC" w:rsidRPr="007E24DE">
        <w:t xml:space="preserve">that had been </w:t>
      </w:r>
      <w:r w:rsidR="00F84597" w:rsidRPr="007E24DE">
        <w:t xml:space="preserve">taken during the </w:t>
      </w:r>
      <w:r w:rsidR="00291BFC" w:rsidRPr="007E24DE">
        <w:t>traumatic event</w:t>
      </w:r>
      <w:r w:rsidR="00F84597" w:rsidRPr="007E24DE">
        <w:t xml:space="preserve">, but sometimes arose from survival itself. Matsakis (1999) </w:t>
      </w:r>
      <w:r w:rsidR="00000F48" w:rsidRPr="007E24DE">
        <w:t xml:space="preserve">suggested </w:t>
      </w:r>
      <w:r w:rsidR="00291BFC" w:rsidRPr="007E24DE">
        <w:t>distinguishing</w:t>
      </w:r>
      <w:r w:rsidR="00F84597" w:rsidRPr="007E24DE">
        <w:t xml:space="preserve"> two types of survivor guilt: </w:t>
      </w:r>
      <w:r w:rsidR="00F84597" w:rsidRPr="007E24DE">
        <w:rPr>
          <w:i/>
        </w:rPr>
        <w:t>content guilt</w:t>
      </w:r>
      <w:r w:rsidR="00A63586" w:rsidRPr="007E24DE">
        <w:t>, which</w:t>
      </w:r>
      <w:r w:rsidR="00F84597" w:rsidRPr="007E24DE">
        <w:t xml:space="preserve"> is closely linked to how events played out before and during trauma,</w:t>
      </w:r>
      <w:r w:rsidR="00A63586" w:rsidRPr="007E24DE">
        <w:t xml:space="preserve"> and </w:t>
      </w:r>
      <w:r w:rsidR="00F84597" w:rsidRPr="007E24DE">
        <w:rPr>
          <w:i/>
        </w:rPr>
        <w:t>existential guilt</w:t>
      </w:r>
      <w:r w:rsidR="00A63586" w:rsidRPr="007E24DE">
        <w:t>, which</w:t>
      </w:r>
      <w:r w:rsidR="00F84597" w:rsidRPr="007E24DE">
        <w:t xml:space="preserve"> relates </w:t>
      </w:r>
      <w:r w:rsidR="00FF512F" w:rsidRPr="007E24DE">
        <w:t xml:space="preserve">specifically </w:t>
      </w:r>
      <w:r w:rsidR="00F84597" w:rsidRPr="007E24DE">
        <w:t>to the outcome of having stayed alive</w:t>
      </w:r>
      <w:r w:rsidR="005007B3" w:rsidRPr="007E24DE">
        <w:t xml:space="preserve"> and being the perceived beneficiary of a disparity of suffering</w:t>
      </w:r>
      <w:r w:rsidR="00F84597" w:rsidRPr="007E24DE">
        <w:t xml:space="preserve">. People with content guilt may ruminate about </w:t>
      </w:r>
      <w:r w:rsidR="00E837BB" w:rsidRPr="007E24DE">
        <w:t xml:space="preserve">personal </w:t>
      </w:r>
      <w:r w:rsidR="00F84597" w:rsidRPr="007E24DE">
        <w:t xml:space="preserve">actions or inactions surrounding </w:t>
      </w:r>
      <w:r w:rsidR="00A63586" w:rsidRPr="007E24DE">
        <w:t xml:space="preserve">the </w:t>
      </w:r>
      <w:r w:rsidR="00F84597" w:rsidRPr="007E24DE">
        <w:t xml:space="preserve">trauma and how deaths could have been prevented. </w:t>
      </w:r>
      <w:r w:rsidR="0093293B" w:rsidRPr="007E24DE">
        <w:t xml:space="preserve">In contrast, </w:t>
      </w:r>
      <w:r w:rsidR="00A514C4" w:rsidRPr="007E24DE">
        <w:t>p</w:t>
      </w:r>
      <w:r w:rsidR="00F84597" w:rsidRPr="007E24DE">
        <w:t>eople with existential guilt may become preoccupied with existential aspects of why they were spared and experience a sense of disentitlement to survival (Matsakis, 1999).</w:t>
      </w:r>
    </w:p>
    <w:p w14:paraId="271DFB84" w14:textId="77777777" w:rsidR="00F84597" w:rsidRPr="007E24DE" w:rsidRDefault="00A63586" w:rsidP="007E24DE">
      <w:pPr>
        <w:spacing w:line="480" w:lineRule="auto"/>
      </w:pPr>
      <w:r w:rsidRPr="007E24DE">
        <w:t>T</w:t>
      </w:r>
      <w:r w:rsidR="00F84597" w:rsidRPr="007E24DE">
        <w:t xml:space="preserve">rauma-related guilt has </w:t>
      </w:r>
      <w:r w:rsidRPr="007E24DE">
        <w:t xml:space="preserve">typically </w:t>
      </w:r>
      <w:r w:rsidR="00F84597" w:rsidRPr="007E24DE">
        <w:t xml:space="preserve">been conceptualised as self-conscious distress </w:t>
      </w:r>
      <w:r w:rsidR="00FF512F" w:rsidRPr="007E24DE">
        <w:t xml:space="preserve">that </w:t>
      </w:r>
      <w:r w:rsidR="001A3304" w:rsidRPr="007E24DE">
        <w:t>stems from</w:t>
      </w:r>
      <w:r w:rsidR="00F84597" w:rsidRPr="007E24DE">
        <w:t xml:space="preserve"> irrational beliefs that one has acted wrongfully and caused </w:t>
      </w:r>
      <w:r w:rsidR="00AC384E" w:rsidRPr="007E24DE">
        <w:t>h</w:t>
      </w:r>
      <w:r w:rsidR="00D4514A" w:rsidRPr="007E24DE">
        <w:t>arm (</w:t>
      </w:r>
      <w:r w:rsidR="00E02FF4" w:rsidRPr="007E24DE">
        <w:t xml:space="preserve">Ehlers &amp; Clark, 2000; </w:t>
      </w:r>
      <w:r w:rsidR="007509BE" w:rsidRPr="007E24DE">
        <w:t xml:space="preserve">Kubany &amp; Manke, 1995; </w:t>
      </w:r>
      <w:r w:rsidR="00E02FF4" w:rsidRPr="007E24DE">
        <w:t>Lee, Scragg, &amp; Turner, 2001</w:t>
      </w:r>
      <w:r w:rsidR="00D4514A" w:rsidRPr="007E24DE">
        <w:t xml:space="preserve">). </w:t>
      </w:r>
      <w:r w:rsidR="0017255B" w:rsidRPr="007E24DE">
        <w:t>C</w:t>
      </w:r>
      <w:r w:rsidR="00AC384E" w:rsidRPr="007E24DE">
        <w:t>ontent survivor</w:t>
      </w:r>
      <w:r w:rsidR="0017255B" w:rsidRPr="007E24DE">
        <w:t xml:space="preserve"> guilt</w:t>
      </w:r>
      <w:r w:rsidRPr="007E24DE">
        <w:t xml:space="preserve"> </w:t>
      </w:r>
      <w:r w:rsidR="006776EC" w:rsidRPr="007E24DE">
        <w:t>underpinned by</w:t>
      </w:r>
      <w:r w:rsidR="00F84597" w:rsidRPr="007E24DE">
        <w:t xml:space="preserve"> negative attributions about personal conduct</w:t>
      </w:r>
      <w:r w:rsidRPr="007E24DE">
        <w:t xml:space="preserve"> </w:t>
      </w:r>
      <w:r w:rsidR="0017255B" w:rsidRPr="007E24DE">
        <w:t xml:space="preserve">can be understood </w:t>
      </w:r>
      <w:r w:rsidR="00FF512F" w:rsidRPr="007E24DE">
        <w:t xml:space="preserve">according to </w:t>
      </w:r>
      <w:r w:rsidRPr="007E24DE">
        <w:t>such c</w:t>
      </w:r>
      <w:r w:rsidR="0017255B" w:rsidRPr="007E24DE">
        <w:t>ognitive guilt models</w:t>
      </w:r>
      <w:r w:rsidR="005A6B37" w:rsidRPr="007E24DE">
        <w:t>,</w:t>
      </w:r>
      <w:r w:rsidR="00FF512F" w:rsidRPr="007E24DE">
        <w:t xml:space="preserve"> which lend themselves to the straightforward extension of s</w:t>
      </w:r>
      <w:r w:rsidR="00866331" w:rsidRPr="007E24DE">
        <w:t xml:space="preserve">tandard </w:t>
      </w:r>
      <w:r w:rsidR="00DC2BD7" w:rsidRPr="007E24DE">
        <w:t xml:space="preserve">cognitive-behavioural </w:t>
      </w:r>
      <w:r w:rsidR="00FF512F" w:rsidRPr="007E24DE">
        <w:t xml:space="preserve">therapeutic </w:t>
      </w:r>
      <w:r w:rsidR="00397FF6" w:rsidRPr="007E24DE">
        <w:t xml:space="preserve">(CBT) </w:t>
      </w:r>
      <w:r w:rsidR="00FF512F" w:rsidRPr="007E24DE">
        <w:t xml:space="preserve">approaches. </w:t>
      </w:r>
      <w:r w:rsidR="00F84597" w:rsidRPr="007E24DE">
        <w:t xml:space="preserve">However, it is </w:t>
      </w:r>
      <w:r w:rsidR="00866331" w:rsidRPr="007E24DE">
        <w:t>less</w:t>
      </w:r>
      <w:r w:rsidRPr="007E24DE">
        <w:t xml:space="preserve"> </w:t>
      </w:r>
      <w:r w:rsidR="0072428B" w:rsidRPr="007E24DE">
        <w:t xml:space="preserve">clear </w:t>
      </w:r>
      <w:r w:rsidR="00866331" w:rsidRPr="007E24DE">
        <w:t xml:space="preserve">how applicable </w:t>
      </w:r>
      <w:r w:rsidR="00F84597" w:rsidRPr="007E24DE">
        <w:t>the</w:t>
      </w:r>
      <w:r w:rsidR="0017255B" w:rsidRPr="007E24DE">
        <w:t>se</w:t>
      </w:r>
      <w:r w:rsidR="00F84597" w:rsidRPr="007E24DE">
        <w:t xml:space="preserve"> model</w:t>
      </w:r>
      <w:r w:rsidR="0017255B" w:rsidRPr="007E24DE">
        <w:t>s</w:t>
      </w:r>
      <w:r w:rsidR="00F84597" w:rsidRPr="007E24DE">
        <w:t xml:space="preserve"> </w:t>
      </w:r>
      <w:r w:rsidR="00866331" w:rsidRPr="007E24DE">
        <w:t>are to</w:t>
      </w:r>
      <w:r w:rsidR="001E4ECF">
        <w:t xml:space="preserve"> existential</w:t>
      </w:r>
      <w:r w:rsidR="00F84597" w:rsidRPr="007E24DE">
        <w:t xml:space="preserve"> survivor guilt</w:t>
      </w:r>
      <w:r w:rsidR="001E4ECF">
        <w:t>, which is</w:t>
      </w:r>
      <w:r w:rsidR="00F84597" w:rsidRPr="007E24DE">
        <w:t xml:space="preserve"> not</w:t>
      </w:r>
      <w:r w:rsidR="003567B3" w:rsidRPr="007E24DE">
        <w:t xml:space="preserve"> </w:t>
      </w:r>
      <w:r w:rsidR="00F84597" w:rsidRPr="007E24DE">
        <w:t xml:space="preserve">linked to regretted action. </w:t>
      </w:r>
    </w:p>
    <w:p w14:paraId="4446B286" w14:textId="77777777" w:rsidR="00E15D30" w:rsidRPr="007E24DE" w:rsidRDefault="00F84597" w:rsidP="00816201">
      <w:pPr>
        <w:spacing w:line="480" w:lineRule="auto"/>
      </w:pPr>
      <w:r w:rsidRPr="007E24DE">
        <w:t>Contemporary psychological</w:t>
      </w:r>
      <w:r w:rsidR="00D40312">
        <w:t xml:space="preserve"> PTSD</w:t>
      </w:r>
      <w:r w:rsidRPr="007E24DE">
        <w:t xml:space="preserve"> treatment</w:t>
      </w:r>
      <w:r w:rsidR="00D40312">
        <w:t>s</w:t>
      </w:r>
      <w:r w:rsidRPr="007E24DE">
        <w:t xml:space="preserve"> emphasise the importance of actively targeting the full range of indi</w:t>
      </w:r>
      <w:r w:rsidR="00E871F8" w:rsidRPr="007E24DE">
        <w:t>vidual emotional reactions to</w:t>
      </w:r>
      <w:r w:rsidRPr="007E24DE">
        <w:t xml:space="preserve"> trauma (Lee</w:t>
      </w:r>
      <w:r w:rsidR="00572372" w:rsidRPr="007E24DE">
        <w:t xml:space="preserve"> </w:t>
      </w:r>
      <w:r w:rsidR="00E02FF4" w:rsidRPr="007E24DE">
        <w:t xml:space="preserve">et al., </w:t>
      </w:r>
      <w:r w:rsidRPr="007E24DE">
        <w:t xml:space="preserve">2001). </w:t>
      </w:r>
      <w:r w:rsidR="00D40312">
        <w:t>Given its prevalence and associations with PTSD severity and suicide, t</w:t>
      </w:r>
      <w:r w:rsidRPr="007E24DE">
        <w:t xml:space="preserve">here is a need for research that explores treatment options for survivor guilt. Imagery rescripting </w:t>
      </w:r>
      <w:r w:rsidR="00207CAA" w:rsidRPr="007E24DE">
        <w:t>(</w:t>
      </w:r>
      <w:r w:rsidR="00D87248" w:rsidRPr="007E24DE">
        <w:t>I</w:t>
      </w:r>
      <w:r w:rsidR="00207CAA" w:rsidRPr="007E24DE">
        <w:t xml:space="preserve">mRs) </w:t>
      </w:r>
      <w:r w:rsidRPr="007E24DE">
        <w:t xml:space="preserve">is a </w:t>
      </w:r>
      <w:r w:rsidR="00207CAA" w:rsidRPr="007E24DE">
        <w:t xml:space="preserve">transdiagnostic </w:t>
      </w:r>
      <w:r w:rsidRPr="007E24DE">
        <w:t xml:space="preserve">technique </w:t>
      </w:r>
      <w:r w:rsidR="00D87248" w:rsidRPr="007E24DE">
        <w:t>in</w:t>
      </w:r>
      <w:r w:rsidR="00395199" w:rsidRPr="007E24DE">
        <w:t xml:space="preserve"> which there</w:t>
      </w:r>
      <w:r w:rsidRPr="007E24DE">
        <w:t xml:space="preserve"> is </w:t>
      </w:r>
      <w:r w:rsidR="00395199" w:rsidRPr="007E24DE">
        <w:t xml:space="preserve">a </w:t>
      </w:r>
      <w:r w:rsidRPr="007E24DE">
        <w:t xml:space="preserve">growing interest, particularly </w:t>
      </w:r>
      <w:r w:rsidR="00C32B78" w:rsidRPr="007E24DE">
        <w:t xml:space="preserve">for </w:t>
      </w:r>
      <w:r w:rsidRPr="007E24DE">
        <w:t xml:space="preserve">addressing persistent guilt </w:t>
      </w:r>
      <w:r w:rsidR="005A7F97" w:rsidRPr="007E24DE">
        <w:t xml:space="preserve">feelings </w:t>
      </w:r>
      <w:r w:rsidRPr="007E24DE">
        <w:t>after trauma.</w:t>
      </w:r>
    </w:p>
    <w:p w14:paraId="673B8D2A" w14:textId="77777777" w:rsidR="00F84597" w:rsidRPr="007E24DE" w:rsidRDefault="00F84597" w:rsidP="007E24DE">
      <w:pPr>
        <w:pStyle w:val="Heading2"/>
        <w:numPr>
          <w:ilvl w:val="0"/>
          <w:numId w:val="0"/>
        </w:numPr>
        <w:spacing w:line="480" w:lineRule="auto"/>
        <w:ind w:left="576" w:hanging="576"/>
        <w:jc w:val="left"/>
      </w:pPr>
      <w:r w:rsidRPr="007E24DE">
        <w:lastRenderedPageBreak/>
        <w:t>Imagery rescripting</w:t>
      </w:r>
    </w:p>
    <w:p w14:paraId="72A37B8A" w14:textId="77777777" w:rsidR="00F84597" w:rsidRPr="007E24DE" w:rsidRDefault="00207CAA" w:rsidP="007E24DE">
      <w:pPr>
        <w:spacing w:line="480" w:lineRule="auto"/>
      </w:pPr>
      <w:r w:rsidRPr="007E24DE">
        <w:t>ImRs</w:t>
      </w:r>
      <w:r w:rsidR="00F84597" w:rsidRPr="007E24DE">
        <w:t xml:space="preserve"> seeks to reduce distress through manip</w:t>
      </w:r>
      <w:r w:rsidR="00312FBA" w:rsidRPr="007E24DE">
        <w:t>ulation of mental imagery (Long</w:t>
      </w:r>
      <w:r w:rsidR="00F84597" w:rsidRPr="007E24DE">
        <w:t xml:space="preserve"> &amp; Quev</w:t>
      </w:r>
      <w:r w:rsidR="00842CEC" w:rsidRPr="007E24DE">
        <w:t xml:space="preserve">illon, 2009). </w:t>
      </w:r>
      <w:r w:rsidR="008E3105">
        <w:t xml:space="preserve">When used to treat PTSD, traumatic memories are usually the target for rescripting. </w:t>
      </w:r>
      <w:r w:rsidR="00842CEC" w:rsidRPr="007E24DE">
        <w:t>Clients are encouraged</w:t>
      </w:r>
      <w:r w:rsidR="00F84597" w:rsidRPr="007E24DE">
        <w:t xml:space="preserve"> to visualise and describe </w:t>
      </w:r>
      <w:r w:rsidR="008E3105">
        <w:t>the memory in detail</w:t>
      </w:r>
      <w:r w:rsidR="0093293B" w:rsidRPr="007E24DE">
        <w:t>,</w:t>
      </w:r>
      <w:r w:rsidR="00F84597" w:rsidRPr="007E24DE">
        <w:t xml:space="preserve"> including their surroundings, </w:t>
      </w:r>
      <w:r w:rsidR="00DF06E8" w:rsidRPr="007E24DE">
        <w:t xml:space="preserve">associated </w:t>
      </w:r>
      <w:r w:rsidR="00F84597" w:rsidRPr="007E24DE">
        <w:t xml:space="preserve">sensory experiences, and thoughts and feelings activated by the </w:t>
      </w:r>
      <w:r w:rsidR="008E3105">
        <w:t>memory</w:t>
      </w:r>
      <w:r w:rsidR="008E3105" w:rsidRPr="007E24DE">
        <w:t xml:space="preserve"> </w:t>
      </w:r>
      <w:r w:rsidR="00F84597" w:rsidRPr="007E24DE">
        <w:t>(</w:t>
      </w:r>
      <w:r w:rsidR="00F84597" w:rsidRPr="007E24DE">
        <w:rPr>
          <w:lang w:val="en-US"/>
        </w:rPr>
        <w:t>Rusch, Grunert, Mendelsohn, &amp; Smucker, 2000</w:t>
      </w:r>
      <w:r w:rsidR="00F84597" w:rsidRPr="007E24DE">
        <w:t>)</w:t>
      </w:r>
      <w:r w:rsidR="00D40F45" w:rsidRPr="007E24DE">
        <w:t>,</w:t>
      </w:r>
      <w:r w:rsidR="00842CEC" w:rsidRPr="007E24DE">
        <w:t xml:space="preserve"> and</w:t>
      </w:r>
      <w:r w:rsidR="00F84597" w:rsidRPr="007E24DE">
        <w:t xml:space="preserve"> </w:t>
      </w:r>
      <w:r w:rsidR="00842CEC" w:rsidRPr="007E24DE">
        <w:t>are</w:t>
      </w:r>
      <w:r w:rsidR="00F84597" w:rsidRPr="007E24DE">
        <w:t xml:space="preserve"> </w:t>
      </w:r>
      <w:r w:rsidR="00D40312">
        <w:t xml:space="preserve">then </w:t>
      </w:r>
      <w:r w:rsidR="00F84597" w:rsidRPr="007E24DE">
        <w:t xml:space="preserve">guided to </w:t>
      </w:r>
      <w:r w:rsidR="008E3105">
        <w:t>introduce</w:t>
      </w:r>
      <w:r w:rsidR="00F84597" w:rsidRPr="007E24DE">
        <w:t xml:space="preserve"> changes</w:t>
      </w:r>
      <w:r w:rsidR="00D40312">
        <w:t xml:space="preserve"> </w:t>
      </w:r>
      <w:r w:rsidR="00F84597" w:rsidRPr="007E24DE">
        <w:t xml:space="preserve">in </w:t>
      </w:r>
      <w:r w:rsidR="00D40F45" w:rsidRPr="007E24DE">
        <w:t xml:space="preserve">their </w:t>
      </w:r>
      <w:r w:rsidR="00F84597" w:rsidRPr="007E24DE">
        <w:t>imagination.</w:t>
      </w:r>
    </w:p>
    <w:p w14:paraId="04C763EF" w14:textId="77777777" w:rsidR="00FE656E" w:rsidRDefault="00F84597" w:rsidP="007E24DE">
      <w:pPr>
        <w:spacing w:line="480" w:lineRule="auto"/>
      </w:pPr>
      <w:r w:rsidRPr="007E24DE">
        <w:rPr>
          <w:lang w:val="en-US"/>
        </w:rPr>
        <w:t>ImRs has a good evidence</w:t>
      </w:r>
      <w:r w:rsidR="008E3105">
        <w:rPr>
          <w:lang w:val="en-US"/>
        </w:rPr>
        <w:t xml:space="preserve"> </w:t>
      </w:r>
      <w:r w:rsidRPr="007E24DE">
        <w:rPr>
          <w:lang w:val="en-US"/>
        </w:rPr>
        <w:t xml:space="preserve">base </w:t>
      </w:r>
      <w:r w:rsidR="00AC2884" w:rsidRPr="007E24DE">
        <w:rPr>
          <w:lang w:val="en-US"/>
        </w:rPr>
        <w:t xml:space="preserve">as a </w:t>
      </w:r>
      <w:r w:rsidR="00E9066F" w:rsidRPr="007E24DE">
        <w:rPr>
          <w:lang w:val="en-US"/>
        </w:rPr>
        <w:t xml:space="preserve">PTSD </w:t>
      </w:r>
      <w:r w:rsidR="00AC2884" w:rsidRPr="007E24DE">
        <w:rPr>
          <w:lang w:val="en-US"/>
        </w:rPr>
        <w:t>treatment technique</w:t>
      </w:r>
      <w:r w:rsidR="008E3105">
        <w:rPr>
          <w:lang w:val="en-US"/>
        </w:rPr>
        <w:t xml:space="preserve"> (Morina, Lancee, &amp; Arntz, 2017)</w:t>
      </w:r>
      <w:r w:rsidR="00F05688">
        <w:rPr>
          <w:lang w:val="en-US"/>
        </w:rPr>
        <w:t>. Some studies (Arntz, 2012) have indicated that it may be more effective than exposure techniques</w:t>
      </w:r>
      <w:r w:rsidR="00E9066F" w:rsidRPr="007E24DE">
        <w:rPr>
          <w:lang w:val="en-US"/>
        </w:rPr>
        <w:t xml:space="preserve"> </w:t>
      </w:r>
      <w:r w:rsidRPr="007E24DE">
        <w:rPr>
          <w:lang w:val="en-US"/>
        </w:rPr>
        <w:t>for clients who experience int</w:t>
      </w:r>
      <w:r w:rsidR="009D4C87" w:rsidRPr="007E24DE">
        <w:rPr>
          <w:lang w:val="en-US"/>
        </w:rPr>
        <w:t>ense non-fear emotions</w:t>
      </w:r>
      <w:r w:rsidR="00456510">
        <w:rPr>
          <w:lang w:val="en-US"/>
        </w:rPr>
        <w:t>, such as guil</w:t>
      </w:r>
      <w:r w:rsidR="00F05688">
        <w:rPr>
          <w:lang w:val="en-US"/>
        </w:rPr>
        <w:t>t</w:t>
      </w:r>
      <w:r w:rsidR="00FC230C">
        <w:rPr>
          <w:lang w:val="en-US"/>
        </w:rPr>
        <w:t>, althoug</w:t>
      </w:r>
      <w:r w:rsidR="002047D9">
        <w:rPr>
          <w:lang w:val="en-US"/>
        </w:rPr>
        <w:t>h more recent research evidence has contradicted this (Langkaas et al., 2017)</w:t>
      </w:r>
      <w:r w:rsidRPr="007E24DE">
        <w:rPr>
          <w:lang w:val="en-US"/>
        </w:rPr>
        <w:t>.</w:t>
      </w:r>
      <w:r w:rsidR="002047D9">
        <w:rPr>
          <w:lang w:val="en-US"/>
        </w:rPr>
        <w:t xml:space="preserve"> </w:t>
      </w:r>
      <w:r w:rsidR="00FE656E">
        <w:rPr>
          <w:lang w:val="en-US"/>
        </w:rPr>
        <w:t>ImRs</w:t>
      </w:r>
      <w:r w:rsidR="002047D9">
        <w:rPr>
          <w:lang w:val="en-US"/>
        </w:rPr>
        <w:t xml:space="preserve"> may be an effective alternative for individuals who have not responded fully to other interventions, such as imaginal exposure.</w:t>
      </w:r>
      <w:r w:rsidRPr="007E24DE">
        <w:rPr>
          <w:lang w:val="en-US"/>
        </w:rPr>
        <w:t xml:space="preserve"> </w:t>
      </w:r>
      <w:r w:rsidRPr="007E24DE">
        <w:t>For example, Grunert</w:t>
      </w:r>
      <w:r w:rsidR="00572372" w:rsidRPr="007E24DE">
        <w:t xml:space="preserve">, </w:t>
      </w:r>
      <w:r w:rsidR="00572372" w:rsidRPr="007E24DE">
        <w:rPr>
          <w:rFonts w:cs="Helvetica"/>
          <w:lang w:val="en-US"/>
        </w:rPr>
        <w:t>Weis, Smucker and Christianson</w:t>
      </w:r>
      <w:r w:rsidR="00572372" w:rsidRPr="007E24DE">
        <w:t xml:space="preserve"> </w:t>
      </w:r>
      <w:r w:rsidRPr="007E24DE">
        <w:t xml:space="preserve">(2007) </w:t>
      </w:r>
      <w:r w:rsidR="00456510">
        <w:t xml:space="preserve">reported a 78% recovery rate after one to three sessions of ImRS in </w:t>
      </w:r>
      <w:r w:rsidR="003567B3" w:rsidRPr="007E24DE">
        <w:t xml:space="preserve">a </w:t>
      </w:r>
      <w:r w:rsidRPr="007E24DE">
        <w:t xml:space="preserve">PTSD </w:t>
      </w:r>
      <w:r w:rsidR="00456510">
        <w:t>sample experiencing</w:t>
      </w:r>
      <w:r w:rsidRPr="007E24DE">
        <w:t xml:space="preserve"> intense feelings </w:t>
      </w:r>
      <w:r w:rsidR="00603C01" w:rsidRPr="007E24DE">
        <w:t xml:space="preserve">of </w:t>
      </w:r>
      <w:r w:rsidRPr="007E24DE">
        <w:t>guilt, shame or anger</w:t>
      </w:r>
      <w:r w:rsidR="00456510">
        <w:t>, who had not responded to a previous imaginal exposure intervention</w:t>
      </w:r>
      <w:r w:rsidRPr="007E24DE">
        <w:t>. Arntz</w:t>
      </w:r>
      <w:r w:rsidR="0005728B" w:rsidRPr="007E24DE">
        <w:t xml:space="preserve">, </w:t>
      </w:r>
      <w:r w:rsidR="0005728B" w:rsidRPr="007E24DE">
        <w:rPr>
          <w:rFonts w:cs="Helvetica"/>
          <w:lang w:val="en-US"/>
        </w:rPr>
        <w:t xml:space="preserve">Tiesema and Kindt </w:t>
      </w:r>
      <w:r w:rsidRPr="007E24DE">
        <w:t>(2007) demonstrated the advan</w:t>
      </w:r>
      <w:r w:rsidR="00B70722" w:rsidRPr="007E24DE">
        <w:t xml:space="preserve">tage of adding ImRs to </w:t>
      </w:r>
      <w:r w:rsidRPr="007E24DE">
        <w:t xml:space="preserve">exposure </w:t>
      </w:r>
      <w:r w:rsidR="003567B3" w:rsidRPr="007E24DE">
        <w:t>among</w:t>
      </w:r>
      <w:r w:rsidRPr="007E24DE">
        <w:t xml:space="preserve"> 67 </w:t>
      </w:r>
      <w:r w:rsidR="00B70722" w:rsidRPr="007E24DE">
        <w:t>clients with various trauma backgrounds</w:t>
      </w:r>
      <w:r w:rsidRPr="007E24DE">
        <w:t xml:space="preserve">. ImRs did not produce additional </w:t>
      </w:r>
      <w:r w:rsidR="004215CA" w:rsidRPr="007E24DE">
        <w:t xml:space="preserve">symptomatic </w:t>
      </w:r>
      <w:r w:rsidRPr="007E24DE">
        <w:t>benefits but significantly reduced drop-out</w:t>
      </w:r>
      <w:r w:rsidR="00BF64EF" w:rsidRPr="007E24DE">
        <w:t xml:space="preserve"> rate</w:t>
      </w:r>
      <w:r w:rsidRPr="007E24DE">
        <w:t xml:space="preserve"> and improved feelings of guilt and shame.</w:t>
      </w:r>
      <w:r w:rsidR="008A263F" w:rsidRPr="007E24DE">
        <w:t xml:space="preserve"> </w:t>
      </w:r>
    </w:p>
    <w:p w14:paraId="7051729B" w14:textId="77777777" w:rsidR="00F84597" w:rsidRPr="007E24DE" w:rsidRDefault="008A263F" w:rsidP="0021668A">
      <w:pPr>
        <w:spacing w:line="480" w:lineRule="auto"/>
      </w:pPr>
      <w:r w:rsidRPr="007E24DE">
        <w:t xml:space="preserve">There is currently no evidence </w:t>
      </w:r>
      <w:r w:rsidR="003567B3" w:rsidRPr="007E24DE">
        <w:t xml:space="preserve">base </w:t>
      </w:r>
      <w:r w:rsidRPr="007E24DE">
        <w:t>concerning the use of psychological therapy to address survivor guilt specifically</w:t>
      </w:r>
      <w:r w:rsidR="00FE656E">
        <w:t>.</w:t>
      </w:r>
      <w:r w:rsidR="0021668A">
        <w:t xml:space="preserve"> However, i</w:t>
      </w:r>
      <w:r w:rsidR="00FE656E">
        <w:t xml:space="preserve">magery interventions form an integral part of recently developed treatments for similar problems, such as adaptive disclosure therapy for moral injury (Litz, Lebowitz, Gray, &amp; Nash, </w:t>
      </w:r>
      <w:r w:rsidR="00FE656E" w:rsidRPr="00FE656E">
        <w:t>2017</w:t>
      </w:r>
      <w:r w:rsidR="00FE656E">
        <w:t>)</w:t>
      </w:r>
      <w:r w:rsidR="003567B3" w:rsidRPr="007E24DE">
        <w:t>,</w:t>
      </w:r>
      <w:r w:rsidR="0021668A">
        <w:t xml:space="preserve"> cognitive therapy for persistent complex </w:t>
      </w:r>
      <w:r w:rsidR="0021668A" w:rsidRPr="00B7245E">
        <w:t>bereavement</w:t>
      </w:r>
      <w:r w:rsidR="0021668A" w:rsidRPr="00D20166">
        <w:rPr>
          <w:rFonts w:ascii="Arial" w:eastAsia="Times New Roman" w:hAnsi="Arial" w:cs="Arial"/>
          <w:color w:val="222222"/>
          <w:shd w:val="clear" w:color="auto" w:fill="FFFFFF"/>
        </w:rPr>
        <w:t xml:space="preserve"> </w:t>
      </w:r>
      <w:r w:rsidR="0021668A" w:rsidRPr="00D20166">
        <w:rPr>
          <w:rFonts w:eastAsia="Times New Roman"/>
          <w:color w:val="222222"/>
          <w:shd w:val="clear" w:color="auto" w:fill="FFFFFF"/>
        </w:rPr>
        <w:t>disorder</w:t>
      </w:r>
      <w:r w:rsidR="0021668A">
        <w:rPr>
          <w:rFonts w:ascii="Arial" w:eastAsia="Times New Roman" w:hAnsi="Arial" w:cs="Arial"/>
          <w:color w:val="222222"/>
          <w:sz w:val="20"/>
          <w:szCs w:val="20"/>
          <w:shd w:val="clear" w:color="auto" w:fill="FFFFFF"/>
        </w:rPr>
        <w:t xml:space="preserve"> (</w:t>
      </w:r>
      <w:r w:rsidR="0021668A">
        <w:t>Duffy</w:t>
      </w:r>
      <w:r w:rsidR="0021668A" w:rsidRPr="0021668A">
        <w:t xml:space="preserve">, &amp; </w:t>
      </w:r>
      <w:r w:rsidR="0021668A">
        <w:t xml:space="preserve">Wild, </w:t>
      </w:r>
      <w:r w:rsidR="0021668A" w:rsidRPr="0021668A">
        <w:t>2017</w:t>
      </w:r>
      <w:r w:rsidR="001E4ECF">
        <w:t>)</w:t>
      </w:r>
      <w:r w:rsidR="0021668A">
        <w:t xml:space="preserve"> and </w:t>
      </w:r>
      <w:r w:rsidR="00FE656E">
        <w:t xml:space="preserve">compassion-focused </w:t>
      </w:r>
      <w:r w:rsidR="001E4ECF">
        <w:t xml:space="preserve">therapy </w:t>
      </w:r>
      <w:r w:rsidR="00FE656E">
        <w:t xml:space="preserve">for shame-based </w:t>
      </w:r>
      <w:r w:rsidR="00FE656E">
        <w:lastRenderedPageBreak/>
        <w:t>trauma</w:t>
      </w:r>
      <w:r w:rsidR="0021668A">
        <w:t xml:space="preserve"> (Lee, 2009)</w:t>
      </w:r>
      <w:r w:rsidR="00B7245E">
        <w:t>, suggesting that similar approaches may be appropriate to address survivor guilt.</w:t>
      </w:r>
    </w:p>
    <w:p w14:paraId="7FA699A5" w14:textId="77777777" w:rsidR="00F84597" w:rsidRPr="007E24DE" w:rsidRDefault="00F84597" w:rsidP="007E24DE">
      <w:pPr>
        <w:spacing w:line="480" w:lineRule="auto"/>
      </w:pPr>
      <w:r w:rsidRPr="007E24DE">
        <w:t xml:space="preserve">The </w:t>
      </w:r>
      <w:r w:rsidR="00D75C54" w:rsidRPr="007E24DE">
        <w:t>active ingredients of</w:t>
      </w:r>
      <w:r w:rsidRPr="007E24DE">
        <w:t xml:space="preserve"> ImRs </w:t>
      </w:r>
      <w:r w:rsidR="00BF64EF" w:rsidRPr="007E24DE">
        <w:t xml:space="preserve">have not yet been </w:t>
      </w:r>
      <w:r w:rsidR="00B37C28" w:rsidRPr="007E24DE">
        <w:t>identified</w:t>
      </w:r>
      <w:r w:rsidR="0025409B" w:rsidRPr="007E24DE">
        <w:t xml:space="preserve"> (Arntz, 2012)</w:t>
      </w:r>
      <w:r w:rsidR="001F73BD" w:rsidRPr="007E24DE">
        <w:t>, and m</w:t>
      </w:r>
      <w:r w:rsidR="00CB09AF" w:rsidRPr="007E24DE">
        <w:t>any</w:t>
      </w:r>
      <w:r w:rsidRPr="007E24DE">
        <w:t xml:space="preserve"> studies have combined </w:t>
      </w:r>
      <w:r w:rsidR="001F73BD" w:rsidRPr="007E24DE">
        <w:t>it</w:t>
      </w:r>
      <w:r w:rsidRPr="007E24DE">
        <w:t xml:space="preserve"> with other technique</w:t>
      </w:r>
      <w:r w:rsidR="00CB09AF" w:rsidRPr="007E24DE">
        <w:t>s</w:t>
      </w:r>
      <w:r w:rsidR="00BF64EF" w:rsidRPr="007E24DE">
        <w:t>,</w:t>
      </w:r>
      <w:r w:rsidR="00CB09AF" w:rsidRPr="007E24DE">
        <w:t xml:space="preserve"> </w:t>
      </w:r>
      <w:r w:rsidRPr="007E24DE">
        <w:t xml:space="preserve">making it </w:t>
      </w:r>
      <w:r w:rsidR="00BF64EF" w:rsidRPr="007E24DE">
        <w:t xml:space="preserve">difficult </w:t>
      </w:r>
      <w:r w:rsidRPr="007E24DE">
        <w:t>to</w:t>
      </w:r>
      <w:r w:rsidR="00BD729D" w:rsidRPr="007E24DE">
        <w:t xml:space="preserve"> ascertain its specific impact </w:t>
      </w:r>
      <w:r w:rsidR="00D87248" w:rsidRPr="007E24DE">
        <w:t xml:space="preserve">or </w:t>
      </w:r>
      <w:r w:rsidR="00BD729D" w:rsidRPr="007E24DE">
        <w:t xml:space="preserve">to </w:t>
      </w:r>
      <w:r w:rsidRPr="007E24DE">
        <w:t>elucidate the processes that underpin</w:t>
      </w:r>
      <w:r w:rsidR="00BF64EF" w:rsidRPr="007E24DE">
        <w:t xml:space="preserve"> it</w:t>
      </w:r>
      <w:r w:rsidRPr="007E24DE">
        <w:t xml:space="preserve">. </w:t>
      </w:r>
      <w:r w:rsidR="001F73BD" w:rsidRPr="007E24DE">
        <w:t xml:space="preserve">One </w:t>
      </w:r>
      <w:r w:rsidR="002D5D59" w:rsidRPr="007E24DE">
        <w:t xml:space="preserve">focus of debate </w:t>
      </w:r>
      <w:r w:rsidR="001F73BD" w:rsidRPr="007E24DE">
        <w:t>has been</w:t>
      </w:r>
      <w:r w:rsidR="002D5D59" w:rsidRPr="007E24DE">
        <w:t xml:space="preserve"> whether </w:t>
      </w:r>
      <w:r w:rsidR="001F73BD" w:rsidRPr="007E24DE">
        <w:t>ImRs</w:t>
      </w:r>
      <w:r w:rsidR="002D5D59" w:rsidRPr="007E24DE">
        <w:t xml:space="preserve"> works similarly to exposure techniques (i.e.,</w:t>
      </w:r>
      <w:r w:rsidR="0093293B" w:rsidRPr="007E24DE">
        <w:t xml:space="preserve"> through</w:t>
      </w:r>
      <w:r w:rsidR="002D5D59" w:rsidRPr="007E24DE">
        <w:t xml:space="preserve"> habituation and extinction) or via a semantic route similar to verbal cognitive restructuring (Long &amp; Quevillon, 2009). </w:t>
      </w:r>
      <w:r w:rsidRPr="007E24DE">
        <w:t>Arntz (2012) suggested that future research should use dis</w:t>
      </w:r>
      <w:r w:rsidR="009E0475" w:rsidRPr="007E24DE">
        <w:t xml:space="preserve">mantling designs to advance </w:t>
      </w:r>
      <w:r w:rsidRPr="007E24DE">
        <w:t>understanding of the stand-alone effect of ImRs and the processes</w:t>
      </w:r>
      <w:r w:rsidR="009E0475" w:rsidRPr="007E24DE">
        <w:t xml:space="preserve"> that predict effective ImRs.  A</w:t>
      </w:r>
      <w:r w:rsidRPr="007E24DE">
        <w:t xml:space="preserve"> few studies have deployed such methods.</w:t>
      </w:r>
    </w:p>
    <w:p w14:paraId="35613A2A" w14:textId="77777777" w:rsidR="00F84597" w:rsidRPr="007E24DE" w:rsidRDefault="00F84597" w:rsidP="007E24DE">
      <w:pPr>
        <w:spacing w:line="480" w:lineRule="auto"/>
      </w:pPr>
      <w:r w:rsidRPr="007E24DE">
        <w:t xml:space="preserve">Wild, Hackmann and Clark (2008) used a within-subjects design to </w:t>
      </w:r>
      <w:r w:rsidR="00815E34" w:rsidRPr="007E24DE">
        <w:t xml:space="preserve">evaluate </w:t>
      </w:r>
      <w:r w:rsidRPr="007E24DE">
        <w:t>ImRs as a brief intervention for social anxiety</w:t>
      </w:r>
      <w:r w:rsidR="000342E4" w:rsidRPr="007E24DE">
        <w:t>,</w:t>
      </w:r>
      <w:r w:rsidR="00EF726C" w:rsidRPr="007E24DE">
        <w:t xml:space="preserve"> </w:t>
      </w:r>
      <w:r w:rsidR="00815E34" w:rsidRPr="007E24DE">
        <w:t>investigat</w:t>
      </w:r>
      <w:r w:rsidR="000342E4" w:rsidRPr="007E24DE">
        <w:t>ing</w:t>
      </w:r>
      <w:r w:rsidR="00EF726C" w:rsidRPr="007E24DE">
        <w:t xml:space="preserve"> the extent to which ImRs produced effects beyond those of imagery </w:t>
      </w:r>
      <w:r w:rsidR="00EE2DE7" w:rsidRPr="007E24DE">
        <w:t>elaboration</w:t>
      </w:r>
      <w:r w:rsidR="00EF726C" w:rsidRPr="007E24DE">
        <w:t xml:space="preserve">. </w:t>
      </w:r>
      <w:r w:rsidRPr="007E24DE">
        <w:t xml:space="preserve">Eleven participants were offered two imagery sessions before </w:t>
      </w:r>
      <w:r w:rsidR="00403F9E" w:rsidRPr="007E24DE">
        <w:t xml:space="preserve">or during </w:t>
      </w:r>
      <w:r w:rsidRPr="007E24DE">
        <w:t xml:space="preserve">standard treatment. The control session focused on </w:t>
      </w:r>
      <w:r w:rsidR="00D42015" w:rsidRPr="007E24DE">
        <w:t xml:space="preserve">attending to and </w:t>
      </w:r>
      <w:r w:rsidRPr="007E24DE">
        <w:t>exploring imagery in a non-directive manner; the experiment</w:t>
      </w:r>
      <w:r w:rsidR="00EF726C" w:rsidRPr="007E24DE">
        <w:t>al session used</w:t>
      </w:r>
      <w:r w:rsidRPr="007E24DE">
        <w:t xml:space="preserve"> ImRs and cognitive restructuring to update and give context to imagery. Visual Analogue Scales (VASs) were used to capture within-session changes</w:t>
      </w:r>
      <w:r w:rsidR="0093293B" w:rsidRPr="007E24DE">
        <w:t>,</w:t>
      </w:r>
      <w:r w:rsidRPr="007E24DE">
        <w:t xml:space="preserve"> and outcome measures </w:t>
      </w:r>
      <w:r w:rsidR="0025409B" w:rsidRPr="007E24DE">
        <w:t xml:space="preserve">were used to </w:t>
      </w:r>
      <w:r w:rsidRPr="007E24DE">
        <w:t>evaluate change in the weeks following ses</w:t>
      </w:r>
      <w:r w:rsidR="003A4DAB" w:rsidRPr="007E24DE">
        <w:t xml:space="preserve">sions. Significant improvements </w:t>
      </w:r>
      <w:r w:rsidRPr="007E24DE">
        <w:t>that could be attributed specifically to the experimental session</w:t>
      </w:r>
      <w:r w:rsidR="003A4DAB" w:rsidRPr="007E24DE">
        <w:t xml:space="preserve"> were observed on all measures</w:t>
      </w:r>
      <w:r w:rsidRPr="007E24DE">
        <w:t xml:space="preserve"> (Wild et al., 2008).</w:t>
      </w:r>
    </w:p>
    <w:p w14:paraId="6E013466" w14:textId="77777777" w:rsidR="00E15D30" w:rsidRPr="007E24DE" w:rsidRDefault="003A4DAB" w:rsidP="00816201">
      <w:pPr>
        <w:spacing w:line="480" w:lineRule="auto"/>
      </w:pPr>
      <w:r w:rsidRPr="007E24DE">
        <w:t>Th</w:t>
      </w:r>
      <w:r w:rsidR="0093293B" w:rsidRPr="007E24DE">
        <w:t>e Wild et al.</w:t>
      </w:r>
      <w:r w:rsidR="00F84597" w:rsidRPr="007E24DE">
        <w:t xml:space="preserve"> study </w:t>
      </w:r>
      <w:r w:rsidR="00FF0558" w:rsidRPr="007E24DE">
        <w:t xml:space="preserve">design </w:t>
      </w:r>
      <w:r w:rsidR="00544B82" w:rsidRPr="007E24DE">
        <w:t>provides a basis</w:t>
      </w:r>
      <w:r w:rsidR="00F84597" w:rsidRPr="007E24DE">
        <w:t xml:space="preserve"> for investigating ImRs separately from exposure techniques</w:t>
      </w:r>
      <w:r w:rsidR="00D87248" w:rsidRPr="007E24DE">
        <w:t>. However,</w:t>
      </w:r>
      <w:r w:rsidR="00F84597" w:rsidRPr="007E24DE">
        <w:t xml:space="preserve"> </w:t>
      </w:r>
      <w:r w:rsidR="00371AF3" w:rsidRPr="007E24DE">
        <w:t>Wild et al.</w:t>
      </w:r>
      <w:r w:rsidR="007D46B4" w:rsidRPr="007E24DE">
        <w:t xml:space="preserve"> </w:t>
      </w:r>
      <w:r w:rsidR="00AC6E82" w:rsidRPr="007E24DE">
        <w:t xml:space="preserve">(2008) </w:t>
      </w:r>
      <w:r w:rsidR="007D46B4" w:rsidRPr="007E24DE">
        <w:t xml:space="preserve">combined </w:t>
      </w:r>
      <w:r w:rsidR="00924927" w:rsidRPr="007E24DE">
        <w:t xml:space="preserve">ImRs </w:t>
      </w:r>
      <w:r w:rsidR="00F84597" w:rsidRPr="007E24DE">
        <w:t xml:space="preserve">with </w:t>
      </w:r>
      <w:r w:rsidR="000A7044" w:rsidRPr="007E24DE">
        <w:t xml:space="preserve">verbal </w:t>
      </w:r>
      <w:r w:rsidR="00103085" w:rsidRPr="007E24DE">
        <w:t>cognitive</w:t>
      </w:r>
      <w:r w:rsidR="00F84597" w:rsidRPr="007E24DE">
        <w:t xml:space="preserve"> restructuring</w:t>
      </w:r>
      <w:r w:rsidR="00371AF3" w:rsidRPr="007E24DE">
        <w:t>,</w:t>
      </w:r>
      <w:r w:rsidR="007D46B4" w:rsidRPr="007E24DE">
        <w:t xml:space="preserve"> </w:t>
      </w:r>
      <w:r w:rsidR="00FF0558" w:rsidRPr="00861D7E">
        <w:t>which</w:t>
      </w:r>
      <w:r w:rsidR="00F84597" w:rsidRPr="007E24DE">
        <w:t xml:space="preserve"> </w:t>
      </w:r>
      <w:r w:rsidR="00B37C28" w:rsidRPr="007E24DE">
        <w:t xml:space="preserve">precluded </w:t>
      </w:r>
      <w:r w:rsidR="00F84597" w:rsidRPr="007E24DE">
        <w:t xml:space="preserve">evaluation of </w:t>
      </w:r>
      <w:r w:rsidR="000C14C9" w:rsidRPr="007E24DE">
        <w:t xml:space="preserve">the </w:t>
      </w:r>
      <w:r w:rsidR="00371AF3" w:rsidRPr="007E24DE">
        <w:t>separate</w:t>
      </w:r>
      <w:r w:rsidR="000C14C9" w:rsidRPr="007E24DE">
        <w:t xml:space="preserve"> effect of </w:t>
      </w:r>
      <w:r w:rsidR="00F84597" w:rsidRPr="007E24DE">
        <w:t>ImRs. Nilsson, Lundh and Viborg</w:t>
      </w:r>
      <w:r w:rsidR="00F84597" w:rsidRPr="007E24DE" w:rsidDel="00CC04C6">
        <w:t xml:space="preserve"> </w:t>
      </w:r>
      <w:r w:rsidR="00F84597" w:rsidRPr="007E24DE">
        <w:t xml:space="preserve">(2012) used </w:t>
      </w:r>
      <w:r w:rsidR="00FC7B73" w:rsidRPr="007E24DE">
        <w:t>a randomised</w:t>
      </w:r>
      <w:r w:rsidR="00F84597" w:rsidRPr="007E24DE">
        <w:t xml:space="preserve"> between-subjects design to demonstrate that ImRs can be effective </w:t>
      </w:r>
      <w:r w:rsidR="00962448" w:rsidRPr="007E24DE">
        <w:t xml:space="preserve">for people with social anxiety </w:t>
      </w:r>
      <w:r w:rsidR="00F84597" w:rsidRPr="007E24DE">
        <w:t>in the absence of explicit verbal restructuring. These results suggest</w:t>
      </w:r>
      <w:r w:rsidR="00C654D1" w:rsidRPr="007E24DE">
        <w:t xml:space="preserve"> either</w:t>
      </w:r>
      <w:r w:rsidR="00F84597" w:rsidRPr="007E24DE">
        <w:t xml:space="preserve"> that </w:t>
      </w:r>
      <w:r w:rsidR="00A1465A" w:rsidRPr="007E24DE">
        <w:t>purely experiential</w:t>
      </w:r>
      <w:r w:rsidR="008D3F26" w:rsidRPr="007E24DE">
        <w:t xml:space="preserve"> imagery-based </w:t>
      </w:r>
      <w:r w:rsidR="00F84597" w:rsidRPr="007E24DE">
        <w:t xml:space="preserve">ImRs </w:t>
      </w:r>
      <w:r w:rsidR="00C654D1" w:rsidRPr="007E24DE">
        <w:t>is capable of producing</w:t>
      </w:r>
      <w:r w:rsidR="00F84597" w:rsidRPr="007E24DE">
        <w:t xml:space="preserve"> </w:t>
      </w:r>
      <w:r w:rsidR="00F84597" w:rsidRPr="007E24DE">
        <w:lastRenderedPageBreak/>
        <w:t>cognitive shift</w:t>
      </w:r>
      <w:r w:rsidR="00C654D1" w:rsidRPr="007E24DE">
        <w:t>s</w:t>
      </w:r>
      <w:r w:rsidR="0025409B" w:rsidRPr="007E24DE">
        <w:t xml:space="preserve"> like cognitive restructuring</w:t>
      </w:r>
      <w:r w:rsidR="00C654D1" w:rsidRPr="007E24DE">
        <w:t xml:space="preserve"> </w:t>
      </w:r>
      <w:r w:rsidR="00F84597" w:rsidRPr="007E24DE">
        <w:t xml:space="preserve">or that ImRs operates through different processes. These dismantling designs are yet </w:t>
      </w:r>
      <w:r w:rsidR="00B37C28" w:rsidRPr="007E24DE">
        <w:t xml:space="preserve">to </w:t>
      </w:r>
      <w:r w:rsidR="00F84597" w:rsidRPr="007E24DE">
        <w:t>be used in research o</w:t>
      </w:r>
      <w:r w:rsidR="0093293B" w:rsidRPr="007E24DE">
        <w:t>n</w:t>
      </w:r>
      <w:r w:rsidR="00F84597" w:rsidRPr="007E24DE">
        <w:t xml:space="preserve"> ImRs for PTSD.</w:t>
      </w:r>
    </w:p>
    <w:p w14:paraId="3F441069" w14:textId="77777777" w:rsidR="00F84597" w:rsidRPr="007E24DE" w:rsidRDefault="0072428B" w:rsidP="007E24DE">
      <w:pPr>
        <w:pStyle w:val="Heading2"/>
        <w:numPr>
          <w:ilvl w:val="0"/>
          <w:numId w:val="0"/>
        </w:numPr>
        <w:spacing w:line="480" w:lineRule="auto"/>
        <w:ind w:left="576" w:hanging="576"/>
      </w:pPr>
      <w:r w:rsidRPr="007E24DE">
        <w:t>The p</w:t>
      </w:r>
      <w:r w:rsidR="00F84597" w:rsidRPr="007E24DE">
        <w:t>resent study</w:t>
      </w:r>
    </w:p>
    <w:p w14:paraId="31366097" w14:textId="77777777" w:rsidR="00654549" w:rsidRPr="007E24DE" w:rsidRDefault="00F84597" w:rsidP="007E24DE">
      <w:pPr>
        <w:spacing w:line="480" w:lineRule="auto"/>
      </w:pPr>
      <w:r w:rsidRPr="007E24DE">
        <w:t xml:space="preserve">The present study is a proof-of-concept investigation of </w:t>
      </w:r>
      <w:r w:rsidR="00455CCB" w:rsidRPr="007E24DE">
        <w:t xml:space="preserve">treatment of survivor guilt using </w:t>
      </w:r>
      <w:r w:rsidRPr="007E24DE">
        <w:t xml:space="preserve">ImRs. The survivor guilt intervention was evaluated as an additional </w:t>
      </w:r>
      <w:r w:rsidR="00CA3E41" w:rsidRPr="007E24DE">
        <w:t xml:space="preserve">discrete </w:t>
      </w:r>
      <w:r w:rsidRPr="007E24DE">
        <w:t xml:space="preserve">treatment component which was delivered </w:t>
      </w:r>
      <w:r w:rsidR="001A19E6" w:rsidRPr="007E24DE">
        <w:t>in the course of</w:t>
      </w:r>
      <w:r w:rsidRPr="007E24DE">
        <w:t xml:space="preserve"> standard psychological treatment for PTSD</w:t>
      </w:r>
      <w:r w:rsidR="002D5283" w:rsidRPr="007E24DE">
        <w:rPr>
          <w:lang w:val="en-US"/>
        </w:rPr>
        <w:t xml:space="preserve"> (Trauma-Focused </w:t>
      </w:r>
      <w:r w:rsidR="002D5283" w:rsidRPr="007E24DE">
        <w:t>CBT, Narrative Exposure Therapy or Eye-Movement Desensitisation and Reprocessing Therapy)</w:t>
      </w:r>
      <w:r w:rsidRPr="007E24DE">
        <w:t xml:space="preserve">. The study used </w:t>
      </w:r>
      <w:r w:rsidR="007D46B4" w:rsidRPr="007E24DE">
        <w:t xml:space="preserve">a </w:t>
      </w:r>
      <w:r w:rsidRPr="007E24DE">
        <w:t xml:space="preserve">two-session design </w:t>
      </w:r>
      <w:r w:rsidR="007D46B4" w:rsidRPr="007E24DE">
        <w:t xml:space="preserve">with five measurement points </w:t>
      </w:r>
      <w:r w:rsidR="00456510" w:rsidRPr="007E24DE">
        <w:t xml:space="preserve">similar </w:t>
      </w:r>
      <w:r w:rsidR="007D46B4" w:rsidRPr="007E24DE">
        <w:t>to that reported</w:t>
      </w:r>
      <w:r w:rsidRPr="007E24DE">
        <w:t xml:space="preserve"> by Wild et al. (2008). However, explicit verbal restructuring was not included to enable evaluation of ImRs as a purely experiential imagery-based technique. </w:t>
      </w:r>
      <w:r w:rsidRPr="007E24DE">
        <w:rPr>
          <w:highlight w:val="yellow"/>
        </w:rPr>
        <w:t xml:space="preserve"> </w:t>
      </w:r>
    </w:p>
    <w:p w14:paraId="0E244F89" w14:textId="77777777" w:rsidR="00E15D30" w:rsidRPr="007E24DE" w:rsidRDefault="00F84597" w:rsidP="00816201">
      <w:pPr>
        <w:spacing w:line="480" w:lineRule="auto"/>
        <w:rPr>
          <w:lang w:val="en-US"/>
        </w:rPr>
      </w:pPr>
      <w:r w:rsidRPr="007E24DE">
        <w:rPr>
          <w:lang w:val="en-US"/>
        </w:rPr>
        <w:t>It was hypothesised that</w:t>
      </w:r>
      <w:r w:rsidR="00211C33" w:rsidRPr="007E24DE">
        <w:rPr>
          <w:lang w:val="en-US"/>
        </w:rPr>
        <w:t xml:space="preserve"> r</w:t>
      </w:r>
      <w:r w:rsidRPr="007E24DE">
        <w:rPr>
          <w:lang w:val="en-US"/>
        </w:rPr>
        <w:t xml:space="preserve">atings of cognitive and emotional </w:t>
      </w:r>
      <w:r w:rsidR="00857DAA" w:rsidRPr="007E24DE">
        <w:rPr>
          <w:lang w:val="en-US"/>
        </w:rPr>
        <w:t xml:space="preserve">components of </w:t>
      </w:r>
      <w:r w:rsidRPr="007E24DE">
        <w:rPr>
          <w:lang w:val="en-US"/>
        </w:rPr>
        <w:t xml:space="preserve">survivor guilt and imagery distress would reduce significantly </w:t>
      </w:r>
      <w:r w:rsidR="00FC377B" w:rsidRPr="007E24DE">
        <w:rPr>
          <w:lang w:val="en-US"/>
        </w:rPr>
        <w:t>following</w:t>
      </w:r>
      <w:r w:rsidRPr="007E24DE">
        <w:rPr>
          <w:lang w:val="en-US"/>
        </w:rPr>
        <w:t xml:space="preserve"> rescripting sessi</w:t>
      </w:r>
      <w:r w:rsidR="00211C33" w:rsidRPr="007E24DE">
        <w:rPr>
          <w:lang w:val="en-US"/>
        </w:rPr>
        <w:t>on</w:t>
      </w:r>
      <w:r w:rsidR="00FC377B" w:rsidRPr="007E24DE">
        <w:rPr>
          <w:lang w:val="en-US"/>
        </w:rPr>
        <w:t>s</w:t>
      </w:r>
      <w:r w:rsidR="00211C33" w:rsidRPr="007E24DE">
        <w:rPr>
          <w:lang w:val="en-US"/>
        </w:rPr>
        <w:t xml:space="preserve"> but not at other time points. It was also hypothesized that w</w:t>
      </w:r>
      <w:r w:rsidRPr="007E24DE">
        <w:rPr>
          <w:lang w:val="en-US"/>
        </w:rPr>
        <w:t>eekl</w:t>
      </w:r>
      <w:r w:rsidR="00007B82" w:rsidRPr="007E24DE">
        <w:rPr>
          <w:lang w:val="en-US"/>
        </w:rPr>
        <w:t>y measures of survivor guilt,</w:t>
      </w:r>
      <w:r w:rsidRPr="007E24DE">
        <w:rPr>
          <w:lang w:val="en-US"/>
        </w:rPr>
        <w:t xml:space="preserve"> mental imagery</w:t>
      </w:r>
      <w:r w:rsidR="00007B82" w:rsidRPr="007E24DE">
        <w:rPr>
          <w:lang w:val="en-US"/>
        </w:rPr>
        <w:t>, PTSD symptoms and depression</w:t>
      </w:r>
      <w:r w:rsidRPr="007E24DE">
        <w:rPr>
          <w:lang w:val="en-US"/>
        </w:rPr>
        <w:t xml:space="preserve"> </w:t>
      </w:r>
      <w:r w:rsidR="00007B82" w:rsidRPr="007E24DE">
        <w:rPr>
          <w:lang w:val="en-US"/>
        </w:rPr>
        <w:t xml:space="preserve">symptoms </w:t>
      </w:r>
      <w:r w:rsidRPr="007E24DE">
        <w:rPr>
          <w:lang w:val="en-US"/>
        </w:rPr>
        <w:t>would reduce significantly the week fo</w:t>
      </w:r>
      <w:r w:rsidR="00007B82" w:rsidRPr="007E24DE">
        <w:rPr>
          <w:lang w:val="en-US"/>
        </w:rPr>
        <w:t>llowing the rescripting session.</w:t>
      </w:r>
      <w:r w:rsidR="001E4ECF">
        <w:rPr>
          <w:lang w:val="en-US"/>
        </w:rPr>
        <w:t xml:space="preserve"> </w:t>
      </w:r>
    </w:p>
    <w:p w14:paraId="220BE39C" w14:textId="77777777" w:rsidR="00C6676E" w:rsidRPr="007E24DE" w:rsidRDefault="005D4AE0" w:rsidP="007E24DE">
      <w:pPr>
        <w:pStyle w:val="Heading1"/>
        <w:numPr>
          <w:ilvl w:val="0"/>
          <w:numId w:val="0"/>
        </w:numPr>
        <w:spacing w:before="0" w:line="480" w:lineRule="auto"/>
        <w:ind w:left="562" w:hanging="562"/>
        <w:jc w:val="center"/>
      </w:pPr>
      <w:r w:rsidRPr="007E24DE">
        <w:t>Method</w:t>
      </w:r>
    </w:p>
    <w:p w14:paraId="3D278AEC" w14:textId="77777777" w:rsidR="00C6676E" w:rsidRPr="007E24DE" w:rsidRDefault="00C6676E" w:rsidP="007E24DE">
      <w:pPr>
        <w:pStyle w:val="Heading2"/>
        <w:numPr>
          <w:ilvl w:val="0"/>
          <w:numId w:val="0"/>
        </w:numPr>
        <w:spacing w:before="120" w:after="120" w:line="480" w:lineRule="auto"/>
        <w:ind w:left="562" w:hanging="562"/>
        <w:jc w:val="left"/>
      </w:pPr>
      <w:r w:rsidRPr="007E24DE">
        <w:t>Participants</w:t>
      </w:r>
    </w:p>
    <w:p w14:paraId="310962DE" w14:textId="77777777" w:rsidR="00D75D32" w:rsidRPr="007E24DE" w:rsidRDefault="00FB0769" w:rsidP="007E24DE">
      <w:pPr>
        <w:spacing w:line="480" w:lineRule="auto"/>
        <w:ind w:firstLine="562"/>
      </w:pPr>
      <w:r w:rsidRPr="007E24DE">
        <w:t xml:space="preserve">The sample consisted of </w:t>
      </w:r>
      <w:r w:rsidR="000E6E90" w:rsidRPr="007E24DE">
        <w:t>nine</w:t>
      </w:r>
      <w:r w:rsidRPr="007E24DE">
        <w:t xml:space="preserve"> men and </w:t>
      </w:r>
      <w:r w:rsidR="000E6E90" w:rsidRPr="007E24DE">
        <w:t>five</w:t>
      </w:r>
      <w:r w:rsidRPr="007E24DE">
        <w:t xml:space="preserve"> women</w:t>
      </w:r>
      <w:r w:rsidR="00D75D32" w:rsidRPr="007E24DE">
        <w:t xml:space="preserve"> who</w:t>
      </w:r>
      <w:r w:rsidR="000E6E90" w:rsidRPr="007E24DE">
        <w:t xml:space="preserve"> </w:t>
      </w:r>
      <w:r w:rsidRPr="007E24DE">
        <w:t xml:space="preserve">were currently undergoing trauma-focused </w:t>
      </w:r>
      <w:r w:rsidR="00AE7BD6" w:rsidRPr="007E24DE">
        <w:t>treatment</w:t>
      </w:r>
      <w:r w:rsidR="00EA411D" w:rsidRPr="007E24DE">
        <w:t xml:space="preserve">, age </w:t>
      </w:r>
      <w:r w:rsidR="00D75D32" w:rsidRPr="007E24DE">
        <w:t>M=48.50, SD=7.04, range=36-59. The sample was ethnically diverse</w:t>
      </w:r>
      <w:r w:rsidR="00546673">
        <w:t>;</w:t>
      </w:r>
      <w:r w:rsidR="00D75D32" w:rsidRPr="007E24DE">
        <w:t xml:space="preserve"> only 35.7% of the sample (n=5) were of White British origin. Participants had experienced a wide range of traumas including assaults, traffic accidents, armed conflict, torture, genocide, military combat and guerrilla warfare. Eleven participants (78.6%) had experienced interpersonal violence during trauma, and </w:t>
      </w:r>
      <w:r w:rsidR="00F75254">
        <w:t>12</w:t>
      </w:r>
      <w:r w:rsidR="00D75D32" w:rsidRPr="007E24DE">
        <w:t xml:space="preserve"> participants (85.7%) had experienced repeated and/or multiple traumas. The average time since trauma was 21 years (M=21.25, </w:t>
      </w:r>
      <w:r w:rsidR="00D75D32" w:rsidRPr="007E24DE">
        <w:lastRenderedPageBreak/>
        <w:t>SD=10.22, range=5-35). Participants had completed between 20-100 sessions (M=49.00, SD=25.68) of trauma-focused therapy before the survivor guilt intervention.</w:t>
      </w:r>
    </w:p>
    <w:p w14:paraId="50229E0A" w14:textId="77777777" w:rsidR="00E15D30" w:rsidRPr="007E24DE" w:rsidRDefault="00D75D32" w:rsidP="00816201">
      <w:pPr>
        <w:spacing w:line="480" w:lineRule="auto"/>
      </w:pPr>
      <w:r w:rsidRPr="007E24DE">
        <w:t xml:space="preserve">Participants were recruited from two specialist PTSD treatment services. </w:t>
      </w:r>
      <w:r w:rsidR="000E6E90" w:rsidRPr="007E24DE">
        <w:t>Clients who had experienced a traumatic event</w:t>
      </w:r>
      <w:r w:rsidR="00DB45CB" w:rsidRPr="007E24DE">
        <w:t xml:space="preserve"> that involved the death of one or more</w:t>
      </w:r>
      <w:r w:rsidR="000E6E90" w:rsidRPr="007E24DE">
        <w:t xml:space="preserve"> people and reported feelings of survivor guilt were eligible to take part</w:t>
      </w:r>
      <w:r w:rsidR="007C4101" w:rsidRPr="007E24DE">
        <w:t xml:space="preserve"> (22 of 32 </w:t>
      </w:r>
      <w:r w:rsidR="00F2225B" w:rsidRPr="007E24DE">
        <w:t xml:space="preserve">clients that were </w:t>
      </w:r>
      <w:r w:rsidR="007C4101" w:rsidRPr="007E24DE">
        <w:t>approached</w:t>
      </w:r>
      <w:r w:rsidR="00031A14" w:rsidRPr="007E24DE">
        <w:t xml:space="preserve"> for the study</w:t>
      </w:r>
      <w:r w:rsidR="007C4101" w:rsidRPr="007E24DE">
        <w:t>)</w:t>
      </w:r>
      <w:r w:rsidR="000E6E90" w:rsidRPr="007E24DE">
        <w:t>. Clients with active suicidal intent</w:t>
      </w:r>
      <w:r w:rsidR="00F2225B" w:rsidRPr="007E24DE">
        <w:t>,</w:t>
      </w:r>
      <w:r w:rsidR="009F5FF7" w:rsidRPr="007E24DE">
        <w:t xml:space="preserve"> </w:t>
      </w:r>
      <w:r w:rsidR="000E6E90" w:rsidRPr="007E24DE">
        <w:t xml:space="preserve">insufficient English-language ability to complete the measures </w:t>
      </w:r>
      <w:r w:rsidR="00031A14" w:rsidRPr="007E24DE">
        <w:t>and</w:t>
      </w:r>
      <w:r w:rsidR="000E6E90" w:rsidRPr="007E24DE">
        <w:t xml:space="preserve"> for whom participation in the study was not considered in their best interest (e.g., participation would lead to substantial disruption to the treatment plan) were excluded</w:t>
      </w:r>
      <w:r w:rsidR="007C4101" w:rsidRPr="007E24DE">
        <w:t xml:space="preserve"> (</w:t>
      </w:r>
      <w:r w:rsidR="00F2225B" w:rsidRPr="007E24DE">
        <w:t>six clients</w:t>
      </w:r>
      <w:r w:rsidR="007C4101" w:rsidRPr="007E24DE">
        <w:t>)</w:t>
      </w:r>
      <w:r w:rsidR="000E6E90" w:rsidRPr="007E24DE">
        <w:t xml:space="preserve">. </w:t>
      </w:r>
      <w:r w:rsidR="00031A14" w:rsidRPr="007E24DE">
        <w:t xml:space="preserve">Two eligible clients declined participation. </w:t>
      </w:r>
      <w:r w:rsidR="009F5EBF" w:rsidRPr="007E24DE">
        <w:t xml:space="preserve">One participant dropped out </w:t>
      </w:r>
      <w:r w:rsidR="000A65D0" w:rsidRPr="007E24DE">
        <w:t xml:space="preserve">after the elaboration session. Thirteen </w:t>
      </w:r>
      <w:r w:rsidR="00A64928" w:rsidRPr="007E24DE">
        <w:t xml:space="preserve">particpants </w:t>
      </w:r>
      <w:r w:rsidR="00B12DF5" w:rsidRPr="007E24DE">
        <w:t>completed</w:t>
      </w:r>
      <w:r w:rsidR="009A7663" w:rsidRPr="007E24DE">
        <w:t xml:space="preserve"> </w:t>
      </w:r>
      <w:r w:rsidR="007F7E0C" w:rsidRPr="007E24DE">
        <w:t>both</w:t>
      </w:r>
      <w:r w:rsidR="00B218D7" w:rsidRPr="007E24DE">
        <w:t xml:space="preserve"> </w:t>
      </w:r>
      <w:r w:rsidR="000A65D0" w:rsidRPr="007E24DE">
        <w:t xml:space="preserve">sessions </w:t>
      </w:r>
      <w:r w:rsidR="007F7E0C" w:rsidRPr="007E24DE">
        <w:t xml:space="preserve">of the survivor guilt interventions </w:t>
      </w:r>
      <w:r w:rsidR="000A65D0" w:rsidRPr="007E24DE">
        <w:t>and t</w:t>
      </w:r>
      <w:r w:rsidR="00A64928" w:rsidRPr="007E24DE">
        <w:t xml:space="preserve">he </w:t>
      </w:r>
      <w:r w:rsidR="000A65D0" w:rsidRPr="007E24DE">
        <w:t xml:space="preserve">research </w:t>
      </w:r>
      <w:r w:rsidR="00615A00" w:rsidRPr="007E24DE">
        <w:t>measures (in</w:t>
      </w:r>
      <w:r w:rsidR="00B218D7" w:rsidRPr="007E24DE">
        <w:t>c</w:t>
      </w:r>
      <w:r w:rsidR="00615A00" w:rsidRPr="007E24DE">
        <w:t>l</w:t>
      </w:r>
      <w:r w:rsidR="00031581" w:rsidRPr="007E24DE">
        <w:t>uding the follow-</w:t>
      </w:r>
      <w:r w:rsidR="00B218D7" w:rsidRPr="007E24DE">
        <w:t>up time point)</w:t>
      </w:r>
      <w:r w:rsidR="00B12DF5" w:rsidRPr="007E24DE">
        <w:t xml:space="preserve">. </w:t>
      </w:r>
      <w:r w:rsidR="00F05688">
        <w:t>This was considered an adequate sample, given a</w:t>
      </w:r>
      <w:r w:rsidR="00EA411D" w:rsidRPr="007E24DE">
        <w:t xml:space="preserve"> power analysis based on the findings of </w:t>
      </w:r>
      <w:r w:rsidR="0083590A" w:rsidRPr="007E24DE">
        <w:t>Wild et al. (2008) indicat</w:t>
      </w:r>
      <w:r w:rsidR="00C6676E" w:rsidRPr="007E24DE">
        <w:t xml:space="preserve">ed that a sample of </w:t>
      </w:r>
      <w:r w:rsidR="00A121AC" w:rsidRPr="007E24DE">
        <w:t xml:space="preserve">11 </w:t>
      </w:r>
      <w:r w:rsidR="00C6676E" w:rsidRPr="007E24DE">
        <w:t xml:space="preserve">participants </w:t>
      </w:r>
      <w:r w:rsidR="00EA411D" w:rsidRPr="007E24DE">
        <w:t xml:space="preserve">was sufficient </w:t>
      </w:r>
      <w:r w:rsidR="00C6676E" w:rsidRPr="007E24DE">
        <w:t xml:space="preserve">to detect an effect </w:t>
      </w:r>
      <w:r w:rsidR="00EA411D" w:rsidRPr="007E24DE">
        <w:t>at</w:t>
      </w:r>
      <w:r w:rsidR="00C6676E" w:rsidRPr="007E24DE">
        <w:t xml:space="preserve"> 80% power.</w:t>
      </w:r>
    </w:p>
    <w:p w14:paraId="5B15B2BC" w14:textId="77777777" w:rsidR="00C6676E" w:rsidRPr="007E24DE" w:rsidRDefault="00C6676E" w:rsidP="007E24DE">
      <w:pPr>
        <w:pStyle w:val="Heading2"/>
        <w:numPr>
          <w:ilvl w:val="0"/>
          <w:numId w:val="0"/>
        </w:numPr>
        <w:spacing w:line="480" w:lineRule="auto"/>
        <w:ind w:left="576" w:hanging="576"/>
      </w:pPr>
      <w:r w:rsidRPr="007E24DE">
        <w:t>Imagery interview</w:t>
      </w:r>
    </w:p>
    <w:p w14:paraId="6A76AC9D" w14:textId="77777777" w:rsidR="00E15D30" w:rsidRPr="007E24DE" w:rsidRDefault="00C6676E" w:rsidP="00816201">
      <w:pPr>
        <w:spacing w:line="480" w:lineRule="auto"/>
      </w:pPr>
      <w:r w:rsidRPr="007E24DE">
        <w:t xml:space="preserve">An imagery interview was carried out before the </w:t>
      </w:r>
      <w:r w:rsidR="00816350" w:rsidRPr="007E24DE">
        <w:t xml:space="preserve">first </w:t>
      </w:r>
      <w:r w:rsidR="001E5E93" w:rsidRPr="007E24DE">
        <w:t xml:space="preserve">imagery </w:t>
      </w:r>
      <w:r w:rsidRPr="007E24DE">
        <w:t>session</w:t>
      </w:r>
      <w:r w:rsidR="00F47537" w:rsidRPr="007E24DE">
        <w:t>, following</w:t>
      </w:r>
      <w:r w:rsidRPr="007E24DE">
        <w:t xml:space="preserve"> a similar process to Wild et al. (2008). The aim of the interview was to elicit imagery that was </w:t>
      </w:r>
      <w:r w:rsidR="00210480" w:rsidRPr="007E24DE">
        <w:t xml:space="preserve">emotionally </w:t>
      </w:r>
      <w:r w:rsidRPr="007E24DE">
        <w:t>linked to survivor guilt and</w:t>
      </w:r>
      <w:r w:rsidR="00A121AC" w:rsidRPr="007E24DE">
        <w:t xml:space="preserve"> to</w:t>
      </w:r>
      <w:r w:rsidRPr="007E24DE">
        <w:t xml:space="preserve"> identify the </w:t>
      </w:r>
      <w:r w:rsidR="00072343" w:rsidRPr="007E24DE">
        <w:t>personal meaning of this</w:t>
      </w:r>
      <w:r w:rsidR="00210480" w:rsidRPr="007E24DE">
        <w:t xml:space="preserve"> imagery (‘</w:t>
      </w:r>
      <w:r w:rsidRPr="007E24DE">
        <w:t>encapsulated belief</w:t>
      </w:r>
      <w:r w:rsidR="00210480" w:rsidRPr="007E24DE">
        <w:t>’)</w:t>
      </w:r>
      <w:r w:rsidRPr="007E24DE">
        <w:t>.</w:t>
      </w:r>
      <w:r w:rsidR="00EA411D" w:rsidRPr="007E24DE">
        <w:t xml:space="preserve"> </w:t>
      </w:r>
      <w:r w:rsidRPr="007E24DE">
        <w:t xml:space="preserve">Participants were given a brief explanation of mental imagery. They were asked to focus on their feelings of survivor guilt and notice any images that went through their mind. Optional prompts were offered when necessary to identify relevant imagery. The most upsetting </w:t>
      </w:r>
      <w:r w:rsidR="00551FF2" w:rsidRPr="007E24DE">
        <w:t>image</w:t>
      </w:r>
      <w:r w:rsidRPr="007E24DE">
        <w:t xml:space="preserve">, or the image that was most closely </w:t>
      </w:r>
      <w:r w:rsidR="00551FF2" w:rsidRPr="007E24DE">
        <w:t xml:space="preserve">connected </w:t>
      </w:r>
      <w:r w:rsidRPr="007E24DE">
        <w:t xml:space="preserve">to survivor guilt, was selected by the participant. Participants were </w:t>
      </w:r>
      <w:r w:rsidR="00EA411D" w:rsidRPr="007E24DE">
        <w:t>the</w:t>
      </w:r>
      <w:r w:rsidR="00F2122C" w:rsidRPr="007E24DE">
        <w:t>n</w:t>
      </w:r>
      <w:r w:rsidR="00EA411D" w:rsidRPr="007E24DE">
        <w:t xml:space="preserve"> </w:t>
      </w:r>
      <w:r w:rsidRPr="007E24DE">
        <w:t xml:space="preserve">asked </w:t>
      </w:r>
      <w:r w:rsidR="00EA411D" w:rsidRPr="007E24DE">
        <w:t>about the meaning of</w:t>
      </w:r>
      <w:r w:rsidRPr="007E24DE">
        <w:t xml:space="preserve"> the survivor guilt image</w:t>
      </w:r>
      <w:r w:rsidR="00EA411D" w:rsidRPr="007E24DE">
        <w:t>, with t</w:t>
      </w:r>
      <w:r w:rsidR="00384434" w:rsidRPr="007E24DE">
        <w:t>herapists</w:t>
      </w:r>
      <w:r w:rsidR="00D87248" w:rsidRPr="007E24DE">
        <w:t>’</w:t>
      </w:r>
      <w:r w:rsidR="00C074B8" w:rsidRPr="007E24DE">
        <w:t xml:space="preserve"> prompts </w:t>
      </w:r>
      <w:r w:rsidR="00EA411D" w:rsidRPr="007E24DE">
        <w:t xml:space="preserve">used as needed </w:t>
      </w:r>
      <w:r w:rsidR="00C074B8" w:rsidRPr="007E24DE">
        <w:t xml:space="preserve">to help </w:t>
      </w:r>
      <w:r w:rsidR="00384434" w:rsidRPr="007E24DE">
        <w:t xml:space="preserve">participants </w:t>
      </w:r>
      <w:r w:rsidR="00C074B8" w:rsidRPr="007E24DE">
        <w:t xml:space="preserve">identify the worst </w:t>
      </w:r>
      <w:r w:rsidR="001C27ED" w:rsidRPr="007E24DE">
        <w:t xml:space="preserve">thing </w:t>
      </w:r>
      <w:r w:rsidR="001C27ED" w:rsidRPr="007E24DE">
        <w:lastRenderedPageBreak/>
        <w:t>about the image and/or what it said about them, others, the world or their future</w:t>
      </w:r>
      <w:r w:rsidR="00031A14" w:rsidRPr="007E24DE">
        <w:t xml:space="preserve"> (</w:t>
      </w:r>
      <w:r w:rsidR="00CE0E4C" w:rsidRPr="007E24DE">
        <w:t xml:space="preserve">Wild et al., </w:t>
      </w:r>
      <w:r w:rsidR="00F21431" w:rsidRPr="007E24DE">
        <w:t>2008</w:t>
      </w:r>
      <w:r w:rsidR="00031A14" w:rsidRPr="007E24DE">
        <w:t>)</w:t>
      </w:r>
      <w:r w:rsidRPr="007E24DE">
        <w:t>.</w:t>
      </w:r>
      <w:r w:rsidR="00CE0E4C" w:rsidRPr="007E24DE">
        <w:t xml:space="preserve"> </w:t>
      </w:r>
    </w:p>
    <w:p w14:paraId="65C8E677" w14:textId="77777777" w:rsidR="00C6676E" w:rsidRPr="007E24DE" w:rsidRDefault="00C6676E" w:rsidP="007E24DE">
      <w:pPr>
        <w:pStyle w:val="Heading2"/>
        <w:numPr>
          <w:ilvl w:val="0"/>
          <w:numId w:val="0"/>
        </w:numPr>
        <w:spacing w:line="480" w:lineRule="auto"/>
        <w:ind w:left="576" w:hanging="576"/>
      </w:pPr>
      <w:r w:rsidRPr="007E24DE">
        <w:t>Measures</w:t>
      </w:r>
    </w:p>
    <w:p w14:paraId="673E3E7E" w14:textId="77777777" w:rsidR="00C6676E" w:rsidRPr="007E24DE" w:rsidRDefault="00EC6856" w:rsidP="007E24DE">
      <w:pPr>
        <w:spacing w:line="480" w:lineRule="auto"/>
      </w:pPr>
      <w:r w:rsidRPr="007E24DE">
        <w:rPr>
          <w:lang w:val="en-US"/>
        </w:rPr>
        <w:t>Based on the design used by</w:t>
      </w:r>
      <w:r w:rsidRPr="007E24DE">
        <w:t xml:space="preserve"> Wild et al.</w:t>
      </w:r>
      <w:r w:rsidR="00BC02AA" w:rsidRPr="007E24DE">
        <w:t xml:space="preserve"> (2008)</w:t>
      </w:r>
      <w:r w:rsidR="000576C5" w:rsidRPr="007E24DE">
        <w:t>,</w:t>
      </w:r>
      <w:r w:rsidRPr="007E24DE">
        <w:rPr>
          <w:lang w:val="en-US"/>
        </w:rPr>
        <w:t xml:space="preserve"> weekly </w:t>
      </w:r>
      <w:r w:rsidR="00C6676E" w:rsidRPr="007E24DE">
        <w:t xml:space="preserve">measures and single-item VASs were administered before each session and one week after the </w:t>
      </w:r>
      <w:r w:rsidR="00D62756" w:rsidRPr="007E24DE">
        <w:t>research intervention (follow-up)</w:t>
      </w:r>
      <w:r w:rsidR="00C6676E" w:rsidRPr="007E24DE">
        <w:t xml:space="preserve">. </w:t>
      </w:r>
      <w:r w:rsidR="000576C5" w:rsidRPr="007E24DE">
        <w:t>The s</w:t>
      </w:r>
      <w:r w:rsidR="00C6676E" w:rsidRPr="007E24DE">
        <w:t xml:space="preserve">ingle-item </w:t>
      </w:r>
      <w:r w:rsidR="00B2049F" w:rsidRPr="007E24DE">
        <w:t>scales</w:t>
      </w:r>
      <w:r w:rsidR="00C6676E" w:rsidRPr="007E24DE">
        <w:t xml:space="preserve"> were also administered after each session.</w:t>
      </w:r>
    </w:p>
    <w:p w14:paraId="59F04AC1" w14:textId="77777777" w:rsidR="00A14649" w:rsidRPr="007E24DE" w:rsidRDefault="007032BE" w:rsidP="007E24DE">
      <w:pPr>
        <w:spacing w:line="480" w:lineRule="auto"/>
      </w:pPr>
      <w:r w:rsidRPr="007E24DE">
        <w:rPr>
          <w:b/>
          <w:i/>
        </w:rPr>
        <w:t>Process measures</w:t>
      </w:r>
      <w:r w:rsidRPr="007E24DE">
        <w:t xml:space="preserve">.  </w:t>
      </w:r>
      <w:r w:rsidR="00E66447" w:rsidRPr="007E24DE">
        <w:t>Three s</w:t>
      </w:r>
      <w:r w:rsidR="00E66A22" w:rsidRPr="007E24DE">
        <w:t xml:space="preserve">ingle-item VASs </w:t>
      </w:r>
      <w:r w:rsidR="001A38CA" w:rsidRPr="007E24DE">
        <w:t xml:space="preserve">of process variables </w:t>
      </w:r>
      <w:r w:rsidR="00C15DEA" w:rsidRPr="007E24DE">
        <w:t>(</w:t>
      </w:r>
      <w:r w:rsidR="00641FAD" w:rsidRPr="007E24DE">
        <w:t xml:space="preserve">adapted from </w:t>
      </w:r>
      <w:r w:rsidR="00C15DEA" w:rsidRPr="007E24DE">
        <w:t xml:space="preserve">Wild et al., </w:t>
      </w:r>
      <w:r w:rsidR="00E66A22" w:rsidRPr="007E24DE">
        <w:t>2008)</w:t>
      </w:r>
      <w:r w:rsidR="00C15DEA" w:rsidRPr="007E24DE">
        <w:t xml:space="preserve"> </w:t>
      </w:r>
      <w:r w:rsidR="00641FAD" w:rsidRPr="007E24DE">
        <w:t>were selected as the primary outcome measures.</w:t>
      </w:r>
      <w:r w:rsidR="003F15DD" w:rsidRPr="007E24DE">
        <w:t xml:space="preserve"> </w:t>
      </w:r>
      <w:r w:rsidR="00483AAA" w:rsidRPr="007E24DE">
        <w:t>VAS-ID measured distress associated with the survivor guilt imagery</w:t>
      </w:r>
      <w:r w:rsidR="00B647B2" w:rsidRPr="007E24DE">
        <w:t>;</w:t>
      </w:r>
      <w:r w:rsidR="00483AAA" w:rsidRPr="007E24DE">
        <w:t xml:space="preserve"> participants were asked to dwell on their image for a few moments and rate the distress that the imagery caused them </w:t>
      </w:r>
      <w:r w:rsidR="00483AAA" w:rsidRPr="007E24DE">
        <w:rPr>
          <w:i/>
        </w:rPr>
        <w:t>right now</w:t>
      </w:r>
      <w:r w:rsidR="00BD3A95" w:rsidRPr="007E24DE">
        <w:rPr>
          <w:i/>
        </w:rPr>
        <w:t xml:space="preserve"> </w:t>
      </w:r>
      <w:r w:rsidR="00F14FE0" w:rsidRPr="007E24DE">
        <w:t>(range</w:t>
      </w:r>
      <w:r w:rsidR="00254D84" w:rsidRPr="007E24DE">
        <w:t xml:space="preserve"> 0-</w:t>
      </w:r>
      <w:r w:rsidR="00BD3A95" w:rsidRPr="007E24DE">
        <w:t>100%)</w:t>
      </w:r>
      <w:r w:rsidR="00483AAA" w:rsidRPr="007E24DE">
        <w:t xml:space="preserve">. </w:t>
      </w:r>
      <w:r w:rsidR="00C6676E" w:rsidRPr="007E24DE">
        <w:t>The encapsulated belief item (VAS-EB) consisted of a statement that summarised the meaning of the participant’s survivor guilt imagery</w:t>
      </w:r>
      <w:r w:rsidR="00D31EDA" w:rsidRPr="007E24DE">
        <w:t xml:space="preserve"> derived from the imagery interview</w:t>
      </w:r>
      <w:r w:rsidR="00E94B98" w:rsidRPr="007E24DE">
        <w:t xml:space="preserve">. </w:t>
      </w:r>
      <w:r w:rsidR="00B717A6" w:rsidRPr="007E24DE">
        <w:t xml:space="preserve">VAS-SG measured participants’ feelings of survivor guilt. Participants </w:t>
      </w:r>
      <w:r w:rsidR="00594AD3" w:rsidRPr="007E24DE">
        <w:t xml:space="preserve">were asked to </w:t>
      </w:r>
      <w:r w:rsidR="00B717A6" w:rsidRPr="007E24DE">
        <w:t xml:space="preserve">rate their encapsulated belief and how strong their feelings of survivor guilt were </w:t>
      </w:r>
      <w:r w:rsidR="00B717A6" w:rsidRPr="007E24DE">
        <w:rPr>
          <w:i/>
        </w:rPr>
        <w:t>right now</w:t>
      </w:r>
      <w:r w:rsidR="00C6676E" w:rsidRPr="007E24DE">
        <w:t>.</w:t>
      </w:r>
    </w:p>
    <w:p w14:paraId="7270A5ED" w14:textId="77777777" w:rsidR="00337051" w:rsidRPr="007E24DE" w:rsidRDefault="00337051" w:rsidP="007E24DE">
      <w:pPr>
        <w:spacing w:line="480" w:lineRule="auto"/>
        <w:rPr>
          <w:lang w:val="en-US"/>
        </w:rPr>
      </w:pPr>
      <w:r w:rsidRPr="007E24DE">
        <w:rPr>
          <w:b/>
          <w:i/>
        </w:rPr>
        <w:t>Weekly symptom measures</w:t>
      </w:r>
      <w:r w:rsidRPr="007E24DE">
        <w:t xml:space="preserve">. Post-traumatic stress symptoms were measured using Part 3 of the Post-traumatic Diagnostic Scale (PDS; </w:t>
      </w:r>
      <w:r w:rsidRPr="007E24DE">
        <w:rPr>
          <w:lang w:val="en-US"/>
        </w:rPr>
        <w:t>Foa, 1995</w:t>
      </w:r>
      <w:r w:rsidRPr="007E24DE">
        <w:t xml:space="preserve">), which  measures 17 PTSD symptoms across three clusters (DSM-IV diagnostic criteria; American Psychiatric Association, 1994). </w:t>
      </w:r>
      <w:r w:rsidRPr="007E24DE">
        <w:rPr>
          <w:lang w:val="en-US"/>
        </w:rPr>
        <w:t xml:space="preserve">Participants who experienced PTSD symptoms relating to multiple traumatic events were instructed to rate the combined impact of these. The decision to administer the PDS as an overall PTSD symptoms measures (rather than to a specific trauma) was made because it was unclear if survivor guilt would relate to a specific event, multiple events, or an accumulated effect. </w:t>
      </w:r>
      <w:r w:rsidRPr="007E24DE">
        <w:t xml:space="preserve">Depression was measured using the Patient Health Questionnaire-9 (PHQ-9; </w:t>
      </w:r>
      <w:r w:rsidRPr="007E24DE">
        <w:rPr>
          <w:lang w:val="en-US"/>
        </w:rPr>
        <w:t>Kroenke, Spitzer, &amp; Williams, 2001</w:t>
      </w:r>
      <w:r w:rsidRPr="007E24DE">
        <w:t>). The time frames of both questionnaires were changed to measure symptoms over the past week to capture potential changes following each session.</w:t>
      </w:r>
    </w:p>
    <w:p w14:paraId="669A70CD" w14:textId="77777777" w:rsidR="00337051" w:rsidRPr="007E24DE" w:rsidRDefault="00337051" w:rsidP="007E24DE">
      <w:pPr>
        <w:spacing w:line="480" w:lineRule="auto"/>
      </w:pPr>
      <w:r w:rsidRPr="007E24DE">
        <w:lastRenderedPageBreak/>
        <w:t xml:space="preserve"> Weekly survivor guilt was measured using two relevant items from the Clinician Administered PTSD Scale (Blake et al., 1995). The items were presented along with a written operational definition of survivor guilt. Participants rated frequency and intensity over the past week, and ratings were combined into a total score. </w:t>
      </w:r>
      <w:r w:rsidR="00C22F6E" w:rsidRPr="007E24DE">
        <w:rPr>
          <w:lang w:val="en-US"/>
        </w:rPr>
        <w:t>I</w:t>
      </w:r>
      <w:r w:rsidRPr="007E24DE">
        <w:rPr>
          <w:lang w:val="en-US"/>
        </w:rPr>
        <w:t xml:space="preserve">magery </w:t>
      </w:r>
      <w:r w:rsidR="00C22F6E" w:rsidRPr="007E24DE">
        <w:t>over the past week was measured</w:t>
      </w:r>
      <w:r w:rsidRPr="007E24DE">
        <w:t xml:space="preserve"> using</w:t>
      </w:r>
      <w:r w:rsidRPr="007E24DE">
        <w:rPr>
          <w:lang w:val="en-US"/>
        </w:rPr>
        <w:t xml:space="preserve"> </w:t>
      </w:r>
      <w:r w:rsidRPr="007E24DE">
        <w:t>two VASs found to be reliable in</w:t>
      </w:r>
      <w:r w:rsidRPr="007E24DE">
        <w:rPr>
          <w:lang w:val="en-US"/>
        </w:rPr>
        <w:t xml:space="preserve"> the </w:t>
      </w:r>
      <w:r w:rsidRPr="007E24DE">
        <w:t>Wild et al. (2008) study: frequency of the imagery and associated distress. These were</w:t>
      </w:r>
      <w:r w:rsidR="008E3BBC" w:rsidRPr="007E24DE">
        <w:t xml:space="preserve"> also</w:t>
      </w:r>
      <w:r w:rsidRPr="007E24DE">
        <w:t xml:space="preserve"> combined into a single score.</w:t>
      </w:r>
    </w:p>
    <w:p w14:paraId="4DE6647A" w14:textId="77777777" w:rsidR="00E15D30" w:rsidRPr="007E24DE" w:rsidRDefault="00C36A4C" w:rsidP="00816201">
      <w:pPr>
        <w:spacing w:line="480" w:lineRule="auto"/>
      </w:pPr>
      <w:r w:rsidRPr="007E24DE">
        <w:rPr>
          <w:b/>
          <w:i/>
        </w:rPr>
        <w:t>Guilt and imagery codes</w:t>
      </w:r>
      <w:r w:rsidRPr="007E24DE">
        <w:t xml:space="preserve">. </w:t>
      </w:r>
      <w:r w:rsidR="009374E7" w:rsidRPr="007E24DE">
        <w:t xml:space="preserve">Participants’ survivor guilt </w:t>
      </w:r>
      <w:r w:rsidR="009374E7" w:rsidRPr="007E24DE">
        <w:rPr>
          <w:lang w:val="en-US"/>
        </w:rPr>
        <w:t xml:space="preserve">was </w:t>
      </w:r>
      <w:r w:rsidR="009374E7" w:rsidRPr="007E24DE">
        <w:t>coded into existential and content sub-types</w:t>
      </w:r>
      <w:r w:rsidR="009374E7" w:rsidRPr="007E24DE">
        <w:rPr>
          <w:lang w:val="en-US"/>
        </w:rPr>
        <w:t xml:space="preserve"> using audio transcripts of the imagery interview</w:t>
      </w:r>
      <w:r w:rsidR="009374E7" w:rsidRPr="007E24DE">
        <w:t>. Most participants described both existential and content guilt</w:t>
      </w:r>
      <w:r w:rsidR="00D87248" w:rsidRPr="007E24DE">
        <w:rPr>
          <w:lang w:val="en-US"/>
        </w:rPr>
        <w:t>.</w:t>
      </w:r>
      <w:r w:rsidR="009374E7" w:rsidRPr="007E24DE">
        <w:rPr>
          <w:lang w:val="en-US"/>
        </w:rPr>
        <w:t xml:space="preserve"> </w:t>
      </w:r>
      <w:r w:rsidR="00D87248" w:rsidRPr="007E24DE">
        <w:rPr>
          <w:lang w:val="en-US"/>
        </w:rPr>
        <w:t>T</w:t>
      </w:r>
      <w:r w:rsidR="009374E7" w:rsidRPr="007E24DE">
        <w:rPr>
          <w:lang w:val="en-US"/>
        </w:rPr>
        <w:t>wo</w:t>
      </w:r>
      <w:r w:rsidR="009374E7" w:rsidRPr="007E24DE">
        <w:t xml:space="preserve"> independent raters showed perfect agree</w:t>
      </w:r>
      <w:r w:rsidR="00D42DE4" w:rsidRPr="007E24DE">
        <w:t>ment when coding primary</w:t>
      </w:r>
      <w:r w:rsidR="009374E7" w:rsidRPr="007E24DE">
        <w:t xml:space="preserve"> guilt type. One of the raters was completely blind to the objectives of the research project and other coded variables. </w:t>
      </w:r>
      <w:r w:rsidR="009A3364" w:rsidRPr="007E24DE">
        <w:rPr>
          <w:lang w:val="en-US"/>
        </w:rPr>
        <w:t>Survivor guilt i</w:t>
      </w:r>
      <w:r w:rsidR="008C2570" w:rsidRPr="007E24DE">
        <w:rPr>
          <w:lang w:val="en-US"/>
        </w:rPr>
        <w:t>magery was originally coded</w:t>
      </w:r>
      <w:r w:rsidR="009A3364" w:rsidRPr="007E24DE">
        <w:rPr>
          <w:lang w:val="en-US"/>
        </w:rPr>
        <w:t xml:space="preserve"> by participants</w:t>
      </w:r>
      <w:r w:rsidR="008C2570" w:rsidRPr="007E24DE">
        <w:rPr>
          <w:lang w:val="en-US"/>
        </w:rPr>
        <w:t xml:space="preserve"> </w:t>
      </w:r>
      <w:r w:rsidR="00AF7952" w:rsidRPr="007E24DE">
        <w:rPr>
          <w:lang w:val="en-US"/>
        </w:rPr>
        <w:t xml:space="preserve">as </w:t>
      </w:r>
      <w:r w:rsidR="0046000B" w:rsidRPr="007E24DE">
        <w:t xml:space="preserve">trauma </w:t>
      </w:r>
      <w:r w:rsidR="00C6676E" w:rsidRPr="007E24DE">
        <w:t>memory</w:t>
      </w:r>
      <w:r w:rsidR="00AF7952" w:rsidRPr="007E24DE">
        <w:t xml:space="preserve">, </w:t>
      </w:r>
      <w:r w:rsidR="003F0B47" w:rsidRPr="007E24DE">
        <w:t>non-trauma</w:t>
      </w:r>
      <w:r w:rsidR="005C7018" w:rsidRPr="007E24DE">
        <w:t xml:space="preserve"> </w:t>
      </w:r>
      <w:r w:rsidR="00B17074" w:rsidRPr="007E24DE">
        <w:t xml:space="preserve">memory </w:t>
      </w:r>
      <w:r w:rsidR="00EF4953" w:rsidRPr="007E24DE">
        <w:t>or</w:t>
      </w:r>
      <w:r w:rsidR="00C6676E" w:rsidRPr="007E24DE">
        <w:t xml:space="preserve"> constructed imagery. </w:t>
      </w:r>
      <w:r w:rsidR="008C2570" w:rsidRPr="007E24DE">
        <w:rPr>
          <w:lang w:val="en-US"/>
        </w:rPr>
        <w:t xml:space="preserve">These </w:t>
      </w:r>
      <w:r w:rsidR="009A3364" w:rsidRPr="007E24DE">
        <w:rPr>
          <w:lang w:val="en-US"/>
        </w:rPr>
        <w:t xml:space="preserve">categories </w:t>
      </w:r>
      <w:r w:rsidR="00D42DE4" w:rsidRPr="007E24DE">
        <w:rPr>
          <w:lang w:val="en-US"/>
        </w:rPr>
        <w:t>proved problematic because s</w:t>
      </w:r>
      <w:r w:rsidR="00746127" w:rsidRPr="007E24DE">
        <w:rPr>
          <w:lang w:val="en-US"/>
        </w:rPr>
        <w:t>ome participants reported imagery that fitted multiple codes</w:t>
      </w:r>
      <w:r w:rsidR="00D42DE4" w:rsidRPr="007E24DE">
        <w:rPr>
          <w:lang w:val="en-US"/>
        </w:rPr>
        <w:t xml:space="preserve"> (e.g., trauma memory with </w:t>
      </w:r>
      <w:r w:rsidR="005C71F4" w:rsidRPr="007E24DE">
        <w:rPr>
          <w:lang w:val="en-US"/>
        </w:rPr>
        <w:t>const</w:t>
      </w:r>
      <w:r w:rsidR="00D42DE4" w:rsidRPr="007E24DE">
        <w:rPr>
          <w:lang w:val="en-US"/>
        </w:rPr>
        <w:t>r</w:t>
      </w:r>
      <w:r w:rsidR="005C71F4" w:rsidRPr="007E24DE">
        <w:rPr>
          <w:lang w:val="en-US"/>
        </w:rPr>
        <w:t>ucted components)</w:t>
      </w:r>
      <w:r w:rsidR="00746127" w:rsidRPr="007E24DE">
        <w:rPr>
          <w:lang w:val="en-US"/>
        </w:rPr>
        <w:t xml:space="preserve">. </w:t>
      </w:r>
      <w:r w:rsidR="00134A42" w:rsidRPr="007E24DE">
        <w:rPr>
          <w:lang w:val="en-US"/>
        </w:rPr>
        <w:t xml:space="preserve">Furthermore, detailed inspection of </w:t>
      </w:r>
      <w:r w:rsidR="009374E7" w:rsidRPr="007E24DE">
        <w:rPr>
          <w:lang w:val="en-US"/>
        </w:rPr>
        <w:t>audio transcripts revealed that</w:t>
      </w:r>
      <w:r w:rsidR="00556D8E" w:rsidRPr="007E24DE">
        <w:t xml:space="preserve"> all </w:t>
      </w:r>
      <w:r w:rsidR="00C6676E" w:rsidRPr="007E24DE">
        <w:t xml:space="preserve">imagery that was classified as </w:t>
      </w:r>
      <w:r w:rsidR="00A60F53" w:rsidRPr="007E24DE">
        <w:t>‘</w:t>
      </w:r>
      <w:r w:rsidR="00C6676E" w:rsidRPr="007E24DE">
        <w:t>non-trauma</w:t>
      </w:r>
      <w:r w:rsidR="00A60F53" w:rsidRPr="007E24DE">
        <w:t xml:space="preserve"> memory</w:t>
      </w:r>
      <w:r w:rsidR="00C6676E" w:rsidRPr="007E24DE">
        <w:t xml:space="preserve">’ </w:t>
      </w:r>
      <w:r w:rsidR="00556D8E" w:rsidRPr="007E24DE">
        <w:t>were memories</w:t>
      </w:r>
      <w:r w:rsidR="00C6676E" w:rsidRPr="007E24DE">
        <w:t xml:space="preserve"> of the la</w:t>
      </w:r>
      <w:r w:rsidR="00C74663" w:rsidRPr="007E24DE">
        <w:t>st contact with the deceased. Several participants noted that this was the</w:t>
      </w:r>
      <w:r w:rsidR="00C6676E" w:rsidRPr="007E24DE">
        <w:t xml:space="preserve"> last opportunity </w:t>
      </w:r>
      <w:r w:rsidR="00C74663" w:rsidRPr="007E24DE">
        <w:t xml:space="preserve">that they had </w:t>
      </w:r>
      <w:r w:rsidR="00C6676E" w:rsidRPr="007E24DE">
        <w:t xml:space="preserve">to intervene and prevent death. The survivor guilt imagery was </w:t>
      </w:r>
      <w:r w:rsidR="0081477C" w:rsidRPr="007E24DE">
        <w:t>re</w:t>
      </w:r>
      <w:r w:rsidR="00C6676E" w:rsidRPr="007E24DE">
        <w:t xml:space="preserve">coded </w:t>
      </w:r>
      <w:r w:rsidR="00136883" w:rsidRPr="007E24DE">
        <w:t xml:space="preserve">by one of the researchers </w:t>
      </w:r>
      <w:r w:rsidR="000159EF" w:rsidRPr="007E24DE">
        <w:t xml:space="preserve">and </w:t>
      </w:r>
      <w:r w:rsidR="004E21C4" w:rsidRPr="007E24DE">
        <w:t xml:space="preserve">instead </w:t>
      </w:r>
      <w:r w:rsidR="005A6CE0">
        <w:t>categorized according to</w:t>
      </w:r>
      <w:r w:rsidR="000159EF" w:rsidRPr="007E24DE">
        <w:t xml:space="preserve"> whether it</w:t>
      </w:r>
      <w:r w:rsidR="0081477C" w:rsidRPr="007E24DE">
        <w:t xml:space="preserve"> </w:t>
      </w:r>
      <w:r w:rsidR="000159EF" w:rsidRPr="007E24DE">
        <w:t>contained</w:t>
      </w:r>
      <w:r w:rsidR="00DA29E0" w:rsidRPr="007E24DE">
        <w:t xml:space="preserve"> the following </w:t>
      </w:r>
      <w:r w:rsidR="0046000B" w:rsidRPr="007E24DE">
        <w:t>elements</w:t>
      </w:r>
      <w:r w:rsidR="00165D67" w:rsidRPr="007E24DE">
        <w:t>:</w:t>
      </w:r>
      <w:r w:rsidR="004E21C4" w:rsidRPr="007E24DE">
        <w:t xml:space="preserve"> </w:t>
      </w:r>
      <w:r w:rsidR="00C6676E" w:rsidRPr="007E24DE">
        <w:t xml:space="preserve">(1) </w:t>
      </w:r>
      <w:r w:rsidR="004E21C4" w:rsidRPr="007E24DE">
        <w:t xml:space="preserve">trauma memory, </w:t>
      </w:r>
      <w:r w:rsidR="000159EF" w:rsidRPr="007E24DE">
        <w:t xml:space="preserve">(2) </w:t>
      </w:r>
      <w:r w:rsidR="00C6676E" w:rsidRPr="007E24DE">
        <w:t>memory of the la</w:t>
      </w:r>
      <w:r w:rsidR="00C74663" w:rsidRPr="007E24DE">
        <w:t>st contact with the deceased</w:t>
      </w:r>
      <w:r w:rsidR="004E21C4" w:rsidRPr="007E24DE">
        <w:t xml:space="preserve">, </w:t>
      </w:r>
      <w:r w:rsidR="00AF6122" w:rsidRPr="007E24DE">
        <w:t xml:space="preserve">and </w:t>
      </w:r>
      <w:r w:rsidR="00C6676E" w:rsidRPr="007E24DE">
        <w:t>(3) constructed imagery.</w:t>
      </w:r>
      <w:r w:rsidR="00EF2CA0" w:rsidRPr="007E24DE">
        <w:rPr>
          <w:lang w:val="en-US"/>
        </w:rPr>
        <w:t xml:space="preserve"> </w:t>
      </w:r>
      <w:r w:rsidR="00BC3715" w:rsidRPr="007E24DE">
        <w:t>Constructed imagery described imagery that was not a memory of an event; it included real events that the participant was told about but did not witness directly (e.g., friend’s grieving family), and images that were imagined by the participant (e.g., bones in the ground).</w:t>
      </w:r>
    </w:p>
    <w:p w14:paraId="1AA98DC4" w14:textId="77777777" w:rsidR="004173B3" w:rsidRPr="007E24DE" w:rsidRDefault="00C36A4C" w:rsidP="007E24DE">
      <w:pPr>
        <w:spacing w:line="480" w:lineRule="auto"/>
        <w:ind w:firstLine="0"/>
      </w:pPr>
      <w:r w:rsidRPr="007E24DE">
        <w:rPr>
          <w:b/>
        </w:rPr>
        <w:t>Imagery rescripting intervention</w:t>
      </w:r>
    </w:p>
    <w:p w14:paraId="75B04BD3" w14:textId="77777777" w:rsidR="00C6676E" w:rsidRPr="007E24DE" w:rsidRDefault="00C6676E" w:rsidP="007E24DE">
      <w:pPr>
        <w:spacing w:line="480" w:lineRule="auto"/>
      </w:pPr>
      <w:r w:rsidRPr="007E24DE">
        <w:lastRenderedPageBreak/>
        <w:t xml:space="preserve">The </w:t>
      </w:r>
      <w:r w:rsidR="00AE4CC7" w:rsidRPr="007E24DE">
        <w:t xml:space="preserve">evaluated </w:t>
      </w:r>
      <w:r w:rsidRPr="007E24DE">
        <w:t xml:space="preserve">intervention consisted of two consecutive </w:t>
      </w:r>
      <w:r w:rsidR="00E93345" w:rsidRPr="007E24DE">
        <w:t>therapy sessions (45-60 minutes)</w:t>
      </w:r>
      <w:r w:rsidR="008F1D68" w:rsidRPr="007E24DE">
        <w:t xml:space="preserve"> </w:t>
      </w:r>
      <w:r w:rsidR="00E93345" w:rsidRPr="007E24DE">
        <w:t>that were offered as a treatment component</w:t>
      </w:r>
      <w:r w:rsidR="00B074C6" w:rsidRPr="007E24DE">
        <w:t xml:space="preserve"> supplementing regular treatment</w:t>
      </w:r>
      <w:r w:rsidR="00CC69EA" w:rsidRPr="007E24DE">
        <w:t xml:space="preserve"> (based on Wild et al., 2008)</w:t>
      </w:r>
      <w:r w:rsidR="00B72647" w:rsidRPr="007E24DE">
        <w:rPr>
          <w:lang w:val="en-US"/>
        </w:rPr>
        <w:t>.</w:t>
      </w:r>
      <w:r w:rsidR="00CE3E81" w:rsidRPr="007E24DE">
        <w:t xml:space="preserve"> </w:t>
      </w:r>
      <w:r w:rsidRPr="007E24DE">
        <w:t>The research intervention was embedded within participant</w:t>
      </w:r>
      <w:r w:rsidR="0095210F">
        <w:t>’</w:t>
      </w:r>
      <w:r w:rsidRPr="007E24DE">
        <w:t>s standard treatment</w:t>
      </w:r>
      <w:r w:rsidR="00E56C34" w:rsidRPr="007E24DE">
        <w:t xml:space="preserve"> at a time that fitted with the natural flow of therapy</w:t>
      </w:r>
      <w:r w:rsidR="00E93345" w:rsidRPr="007E24DE">
        <w:t xml:space="preserve">, </w:t>
      </w:r>
      <w:r w:rsidR="00AC0208" w:rsidRPr="007E24DE">
        <w:t>in line with</w:t>
      </w:r>
      <w:r w:rsidR="00E56C34" w:rsidRPr="007E24DE">
        <w:t xml:space="preserve"> how survivor guilt would be </w:t>
      </w:r>
      <w:r w:rsidR="00B87FF8" w:rsidRPr="007E24DE">
        <w:t>addressed</w:t>
      </w:r>
      <w:r w:rsidR="00E56C34" w:rsidRPr="007E24DE">
        <w:t xml:space="preserve"> in clinical practice.</w:t>
      </w:r>
      <w:r w:rsidRPr="007E24DE">
        <w:t xml:space="preserve"> </w:t>
      </w:r>
      <w:r w:rsidR="005D63C7" w:rsidRPr="007E24DE">
        <w:t xml:space="preserve">The five clinicians who delivered the </w:t>
      </w:r>
      <w:r w:rsidR="00FB64A9" w:rsidRPr="007E24DE">
        <w:t xml:space="preserve">imagery rescripting </w:t>
      </w:r>
      <w:r w:rsidR="005D63C7" w:rsidRPr="007E24DE">
        <w:t>intervention had extensive expe</w:t>
      </w:r>
      <w:r w:rsidR="001D4C80" w:rsidRPr="007E24DE">
        <w:t>rience of trauma-focused psychological treatment</w:t>
      </w:r>
      <w:r w:rsidR="005D63C7" w:rsidRPr="007E24DE">
        <w:t>.</w:t>
      </w:r>
    </w:p>
    <w:p w14:paraId="0759E3A1" w14:textId="77777777" w:rsidR="00DE0FE3" w:rsidRPr="007E24DE" w:rsidRDefault="00FE01FE" w:rsidP="007E24DE">
      <w:pPr>
        <w:spacing w:line="480" w:lineRule="auto"/>
      </w:pPr>
      <w:r w:rsidRPr="007E24DE">
        <w:t xml:space="preserve">The </w:t>
      </w:r>
      <w:r w:rsidRPr="007E24DE">
        <w:rPr>
          <w:i/>
        </w:rPr>
        <w:t>elaboration</w:t>
      </w:r>
      <w:r w:rsidR="00C6676E" w:rsidRPr="007E24DE">
        <w:rPr>
          <w:i/>
        </w:rPr>
        <w:t xml:space="preserve"> session</w:t>
      </w:r>
      <w:r w:rsidR="00C6676E" w:rsidRPr="007E24DE">
        <w:t xml:space="preserve"> was conducted to establish a baseline effect of </w:t>
      </w:r>
      <w:r w:rsidR="00135FF6" w:rsidRPr="007E24DE">
        <w:t>e</w:t>
      </w:r>
      <w:r w:rsidR="00653E6F" w:rsidRPr="007E24DE">
        <w:t>xploring and elaborating</w:t>
      </w:r>
      <w:r w:rsidR="00135FF6" w:rsidRPr="007E24DE">
        <w:t xml:space="preserve"> the</w:t>
      </w:r>
      <w:r w:rsidR="00C6676E" w:rsidRPr="007E24DE">
        <w:t xml:space="preserve"> imagery </w:t>
      </w:r>
      <w:r w:rsidR="0094200D" w:rsidRPr="007E24DE">
        <w:t>(but not changing</w:t>
      </w:r>
      <w:r w:rsidR="00AE4CC7" w:rsidRPr="007E24DE">
        <w:t xml:space="preserve"> it</w:t>
      </w:r>
      <w:r w:rsidR="0094200D" w:rsidRPr="007E24DE">
        <w:t>)</w:t>
      </w:r>
      <w:r w:rsidR="00C6676E" w:rsidRPr="007E24DE">
        <w:t>. Therapists support</w:t>
      </w:r>
      <w:r w:rsidR="0004083E" w:rsidRPr="007E24DE">
        <w:t>ed</w:t>
      </w:r>
      <w:r w:rsidR="00C6676E" w:rsidRPr="007E24DE">
        <w:t xml:space="preserve"> participants to </w:t>
      </w:r>
      <w:r w:rsidR="00DE0FE3" w:rsidRPr="007E24DE">
        <w:t xml:space="preserve">describe </w:t>
      </w:r>
      <w:r w:rsidR="00C6676E" w:rsidRPr="007E24DE">
        <w:t xml:space="preserve">the content and context of survivor guilt imagery without actively changing the imagery or its meaning. Participants were asked to bring their imagery to mind and give a detailed narrative </w:t>
      </w:r>
      <w:r w:rsidR="00DE0FE3" w:rsidRPr="007E24DE">
        <w:t>account.</w:t>
      </w:r>
      <w:r w:rsidR="00AC0208" w:rsidRPr="007E24DE">
        <w:t xml:space="preserve"> They </w:t>
      </w:r>
      <w:r w:rsidR="00C6676E" w:rsidRPr="007E24DE">
        <w:t>were prompted to describe sensory details, the emotive context of the imagery</w:t>
      </w:r>
      <w:r w:rsidR="00B647B2" w:rsidRPr="007E24DE">
        <w:t>,</w:t>
      </w:r>
      <w:r w:rsidR="00C6676E" w:rsidRPr="007E24DE">
        <w:t xml:space="preserve"> and what the imagery meant to </w:t>
      </w:r>
      <w:r w:rsidR="00AC0208" w:rsidRPr="007E24DE">
        <w:t>them</w:t>
      </w:r>
      <w:r w:rsidR="00C6676E" w:rsidRPr="007E24DE">
        <w:t>.</w:t>
      </w:r>
    </w:p>
    <w:p w14:paraId="1E7E4246" w14:textId="77777777" w:rsidR="00E15D30" w:rsidRPr="007E24DE" w:rsidRDefault="00C6676E" w:rsidP="00816201">
      <w:pPr>
        <w:spacing w:line="480" w:lineRule="auto"/>
      </w:pPr>
      <w:r w:rsidRPr="007E24DE">
        <w:t>The</w:t>
      </w:r>
      <w:r w:rsidR="0095210F">
        <w:t xml:space="preserve"> aim of the</w:t>
      </w:r>
      <w:r w:rsidRPr="007E24DE">
        <w:t xml:space="preserve"> </w:t>
      </w:r>
      <w:r w:rsidRPr="007E24DE">
        <w:rPr>
          <w:i/>
        </w:rPr>
        <w:t>rescripting session</w:t>
      </w:r>
      <w:r w:rsidRPr="007E24DE">
        <w:t xml:space="preserve"> </w:t>
      </w:r>
      <w:r w:rsidR="0095210F">
        <w:t>was</w:t>
      </w:r>
      <w:r w:rsidRPr="007E24DE">
        <w:t xml:space="preserve"> to modify the survivor guilt imagery to make it less distressing. </w:t>
      </w:r>
      <w:r w:rsidR="004D3ACA" w:rsidRPr="007E24DE">
        <w:t xml:space="preserve">The flexible protocol (based on Brewin et al., 2009) </w:t>
      </w:r>
      <w:r w:rsidRPr="007E24DE">
        <w:t>enabled participants to change their imagery in whatever</w:t>
      </w:r>
      <w:r w:rsidR="00082441" w:rsidRPr="007E24DE">
        <w:t xml:space="preserve"> way</w:t>
      </w:r>
      <w:r w:rsidRPr="007E24DE">
        <w:t xml:space="preserve"> they felt would be helpful. </w:t>
      </w:r>
      <w:r w:rsidR="00DE0FE3" w:rsidRPr="007E24DE">
        <w:t xml:space="preserve">Participants were encouraged to choose their </w:t>
      </w:r>
      <w:r w:rsidR="00AB5FB7">
        <w:t>re</w:t>
      </w:r>
      <w:r w:rsidR="00DE0FE3" w:rsidRPr="007E24DE">
        <w:t xml:space="preserve">script, but therapists provided suggestions when necessary. </w:t>
      </w:r>
      <w:r w:rsidRPr="007E24DE">
        <w:t xml:space="preserve">Participants were asked to bring their imagery to mind and were </w:t>
      </w:r>
      <w:r w:rsidR="0023539C" w:rsidRPr="007E24DE">
        <w:t>guided by the therapists to</w:t>
      </w:r>
      <w:r w:rsidRPr="007E24DE">
        <w:t xml:space="preserve"> chang</w:t>
      </w:r>
      <w:r w:rsidR="0023539C" w:rsidRPr="007E24DE">
        <w:t>e</w:t>
      </w:r>
      <w:r w:rsidRPr="007E24DE">
        <w:t xml:space="preserve"> the survivor g</w:t>
      </w:r>
      <w:r w:rsidR="00DE0FE3" w:rsidRPr="007E24DE">
        <w:t xml:space="preserve">uilt imagery using the agreed </w:t>
      </w:r>
      <w:r w:rsidR="00AB5FB7">
        <w:t>re</w:t>
      </w:r>
      <w:r w:rsidRPr="007E24DE">
        <w:t>script. All changes were introduced through imagination</w:t>
      </w:r>
      <w:r w:rsidR="00082441" w:rsidRPr="007E24DE">
        <w:t>,</w:t>
      </w:r>
      <w:r w:rsidRPr="007E24DE">
        <w:t xml:space="preserve"> </w:t>
      </w:r>
      <w:r w:rsidR="008E7C64" w:rsidRPr="007E24DE">
        <w:t>and p</w:t>
      </w:r>
      <w:r w:rsidRPr="007E24DE">
        <w:t>articipants were encouraged to focus on sensory and emotional aspects of the imagery.</w:t>
      </w:r>
      <w:r w:rsidR="0063453D" w:rsidRPr="007E24DE">
        <w:t xml:space="preserve"> F</w:t>
      </w:r>
      <w:r w:rsidR="002C4CA3" w:rsidRPr="007E24DE">
        <w:t xml:space="preserve">ive of the </w:t>
      </w:r>
      <w:r w:rsidR="005B4C1C" w:rsidRPr="007E24DE">
        <w:t>thirteen</w:t>
      </w:r>
      <w:r w:rsidR="002C4CA3" w:rsidRPr="007E24DE">
        <w:t xml:space="preserve"> </w:t>
      </w:r>
      <w:r w:rsidR="008C5938" w:rsidRPr="007E24DE">
        <w:t>participants</w:t>
      </w:r>
      <w:r w:rsidR="005B4C1C" w:rsidRPr="007E24DE">
        <w:t xml:space="preserve"> </w:t>
      </w:r>
      <w:r w:rsidR="002C4CA3" w:rsidRPr="007E24DE">
        <w:t xml:space="preserve">imagined the deceased in the afterlife, three modified survivor guilt imagery by repairing distressing aspects of the imagery (e.g., reduce amount of blood) and moving the scene forward </w:t>
      </w:r>
      <w:r w:rsidR="003D5B2B" w:rsidRPr="007E24DE">
        <w:t>to a</w:t>
      </w:r>
      <w:r w:rsidR="002C4CA3" w:rsidRPr="007E24DE">
        <w:t xml:space="preserve"> </w:t>
      </w:r>
      <w:r w:rsidR="003D5B2B" w:rsidRPr="007E24DE">
        <w:t xml:space="preserve">less distressing </w:t>
      </w:r>
      <w:r w:rsidR="002C4CA3" w:rsidRPr="007E24DE">
        <w:t>mo</w:t>
      </w:r>
      <w:r w:rsidR="003D5B2B" w:rsidRPr="007E24DE">
        <w:t>ment (e.g.</w:t>
      </w:r>
      <w:r w:rsidR="00294096" w:rsidRPr="007E24DE">
        <w:rPr>
          <w:lang w:val="en-US"/>
        </w:rPr>
        <w:t>,</w:t>
      </w:r>
      <w:r w:rsidR="003D5B2B" w:rsidRPr="007E24DE">
        <w:t xml:space="preserve"> peaceful funeral</w:t>
      </w:r>
      <w:r w:rsidR="00E5412F" w:rsidRPr="007E24DE">
        <w:t>)</w:t>
      </w:r>
      <w:r w:rsidR="002C4CA3" w:rsidRPr="007E24DE">
        <w:t>, and two participants prevent</w:t>
      </w:r>
      <w:r w:rsidR="00FA5DE8" w:rsidRPr="007E24DE">
        <w:t>ed</w:t>
      </w:r>
      <w:r w:rsidR="002C4CA3" w:rsidRPr="007E24DE">
        <w:t xml:space="preserve"> death and imagin</w:t>
      </w:r>
      <w:r w:rsidR="00FA5DE8" w:rsidRPr="007E24DE">
        <w:t>ed</w:t>
      </w:r>
      <w:r w:rsidR="002C4CA3" w:rsidRPr="007E24DE">
        <w:t xml:space="preserve"> the deceased as still being alive. Two participants chose </w:t>
      </w:r>
      <w:r w:rsidR="00F75581" w:rsidRPr="007E24DE">
        <w:t xml:space="preserve">to </w:t>
      </w:r>
      <w:r w:rsidR="000A3406" w:rsidRPr="007E24DE">
        <w:t>replace the survivor guilt</w:t>
      </w:r>
      <w:r w:rsidR="002C4CA3" w:rsidRPr="007E24DE">
        <w:t xml:space="preserve"> imagery </w:t>
      </w:r>
      <w:r w:rsidR="000A3406" w:rsidRPr="007E24DE">
        <w:t xml:space="preserve">with </w:t>
      </w:r>
      <w:r w:rsidR="002C4CA3" w:rsidRPr="007E24DE">
        <w:t xml:space="preserve">a positive memory of the deceased when they </w:t>
      </w:r>
      <w:r w:rsidR="002C4CA3" w:rsidRPr="007E24DE">
        <w:lastRenderedPageBreak/>
        <w:t>were alive. One participant tried to leave the scene in the survivor guilt imagery but was unable to find a way out and had to discontinue the rescripting process.</w:t>
      </w:r>
    </w:p>
    <w:p w14:paraId="6CC14667" w14:textId="77777777" w:rsidR="00C6676E" w:rsidRPr="007E24DE" w:rsidRDefault="001C6621" w:rsidP="007E24DE">
      <w:pPr>
        <w:pStyle w:val="Heading2"/>
        <w:numPr>
          <w:ilvl w:val="0"/>
          <w:numId w:val="0"/>
        </w:numPr>
        <w:spacing w:line="480" w:lineRule="auto"/>
        <w:ind w:left="576" w:hanging="576"/>
      </w:pPr>
      <w:r w:rsidRPr="007E24DE">
        <w:t>P</w:t>
      </w:r>
      <w:r w:rsidR="00C6676E" w:rsidRPr="007E24DE">
        <w:t>rocedure</w:t>
      </w:r>
    </w:p>
    <w:p w14:paraId="4DB6C87D" w14:textId="77777777" w:rsidR="005A4530" w:rsidRPr="007E24DE" w:rsidRDefault="00C6676E" w:rsidP="007E24DE">
      <w:pPr>
        <w:spacing w:line="480" w:lineRule="auto"/>
        <w:rPr>
          <w:lang w:val="en-US"/>
        </w:rPr>
      </w:pPr>
      <w:r w:rsidRPr="007E24DE">
        <w:t>Clients who met the study criteria were approached by their treating clinician</w:t>
      </w:r>
      <w:r w:rsidR="008D502F" w:rsidRPr="007E24DE">
        <w:t xml:space="preserve"> and</w:t>
      </w:r>
      <w:r w:rsidRPr="007E24DE">
        <w:t xml:space="preserve"> </w:t>
      </w:r>
      <w:r w:rsidR="009048E6" w:rsidRPr="007E24DE">
        <w:t>provided with the information sheet. C</w:t>
      </w:r>
      <w:r w:rsidRPr="007E24DE">
        <w:t xml:space="preserve">lients </w:t>
      </w:r>
      <w:r w:rsidR="00294096" w:rsidRPr="007E24DE">
        <w:rPr>
          <w:lang w:val="en-US"/>
        </w:rPr>
        <w:t xml:space="preserve">and therapists </w:t>
      </w:r>
      <w:r w:rsidRPr="007E24DE">
        <w:t>collaboratively agreed the best time to complete the study</w:t>
      </w:r>
      <w:r w:rsidR="009048E6" w:rsidRPr="007E24DE">
        <w:t>. T</w:t>
      </w:r>
      <w:r w:rsidRPr="007E24DE">
        <w:t xml:space="preserve">herapists attended a training event and were given a study manual to maximise </w:t>
      </w:r>
      <w:r w:rsidR="00CA7467" w:rsidRPr="007E24DE">
        <w:t xml:space="preserve">protocol </w:t>
      </w:r>
      <w:r w:rsidRPr="007E24DE">
        <w:t>adherence.</w:t>
      </w:r>
      <w:r w:rsidR="00AC0862">
        <w:t xml:space="preserve"> The client’s existing therapist carried out the imagery interview, elaboration session, imagery rescripting session, and administered the measures.</w:t>
      </w:r>
      <w:r w:rsidR="007D56FF" w:rsidRPr="007E24DE">
        <w:t xml:space="preserve"> Audio recordings were used to check for protocol violations</w:t>
      </w:r>
      <w:r w:rsidR="005C49AC" w:rsidRPr="007E24DE">
        <w:t>, in particular the use of verbal cognitive restructuring</w:t>
      </w:r>
      <w:r w:rsidR="005B4C1C" w:rsidRPr="007E24DE">
        <w:t xml:space="preserve"> during the elaboration or rescripting sessions</w:t>
      </w:r>
      <w:r w:rsidR="005739B8" w:rsidRPr="007E24DE">
        <w:t xml:space="preserve">. </w:t>
      </w:r>
      <w:r w:rsidR="005C49AC" w:rsidRPr="007E24DE">
        <w:t>No major violations were detected.</w:t>
      </w:r>
    </w:p>
    <w:p w14:paraId="783652FA" w14:textId="77777777" w:rsidR="00F75254" w:rsidRPr="007E24DE" w:rsidRDefault="00D1197E">
      <w:pPr>
        <w:spacing w:line="480" w:lineRule="auto"/>
      </w:pPr>
      <w:r w:rsidRPr="007E24DE">
        <w:rPr>
          <w:lang w:val="en-US"/>
        </w:rPr>
        <w:t xml:space="preserve">Participants </w:t>
      </w:r>
      <w:r w:rsidR="00C6676E" w:rsidRPr="007E24DE">
        <w:t>completed the PHQ-9, PDS</w:t>
      </w:r>
      <w:r w:rsidR="008A4C4F">
        <w:t>,</w:t>
      </w:r>
      <w:r w:rsidR="00C6676E" w:rsidRPr="007E24DE">
        <w:t xml:space="preserve"> and weekly survivor guilt items</w:t>
      </w:r>
      <w:r w:rsidR="005A4530" w:rsidRPr="007E24DE">
        <w:rPr>
          <w:lang w:val="en-US"/>
        </w:rPr>
        <w:t xml:space="preserve"> </w:t>
      </w:r>
      <w:r w:rsidR="008C59BB" w:rsidRPr="007E24DE">
        <w:rPr>
          <w:lang w:val="en-US"/>
        </w:rPr>
        <w:t xml:space="preserve">at the start of the </w:t>
      </w:r>
      <w:r w:rsidRPr="007E24DE">
        <w:rPr>
          <w:lang w:val="en-US"/>
        </w:rPr>
        <w:t>elaboration session</w:t>
      </w:r>
      <w:r w:rsidR="00C6676E" w:rsidRPr="007E24DE">
        <w:t xml:space="preserve">. The imagery interview was then </w:t>
      </w:r>
      <w:r w:rsidR="003235A2" w:rsidRPr="007E24DE">
        <w:t>conducted</w:t>
      </w:r>
      <w:r w:rsidR="00C6676E" w:rsidRPr="007E24DE">
        <w:t>. Participants completed the items on weekly mental imagery and rated the single-item VASs (pre-</w:t>
      </w:r>
      <w:r w:rsidR="00EE2DE7" w:rsidRPr="007E24DE">
        <w:t>elaboration</w:t>
      </w:r>
      <w:r w:rsidR="00C6676E" w:rsidRPr="007E24DE">
        <w:t>)</w:t>
      </w:r>
      <w:r w:rsidR="00777EE8" w:rsidRPr="007E24DE">
        <w:t xml:space="preserve"> and then the</w:t>
      </w:r>
      <w:r w:rsidR="00C6676E" w:rsidRPr="007E24DE">
        <w:t xml:space="preserve"> </w:t>
      </w:r>
      <w:r w:rsidR="00011A75" w:rsidRPr="007E24DE">
        <w:rPr>
          <w:lang w:val="en-US"/>
        </w:rPr>
        <w:t>elaboration</w:t>
      </w:r>
      <w:r w:rsidR="00D671DE" w:rsidRPr="007E24DE">
        <w:t xml:space="preserve"> </w:t>
      </w:r>
      <w:r w:rsidR="00C6676E" w:rsidRPr="007E24DE">
        <w:t xml:space="preserve">session was delivered as </w:t>
      </w:r>
      <w:r w:rsidR="00777EE8" w:rsidRPr="007E24DE">
        <w:t xml:space="preserve">previously </w:t>
      </w:r>
      <w:r w:rsidR="00C6676E" w:rsidRPr="007E24DE">
        <w:t>described</w:t>
      </w:r>
      <w:r w:rsidR="00D671DE" w:rsidRPr="007E24DE">
        <w:t>.</w:t>
      </w:r>
      <w:r w:rsidR="00C6676E" w:rsidRPr="007E24DE">
        <w:t xml:space="preserve"> Participants rated the single-item VASs </w:t>
      </w:r>
      <w:r w:rsidR="001E7588" w:rsidRPr="007E24DE">
        <w:t>again at the end of the session</w:t>
      </w:r>
      <w:r w:rsidR="00D671DE" w:rsidRPr="007E24DE">
        <w:t>.</w:t>
      </w:r>
      <w:r w:rsidR="00BE3FCD" w:rsidRPr="007E24DE">
        <w:rPr>
          <w:lang w:val="en-US"/>
        </w:rPr>
        <w:t xml:space="preserve"> </w:t>
      </w:r>
      <w:r w:rsidR="00584C14" w:rsidRPr="007E24DE">
        <w:rPr>
          <w:lang w:val="en-US"/>
        </w:rPr>
        <w:t xml:space="preserve">This procedure </w:t>
      </w:r>
      <w:r w:rsidR="00802AE3" w:rsidRPr="007E24DE">
        <w:rPr>
          <w:lang w:val="en-US"/>
        </w:rPr>
        <w:t xml:space="preserve">(except for the imagery interview) </w:t>
      </w:r>
      <w:r w:rsidR="00584C14" w:rsidRPr="007E24DE">
        <w:rPr>
          <w:lang w:val="en-US"/>
        </w:rPr>
        <w:t>was r</w:t>
      </w:r>
      <w:r w:rsidR="00804712" w:rsidRPr="007E24DE">
        <w:rPr>
          <w:lang w:val="en-US"/>
        </w:rPr>
        <w:t>epeated</w:t>
      </w:r>
      <w:r w:rsidR="00DB7884" w:rsidRPr="007E24DE">
        <w:rPr>
          <w:lang w:val="en-US"/>
        </w:rPr>
        <w:t xml:space="preserve"> during the rescripting</w:t>
      </w:r>
      <w:r w:rsidR="00F120F7" w:rsidRPr="007E24DE">
        <w:rPr>
          <w:lang w:val="en-US"/>
        </w:rPr>
        <w:t xml:space="preserve"> session: </w:t>
      </w:r>
      <w:r w:rsidR="00A32AC2" w:rsidRPr="007E24DE">
        <w:rPr>
          <w:lang w:val="en-US"/>
        </w:rPr>
        <w:t xml:space="preserve">(1) </w:t>
      </w:r>
      <w:r w:rsidR="00F120F7" w:rsidRPr="007E24DE">
        <w:rPr>
          <w:lang w:val="en-US"/>
        </w:rPr>
        <w:t xml:space="preserve">administration of </w:t>
      </w:r>
      <w:r w:rsidR="00BE3FCD" w:rsidRPr="007E24DE">
        <w:rPr>
          <w:lang w:val="en-US"/>
        </w:rPr>
        <w:t>weekly</w:t>
      </w:r>
      <w:r w:rsidR="00C6676E" w:rsidRPr="007E24DE">
        <w:t xml:space="preserve"> questionnaires and single-item VASs</w:t>
      </w:r>
      <w:r w:rsidR="00F120F7" w:rsidRPr="007E24DE">
        <w:rPr>
          <w:lang w:val="en-US"/>
        </w:rPr>
        <w:t xml:space="preserve">, </w:t>
      </w:r>
      <w:r w:rsidR="00A32AC2" w:rsidRPr="007E24DE">
        <w:rPr>
          <w:lang w:val="en-US"/>
        </w:rPr>
        <w:t xml:space="preserve">(2) </w:t>
      </w:r>
      <w:r w:rsidR="00DB7884" w:rsidRPr="007E24DE">
        <w:rPr>
          <w:lang w:val="en-US"/>
        </w:rPr>
        <w:t xml:space="preserve">delivery of </w:t>
      </w:r>
      <w:r w:rsidR="005A4530" w:rsidRPr="007E24DE">
        <w:rPr>
          <w:lang w:val="en-US"/>
        </w:rPr>
        <w:t>rescripting session</w:t>
      </w:r>
      <w:r w:rsidR="00804712" w:rsidRPr="007E24DE">
        <w:rPr>
          <w:lang w:val="en-US"/>
        </w:rPr>
        <w:t xml:space="preserve">, </w:t>
      </w:r>
      <w:r w:rsidR="00A32AC2" w:rsidRPr="007E24DE">
        <w:rPr>
          <w:lang w:val="en-US"/>
        </w:rPr>
        <w:t xml:space="preserve">(3) </w:t>
      </w:r>
      <w:r w:rsidR="00804712" w:rsidRPr="007E24DE">
        <w:rPr>
          <w:lang w:val="en-US"/>
        </w:rPr>
        <w:t>rating</w:t>
      </w:r>
      <w:r w:rsidR="001C3B0B" w:rsidRPr="007E24DE">
        <w:rPr>
          <w:lang w:val="en-US"/>
        </w:rPr>
        <w:t xml:space="preserve"> single-item VASs</w:t>
      </w:r>
      <w:r w:rsidR="00401977" w:rsidRPr="007E24DE">
        <w:rPr>
          <w:lang w:val="en-US"/>
        </w:rPr>
        <w:t xml:space="preserve">. All outcome measures were </w:t>
      </w:r>
      <w:r w:rsidR="008C59BB" w:rsidRPr="007E24DE">
        <w:rPr>
          <w:lang w:val="en-US"/>
        </w:rPr>
        <w:t>administered</w:t>
      </w:r>
      <w:r w:rsidR="005A4530" w:rsidRPr="007E24DE">
        <w:rPr>
          <w:lang w:val="en-US"/>
        </w:rPr>
        <w:t xml:space="preserve"> again before </w:t>
      </w:r>
      <w:r w:rsidR="00C6676E" w:rsidRPr="007E24DE">
        <w:t>re-starting standard sessions (</w:t>
      </w:r>
      <w:r w:rsidR="001C3B0B" w:rsidRPr="007E24DE">
        <w:rPr>
          <w:lang w:val="en-US"/>
        </w:rPr>
        <w:t xml:space="preserve">one week </w:t>
      </w:r>
      <w:r w:rsidR="00C6676E" w:rsidRPr="007E24DE">
        <w:t>follow-up)</w:t>
      </w:r>
    </w:p>
    <w:p w14:paraId="571A2C6B" w14:textId="77777777" w:rsidR="004E1504" w:rsidRPr="007E24DE" w:rsidRDefault="004E1504" w:rsidP="007E24DE">
      <w:pPr>
        <w:pStyle w:val="Heading1"/>
        <w:numPr>
          <w:ilvl w:val="0"/>
          <w:numId w:val="0"/>
        </w:numPr>
        <w:spacing w:before="0" w:line="480" w:lineRule="auto"/>
        <w:ind w:left="562" w:hanging="562"/>
        <w:jc w:val="center"/>
      </w:pPr>
      <w:r w:rsidRPr="007E24DE">
        <w:t>Results</w:t>
      </w:r>
    </w:p>
    <w:p w14:paraId="2226D86B" w14:textId="77777777" w:rsidR="00E15D30" w:rsidRPr="007E24DE" w:rsidRDefault="00816F20" w:rsidP="00816201">
      <w:pPr>
        <w:spacing w:line="480" w:lineRule="auto"/>
        <w:rPr>
          <w:lang w:val="en-US"/>
        </w:rPr>
      </w:pPr>
      <w:r w:rsidRPr="007E24DE">
        <w:t>Analyses carried out us</w:t>
      </w:r>
      <w:r w:rsidR="00A10227" w:rsidRPr="007E24DE">
        <w:t>ing</w:t>
      </w:r>
      <w:r w:rsidRPr="007E24DE">
        <w:t xml:space="preserve"> parametric statistics and non-parametric counterparts were equivalent</w:t>
      </w:r>
      <w:r w:rsidR="00A10227" w:rsidRPr="007E24DE">
        <w:t>,</w:t>
      </w:r>
      <w:r w:rsidRPr="007E24DE">
        <w:t xml:space="preserve"> and so only the parametric analysis results are reported. </w:t>
      </w:r>
      <w:r w:rsidR="001201A3" w:rsidRPr="007E24DE">
        <w:t>Information from o</w:t>
      </w:r>
      <w:r w:rsidR="00B75CA2" w:rsidRPr="007E24DE">
        <w:rPr>
          <w:lang w:val="en-US"/>
        </w:rPr>
        <w:t>ne participant who d</w:t>
      </w:r>
      <w:r w:rsidR="00700C0F" w:rsidRPr="007E24DE">
        <w:rPr>
          <w:lang w:val="en-US"/>
        </w:rPr>
        <w:t>ropped out after the elaboration</w:t>
      </w:r>
      <w:r w:rsidR="0061410A" w:rsidRPr="007E24DE">
        <w:rPr>
          <w:lang w:val="en-US"/>
        </w:rPr>
        <w:t xml:space="preserve"> sessions was</w:t>
      </w:r>
      <w:r w:rsidR="001201A3" w:rsidRPr="007E24DE">
        <w:rPr>
          <w:lang w:val="en-US"/>
        </w:rPr>
        <w:t xml:space="preserve"> </w:t>
      </w:r>
      <w:r w:rsidR="00B75CA2" w:rsidRPr="007E24DE">
        <w:rPr>
          <w:lang w:val="en-US"/>
        </w:rPr>
        <w:t xml:space="preserve">excluded from analysis of </w:t>
      </w:r>
      <w:r w:rsidR="001201A3" w:rsidRPr="007E24DE">
        <w:rPr>
          <w:lang w:val="en-US"/>
        </w:rPr>
        <w:t>response to rescripting.</w:t>
      </w:r>
    </w:p>
    <w:p w14:paraId="474948A7" w14:textId="77777777" w:rsidR="009712C8" w:rsidRPr="007E24DE" w:rsidRDefault="009712C8" w:rsidP="007E24DE">
      <w:pPr>
        <w:spacing w:line="480" w:lineRule="auto"/>
        <w:ind w:firstLine="0"/>
        <w:rPr>
          <w:b/>
        </w:rPr>
      </w:pPr>
      <w:r w:rsidRPr="007E24DE">
        <w:rPr>
          <w:b/>
        </w:rPr>
        <w:t>Outcome on symptom and process variables</w:t>
      </w:r>
    </w:p>
    <w:p w14:paraId="617508F4" w14:textId="77777777" w:rsidR="0078363B" w:rsidRPr="007E24DE" w:rsidRDefault="00A10227">
      <w:pPr>
        <w:spacing w:line="480" w:lineRule="auto"/>
      </w:pPr>
      <w:r w:rsidRPr="007E24DE">
        <w:lastRenderedPageBreak/>
        <w:t xml:space="preserve">Mean scores on weekly symptom measures are shown in Table 1. </w:t>
      </w:r>
      <w:r w:rsidR="001B3AFF" w:rsidRPr="007E24DE">
        <w:t xml:space="preserve">A </w:t>
      </w:r>
      <w:r w:rsidR="000F11A8" w:rsidRPr="007E24DE">
        <w:t>repeated-measures</w:t>
      </w:r>
      <w:r w:rsidR="001B3AFF" w:rsidRPr="007E24DE">
        <w:t xml:space="preserve"> (</w:t>
      </w:r>
      <w:r w:rsidR="000C47BB" w:rsidRPr="007E24DE">
        <w:t>Scale</w:t>
      </w:r>
      <w:r w:rsidR="001B3AFF" w:rsidRPr="007E24DE">
        <w:t xml:space="preserve"> x Time) </w:t>
      </w:r>
      <w:r w:rsidR="000F11A8" w:rsidRPr="007E24DE">
        <w:t xml:space="preserve">ANOVA was used to </w:t>
      </w:r>
      <w:r w:rsidR="000C47BB" w:rsidRPr="007E24DE">
        <w:t>evaluate ch</w:t>
      </w:r>
      <w:r w:rsidR="001B3AFF" w:rsidRPr="007E24DE">
        <w:t xml:space="preserve">ange in the </w:t>
      </w:r>
      <w:r w:rsidR="000F11A8" w:rsidRPr="007E24DE">
        <w:t xml:space="preserve">PDS </w:t>
      </w:r>
      <w:r w:rsidR="001B3AFF" w:rsidRPr="007E24DE">
        <w:t>subscales (</w:t>
      </w:r>
      <w:r w:rsidR="000F11A8" w:rsidRPr="007E24DE">
        <w:t>re-experiencing, avoidance, and hyperarousal</w:t>
      </w:r>
      <w:r w:rsidR="001B3AFF" w:rsidRPr="007E24DE">
        <w:t>)</w:t>
      </w:r>
      <w:r w:rsidR="000F11A8" w:rsidRPr="007E24DE">
        <w:t xml:space="preserve"> </w:t>
      </w:r>
      <w:r w:rsidR="000C47BB" w:rsidRPr="007E24DE">
        <w:t>over time</w:t>
      </w:r>
      <w:r w:rsidR="000F11A8" w:rsidRPr="007E24DE">
        <w:t xml:space="preserve">. </w:t>
      </w:r>
      <w:r w:rsidR="001B3AFF" w:rsidRPr="007E24DE">
        <w:t>Neither the</w:t>
      </w:r>
      <w:r w:rsidR="000C47BB" w:rsidRPr="007E24DE">
        <w:t xml:space="preserve"> Scale x Time</w:t>
      </w:r>
      <w:r w:rsidR="000F11A8" w:rsidRPr="007E24DE">
        <w:t xml:space="preserve"> interaction</w:t>
      </w:r>
      <w:r w:rsidR="000C47BB" w:rsidRPr="007E24DE">
        <w:t xml:space="preserve"> or the main effect for time was significant,</w:t>
      </w:r>
      <w:r w:rsidR="000F11A8" w:rsidRPr="007E24DE">
        <w:t xml:space="preserve"> F(4,48)</w:t>
      </w:r>
      <w:r w:rsidR="001B3AFF" w:rsidRPr="007E24DE">
        <w:t xml:space="preserve"> </w:t>
      </w:r>
      <w:r w:rsidR="000F11A8" w:rsidRPr="007E24DE">
        <w:t>=</w:t>
      </w:r>
      <w:r w:rsidR="001B3AFF" w:rsidRPr="007E24DE">
        <w:t xml:space="preserve"> </w:t>
      </w:r>
      <w:r w:rsidR="000F11A8" w:rsidRPr="007E24DE">
        <w:t>2.09, p</w:t>
      </w:r>
      <w:r w:rsidR="001B3AFF" w:rsidRPr="007E24DE">
        <w:t xml:space="preserve"> </w:t>
      </w:r>
      <w:r w:rsidR="000F11A8" w:rsidRPr="007E24DE">
        <w:t>=</w:t>
      </w:r>
      <w:r w:rsidR="001B3AFF" w:rsidRPr="007E24DE">
        <w:t xml:space="preserve"> </w:t>
      </w:r>
      <w:r w:rsidR="000F11A8" w:rsidRPr="007E24DE">
        <w:t>.10</w:t>
      </w:r>
      <w:r w:rsidR="000C47BB" w:rsidRPr="007E24DE">
        <w:t xml:space="preserve"> and </w:t>
      </w:r>
      <w:r w:rsidR="000F11A8" w:rsidRPr="007E24DE">
        <w:t>F(2,24)</w:t>
      </w:r>
      <w:r w:rsidR="001B3AFF" w:rsidRPr="007E24DE">
        <w:t xml:space="preserve"> </w:t>
      </w:r>
      <w:r w:rsidR="000F11A8" w:rsidRPr="007E24DE">
        <w:t>=</w:t>
      </w:r>
      <w:r w:rsidR="001B3AFF" w:rsidRPr="007E24DE">
        <w:t xml:space="preserve"> </w:t>
      </w:r>
      <w:r w:rsidR="000F11A8" w:rsidRPr="007E24DE">
        <w:t>.56, p</w:t>
      </w:r>
      <w:r w:rsidR="000C47BB" w:rsidRPr="007E24DE">
        <w:t xml:space="preserve"> </w:t>
      </w:r>
      <w:r w:rsidR="000F11A8" w:rsidRPr="007E24DE">
        <w:t>=.58</w:t>
      </w:r>
      <w:r w:rsidR="000C47BB" w:rsidRPr="007E24DE">
        <w:t>, respectively</w:t>
      </w:r>
      <w:r w:rsidR="000F11A8" w:rsidRPr="007E24DE">
        <w:t xml:space="preserve">. Three one-way repeated-measures ANOVAs </w:t>
      </w:r>
      <w:r w:rsidRPr="007E24DE">
        <w:t xml:space="preserve">of </w:t>
      </w:r>
      <w:r w:rsidR="000F11A8" w:rsidRPr="007E24DE">
        <w:t xml:space="preserve">weekly </w:t>
      </w:r>
      <w:r w:rsidR="00E82EF6" w:rsidRPr="007E24DE">
        <w:t xml:space="preserve">depression, </w:t>
      </w:r>
      <w:r w:rsidR="000F11A8" w:rsidRPr="007E24DE">
        <w:t xml:space="preserve">mental imagery, </w:t>
      </w:r>
      <w:r w:rsidR="00E82EF6" w:rsidRPr="007E24DE">
        <w:t xml:space="preserve">and </w:t>
      </w:r>
      <w:r w:rsidR="000F11A8" w:rsidRPr="007E24DE">
        <w:t xml:space="preserve">survivor guilt </w:t>
      </w:r>
      <w:r w:rsidRPr="007E24DE">
        <w:t xml:space="preserve">also </w:t>
      </w:r>
      <w:r w:rsidR="00E82EF6" w:rsidRPr="007E24DE">
        <w:t xml:space="preserve">did </w:t>
      </w:r>
      <w:r w:rsidRPr="007E24DE">
        <w:t>not</w:t>
      </w:r>
      <w:r w:rsidR="00E82EF6" w:rsidRPr="007E24DE">
        <w:t xml:space="preserve"> show a main effect for time</w:t>
      </w:r>
      <w:r w:rsidR="000F11A8" w:rsidRPr="007E24DE">
        <w:t>: F(1,12)</w:t>
      </w:r>
      <w:r w:rsidR="00E82EF6" w:rsidRPr="007E24DE">
        <w:t xml:space="preserve"> </w:t>
      </w:r>
      <w:r w:rsidR="000F11A8" w:rsidRPr="007E24DE">
        <w:t>=</w:t>
      </w:r>
      <w:r w:rsidR="00E82EF6" w:rsidRPr="007E24DE">
        <w:t xml:space="preserve"> </w:t>
      </w:r>
      <w:r w:rsidR="000F11A8" w:rsidRPr="007E24DE">
        <w:t>.56, p</w:t>
      </w:r>
      <w:r w:rsidR="00E82EF6" w:rsidRPr="007E24DE">
        <w:t xml:space="preserve"> </w:t>
      </w:r>
      <w:r w:rsidR="000F11A8" w:rsidRPr="007E24DE">
        <w:t>=</w:t>
      </w:r>
      <w:r w:rsidR="00E82EF6" w:rsidRPr="007E24DE">
        <w:t xml:space="preserve"> </w:t>
      </w:r>
      <w:r w:rsidR="000F11A8" w:rsidRPr="007E24DE">
        <w:t>.58,  F(1,12)</w:t>
      </w:r>
      <w:r w:rsidR="00AB5FB7">
        <w:t xml:space="preserve"> </w:t>
      </w:r>
      <w:r w:rsidR="000F11A8" w:rsidRPr="007E24DE">
        <w:t>=</w:t>
      </w:r>
      <w:r w:rsidR="00AB5FB7">
        <w:t xml:space="preserve"> </w:t>
      </w:r>
      <w:r w:rsidR="000F11A8" w:rsidRPr="007E24DE">
        <w:t>.17, p</w:t>
      </w:r>
      <w:r w:rsidR="00AB5FB7">
        <w:t xml:space="preserve"> </w:t>
      </w:r>
      <w:r w:rsidR="000F11A8" w:rsidRPr="007E24DE">
        <w:t>=</w:t>
      </w:r>
      <w:r w:rsidR="00AB5FB7">
        <w:t xml:space="preserve"> </w:t>
      </w:r>
      <w:r w:rsidR="000F11A8" w:rsidRPr="007E24DE">
        <w:t xml:space="preserve">.78, </w:t>
      </w:r>
      <w:r w:rsidRPr="007E24DE">
        <w:t>and</w:t>
      </w:r>
      <w:r w:rsidR="000F11A8" w:rsidRPr="007E24DE">
        <w:t xml:space="preserve">  F(1,12)</w:t>
      </w:r>
      <w:r w:rsidR="00E82EF6" w:rsidRPr="007E24DE">
        <w:t xml:space="preserve"> </w:t>
      </w:r>
      <w:r w:rsidR="000F11A8" w:rsidRPr="007E24DE">
        <w:t>=</w:t>
      </w:r>
      <w:r w:rsidR="00E82EF6" w:rsidRPr="007E24DE">
        <w:t xml:space="preserve"> </w:t>
      </w:r>
      <w:r w:rsidR="000F11A8" w:rsidRPr="007E24DE">
        <w:t>.89, p</w:t>
      </w:r>
      <w:r w:rsidR="00E82EF6" w:rsidRPr="007E24DE">
        <w:t xml:space="preserve"> </w:t>
      </w:r>
      <w:r w:rsidR="000F11A8" w:rsidRPr="007E24DE">
        <w:t>=</w:t>
      </w:r>
      <w:r w:rsidR="00E82EF6" w:rsidRPr="007E24DE">
        <w:t xml:space="preserve"> </w:t>
      </w:r>
      <w:r w:rsidR="000F11A8" w:rsidRPr="007E24DE">
        <w:t>.40</w:t>
      </w:r>
      <w:r w:rsidR="00E82EF6" w:rsidRPr="007E24DE">
        <w:t>, respectively</w:t>
      </w:r>
      <w:r w:rsidR="000F11A8" w:rsidRPr="007E24DE">
        <w:t>. These finding</w:t>
      </w:r>
      <w:r w:rsidRPr="007E24DE">
        <w:t>s</w:t>
      </w:r>
      <w:r w:rsidR="000F11A8" w:rsidRPr="007E24DE">
        <w:t xml:space="preserve"> contra</w:t>
      </w:r>
      <w:r w:rsidR="00E82EF6" w:rsidRPr="007E24DE">
        <w:t xml:space="preserve">dict the prediction </w:t>
      </w:r>
      <w:r w:rsidR="000F11A8" w:rsidRPr="007E24DE">
        <w:t xml:space="preserve">that the intervention would lead to changes on </w:t>
      </w:r>
      <w:r w:rsidR="00E82EF6" w:rsidRPr="007E24DE">
        <w:t xml:space="preserve">global </w:t>
      </w:r>
      <w:r w:rsidR="000F11A8" w:rsidRPr="007E24DE">
        <w:t>symptom measures.</w:t>
      </w:r>
    </w:p>
    <w:p w14:paraId="61E5741F" w14:textId="77777777" w:rsidR="00E15D30" w:rsidRPr="007E24DE" w:rsidRDefault="00A10227" w:rsidP="00816201">
      <w:pPr>
        <w:spacing w:line="480" w:lineRule="auto"/>
      </w:pPr>
      <w:r w:rsidRPr="007E24DE">
        <w:t>Mean scores on pre and post</w:t>
      </w:r>
      <w:r w:rsidR="00A42FD7" w:rsidRPr="007E24DE">
        <w:t xml:space="preserve"> </w:t>
      </w:r>
      <w:r w:rsidRPr="007E24DE">
        <w:t>session</w:t>
      </w:r>
      <w:r w:rsidR="00C44585" w:rsidRPr="007E24DE">
        <w:t xml:space="preserve"> survivor guilt</w:t>
      </w:r>
      <w:r w:rsidR="009B2B10" w:rsidRPr="007E24DE">
        <w:t xml:space="preserve">-specific </w:t>
      </w:r>
      <w:r w:rsidRPr="007E24DE">
        <w:t>VAS</w:t>
      </w:r>
      <w:r w:rsidR="000120A0" w:rsidRPr="007E24DE">
        <w:rPr>
          <w:lang w:val="en-US"/>
        </w:rPr>
        <w:t>s</w:t>
      </w:r>
      <w:r w:rsidRPr="007E24DE">
        <w:t xml:space="preserve"> are shown in Table 2. </w:t>
      </w:r>
      <w:r w:rsidR="00103FCD" w:rsidRPr="007E24DE">
        <w:t>A</w:t>
      </w:r>
      <w:r w:rsidR="0095121B" w:rsidRPr="007E24DE">
        <w:t xml:space="preserve"> </w:t>
      </w:r>
      <w:r w:rsidRPr="007E24DE">
        <w:t xml:space="preserve">two-way </w:t>
      </w:r>
      <w:r w:rsidR="00B75CA2" w:rsidRPr="007E24DE">
        <w:t>repeated-measures ANOVA</w:t>
      </w:r>
      <w:r w:rsidRPr="007E24DE">
        <w:t xml:space="preserve"> (VAS x Time) did not produce a significant interaction and so the VASs were pooled to produce an average score which would have greater reliability. </w:t>
      </w:r>
      <w:r w:rsidR="00BB298E" w:rsidRPr="007E24DE">
        <w:t xml:space="preserve">The profile of pooled VAS over time is shown in Figure </w:t>
      </w:r>
      <w:r w:rsidR="00A42FD7" w:rsidRPr="007E24DE">
        <w:t>1</w:t>
      </w:r>
      <w:r w:rsidR="00BB298E" w:rsidRPr="007E24DE">
        <w:t xml:space="preserve">. The one-way repeated measure ANOVA for the pooled VAS score showed a significant main effect for time, F(4,48) = 8.36, p = .001 (following Greenhouse-Geisser adjustment). </w:t>
      </w:r>
      <w:r w:rsidR="00B75CA2" w:rsidRPr="007E24DE">
        <w:t xml:space="preserve">Paired contrasts revealed </w:t>
      </w:r>
      <w:r w:rsidR="00BB298E" w:rsidRPr="007E24DE">
        <w:t xml:space="preserve">that the only </w:t>
      </w:r>
      <w:r w:rsidR="00B75CA2" w:rsidRPr="007E24DE">
        <w:t>significant difference</w:t>
      </w:r>
      <w:r w:rsidR="00BB298E" w:rsidRPr="007E24DE">
        <w:t xml:space="preserve"> was between pre and post</w:t>
      </w:r>
      <w:r w:rsidR="00A42FD7" w:rsidRPr="007E24DE">
        <w:t xml:space="preserve"> </w:t>
      </w:r>
      <w:r w:rsidR="00BB298E" w:rsidRPr="007E24DE">
        <w:t>rescripting session scores, F(1,12 = 11.18), p = .006.</w:t>
      </w:r>
      <w:r w:rsidR="009B2B10" w:rsidRPr="007E24DE">
        <w:t xml:space="preserve"> Analyses of the individual VASs showed the same pattern of results.</w:t>
      </w:r>
      <w:r w:rsidR="00BB298E" w:rsidRPr="007E24DE">
        <w:t xml:space="preserve"> </w:t>
      </w:r>
      <w:r w:rsidR="006A4934" w:rsidRPr="007E24DE">
        <w:t xml:space="preserve">The pooled </w:t>
      </w:r>
      <w:r w:rsidR="002958D1" w:rsidRPr="007E24DE">
        <w:t xml:space="preserve">VAS rating was used to identify participants who experienced reliable change. </w:t>
      </w:r>
      <w:r w:rsidR="006A4934" w:rsidRPr="007E24DE">
        <w:t xml:space="preserve">The </w:t>
      </w:r>
      <w:r w:rsidR="002958D1" w:rsidRPr="007E24DE">
        <w:t>Reliable Change Index (RCI</w:t>
      </w:r>
      <w:r w:rsidR="006A4934" w:rsidRPr="007E24DE">
        <w:t xml:space="preserve">; </w:t>
      </w:r>
      <w:r w:rsidR="002958D1" w:rsidRPr="007E24DE">
        <w:t xml:space="preserve">Jacobson </w:t>
      </w:r>
      <w:r w:rsidR="006A4934" w:rsidRPr="007E24DE">
        <w:t>&amp;</w:t>
      </w:r>
      <w:r w:rsidR="002958D1" w:rsidRPr="007E24DE">
        <w:t xml:space="preserve"> Truax</w:t>
      </w:r>
      <w:r w:rsidR="006A4934" w:rsidRPr="007E24DE">
        <w:t xml:space="preserve">, </w:t>
      </w:r>
      <w:r w:rsidR="002958D1" w:rsidRPr="007E24DE">
        <w:t>1991)</w:t>
      </w:r>
      <w:r w:rsidR="006A4934" w:rsidRPr="007E24DE">
        <w:t xml:space="preserve"> classified seven participants as responders and six as non-responders (see Figure 2)</w:t>
      </w:r>
      <w:r w:rsidR="002958D1" w:rsidRPr="007E24DE">
        <w:t>.</w:t>
      </w:r>
      <w:r w:rsidR="00E02261" w:rsidRPr="007E24DE">
        <w:t xml:space="preserve"> </w:t>
      </w:r>
    </w:p>
    <w:p w14:paraId="3AA4B04A" w14:textId="77777777" w:rsidR="00B75CA2" w:rsidRPr="007E24DE" w:rsidRDefault="00B75CA2" w:rsidP="007E24DE">
      <w:pPr>
        <w:pStyle w:val="Heading2"/>
        <w:numPr>
          <w:ilvl w:val="0"/>
          <w:numId w:val="0"/>
        </w:numPr>
        <w:spacing w:line="480" w:lineRule="auto"/>
        <w:ind w:left="576" w:hanging="576"/>
      </w:pPr>
      <w:r w:rsidRPr="007E24DE">
        <w:t>Survivor guilt types</w:t>
      </w:r>
      <w:r w:rsidR="00BB4B32" w:rsidRPr="007E24DE">
        <w:t xml:space="preserve"> – </w:t>
      </w:r>
      <w:r w:rsidRPr="007E24DE">
        <w:t>imagery co</w:t>
      </w:r>
      <w:r w:rsidR="009712C8" w:rsidRPr="007E24DE">
        <w:t>ntent</w:t>
      </w:r>
      <w:r w:rsidR="008A5E4A" w:rsidRPr="007E24DE">
        <w:t xml:space="preserve"> and responding</w:t>
      </w:r>
    </w:p>
    <w:p w14:paraId="5B0BD75B" w14:textId="77777777" w:rsidR="001656BD" w:rsidRPr="007E24DE" w:rsidRDefault="00974DB4" w:rsidP="007E24DE">
      <w:pPr>
        <w:spacing w:line="480" w:lineRule="auto"/>
        <w:jc w:val="left"/>
      </w:pPr>
      <w:r w:rsidRPr="007E24DE">
        <w:t>The relationships between survivor guilt type</w:t>
      </w:r>
      <w:r w:rsidR="00B719CE" w:rsidRPr="007E24DE">
        <w:t>s</w:t>
      </w:r>
      <w:r w:rsidRPr="007E24DE">
        <w:t xml:space="preserve"> and the content of </w:t>
      </w:r>
      <w:r w:rsidR="005C2003" w:rsidRPr="007E24DE">
        <w:t xml:space="preserve">survivor guilt </w:t>
      </w:r>
      <w:r w:rsidRPr="007E24DE">
        <w:t>imagery was explored</w:t>
      </w:r>
      <w:r w:rsidR="001656BD" w:rsidRPr="007E24DE">
        <w:t>.</w:t>
      </w:r>
      <w:r w:rsidR="001656BD" w:rsidRPr="007E24DE">
        <w:rPr>
          <w:color w:val="FF0000"/>
        </w:rPr>
        <w:t xml:space="preserve"> </w:t>
      </w:r>
      <w:r w:rsidRPr="007E24DE">
        <w:t xml:space="preserve">Half the full sample experienced primary content survivor guilt and the other half primary existential survivor guilt. </w:t>
      </w:r>
      <w:r w:rsidR="008C44BB" w:rsidRPr="007E24DE">
        <w:t>Six of seven p</w:t>
      </w:r>
      <w:r w:rsidR="009A0514" w:rsidRPr="007E24DE">
        <w:t>articipants with content survivor guilt most commonly reported imagery that included the la</w:t>
      </w:r>
      <w:r w:rsidR="008C44BB" w:rsidRPr="007E24DE">
        <w:t>st contact with the deceased /</w:t>
      </w:r>
      <w:r w:rsidR="009A0514" w:rsidRPr="007E24DE">
        <w:t xml:space="preserve"> last opportunity to intervene and prevent death</w:t>
      </w:r>
      <w:r w:rsidR="00A92DE4" w:rsidRPr="007E24DE">
        <w:t xml:space="preserve">, </w:t>
      </w:r>
      <w:r w:rsidR="009A0514" w:rsidRPr="007E24DE">
        <w:t xml:space="preserve">whereas </w:t>
      </w:r>
      <w:r w:rsidR="00A3200F" w:rsidRPr="007E24DE">
        <w:t>only</w:t>
      </w:r>
      <w:r w:rsidR="009A0514" w:rsidRPr="007E24DE">
        <w:t xml:space="preserve"> </w:t>
      </w:r>
      <w:r w:rsidR="00497F62" w:rsidRPr="007E24DE">
        <w:t xml:space="preserve">one </w:t>
      </w:r>
      <w:r w:rsidR="009A0514" w:rsidRPr="007E24DE">
        <w:t>of</w:t>
      </w:r>
      <w:r w:rsidR="00CE4A5B" w:rsidRPr="007E24DE">
        <w:t xml:space="preserve"> seven</w:t>
      </w:r>
      <w:r w:rsidR="009A0514" w:rsidRPr="007E24DE">
        <w:t xml:space="preserve"> participants classified </w:t>
      </w:r>
      <w:r w:rsidR="009A0514" w:rsidRPr="007E24DE">
        <w:lastRenderedPageBreak/>
        <w:t>with existential survivor guilt focused on last contact with the deceased</w:t>
      </w:r>
      <w:r w:rsidR="001019D5" w:rsidRPr="007E24DE">
        <w:t>.</w:t>
      </w:r>
      <w:r w:rsidR="009A0514" w:rsidRPr="007E24DE">
        <w:t xml:space="preserve"> </w:t>
      </w:r>
      <w:r w:rsidR="00C55C8E" w:rsidRPr="007E24DE">
        <w:t xml:space="preserve">The association of content survivor guilt and last contact with the deceased was significant (Fisher’s exact test p = .029). </w:t>
      </w:r>
      <w:r w:rsidR="00783105" w:rsidRPr="007E24DE">
        <w:t>Four</w:t>
      </w:r>
      <w:r w:rsidR="001A4B1A" w:rsidRPr="007E24DE">
        <w:t xml:space="preserve"> </w:t>
      </w:r>
      <w:r w:rsidR="00783105" w:rsidRPr="007E24DE">
        <w:t xml:space="preserve">participants reported </w:t>
      </w:r>
      <w:r w:rsidR="00DA484E" w:rsidRPr="007E24DE">
        <w:t>constructed imagery</w:t>
      </w:r>
      <w:r w:rsidR="00AB5FB7">
        <w:t>;</w:t>
      </w:r>
      <w:r w:rsidR="00DA484E" w:rsidRPr="007E24DE">
        <w:t xml:space="preserve"> </w:t>
      </w:r>
      <w:r w:rsidR="006E1DE4" w:rsidRPr="007E24DE">
        <w:t xml:space="preserve">these participants all </w:t>
      </w:r>
      <w:r w:rsidR="00DA484E" w:rsidRPr="007E24DE">
        <w:t xml:space="preserve">experienced </w:t>
      </w:r>
      <w:r w:rsidR="001866BE" w:rsidRPr="007E24DE">
        <w:t xml:space="preserve">primary </w:t>
      </w:r>
      <w:r w:rsidR="00DA484E" w:rsidRPr="007E24DE">
        <w:t xml:space="preserve">existential survivor guilt. </w:t>
      </w:r>
      <w:r w:rsidR="00C55C8E" w:rsidRPr="007E24DE">
        <w:t xml:space="preserve">The association of existential survivor guilt and constructed imagery was </w:t>
      </w:r>
      <w:r w:rsidR="00C4707C" w:rsidRPr="007E24DE">
        <w:t xml:space="preserve">not </w:t>
      </w:r>
      <w:r w:rsidR="00C55C8E" w:rsidRPr="007E24DE">
        <w:t xml:space="preserve">significant </w:t>
      </w:r>
      <w:r w:rsidR="00FA40CD" w:rsidRPr="007E24DE">
        <w:t xml:space="preserve">but showed a trend </w:t>
      </w:r>
      <w:r w:rsidR="00C55C8E" w:rsidRPr="007E24DE">
        <w:t>(Fisher’s exact test p = .</w:t>
      </w:r>
      <w:r w:rsidR="00C97A7C" w:rsidRPr="007E24DE">
        <w:t>070</w:t>
      </w:r>
      <w:r w:rsidR="00C55C8E" w:rsidRPr="007E24DE">
        <w:t xml:space="preserve">). </w:t>
      </w:r>
      <w:r w:rsidR="004C7FFC" w:rsidRPr="007E24DE">
        <w:t>T</w:t>
      </w:r>
      <w:r w:rsidR="00C4114E" w:rsidRPr="007E24DE">
        <w:t>rauma memory imagery</w:t>
      </w:r>
      <w:r w:rsidR="00B62923" w:rsidRPr="007E24DE">
        <w:t xml:space="preserve"> was equally common </w:t>
      </w:r>
      <w:r w:rsidR="00220E7C" w:rsidRPr="007E24DE">
        <w:t>in</w:t>
      </w:r>
      <w:r w:rsidR="00C4114E" w:rsidRPr="007E24DE">
        <w:t xml:space="preserve"> content and existential survivor gui</w:t>
      </w:r>
      <w:r w:rsidR="001866BE" w:rsidRPr="007E24DE">
        <w:t>lt groups (three participants</w:t>
      </w:r>
      <w:r w:rsidR="00C4114E" w:rsidRPr="007E24DE">
        <w:t xml:space="preserve"> each).</w:t>
      </w:r>
    </w:p>
    <w:p w14:paraId="70519B0B" w14:textId="77777777" w:rsidR="00B75CA2" w:rsidRDefault="001656BD" w:rsidP="007E24DE">
      <w:pPr>
        <w:spacing w:line="480" w:lineRule="auto"/>
        <w:jc w:val="left"/>
      </w:pPr>
      <w:r w:rsidRPr="007E24DE">
        <w:t xml:space="preserve">The relationship between survivor guilt </w:t>
      </w:r>
      <w:r w:rsidR="00974DB4" w:rsidRPr="007E24DE">
        <w:t xml:space="preserve">type </w:t>
      </w:r>
      <w:r w:rsidRPr="007E24DE">
        <w:t xml:space="preserve">and </w:t>
      </w:r>
      <w:r w:rsidR="008F7BCB" w:rsidRPr="007E24DE">
        <w:t>respon</w:t>
      </w:r>
      <w:r w:rsidR="001852BB" w:rsidRPr="007E24DE">
        <w:t>der</w:t>
      </w:r>
      <w:r w:rsidR="008F7BCB" w:rsidRPr="007E24DE">
        <w:t xml:space="preserve"> </w:t>
      </w:r>
      <w:r w:rsidRPr="007E24DE">
        <w:t xml:space="preserve">status was </w:t>
      </w:r>
      <w:r w:rsidR="00974DB4" w:rsidRPr="007E24DE">
        <w:t xml:space="preserve">also </w:t>
      </w:r>
      <w:r w:rsidRPr="007E24DE">
        <w:t>explored.</w:t>
      </w:r>
      <w:r w:rsidRPr="007E24DE">
        <w:rPr>
          <w:color w:val="FF0000"/>
        </w:rPr>
        <w:t xml:space="preserve"> </w:t>
      </w:r>
      <w:r w:rsidRPr="007E24DE">
        <w:t xml:space="preserve">Five of the seven </w:t>
      </w:r>
      <w:r w:rsidRPr="00861D7E">
        <w:t>responders</w:t>
      </w:r>
      <w:r w:rsidRPr="007E24DE">
        <w:rPr>
          <w:i/>
        </w:rPr>
        <w:t xml:space="preserve"> </w:t>
      </w:r>
      <w:r w:rsidRPr="007E24DE">
        <w:t xml:space="preserve">were classified as having </w:t>
      </w:r>
      <w:r w:rsidRPr="00861D7E">
        <w:t>existential type</w:t>
      </w:r>
      <w:r w:rsidRPr="007E24DE">
        <w:t xml:space="preserve"> survivor guilt, whereas five of six </w:t>
      </w:r>
      <w:r w:rsidRPr="00861D7E">
        <w:t>non-responders</w:t>
      </w:r>
      <w:r w:rsidRPr="007E24DE">
        <w:t xml:space="preserve"> were classified as having </w:t>
      </w:r>
      <w:r w:rsidRPr="00861D7E">
        <w:t>content type</w:t>
      </w:r>
      <w:r w:rsidRPr="007E24DE">
        <w:t xml:space="preserve"> survivor guilt. The difference in proportions showed a statistical trend, Fisher’s exact test p = .078.</w:t>
      </w:r>
    </w:p>
    <w:p w14:paraId="05B5DECC" w14:textId="77777777" w:rsidR="00C97FBF" w:rsidRPr="00816201" w:rsidRDefault="00593CD3" w:rsidP="00816201">
      <w:pPr>
        <w:spacing w:line="480" w:lineRule="auto"/>
        <w:jc w:val="left"/>
      </w:pPr>
      <w:r>
        <w:t>Finally, the type of</w:t>
      </w:r>
      <w:r w:rsidRPr="00B41C24">
        <w:t xml:space="preserve"> original and rescripted imagery across responder and non-responder groups was </w:t>
      </w:r>
      <w:r>
        <w:t>considered</w:t>
      </w:r>
      <w:r w:rsidRPr="00B41C24">
        <w:t xml:space="preserve"> using visual inspection of patterns</w:t>
      </w:r>
      <w:r>
        <w:t>, as cell counts were too small to allow statistical analysis</w:t>
      </w:r>
      <w:r w:rsidRPr="00B41C24">
        <w:t xml:space="preserve">. Responders and non-responders did not appear to differ in </w:t>
      </w:r>
      <w:r>
        <w:t xml:space="preserve">whether the </w:t>
      </w:r>
      <w:r w:rsidRPr="00B41C24">
        <w:t>original survivor guilt imagery</w:t>
      </w:r>
      <w:r>
        <w:t xml:space="preserve"> related to trauma memories, memories of the last contact with the deceased or constructed memories. However, there were indications that the </w:t>
      </w:r>
      <w:r w:rsidRPr="00B41C24">
        <w:t xml:space="preserve">choice of </w:t>
      </w:r>
      <w:r>
        <w:t>how the</w:t>
      </w:r>
      <w:r w:rsidRPr="00B41C24">
        <w:t xml:space="preserve"> imagery</w:t>
      </w:r>
      <w:r>
        <w:t xml:space="preserve"> was modified may </w:t>
      </w:r>
      <w:r w:rsidR="00E16A40">
        <w:t>influence the strength of the response to the intervention</w:t>
      </w:r>
      <w:r w:rsidRPr="00B41C24">
        <w:t xml:space="preserve">. </w:t>
      </w:r>
      <w:r w:rsidR="00E16A40">
        <w:t>Four out of five responders</w:t>
      </w:r>
      <w:r w:rsidRPr="00B41C24">
        <w:t xml:space="preserve"> chose afterlife imagery</w:t>
      </w:r>
      <w:r w:rsidR="00E16A40">
        <w:t>, with the fifth person choosing to repair and move the scene forward. N</w:t>
      </w:r>
      <w:r w:rsidRPr="00B41C24">
        <w:t>on-responders chose a range of rescripted imagery</w:t>
      </w:r>
      <w:r w:rsidR="00E16A40">
        <w:t xml:space="preserve"> (afterlife n = 1; moving the scene forward n = 1; unable to complete n= 1; undoing the deaths n = 2; life memory of the deceased n = 2).</w:t>
      </w:r>
    </w:p>
    <w:p w14:paraId="2D30FDDE" w14:textId="77777777" w:rsidR="00E3776F" w:rsidRPr="007E24DE" w:rsidRDefault="00F66151" w:rsidP="00D20166">
      <w:pPr>
        <w:pStyle w:val="Heading1"/>
        <w:numPr>
          <w:ilvl w:val="0"/>
          <w:numId w:val="0"/>
        </w:numPr>
        <w:spacing w:line="480" w:lineRule="auto"/>
        <w:ind w:left="567" w:hanging="567"/>
        <w:jc w:val="center"/>
      </w:pPr>
      <w:r w:rsidRPr="007E24DE">
        <w:t>D</w:t>
      </w:r>
      <w:r w:rsidR="00DA7B9E" w:rsidRPr="007E24DE">
        <w:t>iscussion</w:t>
      </w:r>
    </w:p>
    <w:p w14:paraId="4B880B9C" w14:textId="77777777" w:rsidR="00AE2F7E" w:rsidRPr="007E24DE" w:rsidRDefault="000A7F44" w:rsidP="00EB4F8D">
      <w:pPr>
        <w:spacing w:line="480" w:lineRule="auto"/>
        <w:jc w:val="left"/>
        <w:rPr>
          <w:highlight w:val="yellow"/>
        </w:rPr>
      </w:pPr>
      <w:r w:rsidRPr="007E24DE">
        <w:t xml:space="preserve"> The present </w:t>
      </w:r>
      <w:r w:rsidR="00E556EA" w:rsidRPr="007E24DE">
        <w:t>study was a proof-of-concept trial</w:t>
      </w:r>
      <w:r w:rsidR="006515D6" w:rsidRPr="007E24DE">
        <w:t xml:space="preserve"> of </w:t>
      </w:r>
      <w:r w:rsidR="00622F84">
        <w:t>ImRs</w:t>
      </w:r>
      <w:r w:rsidR="006515D6" w:rsidRPr="007E24DE">
        <w:t xml:space="preserve"> for</w:t>
      </w:r>
      <w:r w:rsidR="00BC5B5A" w:rsidRPr="007E24DE">
        <w:t xml:space="preserve"> survivor guilt </w:t>
      </w:r>
      <w:r w:rsidR="004E387D" w:rsidRPr="007E24DE">
        <w:t>in a</w:t>
      </w:r>
      <w:r w:rsidR="00B95776" w:rsidRPr="007E24DE">
        <w:t xml:space="preserve"> </w:t>
      </w:r>
      <w:r w:rsidRPr="007E24DE">
        <w:t>P</w:t>
      </w:r>
      <w:r w:rsidR="00336FB0" w:rsidRPr="007E24DE">
        <w:t>TSD</w:t>
      </w:r>
      <w:r w:rsidR="004E387D" w:rsidRPr="007E24DE">
        <w:t xml:space="preserve"> clinic sample</w:t>
      </w:r>
      <w:r w:rsidRPr="007E24DE">
        <w:t>. The survivor guilt intervention was evaluated as</w:t>
      </w:r>
      <w:r w:rsidR="00E477CA" w:rsidRPr="007E24DE">
        <w:t xml:space="preserve"> a</w:t>
      </w:r>
      <w:r w:rsidRPr="007E24DE">
        <w:t xml:space="preserve"> discrete two-session </w:t>
      </w:r>
      <w:r w:rsidRPr="007E24DE">
        <w:lastRenderedPageBreak/>
        <w:t>component within standard treatment for PTSD. Idiographic measures</w:t>
      </w:r>
      <w:r w:rsidRPr="007E24DE">
        <w:rPr>
          <w:b/>
        </w:rPr>
        <w:t xml:space="preserve"> </w:t>
      </w:r>
      <w:r w:rsidR="00E3776F" w:rsidRPr="007E24DE">
        <w:t xml:space="preserve">of </w:t>
      </w:r>
      <w:r w:rsidR="00BE40D3" w:rsidRPr="007E24DE">
        <w:t xml:space="preserve">the </w:t>
      </w:r>
      <w:r w:rsidR="00E3776F" w:rsidRPr="007E24DE">
        <w:t>cognitive and emotional components of survivor guilt</w:t>
      </w:r>
      <w:r w:rsidR="00297A26" w:rsidRPr="007E24DE">
        <w:t>,</w:t>
      </w:r>
      <w:r w:rsidR="00BE40D3" w:rsidRPr="007E24DE">
        <w:t xml:space="preserve"> </w:t>
      </w:r>
      <w:r w:rsidR="00E3776F" w:rsidRPr="007E24DE">
        <w:t xml:space="preserve">and distress </w:t>
      </w:r>
      <w:r w:rsidR="002C7374" w:rsidRPr="007E24DE">
        <w:t>associated with</w:t>
      </w:r>
      <w:r w:rsidR="00E3776F" w:rsidRPr="007E24DE">
        <w:t xml:space="preserve"> survivor guilt imagery</w:t>
      </w:r>
      <w:r w:rsidR="00297A26" w:rsidRPr="007E24DE">
        <w:t>,</w:t>
      </w:r>
      <w:r w:rsidR="00E3776F" w:rsidRPr="007E24DE">
        <w:t xml:space="preserve"> reduced significantly during the rescripting session</w:t>
      </w:r>
      <w:r w:rsidR="00297A26" w:rsidRPr="007E24DE">
        <w:t xml:space="preserve">. </w:t>
      </w:r>
      <w:r w:rsidR="00804A14" w:rsidRPr="007E24DE">
        <w:t>These</w:t>
      </w:r>
      <w:r w:rsidR="00297A26" w:rsidRPr="007E24DE">
        <w:t xml:space="preserve"> </w:t>
      </w:r>
      <w:r w:rsidR="00804A14" w:rsidRPr="007E24DE">
        <w:t>changes were</w:t>
      </w:r>
      <w:r w:rsidR="00297A26" w:rsidRPr="007E24DE">
        <w:t xml:space="preserve"> not observed in the preceding session in which imagery was elabor</w:t>
      </w:r>
      <w:r w:rsidR="00A9271C" w:rsidRPr="007E24DE">
        <w:t xml:space="preserve">ated </w:t>
      </w:r>
      <w:r w:rsidR="00297A26" w:rsidRPr="007E24DE">
        <w:t xml:space="preserve">but not </w:t>
      </w:r>
      <w:r w:rsidR="00EB1059" w:rsidRPr="007E24DE">
        <w:t>modified</w:t>
      </w:r>
      <w:r w:rsidR="008F7BCB" w:rsidRPr="007E24DE">
        <w:t>,</w:t>
      </w:r>
      <w:r w:rsidR="00804A14" w:rsidRPr="007E24DE">
        <w:t xml:space="preserve"> and </w:t>
      </w:r>
      <w:r w:rsidR="002B2707" w:rsidRPr="007E24DE">
        <w:t>improv</w:t>
      </w:r>
      <w:r w:rsidR="000E7C09">
        <w:t>e</w:t>
      </w:r>
      <w:r w:rsidR="002B2707" w:rsidRPr="007E24DE">
        <w:t xml:space="preserve">ments </w:t>
      </w:r>
      <w:r w:rsidR="00804A14" w:rsidRPr="007E24DE">
        <w:t>seemed to persist at the next session</w:t>
      </w:r>
      <w:r w:rsidR="00297A26" w:rsidRPr="007E24DE">
        <w:t xml:space="preserve">. </w:t>
      </w:r>
      <w:r w:rsidR="00B53BA5" w:rsidRPr="007E24DE">
        <w:t>Furthermore, t</w:t>
      </w:r>
      <w:r w:rsidR="00AE2F7E" w:rsidRPr="007E24DE">
        <w:t>he</w:t>
      </w:r>
      <w:r w:rsidR="00CC5009" w:rsidRPr="007E24DE">
        <w:t>se</w:t>
      </w:r>
      <w:r w:rsidR="00AE2F7E" w:rsidRPr="007E24DE">
        <w:t xml:space="preserve"> cognitive and emotional changes </w:t>
      </w:r>
      <w:r w:rsidR="00CC5009" w:rsidRPr="007E24DE">
        <w:t xml:space="preserve">were gained </w:t>
      </w:r>
      <w:r w:rsidR="00AE2F7E" w:rsidRPr="007E24DE">
        <w:t xml:space="preserve">in the absence of </w:t>
      </w:r>
      <w:r w:rsidR="00D0535D" w:rsidRPr="007E24DE">
        <w:t xml:space="preserve">verbal </w:t>
      </w:r>
      <w:r w:rsidR="00103085" w:rsidRPr="007E24DE">
        <w:t>cognitive</w:t>
      </w:r>
      <w:r w:rsidR="0013485E" w:rsidRPr="007E24DE">
        <w:t xml:space="preserve"> restructuring. </w:t>
      </w:r>
      <w:r w:rsidR="003714C5" w:rsidRPr="00861D7E">
        <w:t>These findings point to the conclusion</w:t>
      </w:r>
      <w:r w:rsidR="00A950C9">
        <w:t>s</w:t>
      </w:r>
      <w:r w:rsidR="003714C5" w:rsidRPr="00861D7E">
        <w:t xml:space="preserve"> that (1) </w:t>
      </w:r>
      <w:r w:rsidR="00622F84">
        <w:t>ImRs</w:t>
      </w:r>
      <w:r w:rsidR="003714C5" w:rsidRPr="00861D7E">
        <w:t xml:space="preserve"> produces emotional changes that are not solely attributable to habituation, and (2) it is possible to shift emotions by changing relevant perceptual imagery,</w:t>
      </w:r>
      <w:r w:rsidR="006D476F" w:rsidRPr="007E24DE">
        <w:t xml:space="preserve"> bypassing the verbal-cognitive route traditionally used in cognitive therapy</w:t>
      </w:r>
      <w:r w:rsidR="003714C5" w:rsidRPr="00861D7E">
        <w:t xml:space="preserve">. </w:t>
      </w:r>
      <w:r w:rsidR="00D20E48" w:rsidRPr="007E24DE">
        <w:t>A possible</w:t>
      </w:r>
      <w:r w:rsidR="007B19F9">
        <w:t xml:space="preserve"> mechanism for this effect</w:t>
      </w:r>
      <w:r w:rsidR="00674325" w:rsidRPr="007E24DE">
        <w:t xml:space="preserve"> is that </w:t>
      </w:r>
      <w:r w:rsidR="003714C5" w:rsidRPr="00861D7E">
        <w:t xml:space="preserve">experiential manipulation of mental imagery mimics </w:t>
      </w:r>
      <w:r w:rsidR="00674325" w:rsidRPr="00EC25F4">
        <w:t>real life experience by activating</w:t>
      </w:r>
      <w:r w:rsidR="003714C5" w:rsidRPr="00861D7E">
        <w:t xml:space="preserve"> the same neural structures that are responsible for processing perceptual input (Epstein, 1994; Holmes &amp; Matthews, 2010). </w:t>
      </w:r>
      <w:r w:rsidR="0021705F" w:rsidRPr="007E24DE">
        <w:t>The</w:t>
      </w:r>
      <w:r w:rsidR="00BE40D3" w:rsidRPr="007E24DE">
        <w:t xml:space="preserve"> </w:t>
      </w:r>
      <w:r w:rsidR="0021705F" w:rsidRPr="007E24DE">
        <w:t>finding</w:t>
      </w:r>
      <w:r w:rsidR="00BE40D3" w:rsidRPr="007E24DE">
        <w:t>s</w:t>
      </w:r>
      <w:r w:rsidR="0021705F" w:rsidRPr="007E24DE">
        <w:t xml:space="preserve"> </w:t>
      </w:r>
      <w:r w:rsidR="00BE40D3" w:rsidRPr="007E24DE">
        <w:t xml:space="preserve">potentially </w:t>
      </w:r>
      <w:r w:rsidR="0021705F" w:rsidRPr="007E24DE">
        <w:t xml:space="preserve">have implications for </w:t>
      </w:r>
      <w:r w:rsidR="00BE40D3" w:rsidRPr="007E24DE">
        <w:t xml:space="preserve">clinicians </w:t>
      </w:r>
      <w:r w:rsidR="00A950C9">
        <w:t>addressing challenging emotions such as survivor guilt, with</w:t>
      </w:r>
      <w:r w:rsidR="0021705F" w:rsidRPr="007E24DE">
        <w:t xml:space="preserve"> clients who struggle to engage with</w:t>
      </w:r>
      <w:r w:rsidR="00A950C9">
        <w:t>,</w:t>
      </w:r>
      <w:r w:rsidR="0021705F" w:rsidRPr="007E24DE">
        <w:t xml:space="preserve"> </w:t>
      </w:r>
      <w:r w:rsidR="00556E78" w:rsidRPr="007E24DE">
        <w:t xml:space="preserve">or who </w:t>
      </w:r>
      <w:r w:rsidR="00A950C9">
        <w:t>have not</w:t>
      </w:r>
      <w:r w:rsidR="00556E78" w:rsidRPr="007E24DE">
        <w:t xml:space="preserve"> respond</w:t>
      </w:r>
      <w:r w:rsidR="00A950C9">
        <w:t>ed</w:t>
      </w:r>
      <w:r w:rsidR="00556E78" w:rsidRPr="007E24DE">
        <w:t xml:space="preserve"> to</w:t>
      </w:r>
      <w:r w:rsidR="00A950C9">
        <w:t>,</w:t>
      </w:r>
      <w:r w:rsidR="00556E78" w:rsidRPr="007E24DE">
        <w:t xml:space="preserve"> </w:t>
      </w:r>
      <w:r w:rsidR="00F20C01">
        <w:t>traditional</w:t>
      </w:r>
      <w:r w:rsidR="0019758F" w:rsidRPr="007E24DE">
        <w:rPr>
          <w:lang w:val="en-US"/>
        </w:rPr>
        <w:t xml:space="preserve"> techniques</w:t>
      </w:r>
      <w:r w:rsidR="0021705F" w:rsidRPr="007E24DE">
        <w:t>.</w:t>
      </w:r>
      <w:r w:rsidR="006F3745" w:rsidRPr="007E24DE">
        <w:t xml:space="preserve"> </w:t>
      </w:r>
    </w:p>
    <w:p w14:paraId="3D3230F8" w14:textId="77777777" w:rsidR="00E3776F" w:rsidRPr="007E24DE" w:rsidRDefault="00BE40D3" w:rsidP="00D20166">
      <w:pPr>
        <w:spacing w:line="480" w:lineRule="auto"/>
        <w:jc w:val="left"/>
        <w:rPr>
          <w:lang w:val="en-US"/>
        </w:rPr>
      </w:pPr>
      <w:r w:rsidRPr="007E24DE">
        <w:rPr>
          <w:lang w:val="en-US"/>
        </w:rPr>
        <w:t>Although p</w:t>
      </w:r>
      <w:r w:rsidR="006F383F" w:rsidRPr="007E24DE">
        <w:rPr>
          <w:lang w:val="en-US"/>
        </w:rPr>
        <w:t xml:space="preserve">articipants </w:t>
      </w:r>
      <w:r w:rsidRPr="007E24DE">
        <w:rPr>
          <w:lang w:val="en-US"/>
        </w:rPr>
        <w:t xml:space="preserve">improved overall on idiographic process measures, they </w:t>
      </w:r>
      <w:r w:rsidR="006F383F" w:rsidRPr="007E24DE">
        <w:rPr>
          <w:lang w:val="en-US"/>
        </w:rPr>
        <w:t>did not experience</w:t>
      </w:r>
      <w:r w:rsidR="00E3776F" w:rsidRPr="007E24DE">
        <w:rPr>
          <w:lang w:val="en-US"/>
        </w:rPr>
        <w:t xml:space="preserve"> significant changes on weekly measures of survivor guilt</w:t>
      </w:r>
      <w:r w:rsidR="00556E78" w:rsidRPr="007E24DE">
        <w:rPr>
          <w:lang w:val="en-US"/>
        </w:rPr>
        <w:t>,</w:t>
      </w:r>
      <w:r w:rsidR="00E3776F" w:rsidRPr="007E24DE">
        <w:rPr>
          <w:lang w:val="en-US"/>
        </w:rPr>
        <w:t xml:space="preserve"> imagery distress</w:t>
      </w:r>
      <w:r w:rsidR="00556E78" w:rsidRPr="007E24DE">
        <w:rPr>
          <w:lang w:val="en-US"/>
        </w:rPr>
        <w:t>,</w:t>
      </w:r>
      <w:r w:rsidRPr="007E24DE">
        <w:rPr>
          <w:lang w:val="en-US"/>
        </w:rPr>
        <w:t xml:space="preserve"> depression</w:t>
      </w:r>
      <w:r w:rsidR="009D6079">
        <w:rPr>
          <w:lang w:val="en-US"/>
        </w:rPr>
        <w:t>,</w:t>
      </w:r>
      <w:r w:rsidRPr="007E24DE">
        <w:rPr>
          <w:lang w:val="en-US"/>
        </w:rPr>
        <w:t xml:space="preserve"> </w:t>
      </w:r>
      <w:r w:rsidR="009D6079">
        <w:rPr>
          <w:lang w:val="en-US"/>
        </w:rPr>
        <w:t>or</w:t>
      </w:r>
      <w:r w:rsidR="009D6079" w:rsidRPr="007E24DE">
        <w:rPr>
          <w:lang w:val="en-US"/>
        </w:rPr>
        <w:t xml:space="preserve"> </w:t>
      </w:r>
      <w:r w:rsidRPr="007E24DE">
        <w:rPr>
          <w:lang w:val="en-US"/>
        </w:rPr>
        <w:t>PTSD symptom</w:t>
      </w:r>
      <w:r w:rsidR="007E663E" w:rsidRPr="007E24DE">
        <w:rPr>
          <w:lang w:val="en-US"/>
        </w:rPr>
        <w:t>s</w:t>
      </w:r>
      <w:r w:rsidRPr="007E24DE">
        <w:rPr>
          <w:lang w:val="en-US"/>
        </w:rPr>
        <w:t>.</w:t>
      </w:r>
      <w:r w:rsidR="00A950C9">
        <w:rPr>
          <w:lang w:val="en-US"/>
        </w:rPr>
        <w:t xml:space="preserve"> This may indicate that the effect of the imagery rescripting is only transitory, or is highly specific to the image being targeted.</w:t>
      </w:r>
      <w:r w:rsidR="00EB4F8D">
        <w:rPr>
          <w:lang w:val="en-US"/>
        </w:rPr>
        <w:t xml:space="preserve"> </w:t>
      </w:r>
      <w:r w:rsidR="00486CD2" w:rsidRPr="007E24DE">
        <w:rPr>
          <w:lang w:val="en-US"/>
        </w:rPr>
        <w:t>Pre</w:t>
      </w:r>
      <w:r w:rsidR="00E3776F" w:rsidRPr="007E24DE">
        <w:rPr>
          <w:lang w:val="en-US"/>
        </w:rPr>
        <w:t xml:space="preserve">vious studies that have used longer follow-up periods </w:t>
      </w:r>
      <w:r w:rsidR="001D0B94" w:rsidRPr="007E24DE">
        <w:rPr>
          <w:lang w:val="en-US"/>
        </w:rPr>
        <w:t>indicate</w:t>
      </w:r>
      <w:r w:rsidR="00E3776F" w:rsidRPr="007E24DE">
        <w:rPr>
          <w:lang w:val="en-US"/>
        </w:rPr>
        <w:t xml:space="preserve"> that</w:t>
      </w:r>
      <w:r w:rsidR="00C02EE3" w:rsidRPr="007E24DE">
        <w:rPr>
          <w:lang w:val="en-US"/>
        </w:rPr>
        <w:t xml:space="preserve"> clients continue to improve </w:t>
      </w:r>
      <w:r w:rsidRPr="007E24DE">
        <w:rPr>
          <w:lang w:val="en-US"/>
        </w:rPr>
        <w:t xml:space="preserve">during </w:t>
      </w:r>
      <w:r w:rsidR="00E3776F" w:rsidRPr="007E24DE">
        <w:rPr>
          <w:lang w:val="en-US"/>
        </w:rPr>
        <w:t xml:space="preserve">the weeks after ImRs even if no further sessions are offered (Grunert et al., 2007). It is possible that participants continued to </w:t>
      </w:r>
      <w:r w:rsidR="003E5664" w:rsidRPr="007E24DE">
        <w:rPr>
          <w:lang w:val="en-US"/>
        </w:rPr>
        <w:t xml:space="preserve">experience </w:t>
      </w:r>
      <w:r w:rsidR="00E3776F" w:rsidRPr="007E24DE">
        <w:rPr>
          <w:lang w:val="en-US"/>
        </w:rPr>
        <w:t>improve</w:t>
      </w:r>
      <w:r w:rsidR="003E5664" w:rsidRPr="007E24DE">
        <w:rPr>
          <w:lang w:val="en-US"/>
        </w:rPr>
        <w:t xml:space="preserve">ments </w:t>
      </w:r>
      <w:r w:rsidR="003179D4" w:rsidRPr="007E24DE">
        <w:rPr>
          <w:lang w:val="en-US"/>
        </w:rPr>
        <w:t>beyond the week following rescripting</w:t>
      </w:r>
      <w:r w:rsidR="009D6079">
        <w:rPr>
          <w:lang w:val="en-US"/>
        </w:rPr>
        <w:t>,</w:t>
      </w:r>
      <w:r w:rsidR="003179D4" w:rsidRPr="007E24DE">
        <w:rPr>
          <w:lang w:val="en-US"/>
        </w:rPr>
        <w:t xml:space="preserve"> </w:t>
      </w:r>
      <w:r w:rsidR="00E3776F" w:rsidRPr="007E24DE">
        <w:rPr>
          <w:lang w:val="en-US"/>
        </w:rPr>
        <w:t xml:space="preserve">but </w:t>
      </w:r>
      <w:r w:rsidR="00CD3BBF" w:rsidRPr="007E24DE">
        <w:rPr>
          <w:lang w:val="en-US"/>
        </w:rPr>
        <w:t xml:space="preserve">this was not </w:t>
      </w:r>
      <w:r w:rsidR="003179D4" w:rsidRPr="007E24DE">
        <w:rPr>
          <w:lang w:val="en-US"/>
        </w:rPr>
        <w:t>measured in the present study</w:t>
      </w:r>
      <w:r w:rsidR="00EB4F8D">
        <w:rPr>
          <w:lang w:val="en-US"/>
        </w:rPr>
        <w:t xml:space="preserve">, due to the short follow-up period required to minimize the impact </w:t>
      </w:r>
      <w:r w:rsidR="00B70420">
        <w:rPr>
          <w:lang w:val="en-US"/>
        </w:rPr>
        <w:t>on the rest of their treatment</w:t>
      </w:r>
      <w:r w:rsidRPr="007E24DE">
        <w:rPr>
          <w:lang w:val="en-US"/>
        </w:rPr>
        <w:t xml:space="preserve">. </w:t>
      </w:r>
      <w:r w:rsidR="00B70420">
        <w:rPr>
          <w:lang w:val="en-US"/>
        </w:rPr>
        <w:t>The intervention was brief, and designed to target a single image. Given that</w:t>
      </w:r>
      <w:r w:rsidR="004D10EC" w:rsidRPr="007E24DE">
        <w:rPr>
          <w:lang w:val="en-US"/>
        </w:rPr>
        <w:t xml:space="preserve"> t</w:t>
      </w:r>
      <w:r w:rsidR="00E3776F" w:rsidRPr="007E24DE">
        <w:rPr>
          <w:lang w:val="en-US"/>
        </w:rPr>
        <w:t>he</w:t>
      </w:r>
      <w:r w:rsidR="00797341" w:rsidRPr="007E24DE">
        <w:rPr>
          <w:lang w:val="en-US"/>
        </w:rPr>
        <w:t xml:space="preserve"> sample</w:t>
      </w:r>
      <w:r w:rsidR="00E3776F" w:rsidRPr="007E24DE">
        <w:rPr>
          <w:lang w:val="en-US"/>
        </w:rPr>
        <w:t xml:space="preserve"> consisted predominantly of multiply traumatised individuals who experienced a range of difficulties</w:t>
      </w:r>
      <w:r w:rsidR="00C02EE3" w:rsidRPr="007E24DE">
        <w:rPr>
          <w:lang w:val="en-US"/>
        </w:rPr>
        <w:t xml:space="preserve"> that</w:t>
      </w:r>
      <w:r w:rsidR="00E3776F" w:rsidRPr="007E24DE">
        <w:rPr>
          <w:lang w:val="en-US"/>
        </w:rPr>
        <w:t xml:space="preserve"> related to various </w:t>
      </w:r>
      <w:r w:rsidR="00E3776F" w:rsidRPr="007E24DE">
        <w:rPr>
          <w:lang w:val="en-US"/>
        </w:rPr>
        <w:lastRenderedPageBreak/>
        <w:t>traumatic events</w:t>
      </w:r>
      <w:r w:rsidR="0041611C">
        <w:rPr>
          <w:lang w:val="en-US"/>
        </w:rPr>
        <w:t xml:space="preserve">, it may be that the </w:t>
      </w:r>
      <w:r w:rsidR="00797341" w:rsidRPr="007E24DE">
        <w:rPr>
          <w:lang w:val="en-US"/>
        </w:rPr>
        <w:t>two-</w:t>
      </w:r>
      <w:r w:rsidR="00E3776F" w:rsidRPr="007E24DE">
        <w:rPr>
          <w:lang w:val="en-US"/>
        </w:rPr>
        <w:t xml:space="preserve">session </w:t>
      </w:r>
      <w:r w:rsidR="00797341" w:rsidRPr="007E24DE">
        <w:rPr>
          <w:lang w:val="en-US"/>
        </w:rPr>
        <w:t xml:space="preserve">survivor guilt </w:t>
      </w:r>
      <w:r w:rsidR="00E3776F" w:rsidRPr="007E24DE">
        <w:rPr>
          <w:lang w:val="en-US"/>
        </w:rPr>
        <w:t xml:space="preserve">intervention </w:t>
      </w:r>
      <w:r w:rsidR="0041611C">
        <w:rPr>
          <w:lang w:val="en-US"/>
        </w:rPr>
        <w:t>was insufficient</w:t>
      </w:r>
      <w:r w:rsidR="0041611C" w:rsidRPr="007E24DE">
        <w:rPr>
          <w:lang w:val="en-US"/>
        </w:rPr>
        <w:t xml:space="preserve"> </w:t>
      </w:r>
      <w:r w:rsidR="00E3776F" w:rsidRPr="007E24DE">
        <w:rPr>
          <w:lang w:val="en-US"/>
        </w:rPr>
        <w:t xml:space="preserve">to reduce </w:t>
      </w:r>
      <w:r w:rsidR="00C02EE3" w:rsidRPr="007E24DE">
        <w:rPr>
          <w:lang w:val="en-US"/>
        </w:rPr>
        <w:t xml:space="preserve">overall </w:t>
      </w:r>
      <w:r w:rsidR="00E3776F" w:rsidRPr="007E24DE">
        <w:rPr>
          <w:lang w:val="en-US"/>
        </w:rPr>
        <w:t>PTSD</w:t>
      </w:r>
      <w:r w:rsidR="00622F84">
        <w:rPr>
          <w:lang w:val="en-US"/>
        </w:rPr>
        <w:t>,</w:t>
      </w:r>
      <w:r w:rsidR="00E3776F" w:rsidRPr="007E24DE">
        <w:rPr>
          <w:lang w:val="en-US"/>
        </w:rPr>
        <w:t xml:space="preserve"> depression </w:t>
      </w:r>
      <w:r w:rsidR="00622F84">
        <w:rPr>
          <w:lang w:val="en-US"/>
        </w:rPr>
        <w:t xml:space="preserve">and survivor guilt </w:t>
      </w:r>
      <w:r w:rsidR="00C02EE3" w:rsidRPr="007E24DE">
        <w:rPr>
          <w:lang w:val="en-US"/>
        </w:rPr>
        <w:t>symptoms</w:t>
      </w:r>
      <w:r w:rsidR="0041611C">
        <w:rPr>
          <w:lang w:val="en-US"/>
        </w:rPr>
        <w:t>, even though it seemed to impact positively on the target image and associated beliefs and feelings</w:t>
      </w:r>
      <w:r w:rsidR="00E3776F" w:rsidRPr="007E24DE">
        <w:rPr>
          <w:lang w:val="en-US"/>
        </w:rPr>
        <w:t>.</w:t>
      </w:r>
      <w:r w:rsidR="0058323D" w:rsidRPr="007E24DE">
        <w:rPr>
          <w:lang w:val="en-US"/>
        </w:rPr>
        <w:t xml:space="preserve"> </w:t>
      </w:r>
      <w:r w:rsidR="007E663E" w:rsidRPr="007E24DE">
        <w:rPr>
          <w:lang w:val="en-US"/>
        </w:rPr>
        <w:t>F</w:t>
      </w:r>
      <w:r w:rsidR="00B2674C" w:rsidRPr="007E24DE">
        <w:rPr>
          <w:lang w:val="en-US"/>
        </w:rPr>
        <w:t>uture stud</w:t>
      </w:r>
      <w:r w:rsidR="006D7780" w:rsidRPr="007E24DE">
        <w:rPr>
          <w:lang w:val="en-US"/>
        </w:rPr>
        <w:t>ies</w:t>
      </w:r>
      <w:r w:rsidR="00240B3D" w:rsidRPr="007E24DE">
        <w:rPr>
          <w:lang w:val="en-US"/>
        </w:rPr>
        <w:t xml:space="preserve"> investigating</w:t>
      </w:r>
      <w:r w:rsidR="004C1572" w:rsidRPr="007E24DE">
        <w:rPr>
          <w:lang w:val="en-US"/>
        </w:rPr>
        <w:t xml:space="preserve"> treatments for survivor guilt </w:t>
      </w:r>
      <w:r w:rsidR="00240B3D" w:rsidRPr="007E24DE">
        <w:rPr>
          <w:lang w:val="en-US"/>
        </w:rPr>
        <w:t xml:space="preserve">should </w:t>
      </w:r>
      <w:r w:rsidR="006D7780" w:rsidRPr="007E24DE">
        <w:rPr>
          <w:lang w:val="en-US"/>
        </w:rPr>
        <w:t>evaluate</w:t>
      </w:r>
      <w:r w:rsidR="00B2674C" w:rsidRPr="007E24DE">
        <w:rPr>
          <w:lang w:val="en-US"/>
        </w:rPr>
        <w:t xml:space="preserve"> sympto</w:t>
      </w:r>
      <w:r w:rsidR="00E67160" w:rsidRPr="007E24DE">
        <w:rPr>
          <w:lang w:val="en-US"/>
        </w:rPr>
        <w:t xml:space="preserve">ms relating specifically to the </w:t>
      </w:r>
      <w:r w:rsidR="00EE1118" w:rsidRPr="007E24DE">
        <w:rPr>
          <w:lang w:val="en-US"/>
        </w:rPr>
        <w:t xml:space="preserve">survivor guilt </w:t>
      </w:r>
      <w:r w:rsidR="006D7780" w:rsidRPr="007E24DE">
        <w:rPr>
          <w:lang w:val="en-US"/>
        </w:rPr>
        <w:t>event</w:t>
      </w:r>
      <w:r w:rsidR="00C64713" w:rsidRPr="007E24DE">
        <w:rPr>
          <w:lang w:val="en-US"/>
        </w:rPr>
        <w:t xml:space="preserve"> to avoid missing </w:t>
      </w:r>
      <w:r w:rsidR="00F709E4" w:rsidRPr="007E24DE">
        <w:rPr>
          <w:lang w:val="en-US"/>
        </w:rPr>
        <w:t xml:space="preserve">possible treatment </w:t>
      </w:r>
      <w:r w:rsidR="00C64713" w:rsidRPr="007E24DE">
        <w:rPr>
          <w:lang w:val="en-US"/>
        </w:rPr>
        <w:t>effects</w:t>
      </w:r>
      <w:r w:rsidR="00F62819" w:rsidRPr="007E24DE">
        <w:rPr>
          <w:lang w:val="en-US"/>
        </w:rPr>
        <w:t xml:space="preserve"> on broader </w:t>
      </w:r>
      <w:r w:rsidR="00AC3C03" w:rsidRPr="007E24DE">
        <w:rPr>
          <w:lang w:val="en-US"/>
        </w:rPr>
        <w:t xml:space="preserve">PTSD </w:t>
      </w:r>
      <w:r w:rsidR="00F62819" w:rsidRPr="007E24DE">
        <w:rPr>
          <w:lang w:val="en-US"/>
        </w:rPr>
        <w:t>symptomatology</w:t>
      </w:r>
      <w:r w:rsidR="002C4BE6" w:rsidRPr="007E24DE">
        <w:rPr>
          <w:lang w:val="en-US"/>
        </w:rPr>
        <w:t>.</w:t>
      </w:r>
      <w:r w:rsidR="00255C81">
        <w:rPr>
          <w:lang w:val="en-US"/>
        </w:rPr>
        <w:t xml:space="preserve"> </w:t>
      </w:r>
    </w:p>
    <w:p w14:paraId="498D7701" w14:textId="77777777" w:rsidR="00CF717C" w:rsidRDefault="00DC612E">
      <w:pPr>
        <w:spacing w:line="480" w:lineRule="auto"/>
        <w:jc w:val="left"/>
      </w:pPr>
      <w:r w:rsidRPr="007E24DE">
        <w:t>D</w:t>
      </w:r>
      <w:r w:rsidR="000B5BBE" w:rsidRPr="007E24DE">
        <w:t>ifference</w:t>
      </w:r>
      <w:r w:rsidR="00E477CA" w:rsidRPr="007E24DE">
        <w:t>s</w:t>
      </w:r>
      <w:r w:rsidR="000B5BBE" w:rsidRPr="007E24DE">
        <w:t xml:space="preserve"> </w:t>
      </w:r>
      <w:r w:rsidR="00B84F77" w:rsidRPr="007E24DE">
        <w:t>between ex</w:t>
      </w:r>
      <w:r w:rsidR="00F54EF2" w:rsidRPr="007E24DE">
        <w:t xml:space="preserve">istential and content survivor </w:t>
      </w:r>
      <w:r w:rsidR="00B84F77" w:rsidRPr="007E24DE">
        <w:t xml:space="preserve">guilt </w:t>
      </w:r>
      <w:r w:rsidR="000100A4" w:rsidRPr="007E24DE">
        <w:t xml:space="preserve">sub-types </w:t>
      </w:r>
      <w:r w:rsidR="000B5BBE" w:rsidRPr="007E24DE">
        <w:t xml:space="preserve">were observed in </w:t>
      </w:r>
      <w:r w:rsidR="00540691" w:rsidRPr="007E24DE">
        <w:t xml:space="preserve">the type of distressing imagery </w:t>
      </w:r>
      <w:r w:rsidR="00F54EF2" w:rsidRPr="007E24DE">
        <w:t>described by partici</w:t>
      </w:r>
      <w:r w:rsidR="00DE57E5" w:rsidRPr="007E24DE">
        <w:t>pants</w:t>
      </w:r>
      <w:r w:rsidR="009373BF" w:rsidRPr="007E24DE">
        <w:t xml:space="preserve"> a</w:t>
      </w:r>
      <w:r w:rsidR="00090B4E" w:rsidRPr="007E24DE">
        <w:t xml:space="preserve">nd the likelihood </w:t>
      </w:r>
      <w:r w:rsidR="00E477CA" w:rsidRPr="007E24DE">
        <w:t>of achieving</w:t>
      </w:r>
      <w:r w:rsidR="00090B4E" w:rsidRPr="007E24DE">
        <w:t xml:space="preserve"> </w:t>
      </w:r>
      <w:r w:rsidR="00990AF1" w:rsidRPr="007E24DE">
        <w:t xml:space="preserve">reached </w:t>
      </w:r>
      <w:r w:rsidR="00090B4E" w:rsidRPr="007E24DE">
        <w:t>reliable change following ImRs</w:t>
      </w:r>
      <w:r w:rsidR="002457CF">
        <w:t>.</w:t>
      </w:r>
      <w:r w:rsidR="007E4100" w:rsidRPr="007E24DE">
        <w:t xml:space="preserve"> </w:t>
      </w:r>
      <w:r w:rsidR="00090B4E" w:rsidRPr="007E24DE">
        <w:t xml:space="preserve">These differences </w:t>
      </w:r>
      <w:r w:rsidR="00E477CA" w:rsidRPr="007E24DE">
        <w:t>support the idea</w:t>
      </w:r>
      <w:r w:rsidR="00090B4E" w:rsidRPr="007E24DE">
        <w:t xml:space="preserve"> that existential and content survivor guilt are distinct phenomena underpinned by different processes.</w:t>
      </w:r>
      <w:r w:rsidR="004F38A7" w:rsidRPr="007E24DE">
        <w:t xml:space="preserve"> </w:t>
      </w:r>
      <w:r w:rsidR="00F62819" w:rsidRPr="007E24DE">
        <w:rPr>
          <w:lang w:val="en-US"/>
        </w:rPr>
        <w:t>Primary</w:t>
      </w:r>
      <w:r w:rsidR="00756E38" w:rsidRPr="007E24DE">
        <w:t xml:space="preserve"> </w:t>
      </w:r>
      <w:r w:rsidR="00E3776F" w:rsidRPr="007E24DE">
        <w:t xml:space="preserve">content survivor guilt </w:t>
      </w:r>
      <w:r w:rsidR="004407C6" w:rsidRPr="007E24DE">
        <w:t xml:space="preserve">was </w:t>
      </w:r>
      <w:r w:rsidR="00881044" w:rsidRPr="007E24DE">
        <w:t xml:space="preserve">significantly </w:t>
      </w:r>
      <w:r w:rsidR="004407C6" w:rsidRPr="007E24DE">
        <w:t xml:space="preserve">associated with </w:t>
      </w:r>
      <w:r w:rsidR="00E3776F" w:rsidRPr="007E24DE">
        <w:t>reported im</w:t>
      </w:r>
      <w:r w:rsidR="00F21BFA" w:rsidRPr="007E24DE">
        <w:t xml:space="preserve">agery </w:t>
      </w:r>
      <w:r w:rsidR="00D83EBE" w:rsidRPr="007E24DE">
        <w:t>of</w:t>
      </w:r>
      <w:r w:rsidR="00812BD8" w:rsidRPr="007E24DE">
        <w:t xml:space="preserve"> participants’</w:t>
      </w:r>
      <w:r w:rsidR="00B176E8" w:rsidRPr="007E24DE">
        <w:t xml:space="preserve"> memories</w:t>
      </w:r>
      <w:r w:rsidR="00F21BFA" w:rsidRPr="007E24DE">
        <w:t xml:space="preserve"> of the</w:t>
      </w:r>
      <w:r w:rsidR="00B176E8" w:rsidRPr="007E24DE">
        <w:t>ir</w:t>
      </w:r>
      <w:r w:rsidR="00CB6726" w:rsidRPr="007E24DE">
        <w:t xml:space="preserve"> last contact with the deceased</w:t>
      </w:r>
      <w:r w:rsidR="00B66329" w:rsidRPr="007E24DE">
        <w:t xml:space="preserve"> /</w:t>
      </w:r>
      <w:r w:rsidR="00D33F5D" w:rsidRPr="007E24DE">
        <w:t xml:space="preserve"> last opportunity to intervene and prevent deaths</w:t>
      </w:r>
      <w:r w:rsidR="00E3776F" w:rsidRPr="007E24DE">
        <w:t>.</w:t>
      </w:r>
      <w:r w:rsidR="00AF1A69" w:rsidRPr="007E24DE">
        <w:t xml:space="preserve"> </w:t>
      </w:r>
      <w:r w:rsidR="00E3776F" w:rsidRPr="007E24DE">
        <w:t>Th</w:t>
      </w:r>
      <w:r w:rsidR="008378B3" w:rsidRPr="007E24DE">
        <w:t xml:space="preserve">is finding suggests </w:t>
      </w:r>
      <w:r w:rsidR="00E3776F" w:rsidRPr="007E24DE">
        <w:t>that</w:t>
      </w:r>
      <w:r w:rsidR="000E638E" w:rsidRPr="007E24DE">
        <w:t xml:space="preserve"> content</w:t>
      </w:r>
      <w:r w:rsidR="00E3776F" w:rsidRPr="007E24DE">
        <w:t xml:space="preserve"> survivor guilt is </w:t>
      </w:r>
      <w:r w:rsidR="00DE57E5" w:rsidRPr="007E24DE">
        <w:t xml:space="preserve">characterized </w:t>
      </w:r>
      <w:r w:rsidR="00E3776F" w:rsidRPr="007E24DE">
        <w:t>by regrets about action</w:t>
      </w:r>
      <w:r w:rsidR="00E569D0" w:rsidRPr="007E24DE">
        <w:t xml:space="preserve"> (or inaction)</w:t>
      </w:r>
      <w:r w:rsidR="004407C6" w:rsidRPr="007E24DE">
        <w:t xml:space="preserve"> and </w:t>
      </w:r>
      <w:r w:rsidR="00E3776F" w:rsidRPr="007E24DE">
        <w:t xml:space="preserve">is linked to distressing imagery of the memory </w:t>
      </w:r>
      <w:r w:rsidR="00E569D0" w:rsidRPr="007E24DE">
        <w:t>related to such</w:t>
      </w:r>
      <w:r w:rsidR="00A83C7E" w:rsidRPr="007E24DE">
        <w:t xml:space="preserve"> regrets. </w:t>
      </w:r>
      <w:r w:rsidR="001107A8" w:rsidRPr="007E24DE">
        <w:t xml:space="preserve">This interpretation is consistent with anecdotal comments </w:t>
      </w:r>
      <w:r w:rsidR="006F32F2" w:rsidRPr="007E24DE">
        <w:t xml:space="preserve">made </w:t>
      </w:r>
      <w:r w:rsidR="001107A8" w:rsidRPr="007E24DE">
        <w:t xml:space="preserve">by participants indicating that the emotional significance of these memories </w:t>
      </w:r>
      <w:r w:rsidR="00881044" w:rsidRPr="007E24DE">
        <w:t>originated from</w:t>
      </w:r>
      <w:r w:rsidR="001107A8" w:rsidRPr="007E24DE">
        <w:t xml:space="preserve"> </w:t>
      </w:r>
      <w:r w:rsidR="00F33E2B" w:rsidRPr="007E24DE">
        <w:t>identifying it as their</w:t>
      </w:r>
      <w:r w:rsidR="001107A8" w:rsidRPr="007E24DE">
        <w:t xml:space="preserve"> last chance to save the deceased. </w:t>
      </w:r>
      <w:r w:rsidR="00EA7C75" w:rsidRPr="007E24DE">
        <w:t>This points to</w:t>
      </w:r>
      <w:r w:rsidR="006F32F2" w:rsidRPr="007E24DE">
        <w:t xml:space="preserve"> a</w:t>
      </w:r>
      <w:r w:rsidR="00E3776F" w:rsidRPr="007E24DE">
        <w:t xml:space="preserve"> </w:t>
      </w:r>
      <w:r w:rsidR="00A83C7E" w:rsidRPr="007E24DE">
        <w:t>formulation</w:t>
      </w:r>
      <w:r w:rsidR="00E3776F" w:rsidRPr="007E24DE">
        <w:t xml:space="preserve"> </w:t>
      </w:r>
      <w:r w:rsidR="004407C6" w:rsidRPr="007E24DE">
        <w:t>of</w:t>
      </w:r>
      <w:r w:rsidR="00E3776F" w:rsidRPr="007E24DE">
        <w:t xml:space="preserve"> content survivor guilt</w:t>
      </w:r>
      <w:r w:rsidR="004407C6" w:rsidRPr="007E24DE">
        <w:t xml:space="preserve"> as being</w:t>
      </w:r>
      <w:r w:rsidR="00E3776F" w:rsidRPr="007E24DE">
        <w:t xml:space="preserve"> driven by rumination regarding peri-traumatic actions and construction of counterfactual scenarios of final moments</w:t>
      </w:r>
      <w:r w:rsidR="00F21BFA" w:rsidRPr="007E24DE">
        <w:t xml:space="preserve">. </w:t>
      </w:r>
    </w:p>
    <w:p w14:paraId="531B4431" w14:textId="77777777" w:rsidR="00E3776F" w:rsidRDefault="00DD7DFD">
      <w:pPr>
        <w:spacing w:line="480" w:lineRule="auto"/>
        <w:jc w:val="left"/>
      </w:pPr>
      <w:r w:rsidRPr="007E24DE">
        <w:t xml:space="preserve">Content survivor guilt did not appear to respond well to imagery rescripting, with only one ImRs responder found in this group. </w:t>
      </w:r>
      <w:r w:rsidR="00F21BFA" w:rsidRPr="007E24DE">
        <w:t>Content survivor guilt</w:t>
      </w:r>
      <w:r w:rsidR="007652ED" w:rsidRPr="007E24DE">
        <w:t xml:space="preserve"> may</w:t>
      </w:r>
      <w:r w:rsidR="00156C78" w:rsidRPr="007E24DE">
        <w:t xml:space="preserve"> </w:t>
      </w:r>
      <w:r w:rsidR="00A83C7E" w:rsidRPr="007E24DE">
        <w:t>be conceptualised using c</w:t>
      </w:r>
      <w:r w:rsidR="00E3776F" w:rsidRPr="007E24DE">
        <w:t xml:space="preserve">ognitive </w:t>
      </w:r>
      <w:r w:rsidR="001562A1" w:rsidRPr="007E24DE">
        <w:t xml:space="preserve">guilt </w:t>
      </w:r>
      <w:r w:rsidR="00E3776F" w:rsidRPr="007E24DE">
        <w:t>model</w:t>
      </w:r>
      <w:r w:rsidR="00015C1F" w:rsidRPr="007E24DE">
        <w:t>s</w:t>
      </w:r>
      <w:r w:rsidR="00E3776F" w:rsidRPr="007E24DE">
        <w:t xml:space="preserve"> </w:t>
      </w:r>
      <w:r w:rsidR="0086440D" w:rsidRPr="007E24DE">
        <w:t xml:space="preserve">and </w:t>
      </w:r>
      <w:r w:rsidR="008A4D00" w:rsidRPr="007E24DE">
        <w:t xml:space="preserve">most </w:t>
      </w:r>
      <w:r w:rsidR="0086440D" w:rsidRPr="007E24DE">
        <w:t xml:space="preserve">effectively </w:t>
      </w:r>
      <w:r w:rsidR="0086440D" w:rsidRPr="007E24DE">
        <w:rPr>
          <w:lang w:val="en-US"/>
        </w:rPr>
        <w:t xml:space="preserve">treated using </w:t>
      </w:r>
      <w:r w:rsidR="00103085" w:rsidRPr="007E24DE">
        <w:rPr>
          <w:lang w:val="en-US"/>
        </w:rPr>
        <w:t>verbal-cognitive</w:t>
      </w:r>
      <w:r w:rsidR="007652ED" w:rsidRPr="007E24DE">
        <w:t xml:space="preserve"> techniques</w:t>
      </w:r>
      <w:r w:rsidR="0086440D" w:rsidRPr="007E24DE">
        <w:t xml:space="preserve"> that seek to address errors of </w:t>
      </w:r>
      <w:r w:rsidR="0086440D" w:rsidRPr="007E24DE">
        <w:rPr>
          <w:lang w:val="en-US"/>
        </w:rPr>
        <w:t>foreseea</w:t>
      </w:r>
      <w:r w:rsidR="002F2372" w:rsidRPr="007E24DE">
        <w:rPr>
          <w:lang w:val="en-US"/>
        </w:rPr>
        <w:t>bility and preventability</w:t>
      </w:r>
      <w:r w:rsidR="0086440D" w:rsidRPr="007E24DE">
        <w:rPr>
          <w:lang w:val="en-US"/>
        </w:rPr>
        <w:t xml:space="preserve"> </w:t>
      </w:r>
      <w:r w:rsidR="001562A1" w:rsidRPr="007E24DE">
        <w:rPr>
          <w:lang w:val="en-US"/>
        </w:rPr>
        <w:t xml:space="preserve">and hindsight bias </w:t>
      </w:r>
      <w:r w:rsidR="0086440D" w:rsidRPr="007E24DE">
        <w:rPr>
          <w:lang w:val="en-US"/>
        </w:rPr>
        <w:t>(</w:t>
      </w:r>
      <w:r w:rsidR="0086440D" w:rsidRPr="007E24DE">
        <w:t>Kubany &amp; Manke, 1995).</w:t>
      </w:r>
      <w:r w:rsidR="00176EBA">
        <w:t xml:space="preserve"> </w:t>
      </w:r>
      <w:r w:rsidR="00156C78" w:rsidRPr="007E24DE">
        <w:t>Participants who exp</w:t>
      </w:r>
      <w:r w:rsidR="00E3776F" w:rsidRPr="007E24DE">
        <w:t>erienced existential surviv</w:t>
      </w:r>
      <w:r w:rsidR="00156C78" w:rsidRPr="007E24DE">
        <w:t xml:space="preserve">or guilt reported </w:t>
      </w:r>
      <w:r w:rsidR="00E3776F" w:rsidRPr="007E24DE">
        <w:t>constructed imagery</w:t>
      </w:r>
      <w:r w:rsidR="008259E7" w:rsidRPr="007E24DE">
        <w:t xml:space="preserve"> and/or </w:t>
      </w:r>
      <w:r w:rsidR="0091580D" w:rsidRPr="007E24DE">
        <w:t>a trauma memory</w:t>
      </w:r>
      <w:r w:rsidR="00DA3B0B">
        <w:t xml:space="preserve">. </w:t>
      </w:r>
      <w:r w:rsidR="005D0E71" w:rsidRPr="007E24DE">
        <w:t>A</w:t>
      </w:r>
      <w:r w:rsidR="00FA6FB6" w:rsidRPr="007E24DE">
        <w:t xml:space="preserve"> commonality of th</w:t>
      </w:r>
      <w:r w:rsidR="00AB678B" w:rsidRPr="007E24DE">
        <w:t>ese participants’</w:t>
      </w:r>
      <w:r w:rsidR="006054A9" w:rsidRPr="007E24DE">
        <w:t xml:space="preserve"> imagery </w:t>
      </w:r>
      <w:r w:rsidR="008541AC" w:rsidRPr="007E24DE">
        <w:t xml:space="preserve">was </w:t>
      </w:r>
      <w:r w:rsidR="008A513D" w:rsidRPr="007E24DE">
        <w:t xml:space="preserve">the </w:t>
      </w:r>
      <w:r w:rsidR="008A513D" w:rsidRPr="007E24DE">
        <w:lastRenderedPageBreak/>
        <w:t>depiction of</w:t>
      </w:r>
      <w:r w:rsidR="007E7944" w:rsidRPr="007E24DE">
        <w:t xml:space="preserve"> </w:t>
      </w:r>
      <w:r w:rsidR="006A591F" w:rsidRPr="007E24DE">
        <w:t>the finality of death</w:t>
      </w:r>
      <w:r w:rsidR="006D3928" w:rsidRPr="007E24DE">
        <w:t xml:space="preserve"> </w:t>
      </w:r>
      <w:r w:rsidR="00F25A3C" w:rsidRPr="007E24DE">
        <w:t xml:space="preserve">(e.g., </w:t>
      </w:r>
      <w:r w:rsidR="0024115C" w:rsidRPr="007E24DE">
        <w:t>bodies</w:t>
      </w:r>
      <w:r w:rsidR="001F4DAB" w:rsidRPr="007E24DE">
        <w:t xml:space="preserve"> </w:t>
      </w:r>
      <w:r w:rsidR="00974DB4" w:rsidRPr="007E24DE">
        <w:t>or remains of</w:t>
      </w:r>
      <w:r w:rsidR="00C27CE6" w:rsidRPr="007E24DE">
        <w:t xml:space="preserve"> person</w:t>
      </w:r>
      <w:r w:rsidR="00974DB4" w:rsidRPr="007E24DE">
        <w:t xml:space="preserve">s that are </w:t>
      </w:r>
      <w:r w:rsidR="004E1CCC" w:rsidRPr="007E24DE">
        <w:t>unmistakably</w:t>
      </w:r>
      <w:r w:rsidR="00C27CE6" w:rsidRPr="007E24DE">
        <w:t xml:space="preserve"> dead</w:t>
      </w:r>
      <w:r w:rsidR="00AD5C13" w:rsidRPr="007E24DE">
        <w:t>,</w:t>
      </w:r>
      <w:r w:rsidR="00C27CE6" w:rsidRPr="007E24DE">
        <w:t xml:space="preserve"> or other</w:t>
      </w:r>
      <w:r w:rsidR="00974DB4" w:rsidRPr="007E24DE">
        <w:t>s</w:t>
      </w:r>
      <w:r w:rsidR="00C27CE6" w:rsidRPr="007E24DE">
        <w:t xml:space="preserve"> grieving</w:t>
      </w:r>
      <w:r w:rsidR="000954FD" w:rsidRPr="007E24DE">
        <w:t>)</w:t>
      </w:r>
      <w:r w:rsidR="008A513D" w:rsidRPr="007E24DE">
        <w:t>, potentially</w:t>
      </w:r>
      <w:r w:rsidR="00974DB4" w:rsidRPr="007E24DE">
        <w:t xml:space="preserve"> </w:t>
      </w:r>
      <w:r w:rsidR="008A513D" w:rsidRPr="007E24DE">
        <w:t xml:space="preserve">highlighting </w:t>
      </w:r>
      <w:r w:rsidR="00974DB4" w:rsidRPr="007E24DE">
        <w:t>the discrepancy between the deceased and the survivor</w:t>
      </w:r>
      <w:r w:rsidR="005D0E71" w:rsidRPr="007E24DE">
        <w:t xml:space="preserve">. This </w:t>
      </w:r>
      <w:r w:rsidR="00974DB4" w:rsidRPr="007E24DE">
        <w:t xml:space="preserve">observation </w:t>
      </w:r>
      <w:r w:rsidR="00F25D79" w:rsidRPr="007E24DE">
        <w:t xml:space="preserve">fits with Matsakis’ (1999) description of existential survivor guilt </w:t>
      </w:r>
      <w:r w:rsidR="00B06A65" w:rsidRPr="007E24DE">
        <w:t>but not</w:t>
      </w:r>
      <w:r w:rsidR="00B75F4D" w:rsidRPr="007E24DE">
        <w:t xml:space="preserve"> traditionally conceptualised </w:t>
      </w:r>
      <w:r w:rsidR="00B2796C" w:rsidRPr="007E24DE">
        <w:t>guilt</w:t>
      </w:r>
      <w:r w:rsidR="002D74DA" w:rsidRPr="007E24DE">
        <w:t xml:space="preserve"> </w:t>
      </w:r>
      <w:r w:rsidR="002D74DA" w:rsidRPr="007E24DE">
        <w:rPr>
          <w:lang w:val="en-US"/>
        </w:rPr>
        <w:t>(</w:t>
      </w:r>
      <w:r w:rsidR="002D74DA" w:rsidRPr="007E24DE">
        <w:t>Kubany &amp; Manke, 1995)</w:t>
      </w:r>
      <w:r w:rsidR="00E3776F" w:rsidRPr="007E24DE">
        <w:t>.</w:t>
      </w:r>
      <w:r w:rsidR="00974DB4" w:rsidRPr="007E24DE">
        <w:t xml:space="preserve"> </w:t>
      </w:r>
      <w:r w:rsidR="00B06A65" w:rsidRPr="007E24DE">
        <w:t>Unlike content survivor guilt, e</w:t>
      </w:r>
      <w:r w:rsidR="00B859FE" w:rsidRPr="007E24DE">
        <w:t xml:space="preserve">xistential survivor guilt </w:t>
      </w:r>
      <w:r w:rsidR="00517FDF" w:rsidRPr="007E24DE">
        <w:t>may not easily lend itself to amelioration by verbal</w:t>
      </w:r>
      <w:r w:rsidR="00517FDF" w:rsidRPr="007E24DE">
        <w:rPr>
          <w:lang w:val="en-US"/>
        </w:rPr>
        <w:t xml:space="preserve"> </w:t>
      </w:r>
      <w:r w:rsidR="00517FDF" w:rsidRPr="007E24DE">
        <w:t xml:space="preserve">cognitive techniques but </w:t>
      </w:r>
      <w:r w:rsidR="00B859FE" w:rsidRPr="007E24DE">
        <w:t xml:space="preserve">appeared to respond well to </w:t>
      </w:r>
      <w:r w:rsidR="00B14FC9" w:rsidRPr="007E24DE">
        <w:t xml:space="preserve">an imagery based approach </w:t>
      </w:r>
      <w:r w:rsidR="00B859FE" w:rsidRPr="007E24DE">
        <w:t>(f</w:t>
      </w:r>
      <w:r w:rsidR="00847B77" w:rsidRPr="007E24DE">
        <w:t xml:space="preserve">ive of six responders in </w:t>
      </w:r>
      <w:r w:rsidR="00B859FE" w:rsidRPr="007E24DE">
        <w:t>this group)</w:t>
      </w:r>
      <w:r w:rsidR="00847B77" w:rsidRPr="007E24DE">
        <w:t xml:space="preserve">. </w:t>
      </w:r>
      <w:r w:rsidR="003714C5" w:rsidRPr="00861D7E">
        <w:t>The differences between content and existential survivor guilt noted here are clinically interesting but need to be replicated in larger studies before a theoretical framework is developed.</w:t>
      </w:r>
    </w:p>
    <w:p w14:paraId="5813FC0B" w14:textId="77777777" w:rsidR="00E16A40" w:rsidRDefault="00E16A40">
      <w:pPr>
        <w:spacing w:line="480" w:lineRule="auto"/>
        <w:jc w:val="left"/>
      </w:pPr>
      <w:r>
        <w:t>Similarly, although numbers were too small to allow a definitive analysis, there were indications that the type of rescripting may relate to outcome. None of the participants who chose a rescript which avoided the death taking place (such as using a life memory of the individual, or undoing the death) had a positive response to rescripting.</w:t>
      </w:r>
      <w:r w:rsidR="00CF717C" w:rsidRPr="00CF717C">
        <w:t xml:space="preserve"> </w:t>
      </w:r>
      <w:r w:rsidR="00CF717C">
        <w:t>Responders tended to choose rescripts including the afterlife, or moving the scene forward.</w:t>
      </w:r>
      <w:r>
        <w:t xml:space="preserve"> This finding requires further investigation. It may be that, when </w:t>
      </w:r>
      <w:r w:rsidR="00CF717C">
        <w:t>ImRs</w:t>
      </w:r>
      <w:r>
        <w:t xml:space="preserve"> is being used to address bereavement reactions, avoiding the fact that the death occurred contributes to the lack of acceptance of the loss, which some researchers have conceptualised as a central feature of </w:t>
      </w:r>
      <w:r w:rsidR="00D43EF9">
        <w:t xml:space="preserve">complicated grief reactions (e.g. Boelen, Van Den Hout, Van Den Bout, 2006). </w:t>
      </w:r>
    </w:p>
    <w:p w14:paraId="11B90F96" w14:textId="77777777" w:rsidR="00E3776F" w:rsidRPr="007E24DE" w:rsidRDefault="004D6664" w:rsidP="00D20166">
      <w:pPr>
        <w:spacing w:line="480" w:lineRule="auto"/>
        <w:jc w:val="left"/>
      </w:pPr>
      <w:r w:rsidRPr="007E24DE">
        <w:t>E</w:t>
      </w:r>
      <w:r w:rsidR="00E3776F" w:rsidRPr="007E24DE">
        <w:t xml:space="preserve">fforts were devoted to ensuring that the research intervention had ecological and face validity to maximise the </w:t>
      </w:r>
      <w:r w:rsidR="007532DD" w:rsidRPr="007E24DE">
        <w:t xml:space="preserve">generalisability </w:t>
      </w:r>
      <w:r w:rsidR="00E3776F" w:rsidRPr="007E24DE">
        <w:t xml:space="preserve">of the </w:t>
      </w:r>
      <w:r w:rsidR="007532DD" w:rsidRPr="007E24DE">
        <w:t>findings</w:t>
      </w:r>
      <w:r w:rsidR="00E3776F" w:rsidRPr="007E24DE">
        <w:t xml:space="preserve">. The </w:t>
      </w:r>
      <w:r w:rsidR="007532DD" w:rsidRPr="007E24DE">
        <w:t>results</w:t>
      </w:r>
      <w:r w:rsidR="00E3776F" w:rsidRPr="007E24DE">
        <w:t xml:space="preserve"> are representative of a ‘real world’ view of ImRs </w:t>
      </w:r>
      <w:r w:rsidR="00CB7CD4" w:rsidRPr="007E24DE">
        <w:t xml:space="preserve">as </w:t>
      </w:r>
      <w:r w:rsidR="00E3776F" w:rsidRPr="007E24DE">
        <w:t xml:space="preserve">applied </w:t>
      </w:r>
      <w:r w:rsidR="00CB7CD4" w:rsidRPr="007E24DE">
        <w:t xml:space="preserve">to </w:t>
      </w:r>
      <w:r w:rsidR="00841318" w:rsidRPr="007E24DE">
        <w:t>address</w:t>
      </w:r>
      <w:r w:rsidR="00397E20" w:rsidRPr="007E24DE">
        <w:t>ing</w:t>
      </w:r>
      <w:r w:rsidR="00841318" w:rsidRPr="007E24DE">
        <w:t xml:space="preserve"> </w:t>
      </w:r>
      <w:r w:rsidR="00CB7CD4" w:rsidRPr="007E24DE">
        <w:t>survivor guilt</w:t>
      </w:r>
      <w:r w:rsidR="00E3776F" w:rsidRPr="007E24DE">
        <w:t xml:space="preserve">. However, the </w:t>
      </w:r>
      <w:r w:rsidRPr="007E24DE">
        <w:t xml:space="preserve">study design </w:t>
      </w:r>
      <w:r w:rsidR="00B36F9D" w:rsidRPr="007E24DE">
        <w:t xml:space="preserve">and small sample </w:t>
      </w:r>
      <w:r w:rsidRPr="007E24DE">
        <w:t xml:space="preserve">limits the </w:t>
      </w:r>
      <w:r w:rsidR="00E3776F" w:rsidRPr="007E24DE">
        <w:rPr>
          <w:lang w:val="en-US"/>
        </w:rPr>
        <w:t xml:space="preserve">interpretations that can be drawn from the results. </w:t>
      </w:r>
      <w:r w:rsidR="00397E20" w:rsidRPr="007E24DE">
        <w:rPr>
          <w:lang w:val="en-US"/>
        </w:rPr>
        <w:t xml:space="preserve">The study aimed to recruit a sample that was representative of the clinical population seen in specialist PTSD services. </w:t>
      </w:r>
      <w:r w:rsidR="00397E20" w:rsidRPr="007E24DE">
        <w:t>The participants were highly heterogeneous. Most participants had been exposed to severe</w:t>
      </w:r>
      <w:r w:rsidR="00E477CA" w:rsidRPr="007E24DE">
        <w:t>, multiple</w:t>
      </w:r>
      <w:r w:rsidR="00397E20" w:rsidRPr="007E24DE">
        <w:t xml:space="preserve"> trauma</w:t>
      </w:r>
      <w:r w:rsidR="007648A5">
        <w:t>s</w:t>
      </w:r>
      <w:r w:rsidR="00397E20" w:rsidRPr="007E24DE">
        <w:t xml:space="preserve"> and all participants had complex presentations of PTSD. </w:t>
      </w:r>
      <w:r w:rsidR="00E3776F" w:rsidRPr="007E24DE">
        <w:lastRenderedPageBreak/>
        <w:t xml:space="preserve">Participants had received a large number of </w:t>
      </w:r>
      <w:r w:rsidR="00841318" w:rsidRPr="007E24DE">
        <w:t xml:space="preserve">specialist </w:t>
      </w:r>
      <w:r w:rsidR="00E3776F" w:rsidRPr="007E24DE">
        <w:t>trauma-focused therapy sessions prior to participation</w:t>
      </w:r>
      <w:r w:rsidR="00E3776F" w:rsidRPr="007E24DE">
        <w:rPr>
          <w:color w:val="008000"/>
          <w:lang w:val="en-US"/>
        </w:rPr>
        <w:t>.</w:t>
      </w:r>
      <w:r w:rsidR="00E3776F" w:rsidRPr="007E24DE">
        <w:t>.</w:t>
      </w:r>
      <w:r w:rsidR="00397E20" w:rsidRPr="007E24DE">
        <w:t xml:space="preserve"> </w:t>
      </w:r>
      <w:r w:rsidR="00E3776F" w:rsidRPr="007E24DE">
        <w:t>The order of sessions</w:t>
      </w:r>
      <w:r w:rsidR="00B16542" w:rsidRPr="007E24DE">
        <w:t xml:space="preserve"> was fixed</w:t>
      </w:r>
      <w:r w:rsidR="008A513D" w:rsidRPr="007E24DE">
        <w:t>,</w:t>
      </w:r>
      <w:r w:rsidR="00B16542" w:rsidRPr="007E24DE">
        <w:t xml:space="preserve"> which may have produced sequencing effects. O</w:t>
      </w:r>
      <w:r w:rsidR="00E3776F" w:rsidRPr="007E24DE">
        <w:t xml:space="preserve">bserved </w:t>
      </w:r>
      <w:r w:rsidR="00B16542" w:rsidRPr="007E24DE">
        <w:t>improvement</w:t>
      </w:r>
      <w:r w:rsidR="00E662DF" w:rsidRPr="007E24DE">
        <w:t>s</w:t>
      </w:r>
      <w:r w:rsidR="00E3776F" w:rsidRPr="007E24DE">
        <w:t xml:space="preserve"> could be attributed to the time period during the rescripting session but may not </w:t>
      </w:r>
      <w:r w:rsidR="00CD733C" w:rsidRPr="007E24DE">
        <w:t>be due to</w:t>
      </w:r>
      <w:r w:rsidR="00E3776F" w:rsidRPr="007E24DE">
        <w:t xml:space="preserve"> ImRs. </w:t>
      </w:r>
      <w:r w:rsidR="00CD733C" w:rsidRPr="007E24DE">
        <w:t>For example, p</w:t>
      </w:r>
      <w:r w:rsidR="00E3776F" w:rsidRPr="007E24DE">
        <w:t xml:space="preserve">articipants may have experienced a delayed effect from the </w:t>
      </w:r>
      <w:r w:rsidR="00EE2DE7" w:rsidRPr="007E24DE">
        <w:t>elaboration</w:t>
      </w:r>
      <w:r w:rsidR="00E3776F" w:rsidRPr="007E24DE">
        <w:t xml:space="preserve"> session. </w:t>
      </w:r>
      <w:r w:rsidR="00CF717C">
        <w:t>The study was designed as a proof-of-concept, but requires replication in a larger, controlled study.</w:t>
      </w:r>
    </w:p>
    <w:p w14:paraId="03979BF4" w14:textId="77777777" w:rsidR="00E3776F" w:rsidRPr="007E24DE" w:rsidRDefault="00FC166A" w:rsidP="00D20166">
      <w:pPr>
        <w:spacing w:line="480" w:lineRule="auto"/>
        <w:jc w:val="left"/>
      </w:pPr>
      <w:r w:rsidRPr="007E24DE">
        <w:t xml:space="preserve">The present study provides preliminary evidence that ImRs is a suitable technique for treating </w:t>
      </w:r>
      <w:r w:rsidR="00974DB4" w:rsidRPr="007E24DE">
        <w:t xml:space="preserve">existential </w:t>
      </w:r>
      <w:r w:rsidRPr="007E24DE">
        <w:t>sur</w:t>
      </w:r>
      <w:r w:rsidR="00D64148" w:rsidRPr="007E24DE">
        <w:t xml:space="preserve">vivor guilt </w:t>
      </w:r>
      <w:r w:rsidR="008E1F27" w:rsidRPr="007E24DE">
        <w:t>after trauma</w:t>
      </w:r>
      <w:r w:rsidRPr="007E24DE">
        <w:t xml:space="preserve">. </w:t>
      </w:r>
      <w:r w:rsidR="00175E5E" w:rsidRPr="007E24DE">
        <w:rPr>
          <w:lang w:val="en-US"/>
        </w:rPr>
        <w:t xml:space="preserve">Importantly, it cannot be assumed that simply elaborating distressing imagery can improve survivor guilt. </w:t>
      </w:r>
      <w:r w:rsidR="00207BFD">
        <w:rPr>
          <w:lang w:val="en-US"/>
        </w:rPr>
        <w:t xml:space="preserve">However, </w:t>
      </w:r>
      <w:r w:rsidR="00207BFD">
        <w:t>although an overall improvement in the idiographic measures was found, some participants showed minimal or no improvement. This, coupled with the lack of improvement on the weekly measures, suggests that further work is required to develop an effective treatment for survivor guilt. It may be that a</w:t>
      </w:r>
      <w:r w:rsidR="00E3776F" w:rsidRPr="007E24DE">
        <w:rPr>
          <w:lang w:val="en-US"/>
        </w:rPr>
        <w:t xml:space="preserve"> single ImRs session is not sufficient for most cl</w:t>
      </w:r>
      <w:r w:rsidR="00ED2C3C" w:rsidRPr="007E24DE">
        <w:rPr>
          <w:lang w:val="en-US"/>
        </w:rPr>
        <w:t xml:space="preserve">ients </w:t>
      </w:r>
      <w:r w:rsidR="00207BFD">
        <w:rPr>
          <w:lang w:val="en-US"/>
        </w:rPr>
        <w:t>to</w:t>
      </w:r>
      <w:r w:rsidR="00ED2C3C" w:rsidRPr="007E24DE">
        <w:rPr>
          <w:lang w:val="en-US"/>
        </w:rPr>
        <w:t xml:space="preserve"> experience </w:t>
      </w:r>
      <w:r w:rsidR="00207BFD">
        <w:rPr>
          <w:lang w:val="en-US"/>
        </w:rPr>
        <w:t>clinically meaningful change, and a longer intervention is required. The possibility that</w:t>
      </w:r>
      <w:r w:rsidR="00207BFD" w:rsidRPr="00207BFD">
        <w:rPr>
          <w:lang w:val="en-US"/>
        </w:rPr>
        <w:t xml:space="preserve"> </w:t>
      </w:r>
      <w:r w:rsidR="00CF717C">
        <w:rPr>
          <w:lang w:val="en-US"/>
        </w:rPr>
        <w:t>those</w:t>
      </w:r>
      <w:r w:rsidR="00207BFD" w:rsidRPr="007E24DE">
        <w:rPr>
          <w:lang w:val="en-US"/>
        </w:rPr>
        <w:t xml:space="preserve"> who experience existential survivor guilt may be most likely to benefit from ImRs</w:t>
      </w:r>
      <w:r w:rsidR="00207BFD">
        <w:rPr>
          <w:lang w:val="en-US"/>
        </w:rPr>
        <w:t xml:space="preserve"> but those with content survivor guilt would benefit from the addition of verbal cognitive techniques are</w:t>
      </w:r>
      <w:r w:rsidR="00397E20" w:rsidRPr="007E24DE">
        <w:t xml:space="preserve"> potentially informative research avenues. </w:t>
      </w:r>
      <w:r w:rsidR="00397E20" w:rsidRPr="007E24DE">
        <w:rPr>
          <w:lang w:val="en-US"/>
        </w:rPr>
        <w:t xml:space="preserve">Future studies should also explore the longer-term impact of ImRs and </w:t>
      </w:r>
      <w:r w:rsidR="00397E20" w:rsidRPr="007E24DE">
        <w:t>the potential benefits of between-session rehearsal on treatment effects.</w:t>
      </w:r>
      <w:r w:rsidR="00E3776F" w:rsidRPr="007E24DE">
        <w:t xml:space="preserve"> It is hoped that this study acts as a ca</w:t>
      </w:r>
      <w:r w:rsidR="0013213A" w:rsidRPr="007E24DE">
        <w:t xml:space="preserve">talyst for </w:t>
      </w:r>
      <w:r w:rsidR="002E3F79" w:rsidRPr="007E24DE">
        <w:t>continued research in these areas.</w:t>
      </w:r>
    </w:p>
    <w:p w14:paraId="6A46846E" w14:textId="77777777" w:rsidR="00314C9F" w:rsidRDefault="00314C9F" w:rsidP="00D20166">
      <w:pPr>
        <w:pStyle w:val="Heading1"/>
        <w:numPr>
          <w:ilvl w:val="0"/>
          <w:numId w:val="0"/>
        </w:numPr>
        <w:spacing w:line="480" w:lineRule="auto"/>
        <w:ind w:left="567" w:hanging="567"/>
        <w:jc w:val="left"/>
      </w:pPr>
      <w:bookmarkStart w:id="0" w:name="_Toc301637853"/>
      <w:r>
        <w:br w:type="page"/>
      </w:r>
    </w:p>
    <w:p w14:paraId="2E5350EB" w14:textId="77777777" w:rsidR="00441414" w:rsidRPr="007E24DE" w:rsidRDefault="00441414" w:rsidP="00816201">
      <w:pPr>
        <w:pStyle w:val="Heading1"/>
        <w:numPr>
          <w:ilvl w:val="0"/>
          <w:numId w:val="0"/>
        </w:numPr>
        <w:spacing w:line="480" w:lineRule="auto"/>
        <w:ind w:left="567" w:hanging="567"/>
        <w:jc w:val="center"/>
      </w:pPr>
      <w:r w:rsidRPr="007E24DE">
        <w:lastRenderedPageBreak/>
        <w:t>References</w:t>
      </w:r>
      <w:bookmarkEnd w:id="0"/>
    </w:p>
    <w:p w14:paraId="4D5422DC"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lang w:val="en-US"/>
        </w:rPr>
      </w:pPr>
      <w:r w:rsidRPr="007E24DE">
        <w:rPr>
          <w:lang w:val="en-US"/>
        </w:rPr>
        <w:t>American Psychiatric Association. (1994). Diagnostic and statistical manual of mental disorders (4th ed.). Washington, DC: Author.</w:t>
      </w:r>
    </w:p>
    <w:p w14:paraId="2FCA2372"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Arntz, A. (2012). Imagery Rescripting as a Therapeutic Technique: Review of Clinical Trials, Basic Studies, and Research Agenda. </w:t>
      </w:r>
      <w:r w:rsidRPr="007E24DE">
        <w:rPr>
          <w:rFonts w:cs="Helvetica"/>
          <w:i/>
          <w:iCs/>
          <w:lang w:val="en-US"/>
        </w:rPr>
        <w:t>Journal of Experimental Psychopathology</w:t>
      </w:r>
      <w:r w:rsidRPr="007E24DE">
        <w:rPr>
          <w:rFonts w:cs="Helvetica"/>
          <w:lang w:val="en-US"/>
        </w:rPr>
        <w:t xml:space="preserve">, </w:t>
      </w:r>
      <w:r w:rsidRPr="007E24DE">
        <w:rPr>
          <w:rFonts w:cs="Helvetica"/>
          <w:i/>
          <w:iCs/>
          <w:lang w:val="en-US"/>
        </w:rPr>
        <w:t>3</w:t>
      </w:r>
      <w:r w:rsidRPr="007E24DE">
        <w:rPr>
          <w:rFonts w:cs="Helvetica"/>
          <w:lang w:val="en-US"/>
        </w:rPr>
        <w:t xml:space="preserve">(2), 189–208. </w:t>
      </w:r>
    </w:p>
    <w:p w14:paraId="78BE97DD"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Arntz, A., Tiesema, M., &amp; Kindt, M. (2007). Treatment of PTSD: A comparison of imaginal exposure with and without imagery rescripting. </w:t>
      </w:r>
      <w:r w:rsidRPr="007E24DE">
        <w:rPr>
          <w:rFonts w:cs="Helvetica"/>
          <w:i/>
          <w:iCs/>
          <w:lang w:val="en-US"/>
        </w:rPr>
        <w:t>Journal of Behavior Therapy and Experimental Psychiatry</w:t>
      </w:r>
      <w:r w:rsidRPr="007E24DE">
        <w:rPr>
          <w:rFonts w:cs="Helvetica"/>
          <w:lang w:val="en-US"/>
        </w:rPr>
        <w:t xml:space="preserve">, </w:t>
      </w:r>
      <w:r w:rsidRPr="007E24DE">
        <w:rPr>
          <w:rFonts w:cs="Helvetica"/>
          <w:i/>
          <w:iCs/>
          <w:lang w:val="en-US"/>
        </w:rPr>
        <w:t>38</w:t>
      </w:r>
      <w:r w:rsidRPr="007E24DE">
        <w:rPr>
          <w:rFonts w:cs="Helvetica"/>
          <w:lang w:val="en-US"/>
        </w:rPr>
        <w:t xml:space="preserve">(4), 345–370. </w:t>
      </w:r>
    </w:p>
    <w:p w14:paraId="42D4F61E"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Baumeister, R. F., Stillwell, A. M., &amp; Heatherton, T. F. (1994). Guilt: an interpersonal approach. </w:t>
      </w:r>
      <w:r w:rsidRPr="007E24DE">
        <w:rPr>
          <w:rFonts w:cs="Helvetica"/>
          <w:i/>
          <w:iCs/>
          <w:lang w:val="en-US"/>
        </w:rPr>
        <w:t>Psychological Bulletin</w:t>
      </w:r>
      <w:r w:rsidRPr="007E24DE">
        <w:rPr>
          <w:rFonts w:cs="Helvetica"/>
          <w:lang w:val="en-US"/>
        </w:rPr>
        <w:t xml:space="preserve">, </w:t>
      </w:r>
      <w:r w:rsidRPr="007E24DE">
        <w:rPr>
          <w:rFonts w:cs="Helvetica"/>
          <w:i/>
          <w:iCs/>
          <w:lang w:val="en-US"/>
        </w:rPr>
        <w:t>115</w:t>
      </w:r>
      <w:r w:rsidRPr="007E24DE">
        <w:rPr>
          <w:rFonts w:cs="Helvetica"/>
          <w:lang w:val="en-US"/>
        </w:rPr>
        <w:t>(2), 243–267.</w:t>
      </w:r>
    </w:p>
    <w:p w14:paraId="7EF2A80C" w14:textId="77777777" w:rsidR="00441414" w:rsidRDefault="00441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Blake, D. D., Weathers, F. W., Nagy, L. M., Kaloupek, D. G., Gusman, F. D., Charney, D. S., &amp; Keane, T. M. (1995). The development of a Clinician-Administered PTSD Scale. </w:t>
      </w:r>
      <w:r w:rsidRPr="007E24DE">
        <w:rPr>
          <w:rFonts w:cs="Helvetica"/>
          <w:i/>
          <w:iCs/>
          <w:lang w:val="en-US"/>
        </w:rPr>
        <w:t>Journal of Traumatic Stress</w:t>
      </w:r>
      <w:r w:rsidRPr="007E24DE">
        <w:rPr>
          <w:rFonts w:cs="Helvetica"/>
          <w:lang w:val="en-US"/>
        </w:rPr>
        <w:t xml:space="preserve">, </w:t>
      </w:r>
      <w:r w:rsidRPr="007E24DE">
        <w:rPr>
          <w:rFonts w:cs="Helvetica"/>
          <w:i/>
          <w:iCs/>
          <w:lang w:val="en-US"/>
        </w:rPr>
        <w:t>8</w:t>
      </w:r>
      <w:r w:rsidRPr="007E24DE">
        <w:rPr>
          <w:rFonts w:cs="Helvetica"/>
          <w:lang w:val="en-US"/>
        </w:rPr>
        <w:t>(1), 75–90.</w:t>
      </w:r>
    </w:p>
    <w:p w14:paraId="3E25DBAE" w14:textId="77777777" w:rsidR="00D43EF9" w:rsidRPr="00D20166" w:rsidRDefault="00D43EF9"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D43EF9">
        <w:rPr>
          <w:rFonts w:cs="Helvetica"/>
        </w:rPr>
        <w:t>Boelen, P. A., Van Den Hout, M. A., &amp; Van Den Bout, J. (2006). A cognitive</w:t>
      </w:r>
      <w:r w:rsidRPr="00D43EF9">
        <w:rPr>
          <w:rFonts w:ascii="Cambria Math" w:hAnsi="Cambria Math" w:cs="Cambria Math"/>
        </w:rPr>
        <w:t>‐</w:t>
      </w:r>
      <w:r w:rsidRPr="00D43EF9">
        <w:rPr>
          <w:rFonts w:cs="Helvetica"/>
        </w:rPr>
        <w:t>behavioral conceptualization of complicated grief. </w:t>
      </w:r>
      <w:r w:rsidRPr="00D43EF9">
        <w:rPr>
          <w:rFonts w:cs="Helvetica"/>
          <w:i/>
          <w:iCs/>
        </w:rPr>
        <w:t>Clinical Psychology: Science and Practice</w:t>
      </w:r>
      <w:r w:rsidRPr="00D43EF9">
        <w:rPr>
          <w:rFonts w:cs="Helvetica"/>
        </w:rPr>
        <w:t>, </w:t>
      </w:r>
      <w:r w:rsidRPr="00D43EF9">
        <w:rPr>
          <w:rFonts w:cs="Helvetica"/>
          <w:i/>
          <w:iCs/>
        </w:rPr>
        <w:t>13</w:t>
      </w:r>
      <w:r w:rsidRPr="00D43EF9">
        <w:rPr>
          <w:rFonts w:cs="Helvetica"/>
        </w:rPr>
        <w:t>(2), 109-128</w:t>
      </w:r>
    </w:p>
    <w:p w14:paraId="4D697DD9"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Brewin, C. R., Wheatley, J., Patel, T., Fearon, P., Hackmann, A., Wells, A., Fisher, P., &amp; Myers, S. (2009). </w:t>
      </w:r>
      <w:r w:rsidRPr="007E24DE">
        <w:rPr>
          <w:rFonts w:cs="Times"/>
          <w:lang w:val="en-US"/>
        </w:rPr>
        <w:t>Imagery rescripting as a brief stand-alone treatment for depressed patients with intrusive memories</w:t>
      </w:r>
      <w:r w:rsidRPr="007E24DE">
        <w:rPr>
          <w:rFonts w:cs="Helvetica"/>
          <w:lang w:val="en-US"/>
        </w:rPr>
        <w:t xml:space="preserve">. </w:t>
      </w:r>
      <w:r w:rsidRPr="007E24DE">
        <w:rPr>
          <w:rFonts w:cs="Helvetica"/>
          <w:i/>
          <w:iCs/>
          <w:lang w:val="en-US"/>
        </w:rPr>
        <w:t>Behaviour Research and Therapy</w:t>
      </w:r>
      <w:r w:rsidRPr="007E24DE">
        <w:rPr>
          <w:rFonts w:cs="Helvetica"/>
          <w:lang w:val="en-US"/>
        </w:rPr>
        <w:t xml:space="preserve">, </w:t>
      </w:r>
      <w:r w:rsidRPr="007E24DE">
        <w:rPr>
          <w:rFonts w:cs="Helvetica"/>
          <w:i/>
          <w:iCs/>
          <w:lang w:val="en-US"/>
        </w:rPr>
        <w:t>47</w:t>
      </w:r>
      <w:r w:rsidRPr="007E24DE">
        <w:rPr>
          <w:rFonts w:cs="Helvetica"/>
          <w:lang w:val="en-US"/>
        </w:rPr>
        <w:t>(7), 569–576.</w:t>
      </w:r>
    </w:p>
    <w:p w14:paraId="630DCD4A" w14:textId="77777777" w:rsidR="00441414"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Carmelly, F. (1975). Guilt feelings in concentration camp survivors: Comments of a “survivor”.</w:t>
      </w:r>
      <w:r w:rsidRPr="007E24DE">
        <w:rPr>
          <w:rFonts w:cs="Helvetica"/>
          <w:i/>
          <w:lang w:val="en-US"/>
        </w:rPr>
        <w:t xml:space="preserve"> Journal of Jewish Communal Service, 52</w:t>
      </w:r>
      <w:r w:rsidRPr="007E24DE">
        <w:rPr>
          <w:rFonts w:cs="Helvetica"/>
          <w:lang w:val="en-US"/>
        </w:rPr>
        <w:t>(2), 139-144.</w:t>
      </w:r>
    </w:p>
    <w:p w14:paraId="23897975" w14:textId="77777777" w:rsidR="0021668A" w:rsidRPr="00D20166" w:rsidRDefault="0021668A"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21668A">
        <w:rPr>
          <w:rFonts w:cs="Helvetica"/>
        </w:rPr>
        <w:lastRenderedPageBreak/>
        <w:t>Duffy, M., &amp; Wild, J. (2017). A cognitive approach to persistent complex bereavement disorder (PCBD). </w:t>
      </w:r>
      <w:r w:rsidRPr="0021668A">
        <w:rPr>
          <w:rFonts w:cs="Helvetica"/>
          <w:i/>
          <w:iCs/>
        </w:rPr>
        <w:t>the Cognitive Behaviour Therapist</w:t>
      </w:r>
      <w:r w:rsidRPr="0021668A">
        <w:rPr>
          <w:rFonts w:cs="Helvetica"/>
        </w:rPr>
        <w:t>, </w:t>
      </w:r>
      <w:r w:rsidRPr="0021668A">
        <w:rPr>
          <w:rFonts w:cs="Helvetica"/>
          <w:i/>
          <w:iCs/>
        </w:rPr>
        <w:t>10</w:t>
      </w:r>
      <w:r w:rsidRPr="0021668A">
        <w:rPr>
          <w:rFonts w:cs="Helvetica"/>
        </w:rPr>
        <w:t>.</w:t>
      </w:r>
    </w:p>
    <w:p w14:paraId="6C0554B8"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Ehlers, A., &amp; Clark, D. M. (2000). A cognitive model of posttraumatic stress disorder. </w:t>
      </w:r>
      <w:r w:rsidRPr="007E24DE">
        <w:rPr>
          <w:rFonts w:cs="Helvetica"/>
          <w:i/>
          <w:iCs/>
          <w:lang w:val="en-US"/>
        </w:rPr>
        <w:t>Behaviour Research and Therapy</w:t>
      </w:r>
      <w:r w:rsidRPr="007E24DE">
        <w:rPr>
          <w:rFonts w:cs="Helvetica"/>
          <w:lang w:val="en-US"/>
        </w:rPr>
        <w:t xml:space="preserve">, </w:t>
      </w:r>
      <w:r w:rsidRPr="007E24DE">
        <w:rPr>
          <w:rFonts w:cs="Helvetica"/>
          <w:i/>
          <w:iCs/>
          <w:lang w:val="en-US"/>
        </w:rPr>
        <w:t>38</w:t>
      </w:r>
      <w:r w:rsidRPr="007E24DE">
        <w:rPr>
          <w:rFonts w:cs="Helvetica"/>
          <w:lang w:val="en-US"/>
        </w:rPr>
        <w:t>(4), 319–345.</w:t>
      </w:r>
    </w:p>
    <w:p w14:paraId="2390012B"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lang w:val="en-US"/>
        </w:rPr>
        <w:t xml:space="preserve">Foa, E. B. (1995). </w:t>
      </w:r>
      <w:r w:rsidRPr="007E24DE">
        <w:rPr>
          <w:rFonts w:eastAsia="Times New Roman"/>
          <w:i/>
        </w:rPr>
        <w:t>The Posttraumatic Diagnostic Scale (PDS) manual</w:t>
      </w:r>
      <w:r w:rsidRPr="007E24DE">
        <w:rPr>
          <w:rFonts w:eastAsia="Times New Roman"/>
        </w:rPr>
        <w:t>. Minneapolis: National Computer Systems.</w:t>
      </w:r>
    </w:p>
    <w:p w14:paraId="66899EDE"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Glover, H. (1984). Survivor guilt and the Vietnam veterans. </w:t>
      </w:r>
      <w:r w:rsidRPr="007E24DE">
        <w:rPr>
          <w:rFonts w:cs="Helvetica"/>
          <w:i/>
          <w:iCs/>
          <w:lang w:val="en-US"/>
        </w:rPr>
        <w:t>The Journal of Nervous and Mental Disease</w:t>
      </w:r>
      <w:r w:rsidRPr="007E24DE">
        <w:rPr>
          <w:rFonts w:cs="Helvetica"/>
          <w:lang w:val="en-US"/>
        </w:rPr>
        <w:t xml:space="preserve">, </w:t>
      </w:r>
      <w:r w:rsidRPr="007E24DE">
        <w:rPr>
          <w:rFonts w:cs="Helvetica"/>
          <w:i/>
          <w:iCs/>
          <w:lang w:val="en-US"/>
        </w:rPr>
        <w:t>172</w:t>
      </w:r>
      <w:r w:rsidRPr="007E24DE">
        <w:rPr>
          <w:rFonts w:cs="Helvetica"/>
          <w:lang w:val="en-US"/>
        </w:rPr>
        <w:t>(7), 393–397.</w:t>
      </w:r>
    </w:p>
    <w:p w14:paraId="48A09918"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Grunert, B. K., Weis, J. M., Smucker, M. R., &amp; Christianson, H. F. (2007). Imagery rescripting and reprocessing therapy after failed prolonged exposure for post-traumatic stress disorder following industrial injury. </w:t>
      </w:r>
      <w:r w:rsidRPr="007E24DE">
        <w:rPr>
          <w:rFonts w:cs="Helvetica"/>
          <w:i/>
          <w:iCs/>
          <w:lang w:val="en-US"/>
        </w:rPr>
        <w:t>Journal of Behavior Therapy and Experimental Psychiatry</w:t>
      </w:r>
      <w:r w:rsidRPr="007E24DE">
        <w:rPr>
          <w:rFonts w:cs="Helvetica"/>
          <w:lang w:val="en-US"/>
        </w:rPr>
        <w:t xml:space="preserve">, </w:t>
      </w:r>
      <w:r w:rsidRPr="007E24DE">
        <w:rPr>
          <w:rFonts w:cs="Helvetica"/>
          <w:i/>
          <w:iCs/>
          <w:lang w:val="en-US"/>
        </w:rPr>
        <w:t>38</w:t>
      </w:r>
      <w:r w:rsidRPr="007E24DE">
        <w:rPr>
          <w:rFonts w:cs="Helvetica"/>
          <w:lang w:val="en-US"/>
        </w:rPr>
        <w:t>(4), 317–328.</w:t>
      </w:r>
    </w:p>
    <w:p w14:paraId="541DFD84"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Hendin, H., &amp; Haas, A. P. (1991). Suicide and Guilt as Manifestations of PTSD in Vietnam Combat Veterans. </w:t>
      </w:r>
      <w:r w:rsidRPr="007E24DE">
        <w:rPr>
          <w:rFonts w:cs="Helvetica"/>
          <w:i/>
          <w:iCs/>
          <w:lang w:val="en-US"/>
        </w:rPr>
        <w:t>American Journal of Psychiatry</w:t>
      </w:r>
      <w:r w:rsidRPr="007E24DE">
        <w:rPr>
          <w:rFonts w:cs="Helvetica"/>
          <w:lang w:val="en-US"/>
        </w:rPr>
        <w:t xml:space="preserve">, </w:t>
      </w:r>
      <w:r w:rsidRPr="007E24DE">
        <w:rPr>
          <w:rFonts w:cs="Helvetica"/>
          <w:i/>
          <w:iCs/>
          <w:lang w:val="en-US"/>
        </w:rPr>
        <w:t>148</w:t>
      </w:r>
      <w:r w:rsidRPr="007E24DE">
        <w:rPr>
          <w:rFonts w:cs="Helvetica"/>
          <w:lang w:val="en-US"/>
        </w:rPr>
        <w:t>(5), 586–591.</w:t>
      </w:r>
    </w:p>
    <w:p w14:paraId="1D939BF4"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Henning, K. R., &amp; Frueh, B. C. (1997). Combat guilt and its relationship to PTSD symptoms. </w:t>
      </w:r>
      <w:r w:rsidRPr="007E24DE">
        <w:rPr>
          <w:rFonts w:cs="Helvetica"/>
          <w:i/>
          <w:iCs/>
          <w:lang w:val="en-US"/>
        </w:rPr>
        <w:t>Journal of Clinical Psychology</w:t>
      </w:r>
      <w:r w:rsidRPr="007E24DE">
        <w:rPr>
          <w:rFonts w:cs="Helvetica"/>
          <w:lang w:val="en-US"/>
        </w:rPr>
        <w:t xml:space="preserve">, </w:t>
      </w:r>
      <w:r w:rsidRPr="007E24DE">
        <w:rPr>
          <w:rFonts w:cs="Helvetica"/>
          <w:i/>
          <w:iCs/>
          <w:lang w:val="en-US"/>
        </w:rPr>
        <w:t>53</w:t>
      </w:r>
      <w:r w:rsidRPr="007E24DE">
        <w:rPr>
          <w:rFonts w:cs="Helvetica"/>
          <w:lang w:val="en-US"/>
        </w:rPr>
        <w:t>(8), 801–808.</w:t>
      </w:r>
    </w:p>
    <w:p w14:paraId="42D2A1CD"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lang w:val="en-US"/>
        </w:rPr>
      </w:pPr>
      <w:r w:rsidRPr="007E24DE">
        <w:rPr>
          <w:lang w:val="en-US"/>
        </w:rPr>
        <w:t>Hoffart, A. (in prep). Comparing Imaginal Exposure and Imagery Rescripting in Treatment of Posttraumatic Stress Disorder (PTSD). Retrieved from https://clinicaltrials.gov/ct2/show/NCT00891098.</w:t>
      </w:r>
    </w:p>
    <w:p w14:paraId="25961E39"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Hull, A. M., Alexander, D. A., &amp; Klein, S. (2002). Survivors of the Piper Alpha oil platform disaster: long-term follow-up study. </w:t>
      </w:r>
      <w:r w:rsidRPr="007E24DE">
        <w:rPr>
          <w:rFonts w:cs="Helvetica"/>
          <w:i/>
          <w:iCs/>
          <w:lang w:val="en-US"/>
        </w:rPr>
        <w:t>The British Journal of Psychiatry</w:t>
      </w:r>
      <w:r w:rsidRPr="007E24DE">
        <w:rPr>
          <w:rFonts w:cs="Helvetica"/>
          <w:lang w:val="en-US"/>
        </w:rPr>
        <w:t xml:space="preserve">, </w:t>
      </w:r>
      <w:r w:rsidRPr="007E24DE">
        <w:rPr>
          <w:rFonts w:cs="Helvetica"/>
          <w:i/>
          <w:iCs/>
          <w:lang w:val="en-US"/>
        </w:rPr>
        <w:t>181</w:t>
      </w:r>
      <w:r w:rsidRPr="007E24DE">
        <w:rPr>
          <w:rFonts w:cs="Helvetica"/>
          <w:lang w:val="en-US"/>
        </w:rPr>
        <w:t>(5), 433–438.</w:t>
      </w:r>
    </w:p>
    <w:p w14:paraId="0B124801"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Hyer, L., McCranie, E. W., Woods, M. G., &amp; Boudewyns, P. A. (1990). Suicidal behavior </w:t>
      </w:r>
      <w:r w:rsidRPr="007E24DE">
        <w:rPr>
          <w:rFonts w:cs="Helvetica"/>
          <w:lang w:val="en-US"/>
        </w:rPr>
        <w:lastRenderedPageBreak/>
        <w:t xml:space="preserve">among chronic Vietnam theatre veterans with PTSD. </w:t>
      </w:r>
      <w:r w:rsidRPr="007E24DE">
        <w:rPr>
          <w:rFonts w:cs="Helvetica"/>
          <w:i/>
          <w:iCs/>
          <w:lang w:val="en-US"/>
        </w:rPr>
        <w:t>Journal of Clinical Psychology</w:t>
      </w:r>
      <w:r w:rsidRPr="007E24DE">
        <w:rPr>
          <w:rFonts w:cs="Helvetica"/>
          <w:lang w:val="en-US"/>
        </w:rPr>
        <w:t xml:space="preserve">, </w:t>
      </w:r>
      <w:r w:rsidRPr="007E24DE">
        <w:rPr>
          <w:rFonts w:cs="Helvetica"/>
          <w:i/>
          <w:iCs/>
          <w:lang w:val="en-US"/>
        </w:rPr>
        <w:t>46</w:t>
      </w:r>
      <w:r w:rsidRPr="007E24DE">
        <w:rPr>
          <w:rFonts w:cs="Helvetica"/>
          <w:lang w:val="en-US"/>
        </w:rPr>
        <w:t>(6), 713–721.</w:t>
      </w:r>
    </w:p>
    <w:p w14:paraId="5760F2ED"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Jacobson, N. S., &amp; Truax, P. (1991). Clinical Significance: A Statistical Approach to Defining Meaningful Change in Psychotherapy Research, </w:t>
      </w:r>
      <w:r w:rsidRPr="007E24DE">
        <w:rPr>
          <w:rFonts w:cs="Helvetica"/>
          <w:i/>
          <w:iCs/>
          <w:lang w:val="en-US"/>
        </w:rPr>
        <w:t>59</w:t>
      </w:r>
      <w:r w:rsidRPr="007E24DE">
        <w:rPr>
          <w:rFonts w:cs="Helvetica"/>
          <w:lang w:val="en-US"/>
        </w:rPr>
        <w:t>(1), 1–8.</w:t>
      </w:r>
    </w:p>
    <w:p w14:paraId="3D546083"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Jaffe, R. (1970). The sense of guilt within Holocaust survivors. </w:t>
      </w:r>
      <w:r w:rsidRPr="007E24DE">
        <w:rPr>
          <w:rFonts w:cs="Helvetica"/>
          <w:i/>
          <w:iCs/>
          <w:lang w:val="en-US"/>
        </w:rPr>
        <w:t>Jewish Social Studies</w:t>
      </w:r>
      <w:r w:rsidRPr="007E24DE">
        <w:rPr>
          <w:rFonts w:cs="Helvetica"/>
          <w:lang w:val="en-US"/>
        </w:rPr>
        <w:t xml:space="preserve">, </w:t>
      </w:r>
      <w:r w:rsidRPr="007E24DE">
        <w:rPr>
          <w:rFonts w:cs="Helvetica"/>
          <w:i/>
          <w:iCs/>
          <w:lang w:val="en-US"/>
        </w:rPr>
        <w:t>32</w:t>
      </w:r>
      <w:r w:rsidRPr="007E24DE">
        <w:rPr>
          <w:rFonts w:cs="Helvetica"/>
          <w:lang w:val="en-US"/>
        </w:rPr>
        <w:t>(4), 307–314.</w:t>
      </w:r>
    </w:p>
    <w:p w14:paraId="69076970"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iCs/>
          <w:lang w:val="en-US"/>
        </w:rPr>
      </w:pPr>
      <w:r w:rsidRPr="007E24DE">
        <w:rPr>
          <w:rFonts w:cs="Helvetica"/>
          <w:lang w:val="en-US"/>
        </w:rPr>
        <w:t xml:space="preserve">Joseph, S. A., Hodgkinson, P. E., Yule, W., &amp; Williams, R. (1993). Guilt and Distress 30 Months After the Capsize of the Herald of Free Enterprise. </w:t>
      </w:r>
      <w:r w:rsidRPr="007E24DE">
        <w:rPr>
          <w:rFonts w:cs="Helvetica"/>
          <w:i/>
          <w:iCs/>
          <w:lang w:val="en-US"/>
        </w:rPr>
        <w:t>Personality and Individual Differences, 14</w:t>
      </w:r>
      <w:r w:rsidRPr="007E24DE">
        <w:rPr>
          <w:rFonts w:cs="Helvetica"/>
          <w:iCs/>
          <w:lang w:val="en-US"/>
        </w:rPr>
        <w:t>(1), 271-273.</w:t>
      </w:r>
    </w:p>
    <w:p w14:paraId="5C64E473" w14:textId="77777777" w:rsidR="007A7BEC" w:rsidRPr="007E24DE" w:rsidRDefault="007A7BEC"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Khouzam, H. R., &amp; Kissmeyer, P. (1997). Antidepressant treatment, posttraumatic stress disorder, survivor guilt, and spiritual awakening. </w:t>
      </w:r>
      <w:r w:rsidRPr="007E24DE">
        <w:rPr>
          <w:rFonts w:cs="Helvetica"/>
          <w:i/>
          <w:iCs/>
          <w:lang w:val="en-US"/>
        </w:rPr>
        <w:t>Journal of Traumatic Stress</w:t>
      </w:r>
      <w:r w:rsidRPr="007E24DE">
        <w:rPr>
          <w:rFonts w:cs="Helvetica"/>
          <w:lang w:val="en-US"/>
        </w:rPr>
        <w:t xml:space="preserve">, </w:t>
      </w:r>
      <w:r w:rsidRPr="007E24DE">
        <w:rPr>
          <w:rFonts w:cs="Helvetica"/>
          <w:i/>
          <w:iCs/>
          <w:lang w:val="en-US"/>
        </w:rPr>
        <w:t>10</w:t>
      </w:r>
      <w:r w:rsidRPr="007E24DE">
        <w:rPr>
          <w:rFonts w:cs="Helvetica"/>
          <w:lang w:val="en-US"/>
        </w:rPr>
        <w:t>(4), 691–696.</w:t>
      </w:r>
    </w:p>
    <w:p w14:paraId="259CE5CC"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lang w:val="en-US"/>
        </w:rPr>
        <w:t xml:space="preserve">Kroenke, K., Spitzer, R. L., &amp; Williams, J. B. (2001). </w:t>
      </w:r>
      <w:r w:rsidRPr="007E24DE">
        <w:rPr>
          <w:rFonts w:eastAsia="Times New Roman"/>
          <w:shd w:val="clear" w:color="auto" w:fill="FFFFFF"/>
        </w:rPr>
        <w:t xml:space="preserve">The PHQ-9: validity of a brief depression severity measure. </w:t>
      </w:r>
      <w:r w:rsidRPr="007E24DE">
        <w:rPr>
          <w:rFonts w:eastAsia="Times New Roman"/>
          <w:i/>
          <w:shd w:val="clear" w:color="auto" w:fill="FFFFFF"/>
        </w:rPr>
        <w:t>Journal of General Internal Medicine, 16</w:t>
      </w:r>
      <w:r w:rsidRPr="007E24DE">
        <w:rPr>
          <w:rFonts w:eastAsia="Times New Roman"/>
          <w:shd w:val="clear" w:color="auto" w:fill="FFFFFF"/>
        </w:rPr>
        <w:t>(9): 606-613.</w:t>
      </w:r>
    </w:p>
    <w:p w14:paraId="0F288AAB"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Kubany, E. S., &amp; Manke, F. P. (1995). Cognitive therapy for trauma-related guilt: Conceptual bases and treatment outlines. </w:t>
      </w:r>
      <w:r w:rsidRPr="007E24DE">
        <w:rPr>
          <w:rFonts w:cs="Helvetica"/>
          <w:i/>
          <w:iCs/>
          <w:lang w:val="en-US"/>
        </w:rPr>
        <w:t>Cognitive and Behavioral Practice</w:t>
      </w:r>
      <w:r w:rsidRPr="007E24DE">
        <w:rPr>
          <w:rFonts w:cs="Helvetica"/>
          <w:lang w:val="en-US"/>
        </w:rPr>
        <w:t xml:space="preserve">, </w:t>
      </w:r>
      <w:r w:rsidRPr="007E24DE">
        <w:rPr>
          <w:rFonts w:cs="Helvetica"/>
          <w:i/>
          <w:iCs/>
          <w:lang w:val="en-US"/>
        </w:rPr>
        <w:t>2</w:t>
      </w:r>
      <w:r w:rsidRPr="007E24DE">
        <w:rPr>
          <w:rFonts w:cs="Helvetica"/>
          <w:lang w:val="en-US"/>
        </w:rPr>
        <w:t>(1), 27–61.</w:t>
      </w:r>
    </w:p>
    <w:p w14:paraId="215C8782" w14:textId="77777777" w:rsidR="00441414"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Kubany, E. S., Haynes, S. N., Abueg, F. R., Manke, F. P., Brennan, J. M., &amp; Stahura, C. (1996). Development and validation of the Trauma-Related Guilt Inventory (TRGI). </w:t>
      </w:r>
      <w:r w:rsidRPr="007E24DE">
        <w:rPr>
          <w:rFonts w:cs="Helvetica"/>
          <w:i/>
          <w:iCs/>
          <w:lang w:val="en-US"/>
        </w:rPr>
        <w:t>Psychological Assessment</w:t>
      </w:r>
      <w:r w:rsidRPr="007E24DE">
        <w:rPr>
          <w:rFonts w:cs="Helvetica"/>
          <w:lang w:val="en-US"/>
        </w:rPr>
        <w:t xml:space="preserve">, </w:t>
      </w:r>
      <w:r w:rsidRPr="007E24DE">
        <w:rPr>
          <w:rFonts w:cs="Helvetica"/>
          <w:i/>
          <w:iCs/>
          <w:lang w:val="en-US"/>
        </w:rPr>
        <w:t>8</w:t>
      </w:r>
      <w:r w:rsidRPr="007E24DE">
        <w:rPr>
          <w:rFonts w:cs="Helvetica"/>
          <w:lang w:val="en-US"/>
        </w:rPr>
        <w:t>(4), 428.</w:t>
      </w:r>
    </w:p>
    <w:p w14:paraId="75C74158" w14:textId="77777777" w:rsidR="002047D9" w:rsidRDefault="002047D9"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2047D9">
        <w:rPr>
          <w:rFonts w:cs="Helvetica"/>
        </w:rPr>
        <w:t>Langkaas, T. F., Hoffart, A., Øktedalen, T., Ulvenes, P. G., Hembree, E. A., &amp; Smucker, M. (2017). Exposure and non-fear emotions: A randomized controlled study of exposure-based and rescripting-based imagery in PTSD treatment. </w:t>
      </w:r>
      <w:r w:rsidRPr="002047D9">
        <w:rPr>
          <w:rFonts w:cs="Helvetica"/>
          <w:i/>
          <w:iCs/>
        </w:rPr>
        <w:t xml:space="preserve">Behaviour research and </w:t>
      </w:r>
      <w:r w:rsidRPr="002047D9">
        <w:rPr>
          <w:rFonts w:cs="Helvetica"/>
          <w:i/>
          <w:iCs/>
        </w:rPr>
        <w:lastRenderedPageBreak/>
        <w:t>therapy</w:t>
      </w:r>
      <w:r w:rsidRPr="002047D9">
        <w:rPr>
          <w:rFonts w:cs="Helvetica"/>
        </w:rPr>
        <w:t>, </w:t>
      </w:r>
      <w:r w:rsidRPr="002047D9">
        <w:rPr>
          <w:rFonts w:cs="Helvetica"/>
          <w:i/>
          <w:iCs/>
        </w:rPr>
        <w:t>97</w:t>
      </w:r>
      <w:r w:rsidRPr="002047D9">
        <w:rPr>
          <w:rFonts w:cs="Helvetica"/>
        </w:rPr>
        <w:t>, 33-42</w:t>
      </w:r>
    </w:p>
    <w:p w14:paraId="7822B2DE" w14:textId="77777777" w:rsidR="0021668A" w:rsidRPr="00D20166" w:rsidRDefault="0021668A"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21668A">
        <w:rPr>
          <w:rFonts w:cs="Helvetica"/>
        </w:rPr>
        <w:t>Lee, Deborah A. "Compassion-focused cognitive therapy for shame-based trauma memories and flashbacks in post-traumatic stress disorder." </w:t>
      </w:r>
      <w:r w:rsidRPr="0021668A">
        <w:rPr>
          <w:rFonts w:cs="Helvetica"/>
          <w:i/>
          <w:iCs/>
        </w:rPr>
        <w:t>A casebook of cognitive therapy for traumatic stress reactions</w:t>
      </w:r>
      <w:r w:rsidRPr="0021668A">
        <w:rPr>
          <w:rFonts w:cs="Helvetica"/>
        </w:rPr>
        <w:t> (2009): 230-246.</w:t>
      </w:r>
    </w:p>
    <w:p w14:paraId="6634F00C"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Lee, D. A., Scragg, P., &amp; Turner, S. (2001). The role of shame and guilt in traumatic events: A clinical model of shame-based and guilt-based PTSD. </w:t>
      </w:r>
      <w:r w:rsidRPr="007E24DE">
        <w:rPr>
          <w:rFonts w:cs="Helvetica"/>
          <w:i/>
          <w:iCs/>
          <w:lang w:val="en-US"/>
        </w:rPr>
        <w:t>British Journal of Medical Psychology</w:t>
      </w:r>
      <w:r w:rsidRPr="007E24DE">
        <w:rPr>
          <w:rFonts w:cs="Helvetica"/>
          <w:lang w:val="en-US"/>
        </w:rPr>
        <w:t xml:space="preserve">, </w:t>
      </w:r>
      <w:r w:rsidRPr="007E24DE">
        <w:rPr>
          <w:rFonts w:cs="Helvetica"/>
          <w:i/>
          <w:iCs/>
          <w:lang w:val="en-US"/>
        </w:rPr>
        <w:t>74</w:t>
      </w:r>
      <w:r w:rsidRPr="007E24DE">
        <w:rPr>
          <w:rFonts w:cs="Helvetica"/>
          <w:lang w:val="en-US"/>
        </w:rPr>
        <w:t xml:space="preserve">(4), 451–466. </w:t>
      </w:r>
    </w:p>
    <w:p w14:paraId="17E9F0E0" w14:textId="77777777" w:rsidR="00441414"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Style w:val="subtitle1"/>
          <w:rFonts w:eastAsia="Times New Roman"/>
          <w:bCs/>
        </w:rPr>
      </w:pPr>
      <w:r w:rsidRPr="007E24DE">
        <w:t xml:space="preserve">Lifton, R. J. (1976). </w:t>
      </w:r>
      <w:r w:rsidRPr="007E24DE">
        <w:rPr>
          <w:rStyle w:val="fn"/>
          <w:rFonts w:eastAsia="Times New Roman"/>
          <w:i/>
        </w:rPr>
        <w:t>Death in Life</w:t>
      </w:r>
      <w:r w:rsidRPr="007E24DE">
        <w:rPr>
          <w:rFonts w:eastAsia="Times New Roman"/>
          <w:i/>
        </w:rPr>
        <w:t>:</w:t>
      </w:r>
      <w:r w:rsidRPr="007E24DE">
        <w:rPr>
          <w:rStyle w:val="apple-converted-space"/>
          <w:rFonts w:eastAsia="Times New Roman"/>
          <w:i/>
        </w:rPr>
        <w:t> </w:t>
      </w:r>
      <w:r w:rsidRPr="007E24DE">
        <w:rPr>
          <w:rStyle w:val="subtitle1"/>
          <w:rFonts w:eastAsia="Times New Roman"/>
          <w:bCs/>
          <w:i/>
        </w:rPr>
        <w:t>Survivors of Hiroshima.</w:t>
      </w:r>
      <w:r w:rsidRPr="007E24DE">
        <w:rPr>
          <w:rStyle w:val="subtitle1"/>
          <w:rFonts w:eastAsia="Times New Roman"/>
          <w:bCs/>
        </w:rPr>
        <w:t xml:space="preserve"> New York: Random House.</w:t>
      </w:r>
    </w:p>
    <w:p w14:paraId="04CA862A" w14:textId="77777777" w:rsidR="00FE656E" w:rsidRPr="00D20166" w:rsidRDefault="00FE656E"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FE656E">
        <w:rPr>
          <w:rFonts w:cs="Helvetica"/>
        </w:rPr>
        <w:t>Litz, B. T., Lebowitz, L., Gray, M. J., &amp; Nash, W. P. (2017). </w:t>
      </w:r>
      <w:r w:rsidRPr="00FE656E">
        <w:rPr>
          <w:rFonts w:cs="Helvetica"/>
          <w:i/>
          <w:iCs/>
        </w:rPr>
        <w:t>Adaptive disclosure: A new treatment for military trauma, loss, and moral injury</w:t>
      </w:r>
      <w:r w:rsidRPr="00FE656E">
        <w:rPr>
          <w:rFonts w:cs="Helvetica"/>
        </w:rPr>
        <w:t>. Guilford Publications.</w:t>
      </w:r>
    </w:p>
    <w:p w14:paraId="6889A2FE"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Long, M. E., &amp; Quevillon, R. (2009). Imagery Rescripting in the Treatment of Posttraumatic Stress Disorder. </w:t>
      </w:r>
      <w:r w:rsidRPr="007E24DE">
        <w:rPr>
          <w:rFonts w:cs="Helvetica"/>
          <w:i/>
          <w:iCs/>
          <w:lang w:val="en-US"/>
        </w:rPr>
        <w:t>Journal of Cognitive Psychotherapy</w:t>
      </w:r>
      <w:r w:rsidRPr="007E24DE">
        <w:rPr>
          <w:rFonts w:cs="Helvetica"/>
          <w:lang w:val="en-US"/>
        </w:rPr>
        <w:t xml:space="preserve">, </w:t>
      </w:r>
      <w:r w:rsidRPr="007E24DE">
        <w:rPr>
          <w:rFonts w:cs="Helvetica"/>
          <w:i/>
          <w:iCs/>
          <w:lang w:val="en-US"/>
        </w:rPr>
        <w:t>23</w:t>
      </w:r>
      <w:r w:rsidRPr="007E24DE">
        <w:rPr>
          <w:rFonts w:cs="Helvetica"/>
          <w:lang w:val="en-US"/>
        </w:rPr>
        <w:t>(1), 67–76.</w:t>
      </w:r>
    </w:p>
    <w:p w14:paraId="033ECAC9" w14:textId="77777777" w:rsidR="00441414"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lang w:val="en-US"/>
        </w:rPr>
      </w:pPr>
      <w:r w:rsidRPr="007E24DE">
        <w:rPr>
          <w:lang w:val="en-US"/>
        </w:rPr>
        <w:t xml:space="preserve">Matsakis, A. (1999). </w:t>
      </w:r>
      <w:r w:rsidRPr="007E24DE">
        <w:rPr>
          <w:i/>
          <w:lang w:val="en-US"/>
        </w:rPr>
        <w:t>Survivor Guilt: a self-help guide.</w:t>
      </w:r>
      <w:r w:rsidRPr="007E24DE">
        <w:rPr>
          <w:lang w:val="en-US"/>
        </w:rPr>
        <w:t xml:space="preserve"> Oakland: New Harbinger Publications.</w:t>
      </w:r>
    </w:p>
    <w:p w14:paraId="1AF632B3" w14:textId="77777777" w:rsidR="008E3105" w:rsidRDefault="008E3105"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8E3105">
        <w:rPr>
          <w:rFonts w:cs="Helvetica"/>
        </w:rPr>
        <w:t>Morina, N., Lancee, J., &amp; Arntz, A. (2017). Imagery rescripting as a clinical intervention for aversive memories: A meta-analysis. </w:t>
      </w:r>
      <w:r w:rsidRPr="008E3105">
        <w:rPr>
          <w:rFonts w:cs="Helvetica"/>
          <w:i/>
          <w:iCs/>
        </w:rPr>
        <w:t>Journal of behavior therapy and experimental psychiatry</w:t>
      </w:r>
      <w:r w:rsidRPr="008E3105">
        <w:rPr>
          <w:rFonts w:cs="Helvetica"/>
        </w:rPr>
        <w:t>, </w:t>
      </w:r>
      <w:r w:rsidRPr="008E3105">
        <w:rPr>
          <w:rFonts w:cs="Helvetica"/>
          <w:i/>
          <w:iCs/>
        </w:rPr>
        <w:t>55</w:t>
      </w:r>
      <w:r w:rsidRPr="008E3105">
        <w:rPr>
          <w:rFonts w:cs="Helvetica"/>
        </w:rPr>
        <w:t>, 6-15.</w:t>
      </w:r>
    </w:p>
    <w:p w14:paraId="7203C0E9" w14:textId="77777777" w:rsidR="00C926C2" w:rsidRPr="00D2480D" w:rsidRDefault="00C926C2" w:rsidP="00D2480D">
      <w:pPr>
        <w:spacing w:line="480" w:lineRule="auto"/>
        <w:ind w:left="720" w:hanging="720"/>
        <w:rPr>
          <w:color w:val="1A1A1A"/>
        </w:rPr>
      </w:pPr>
      <w:r>
        <w:rPr>
          <w:rFonts w:cs="Helvetica"/>
        </w:rPr>
        <w:t>Murray, H. (</w:t>
      </w:r>
      <w:r w:rsidR="00D2480D">
        <w:rPr>
          <w:rFonts w:cs="Helvetica"/>
        </w:rPr>
        <w:t>2018</w:t>
      </w:r>
      <w:r>
        <w:rPr>
          <w:rFonts w:cs="Helvetica"/>
        </w:rPr>
        <w:t xml:space="preserve">). Survivor guilt in a UK clinical population. </w:t>
      </w:r>
      <w:r w:rsidRPr="00D20166">
        <w:rPr>
          <w:rFonts w:cs="Helvetica"/>
          <w:i/>
        </w:rPr>
        <w:t>Journal of Loss and Trauma</w:t>
      </w:r>
      <w:r w:rsidR="00D2480D" w:rsidRPr="009B7EA3">
        <w:rPr>
          <w:i/>
          <w:color w:val="1A1A1A"/>
        </w:rPr>
        <w:t>, 23:7</w:t>
      </w:r>
      <w:r w:rsidR="00D2480D" w:rsidRPr="00BC3DA2">
        <w:rPr>
          <w:color w:val="1A1A1A"/>
        </w:rPr>
        <w:t>, 600-607</w:t>
      </w:r>
      <w:r w:rsidR="00D2480D">
        <w:rPr>
          <w:color w:val="1A1A1A"/>
        </w:rPr>
        <w:t>.</w:t>
      </w:r>
    </w:p>
    <w:p w14:paraId="150CB138" w14:textId="77777777" w:rsidR="00441414" w:rsidRPr="007E24DE" w:rsidRDefault="00441414" w:rsidP="00D20166">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Niederland, W. G. (1968). Clinical observations on the “survivor syndrome”. </w:t>
      </w:r>
      <w:r w:rsidRPr="007E24DE">
        <w:rPr>
          <w:rFonts w:cs="Helvetica"/>
          <w:i/>
          <w:iCs/>
          <w:lang w:val="en-US"/>
        </w:rPr>
        <w:t>The International Journal of Psychoanalysis, 49</w:t>
      </w:r>
      <w:r w:rsidRPr="007E24DE">
        <w:rPr>
          <w:rFonts w:cs="Helvetica"/>
          <w:iCs/>
          <w:lang w:val="en-US"/>
        </w:rPr>
        <w:t>(2), 313-315.</w:t>
      </w:r>
    </w:p>
    <w:p w14:paraId="22F76D83"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Niederland, W. G. (1981). The survivor syndrome: Further observations and dimensions. </w:t>
      </w:r>
      <w:r w:rsidRPr="007E24DE">
        <w:rPr>
          <w:rFonts w:cs="Helvetica"/>
          <w:i/>
          <w:iCs/>
          <w:lang w:val="en-US"/>
        </w:rPr>
        <w:t>Journal of American Psychoanalytic Association</w:t>
      </w:r>
      <w:r w:rsidRPr="007E24DE">
        <w:rPr>
          <w:rFonts w:cs="Helvetica"/>
          <w:lang w:val="en-US"/>
        </w:rPr>
        <w:t xml:space="preserve">, </w:t>
      </w:r>
      <w:r w:rsidRPr="007E24DE">
        <w:rPr>
          <w:rFonts w:cs="Helvetica"/>
          <w:i/>
          <w:iCs/>
          <w:lang w:val="en-US"/>
        </w:rPr>
        <w:t>29</w:t>
      </w:r>
      <w:r w:rsidRPr="007E24DE">
        <w:rPr>
          <w:rFonts w:cs="Helvetica"/>
          <w:iCs/>
          <w:lang w:val="en-US"/>
        </w:rPr>
        <w:t>(2)</w:t>
      </w:r>
      <w:r w:rsidRPr="007E24DE">
        <w:rPr>
          <w:rFonts w:cs="Helvetica"/>
          <w:lang w:val="en-US"/>
        </w:rPr>
        <w:t>, 413–425.</w:t>
      </w:r>
    </w:p>
    <w:p w14:paraId="09310EF6" w14:textId="77777777" w:rsidR="00441414"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lastRenderedPageBreak/>
        <w:t xml:space="preserve">Nilsson, J-E., Lundh, L-G., &amp; Viborg, G. (2012). Imagery rescripting of early memories in social anxiety disorder: An experimental study. </w:t>
      </w:r>
      <w:r w:rsidRPr="007E24DE">
        <w:rPr>
          <w:rFonts w:cs="Helvetica"/>
          <w:i/>
          <w:iCs/>
          <w:lang w:val="en-US"/>
        </w:rPr>
        <w:t>Behaviour Research and Therapy</w:t>
      </w:r>
      <w:r w:rsidRPr="007E24DE">
        <w:rPr>
          <w:rFonts w:cs="Helvetica"/>
          <w:lang w:val="en-US"/>
        </w:rPr>
        <w:t xml:space="preserve">, </w:t>
      </w:r>
      <w:r w:rsidRPr="007E24DE">
        <w:rPr>
          <w:rFonts w:cs="Helvetica"/>
          <w:i/>
          <w:iCs/>
          <w:lang w:val="en-US"/>
        </w:rPr>
        <w:t>50</w:t>
      </w:r>
      <w:r w:rsidRPr="007E24DE">
        <w:rPr>
          <w:rFonts w:cs="Helvetica"/>
          <w:lang w:val="en-US"/>
        </w:rPr>
        <w:t xml:space="preserve">(6), 387–392. </w:t>
      </w:r>
    </w:p>
    <w:p w14:paraId="3A17BB13" w14:textId="77777777" w:rsidR="008E3105" w:rsidRPr="00D20166" w:rsidRDefault="008E3105"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8E3105">
        <w:rPr>
          <w:rFonts w:cs="Helvetica"/>
        </w:rPr>
        <w:t>Øktedalen, T., Hoffart, A., &amp; Langkaas, T. F. (2015). Trauma-related shame and guilt as time-varying predictors of posttraumatic stress disorder symptoms during imagery exposure and imagery rescripting—A randomized controlled trial. </w:t>
      </w:r>
      <w:r w:rsidRPr="008E3105">
        <w:rPr>
          <w:rFonts w:cs="Helvetica"/>
          <w:i/>
          <w:iCs/>
        </w:rPr>
        <w:t>Psychotherapy Research</w:t>
      </w:r>
      <w:r w:rsidRPr="008E3105">
        <w:rPr>
          <w:rFonts w:cs="Helvetica"/>
        </w:rPr>
        <w:t>, </w:t>
      </w:r>
      <w:r w:rsidRPr="008E3105">
        <w:rPr>
          <w:rFonts w:cs="Helvetica"/>
          <w:i/>
          <w:iCs/>
        </w:rPr>
        <w:t>25</w:t>
      </w:r>
      <w:r w:rsidRPr="008E3105">
        <w:rPr>
          <w:rFonts w:cs="Helvetica"/>
        </w:rPr>
        <w:t>(5), 518-532.</w:t>
      </w:r>
    </w:p>
    <w:p w14:paraId="3B709B39" w14:textId="77777777" w:rsidR="00441414" w:rsidRDefault="00441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Okulate, G. T., &amp; Jones, O. B. E. (2006). Post-traumatic stress disorder, survivor guilt and substance use--a study of hospitalised Nigerian army veterans. </w:t>
      </w:r>
      <w:r w:rsidRPr="007E24DE">
        <w:rPr>
          <w:rFonts w:cs="Helvetica"/>
          <w:i/>
          <w:iCs/>
          <w:lang w:val="en-US"/>
        </w:rPr>
        <w:t>South African Medical Journal = Suid-Afrikaanse Tydskrif Vir Geneeskunde</w:t>
      </w:r>
      <w:r w:rsidRPr="007E24DE">
        <w:rPr>
          <w:rFonts w:cs="Helvetica"/>
          <w:lang w:val="en-US"/>
        </w:rPr>
        <w:t xml:space="preserve">, </w:t>
      </w:r>
      <w:r w:rsidRPr="007E24DE">
        <w:rPr>
          <w:rFonts w:cs="Helvetica"/>
          <w:i/>
          <w:iCs/>
          <w:lang w:val="en-US"/>
        </w:rPr>
        <w:t>96</w:t>
      </w:r>
      <w:r w:rsidRPr="007E24DE">
        <w:rPr>
          <w:rFonts w:cs="Helvetica"/>
          <w:lang w:val="en-US"/>
        </w:rPr>
        <w:t>(2), 144–146.</w:t>
      </w:r>
    </w:p>
    <w:p w14:paraId="69FFB2F2" w14:textId="77777777" w:rsidR="00791EFF" w:rsidRPr="00D20166" w:rsidRDefault="00791EFF"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rPr>
      </w:pPr>
      <w:r w:rsidRPr="00D20166">
        <w:rPr>
          <w:rFonts w:cs="Helvetica"/>
          <w:iCs/>
        </w:rPr>
        <w:t>Pethania</w:t>
      </w:r>
      <w:r>
        <w:rPr>
          <w:rFonts w:cs="Helvetica"/>
          <w:iCs/>
        </w:rPr>
        <w:t>,</w:t>
      </w:r>
      <w:r w:rsidRPr="00D20166">
        <w:rPr>
          <w:rFonts w:cs="Helvetica"/>
          <w:iCs/>
        </w:rPr>
        <w:t xml:space="preserve"> Y</w:t>
      </w:r>
      <w:r w:rsidR="004628D5">
        <w:rPr>
          <w:rFonts w:cs="Helvetica"/>
          <w:iCs/>
        </w:rPr>
        <w:t>.</w:t>
      </w:r>
      <w:r w:rsidRPr="00D20166">
        <w:rPr>
          <w:rFonts w:cs="Helvetica"/>
          <w:iCs/>
        </w:rPr>
        <w:t>, Murray</w:t>
      </w:r>
      <w:r w:rsidR="004628D5">
        <w:rPr>
          <w:rFonts w:cs="Helvetica"/>
          <w:iCs/>
        </w:rPr>
        <w:t>,</w:t>
      </w:r>
      <w:r w:rsidRPr="00D20166">
        <w:rPr>
          <w:rFonts w:cs="Helvetica"/>
          <w:iCs/>
        </w:rPr>
        <w:t xml:space="preserve"> H</w:t>
      </w:r>
      <w:r w:rsidR="004628D5">
        <w:rPr>
          <w:rFonts w:cs="Helvetica"/>
          <w:iCs/>
        </w:rPr>
        <w:t>.</w:t>
      </w:r>
      <w:r w:rsidRPr="00D20166">
        <w:rPr>
          <w:rFonts w:cs="Helvetica"/>
          <w:iCs/>
        </w:rPr>
        <w:t>, Brown</w:t>
      </w:r>
      <w:r w:rsidR="004628D5">
        <w:rPr>
          <w:rFonts w:cs="Helvetica"/>
          <w:iCs/>
        </w:rPr>
        <w:t>,</w:t>
      </w:r>
      <w:r w:rsidRPr="00D20166">
        <w:rPr>
          <w:rFonts w:cs="Helvetica"/>
          <w:iCs/>
        </w:rPr>
        <w:t xml:space="preserve"> D</w:t>
      </w:r>
      <w:r w:rsidR="004628D5">
        <w:rPr>
          <w:rFonts w:cs="Helvetica"/>
          <w:iCs/>
        </w:rPr>
        <w:t>.</w:t>
      </w:r>
      <w:r w:rsidRPr="00D20166">
        <w:rPr>
          <w:rFonts w:cs="Helvetica"/>
          <w:iCs/>
        </w:rPr>
        <w:t xml:space="preserve"> (2018)</w:t>
      </w:r>
      <w:r w:rsidR="004628D5">
        <w:rPr>
          <w:rFonts w:cs="Helvetica"/>
          <w:iCs/>
        </w:rPr>
        <w:t>.</w:t>
      </w:r>
      <w:r w:rsidRPr="00D20166">
        <w:rPr>
          <w:rFonts w:cs="Helvetica"/>
          <w:iCs/>
        </w:rPr>
        <w:t xml:space="preserve"> Living a Life That Should Not Be Lived: A Qualitative Analysis of the Experience of Survivor Guilt. </w:t>
      </w:r>
      <w:r w:rsidRPr="004628D5">
        <w:rPr>
          <w:rFonts w:cs="Helvetica"/>
          <w:i/>
          <w:iCs/>
        </w:rPr>
        <w:t>J</w:t>
      </w:r>
      <w:r w:rsidR="004628D5">
        <w:rPr>
          <w:rFonts w:cs="Helvetica"/>
          <w:i/>
          <w:iCs/>
        </w:rPr>
        <w:t>ournal of</w:t>
      </w:r>
      <w:r w:rsidRPr="004628D5">
        <w:rPr>
          <w:rFonts w:cs="Helvetica"/>
          <w:i/>
          <w:iCs/>
        </w:rPr>
        <w:t xml:space="preserve"> Trauma</w:t>
      </w:r>
      <w:r w:rsidR="004628D5">
        <w:rPr>
          <w:rFonts w:cs="Helvetica"/>
          <w:i/>
          <w:iCs/>
        </w:rPr>
        <w:t>tic</w:t>
      </w:r>
      <w:r w:rsidRPr="004628D5">
        <w:rPr>
          <w:rFonts w:cs="Helvetica"/>
          <w:i/>
          <w:iCs/>
        </w:rPr>
        <w:t xml:space="preserve"> Stress Disor</w:t>
      </w:r>
      <w:r w:rsidR="004628D5">
        <w:rPr>
          <w:rFonts w:cs="Helvetica"/>
          <w:i/>
          <w:iCs/>
        </w:rPr>
        <w:t>ders &amp;</w:t>
      </w:r>
      <w:r w:rsidRPr="004628D5">
        <w:rPr>
          <w:rFonts w:cs="Helvetica"/>
          <w:i/>
          <w:iCs/>
        </w:rPr>
        <w:t xml:space="preserve"> Treat</w:t>
      </w:r>
      <w:r w:rsidR="004628D5">
        <w:rPr>
          <w:rFonts w:cs="Helvetica"/>
          <w:i/>
          <w:iCs/>
        </w:rPr>
        <w:t>mrny</w:t>
      </w:r>
      <w:r w:rsidR="004628D5" w:rsidRPr="00D20166">
        <w:rPr>
          <w:rFonts w:cs="Helvetica"/>
          <w:iCs/>
        </w:rPr>
        <w:t>,</w:t>
      </w:r>
      <w:r w:rsidRPr="00D20166">
        <w:rPr>
          <w:rFonts w:cs="Helvetica"/>
          <w:iCs/>
        </w:rPr>
        <w:t xml:space="preserve"> 7</w:t>
      </w:r>
      <w:r w:rsidR="004628D5">
        <w:rPr>
          <w:rFonts w:cs="Helvetica"/>
          <w:iCs/>
        </w:rPr>
        <w:t>(</w:t>
      </w:r>
      <w:r w:rsidRPr="00D20166">
        <w:rPr>
          <w:rFonts w:cs="Helvetica"/>
          <w:iCs/>
        </w:rPr>
        <w:t>1</w:t>
      </w:r>
      <w:r w:rsidR="004628D5">
        <w:rPr>
          <w:rFonts w:cs="Helvetica"/>
          <w:iCs/>
        </w:rPr>
        <w:t>)</w:t>
      </w:r>
      <w:r w:rsidRPr="00D20166">
        <w:rPr>
          <w:rFonts w:cs="Helvetica"/>
          <w:iCs/>
        </w:rPr>
        <w:t>. doi: 10.4172/2324-8947.1000183</w:t>
      </w:r>
    </w:p>
    <w:p w14:paraId="1180D492"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Rusch, M. D., Grunert, B. K., Mendelsohn, R. A., &amp; Smucker, M. R. (2000). Imagery rescripting for recurrent, distressing images. </w:t>
      </w:r>
      <w:r w:rsidRPr="007E24DE">
        <w:rPr>
          <w:rFonts w:cs="Helvetica"/>
          <w:i/>
          <w:iCs/>
          <w:lang w:val="en-US"/>
        </w:rPr>
        <w:t>Cognitive and Behavioral Practice</w:t>
      </w:r>
      <w:r w:rsidRPr="007E24DE">
        <w:rPr>
          <w:rFonts w:cs="Helvetica"/>
          <w:lang w:val="en-US"/>
        </w:rPr>
        <w:t xml:space="preserve">, </w:t>
      </w:r>
      <w:r w:rsidRPr="007E24DE">
        <w:rPr>
          <w:rFonts w:cs="Helvetica"/>
          <w:i/>
          <w:iCs/>
          <w:lang w:val="en-US"/>
        </w:rPr>
        <w:t>7</w:t>
      </w:r>
      <w:r w:rsidRPr="007E24DE">
        <w:rPr>
          <w:rFonts w:cs="Helvetica"/>
          <w:lang w:val="en-US"/>
        </w:rPr>
        <w:t>(2), 173–182.</w:t>
      </w:r>
    </w:p>
    <w:p w14:paraId="166792AC" w14:textId="77777777" w:rsidR="00441414"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t xml:space="preserve">Tangney, J. P., &amp; Fischer, K. W. (1995). </w:t>
      </w:r>
      <w:r w:rsidRPr="007E24DE">
        <w:rPr>
          <w:i/>
        </w:rPr>
        <w:t>Self-conscious emotions: The psychology of shame, guilt, embarrassment, and pride.</w:t>
      </w:r>
      <w:r w:rsidRPr="007E24DE">
        <w:t xml:space="preserve"> New York: Guildford Press.</w:t>
      </w:r>
    </w:p>
    <w:p w14:paraId="1E729BB7" w14:textId="77777777" w:rsidR="00CC046F" w:rsidRPr="007E24DE" w:rsidRDefault="00441414" w:rsidP="00D2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left="400" w:hanging="400"/>
        <w:jc w:val="left"/>
        <w:rPr>
          <w:rFonts w:cs="Helvetica"/>
          <w:lang w:val="en-US"/>
        </w:rPr>
      </w:pPr>
      <w:r w:rsidRPr="007E24DE">
        <w:rPr>
          <w:rFonts w:cs="Helvetica"/>
          <w:lang w:val="en-US"/>
        </w:rPr>
        <w:t xml:space="preserve">Wild, J., Hackmann, A., &amp; Clark, D. M. (2008). Rescripting early memories linked to negative images in social phobia: A pilot study. </w:t>
      </w:r>
      <w:r w:rsidRPr="007E24DE">
        <w:rPr>
          <w:rFonts w:cs="Helvetica"/>
          <w:i/>
          <w:iCs/>
          <w:lang w:val="en-US"/>
        </w:rPr>
        <w:t>Behavior Therapy</w:t>
      </w:r>
      <w:r w:rsidRPr="007E24DE">
        <w:rPr>
          <w:rFonts w:cs="Helvetica"/>
          <w:lang w:val="en-US"/>
        </w:rPr>
        <w:t xml:space="preserve">, </w:t>
      </w:r>
      <w:r w:rsidRPr="007E24DE">
        <w:rPr>
          <w:rFonts w:cs="Helvetica"/>
          <w:i/>
          <w:iCs/>
          <w:lang w:val="en-US"/>
        </w:rPr>
        <w:t>39</w:t>
      </w:r>
      <w:r w:rsidRPr="007E24DE">
        <w:rPr>
          <w:rFonts w:cs="Helvetica"/>
          <w:lang w:val="en-US"/>
        </w:rPr>
        <w:t>(1), 47–56.</w:t>
      </w:r>
    </w:p>
    <w:p w14:paraId="2DCC7D0B" w14:textId="77777777" w:rsidR="00D22C3A" w:rsidRDefault="00D22C3A">
      <w:pPr>
        <w:spacing w:line="480" w:lineRule="auto"/>
        <w:ind w:firstLine="0"/>
        <w:jc w:val="left"/>
        <w:rPr>
          <w:rFonts w:cs="Helvetica"/>
          <w:lang w:val="en-US"/>
        </w:rPr>
      </w:pPr>
    </w:p>
    <w:p w14:paraId="18E5E65D" w14:textId="77777777" w:rsidR="007A6BC2" w:rsidRDefault="007A6BC2">
      <w:pPr>
        <w:spacing w:line="480" w:lineRule="auto"/>
        <w:ind w:firstLine="0"/>
        <w:jc w:val="left"/>
        <w:rPr>
          <w:rFonts w:cs="Helvetica"/>
          <w:lang w:val="en-US"/>
        </w:rPr>
      </w:pPr>
    </w:p>
    <w:p w14:paraId="46C34FAF" w14:textId="77777777" w:rsidR="007A6BC2" w:rsidRDefault="007A6BC2">
      <w:pPr>
        <w:spacing w:line="480" w:lineRule="auto"/>
        <w:ind w:firstLine="0"/>
        <w:jc w:val="left"/>
        <w:rPr>
          <w:rFonts w:cs="Helvetica"/>
          <w:lang w:val="en-US"/>
        </w:rPr>
      </w:pPr>
    </w:p>
    <w:p w14:paraId="4DD4B481" w14:textId="77777777" w:rsidR="007A6BC2" w:rsidRPr="007E24DE" w:rsidRDefault="007A6BC2" w:rsidP="007A6BC2">
      <w:pPr>
        <w:spacing w:line="480" w:lineRule="auto"/>
        <w:ind w:firstLine="0"/>
        <w:jc w:val="left"/>
        <w:rPr>
          <w:rFonts w:eastAsia="Times New Roman"/>
          <w:color w:val="000000"/>
        </w:rPr>
      </w:pPr>
      <w:r w:rsidRPr="007E24DE">
        <w:rPr>
          <w:rFonts w:eastAsia="Times New Roman"/>
          <w:color w:val="000000"/>
        </w:rPr>
        <w:lastRenderedPageBreak/>
        <w:t>Table 1.  Mean (S</w:t>
      </w:r>
      <w:r>
        <w:rPr>
          <w:rFonts w:eastAsia="Times New Roman"/>
          <w:color w:val="000000"/>
        </w:rPr>
        <w:t xml:space="preserve">tandard </w:t>
      </w:r>
      <w:r w:rsidRPr="007E24DE">
        <w:rPr>
          <w:rFonts w:eastAsia="Times New Roman"/>
          <w:color w:val="000000"/>
        </w:rPr>
        <w:t>D</w:t>
      </w:r>
      <w:r>
        <w:rPr>
          <w:rFonts w:eastAsia="Times New Roman"/>
          <w:color w:val="000000"/>
        </w:rPr>
        <w:t>eviation</w:t>
      </w:r>
      <w:r w:rsidRPr="007E24DE">
        <w:rPr>
          <w:rFonts w:eastAsia="Times New Roman"/>
          <w:color w:val="000000"/>
        </w:rPr>
        <w:t>) of weekly symptom scales.</w:t>
      </w:r>
    </w:p>
    <w:tbl>
      <w:tblPr>
        <w:tblStyle w:val="TableGrid"/>
        <w:tblW w:w="9229" w:type="dxa"/>
        <w:tblInd w:w="93" w:type="dxa"/>
        <w:tblLook w:val="04A0" w:firstRow="1" w:lastRow="0" w:firstColumn="1" w:lastColumn="0" w:noHBand="0" w:noVBand="1"/>
      </w:tblPr>
      <w:tblGrid>
        <w:gridCol w:w="2948"/>
        <w:gridCol w:w="1900"/>
        <w:gridCol w:w="1900"/>
        <w:gridCol w:w="2481"/>
      </w:tblGrid>
      <w:tr w:rsidR="007A6BC2" w:rsidRPr="007E24DE" w14:paraId="382DDA48" w14:textId="77777777" w:rsidTr="0003699D">
        <w:tc>
          <w:tcPr>
            <w:tcW w:w="2948" w:type="dxa"/>
            <w:tcBorders>
              <w:left w:val="nil"/>
              <w:bottom w:val="single" w:sz="4" w:space="0" w:color="auto"/>
              <w:right w:val="nil"/>
            </w:tcBorders>
          </w:tcPr>
          <w:p w14:paraId="741DA116"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Measure</w:t>
            </w:r>
          </w:p>
        </w:tc>
        <w:tc>
          <w:tcPr>
            <w:tcW w:w="1900" w:type="dxa"/>
            <w:tcBorders>
              <w:left w:val="nil"/>
              <w:bottom w:val="single" w:sz="4" w:space="0" w:color="auto"/>
              <w:right w:val="nil"/>
            </w:tcBorders>
          </w:tcPr>
          <w:p w14:paraId="2FB9BC3C"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Pre S1</w:t>
            </w:r>
          </w:p>
        </w:tc>
        <w:tc>
          <w:tcPr>
            <w:tcW w:w="1900" w:type="dxa"/>
            <w:tcBorders>
              <w:left w:val="nil"/>
              <w:bottom w:val="single" w:sz="4" w:space="0" w:color="auto"/>
              <w:right w:val="nil"/>
            </w:tcBorders>
          </w:tcPr>
          <w:p w14:paraId="03770B5D"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Pre S2</w:t>
            </w:r>
          </w:p>
        </w:tc>
        <w:tc>
          <w:tcPr>
            <w:tcW w:w="2481" w:type="dxa"/>
            <w:tcBorders>
              <w:left w:val="nil"/>
              <w:bottom w:val="single" w:sz="4" w:space="0" w:color="auto"/>
              <w:right w:val="nil"/>
            </w:tcBorders>
          </w:tcPr>
          <w:p w14:paraId="08FB9FCB"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S3</w:t>
            </w:r>
          </w:p>
        </w:tc>
      </w:tr>
      <w:tr w:rsidR="007A6BC2" w:rsidRPr="007E24DE" w14:paraId="535E8BB1" w14:textId="77777777" w:rsidTr="0003699D">
        <w:tc>
          <w:tcPr>
            <w:tcW w:w="2948" w:type="dxa"/>
            <w:tcBorders>
              <w:left w:val="nil"/>
              <w:bottom w:val="nil"/>
              <w:right w:val="nil"/>
            </w:tcBorders>
          </w:tcPr>
          <w:p w14:paraId="521BC416" w14:textId="77777777" w:rsidR="007A6BC2" w:rsidRPr="007E24DE" w:rsidRDefault="007A6BC2" w:rsidP="0003699D">
            <w:pPr>
              <w:spacing w:before="240" w:after="120" w:line="480" w:lineRule="auto"/>
              <w:ind w:firstLine="0"/>
              <w:jc w:val="left"/>
              <w:rPr>
                <w:rFonts w:eastAsia="Times New Roman"/>
                <w:color w:val="000000"/>
                <w:lang w:eastAsia="en-GB"/>
              </w:rPr>
            </w:pPr>
            <w:r w:rsidRPr="007E24DE">
              <w:rPr>
                <w:rFonts w:eastAsia="Times New Roman"/>
                <w:color w:val="000000"/>
                <w:lang w:eastAsia="en-GB"/>
              </w:rPr>
              <w:t>Weekly Survivor Guilt</w:t>
            </w:r>
          </w:p>
        </w:tc>
        <w:tc>
          <w:tcPr>
            <w:tcW w:w="1900" w:type="dxa"/>
            <w:tcBorders>
              <w:left w:val="nil"/>
              <w:bottom w:val="nil"/>
              <w:right w:val="nil"/>
            </w:tcBorders>
          </w:tcPr>
          <w:p w14:paraId="0E3E6839" w14:textId="77777777" w:rsidR="007A6BC2" w:rsidRPr="007E24DE" w:rsidRDefault="007A6BC2" w:rsidP="0003699D">
            <w:pPr>
              <w:spacing w:before="240" w:after="120" w:line="480" w:lineRule="auto"/>
              <w:ind w:firstLine="0"/>
              <w:jc w:val="left"/>
              <w:rPr>
                <w:rFonts w:eastAsia="Times New Roman"/>
                <w:color w:val="000000"/>
                <w:lang w:eastAsia="en-GB"/>
              </w:rPr>
            </w:pPr>
            <w:r w:rsidRPr="007E24DE">
              <w:rPr>
                <w:rFonts w:eastAsia="Times New Roman"/>
                <w:color w:val="000000"/>
                <w:lang w:eastAsia="en-GB"/>
              </w:rPr>
              <w:t>5.85 (2.23)</w:t>
            </w:r>
          </w:p>
        </w:tc>
        <w:tc>
          <w:tcPr>
            <w:tcW w:w="1900" w:type="dxa"/>
            <w:tcBorders>
              <w:left w:val="nil"/>
              <w:bottom w:val="nil"/>
              <w:right w:val="nil"/>
            </w:tcBorders>
          </w:tcPr>
          <w:p w14:paraId="0B30F939" w14:textId="77777777" w:rsidR="007A6BC2" w:rsidRPr="007E24DE" w:rsidRDefault="007A6BC2" w:rsidP="0003699D">
            <w:pPr>
              <w:spacing w:before="240" w:after="120" w:line="480" w:lineRule="auto"/>
              <w:ind w:firstLine="0"/>
              <w:jc w:val="left"/>
              <w:rPr>
                <w:rFonts w:eastAsia="Times New Roman"/>
                <w:color w:val="000000"/>
                <w:lang w:eastAsia="en-GB"/>
              </w:rPr>
            </w:pPr>
            <w:r w:rsidRPr="007E24DE">
              <w:rPr>
                <w:rFonts w:eastAsia="Times New Roman"/>
                <w:color w:val="000000"/>
                <w:lang w:eastAsia="en-GB"/>
              </w:rPr>
              <w:t>6.08 (1.50)</w:t>
            </w:r>
          </w:p>
        </w:tc>
        <w:tc>
          <w:tcPr>
            <w:tcW w:w="2481" w:type="dxa"/>
            <w:tcBorders>
              <w:left w:val="nil"/>
              <w:bottom w:val="nil"/>
              <w:right w:val="nil"/>
            </w:tcBorders>
          </w:tcPr>
          <w:p w14:paraId="70D5C11E" w14:textId="77777777" w:rsidR="007A6BC2" w:rsidRPr="007E24DE" w:rsidRDefault="007A6BC2" w:rsidP="0003699D">
            <w:pPr>
              <w:spacing w:before="240" w:after="120" w:line="480" w:lineRule="auto"/>
              <w:ind w:firstLine="0"/>
              <w:jc w:val="left"/>
              <w:rPr>
                <w:rFonts w:eastAsia="Times New Roman"/>
                <w:color w:val="000000"/>
                <w:lang w:eastAsia="en-GB"/>
              </w:rPr>
            </w:pPr>
            <w:r w:rsidRPr="007E24DE">
              <w:rPr>
                <w:rFonts w:eastAsia="Times New Roman"/>
                <w:color w:val="000000"/>
                <w:lang w:eastAsia="en-GB"/>
              </w:rPr>
              <w:t>5.77 (1.42)</w:t>
            </w:r>
          </w:p>
        </w:tc>
      </w:tr>
      <w:tr w:rsidR="007A6BC2" w:rsidRPr="007E24DE" w14:paraId="2753287F" w14:textId="77777777" w:rsidTr="0003699D">
        <w:tc>
          <w:tcPr>
            <w:tcW w:w="2948" w:type="dxa"/>
            <w:tcBorders>
              <w:top w:val="nil"/>
              <w:left w:val="nil"/>
              <w:bottom w:val="nil"/>
              <w:right w:val="nil"/>
            </w:tcBorders>
          </w:tcPr>
          <w:p w14:paraId="6D21DF70"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PDS Rexperiencing</w:t>
            </w:r>
          </w:p>
        </w:tc>
        <w:tc>
          <w:tcPr>
            <w:tcW w:w="1900" w:type="dxa"/>
            <w:tcBorders>
              <w:top w:val="nil"/>
              <w:left w:val="nil"/>
              <w:bottom w:val="nil"/>
              <w:right w:val="nil"/>
            </w:tcBorders>
          </w:tcPr>
          <w:p w14:paraId="4785B93C"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10.38 (3.71)</w:t>
            </w:r>
          </w:p>
        </w:tc>
        <w:tc>
          <w:tcPr>
            <w:tcW w:w="1900" w:type="dxa"/>
            <w:tcBorders>
              <w:top w:val="nil"/>
              <w:left w:val="nil"/>
              <w:bottom w:val="nil"/>
              <w:right w:val="nil"/>
            </w:tcBorders>
          </w:tcPr>
          <w:p w14:paraId="701FFBD9"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11.00 (2.45)</w:t>
            </w:r>
          </w:p>
        </w:tc>
        <w:tc>
          <w:tcPr>
            <w:tcW w:w="2481" w:type="dxa"/>
            <w:tcBorders>
              <w:top w:val="nil"/>
              <w:left w:val="nil"/>
              <w:bottom w:val="nil"/>
              <w:right w:val="nil"/>
            </w:tcBorders>
          </w:tcPr>
          <w:p w14:paraId="160DB7DC"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10.80 (3.45)</w:t>
            </w:r>
          </w:p>
        </w:tc>
      </w:tr>
      <w:tr w:rsidR="007A6BC2" w:rsidRPr="007E24DE" w14:paraId="400CBAD1" w14:textId="77777777" w:rsidTr="0003699D">
        <w:tc>
          <w:tcPr>
            <w:tcW w:w="2948" w:type="dxa"/>
            <w:tcBorders>
              <w:top w:val="nil"/>
              <w:left w:val="nil"/>
              <w:bottom w:val="nil"/>
              <w:right w:val="nil"/>
            </w:tcBorders>
          </w:tcPr>
          <w:p w14:paraId="3C45651B"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PDS Avoidance</w:t>
            </w:r>
          </w:p>
        </w:tc>
        <w:tc>
          <w:tcPr>
            <w:tcW w:w="1900" w:type="dxa"/>
            <w:tcBorders>
              <w:top w:val="nil"/>
              <w:left w:val="nil"/>
              <w:bottom w:val="nil"/>
              <w:right w:val="nil"/>
            </w:tcBorders>
          </w:tcPr>
          <w:p w14:paraId="4D4495E6"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14.46 (4.25)</w:t>
            </w:r>
          </w:p>
        </w:tc>
        <w:tc>
          <w:tcPr>
            <w:tcW w:w="1900" w:type="dxa"/>
            <w:tcBorders>
              <w:top w:val="nil"/>
              <w:left w:val="nil"/>
              <w:bottom w:val="nil"/>
              <w:right w:val="nil"/>
            </w:tcBorders>
          </w:tcPr>
          <w:p w14:paraId="5B377145"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14.76 (4.09)</w:t>
            </w:r>
          </w:p>
        </w:tc>
        <w:tc>
          <w:tcPr>
            <w:tcW w:w="2481" w:type="dxa"/>
            <w:tcBorders>
              <w:top w:val="nil"/>
              <w:left w:val="nil"/>
              <w:bottom w:val="nil"/>
              <w:right w:val="nil"/>
            </w:tcBorders>
          </w:tcPr>
          <w:p w14:paraId="7901404D"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13.31 (4.23)</w:t>
            </w:r>
          </w:p>
        </w:tc>
      </w:tr>
      <w:tr w:rsidR="007A6BC2" w:rsidRPr="007E24DE" w14:paraId="78A32773" w14:textId="77777777" w:rsidTr="0003699D">
        <w:tc>
          <w:tcPr>
            <w:tcW w:w="2948" w:type="dxa"/>
            <w:tcBorders>
              <w:top w:val="nil"/>
              <w:left w:val="nil"/>
              <w:bottom w:val="nil"/>
              <w:right w:val="nil"/>
            </w:tcBorders>
          </w:tcPr>
          <w:p w14:paraId="4367ACAE"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PDS Hypervigilance</w:t>
            </w:r>
          </w:p>
        </w:tc>
        <w:tc>
          <w:tcPr>
            <w:tcW w:w="1900" w:type="dxa"/>
            <w:tcBorders>
              <w:top w:val="nil"/>
              <w:left w:val="nil"/>
              <w:bottom w:val="nil"/>
              <w:right w:val="nil"/>
            </w:tcBorders>
          </w:tcPr>
          <w:p w14:paraId="7B58775C"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11.85 (3.02)</w:t>
            </w:r>
          </w:p>
        </w:tc>
        <w:tc>
          <w:tcPr>
            <w:tcW w:w="1900" w:type="dxa"/>
            <w:tcBorders>
              <w:top w:val="nil"/>
              <w:left w:val="nil"/>
              <w:bottom w:val="nil"/>
              <w:right w:val="nil"/>
            </w:tcBorders>
          </w:tcPr>
          <w:p w14:paraId="0BE7F0B2"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11.15 (2.58)</w:t>
            </w:r>
          </w:p>
        </w:tc>
        <w:tc>
          <w:tcPr>
            <w:tcW w:w="2481" w:type="dxa"/>
            <w:tcBorders>
              <w:top w:val="nil"/>
              <w:left w:val="nil"/>
              <w:bottom w:val="nil"/>
              <w:right w:val="nil"/>
            </w:tcBorders>
          </w:tcPr>
          <w:p w14:paraId="5C09A245"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11.38 (2.29)</w:t>
            </w:r>
          </w:p>
        </w:tc>
      </w:tr>
      <w:tr w:rsidR="007A6BC2" w:rsidRPr="007E24DE" w14:paraId="5D7D5157" w14:textId="77777777" w:rsidTr="0003699D">
        <w:tc>
          <w:tcPr>
            <w:tcW w:w="2948" w:type="dxa"/>
            <w:tcBorders>
              <w:top w:val="nil"/>
              <w:left w:val="nil"/>
              <w:bottom w:val="nil"/>
              <w:right w:val="nil"/>
            </w:tcBorders>
          </w:tcPr>
          <w:p w14:paraId="262D66AF"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PHQ-9</w:t>
            </w:r>
          </w:p>
        </w:tc>
        <w:tc>
          <w:tcPr>
            <w:tcW w:w="1900" w:type="dxa"/>
            <w:tcBorders>
              <w:top w:val="nil"/>
              <w:left w:val="nil"/>
              <w:bottom w:val="nil"/>
              <w:right w:val="nil"/>
            </w:tcBorders>
          </w:tcPr>
          <w:p w14:paraId="36C8FD73"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18.64 (5.21)</w:t>
            </w:r>
          </w:p>
        </w:tc>
        <w:tc>
          <w:tcPr>
            <w:tcW w:w="1900" w:type="dxa"/>
            <w:tcBorders>
              <w:top w:val="nil"/>
              <w:left w:val="nil"/>
              <w:bottom w:val="nil"/>
              <w:right w:val="nil"/>
            </w:tcBorders>
          </w:tcPr>
          <w:p w14:paraId="57AFEF41"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18.84 (5.80)</w:t>
            </w:r>
          </w:p>
        </w:tc>
        <w:tc>
          <w:tcPr>
            <w:tcW w:w="2481" w:type="dxa"/>
            <w:tcBorders>
              <w:top w:val="nil"/>
              <w:left w:val="nil"/>
              <w:bottom w:val="nil"/>
              <w:right w:val="nil"/>
            </w:tcBorders>
          </w:tcPr>
          <w:p w14:paraId="137A7F96"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18.12 (5.69)</w:t>
            </w:r>
          </w:p>
        </w:tc>
      </w:tr>
      <w:tr w:rsidR="007A6BC2" w:rsidRPr="007E24DE" w14:paraId="5C655921" w14:textId="77777777" w:rsidTr="0003699D">
        <w:tc>
          <w:tcPr>
            <w:tcW w:w="2948" w:type="dxa"/>
            <w:tcBorders>
              <w:top w:val="nil"/>
              <w:left w:val="nil"/>
              <w:bottom w:val="nil"/>
              <w:right w:val="nil"/>
            </w:tcBorders>
          </w:tcPr>
          <w:p w14:paraId="2BA66B1F"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Weekly Imagery</w:t>
            </w:r>
          </w:p>
        </w:tc>
        <w:tc>
          <w:tcPr>
            <w:tcW w:w="1900" w:type="dxa"/>
            <w:tcBorders>
              <w:top w:val="nil"/>
              <w:left w:val="nil"/>
              <w:bottom w:val="nil"/>
              <w:right w:val="nil"/>
            </w:tcBorders>
          </w:tcPr>
          <w:p w14:paraId="2A68490C"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127.54 (54.19)</w:t>
            </w:r>
          </w:p>
        </w:tc>
        <w:tc>
          <w:tcPr>
            <w:tcW w:w="1900" w:type="dxa"/>
            <w:tcBorders>
              <w:top w:val="nil"/>
              <w:left w:val="nil"/>
              <w:bottom w:val="nil"/>
              <w:right w:val="nil"/>
            </w:tcBorders>
          </w:tcPr>
          <w:p w14:paraId="7DC72174"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142.85 (45.52)</w:t>
            </w:r>
          </w:p>
        </w:tc>
        <w:tc>
          <w:tcPr>
            <w:tcW w:w="2481" w:type="dxa"/>
            <w:tcBorders>
              <w:top w:val="nil"/>
              <w:left w:val="nil"/>
              <w:bottom w:val="nil"/>
              <w:right w:val="nil"/>
            </w:tcBorders>
          </w:tcPr>
          <w:p w14:paraId="5B5B6603" w14:textId="77777777" w:rsidR="007A6BC2" w:rsidRPr="007E24DE" w:rsidRDefault="007A6BC2" w:rsidP="0003699D">
            <w:pPr>
              <w:spacing w:before="120" w:after="120" w:line="480" w:lineRule="auto"/>
              <w:ind w:firstLine="0"/>
              <w:jc w:val="left"/>
              <w:rPr>
                <w:rFonts w:eastAsia="Times New Roman"/>
                <w:color w:val="000000"/>
                <w:lang w:eastAsia="en-GB"/>
              </w:rPr>
            </w:pPr>
            <w:r w:rsidRPr="007E24DE">
              <w:rPr>
                <w:rFonts w:eastAsia="Times New Roman"/>
                <w:color w:val="000000"/>
                <w:lang w:eastAsia="en-GB"/>
              </w:rPr>
              <w:t>126.54 (59.71)</w:t>
            </w:r>
          </w:p>
        </w:tc>
      </w:tr>
    </w:tbl>
    <w:tbl>
      <w:tblPr>
        <w:tblW w:w="9229" w:type="dxa"/>
        <w:tblInd w:w="93" w:type="dxa"/>
        <w:tblLayout w:type="fixed"/>
        <w:tblLook w:val="04A0" w:firstRow="1" w:lastRow="0" w:firstColumn="1" w:lastColumn="0" w:noHBand="0" w:noVBand="1"/>
      </w:tblPr>
      <w:tblGrid>
        <w:gridCol w:w="9229"/>
      </w:tblGrid>
      <w:tr w:rsidR="007A6BC2" w:rsidRPr="007E24DE" w14:paraId="5C82BA5D" w14:textId="77777777" w:rsidTr="0003699D">
        <w:trPr>
          <w:trHeight w:val="563"/>
        </w:trPr>
        <w:tc>
          <w:tcPr>
            <w:tcW w:w="9229" w:type="dxa"/>
            <w:tcBorders>
              <w:top w:val="single" w:sz="4" w:space="0" w:color="auto"/>
              <w:left w:val="nil"/>
              <w:bottom w:val="nil"/>
              <w:right w:val="nil"/>
            </w:tcBorders>
            <w:shd w:val="clear" w:color="auto" w:fill="auto"/>
            <w:vAlign w:val="center"/>
            <w:hideMark/>
          </w:tcPr>
          <w:p w14:paraId="3719313D" w14:textId="77777777" w:rsidR="007A6BC2" w:rsidRPr="007E24DE" w:rsidRDefault="007A6BC2" w:rsidP="0003699D">
            <w:pPr>
              <w:spacing w:before="240" w:line="480" w:lineRule="auto"/>
              <w:ind w:firstLine="0"/>
              <w:jc w:val="left"/>
              <w:rPr>
                <w:rFonts w:eastAsia="Times New Roman"/>
                <w:color w:val="000000"/>
              </w:rPr>
            </w:pPr>
          </w:p>
        </w:tc>
      </w:tr>
    </w:tbl>
    <w:p w14:paraId="1E346D62" w14:textId="77777777" w:rsidR="007A6BC2" w:rsidRPr="007E24DE" w:rsidRDefault="007A6BC2" w:rsidP="007A6BC2">
      <w:pPr>
        <w:spacing w:before="240" w:line="480" w:lineRule="auto"/>
        <w:ind w:firstLine="0"/>
        <w:jc w:val="left"/>
        <w:rPr>
          <w:rFonts w:eastAsia="Times New Roman"/>
          <w:color w:val="000000"/>
        </w:rPr>
      </w:pPr>
      <w:r w:rsidRPr="007E24DE">
        <w:rPr>
          <w:rFonts w:eastAsia="Times New Roman"/>
          <w:i/>
          <w:iCs/>
          <w:color w:val="000000"/>
        </w:rPr>
        <w:t>Note</w:t>
      </w:r>
      <w:r w:rsidRPr="007E24DE">
        <w:rPr>
          <w:rFonts w:eastAsia="Times New Roman"/>
          <w:color w:val="000000"/>
        </w:rPr>
        <w:t>. N = 13 completers. S1 = Elaboration session; S2 = Rescripting session; S3 = Follow up.</w:t>
      </w:r>
    </w:p>
    <w:p w14:paraId="5C551C25" w14:textId="77777777" w:rsidR="007A6BC2" w:rsidRDefault="007A6BC2" w:rsidP="007A6BC2">
      <w:pPr>
        <w:ind w:firstLine="0"/>
      </w:pPr>
      <w:r>
        <w:br w:type="page"/>
      </w:r>
    </w:p>
    <w:p w14:paraId="4825A596" w14:textId="77777777" w:rsidR="007A6BC2" w:rsidRDefault="007A6BC2" w:rsidP="007A6BC2">
      <w:pPr>
        <w:spacing w:line="480" w:lineRule="auto"/>
        <w:ind w:firstLine="0"/>
        <w:jc w:val="left"/>
        <w:rPr>
          <w:rFonts w:eastAsia="Times New Roman"/>
          <w:color w:val="000000"/>
        </w:rPr>
      </w:pPr>
    </w:p>
    <w:p w14:paraId="674E45C7" w14:textId="77777777" w:rsidR="007A6BC2" w:rsidRDefault="007A6BC2" w:rsidP="007A6BC2">
      <w:pPr>
        <w:spacing w:line="240" w:lineRule="auto"/>
        <w:ind w:firstLine="0"/>
        <w:jc w:val="left"/>
        <w:rPr>
          <w:rFonts w:eastAsia="Times New Roman"/>
          <w:color w:val="000000"/>
        </w:rPr>
      </w:pPr>
      <w:r w:rsidRPr="007E24DE">
        <w:rPr>
          <w:rFonts w:eastAsia="Times New Roman"/>
          <w:color w:val="000000"/>
        </w:rPr>
        <w:t>Table 2.  Mean (SD) of VAS ratings across time points and results of paired contrasts.</w:t>
      </w:r>
    </w:p>
    <w:p w14:paraId="40D7DEC6" w14:textId="77777777" w:rsidR="007A6BC2" w:rsidRPr="00C14298" w:rsidRDefault="007A6BC2" w:rsidP="007A6BC2">
      <w:pPr>
        <w:spacing w:line="240" w:lineRule="auto"/>
        <w:ind w:firstLine="0"/>
        <w:jc w:val="left"/>
        <w:rPr>
          <w:rFonts w:eastAsia="Times New Roman"/>
          <w:color w:val="000000"/>
        </w:rPr>
      </w:pPr>
    </w:p>
    <w:tbl>
      <w:tblPr>
        <w:tblW w:w="9087" w:type="dxa"/>
        <w:tblInd w:w="93" w:type="dxa"/>
        <w:tblLayout w:type="fixed"/>
        <w:tblLook w:val="04A0" w:firstRow="1" w:lastRow="0" w:firstColumn="1" w:lastColumn="0" w:noHBand="0" w:noVBand="1"/>
      </w:tblPr>
      <w:tblGrid>
        <w:gridCol w:w="1514"/>
        <w:gridCol w:w="1515"/>
        <w:gridCol w:w="1514"/>
        <w:gridCol w:w="1515"/>
        <w:gridCol w:w="1514"/>
        <w:gridCol w:w="1515"/>
      </w:tblGrid>
      <w:tr w:rsidR="007A6BC2" w:rsidRPr="007E24DE" w14:paraId="687E79D1" w14:textId="77777777" w:rsidTr="0003699D">
        <w:trPr>
          <w:trHeight w:val="500"/>
        </w:trPr>
        <w:tc>
          <w:tcPr>
            <w:tcW w:w="1514" w:type="dxa"/>
            <w:tcBorders>
              <w:top w:val="single" w:sz="4" w:space="0" w:color="auto"/>
              <w:left w:val="nil"/>
              <w:right w:val="nil"/>
            </w:tcBorders>
            <w:shd w:val="clear" w:color="auto" w:fill="auto"/>
            <w:vAlign w:val="center"/>
          </w:tcPr>
          <w:p w14:paraId="348A38F5"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 Item</w:t>
            </w:r>
          </w:p>
        </w:tc>
        <w:tc>
          <w:tcPr>
            <w:tcW w:w="1515" w:type="dxa"/>
            <w:tcBorders>
              <w:top w:val="single" w:sz="4" w:space="0" w:color="auto"/>
              <w:left w:val="nil"/>
              <w:right w:val="nil"/>
            </w:tcBorders>
            <w:shd w:val="clear" w:color="auto" w:fill="auto"/>
            <w:noWrap/>
            <w:vAlign w:val="center"/>
          </w:tcPr>
          <w:p w14:paraId="35B7DF7A"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Pre S1</w:t>
            </w:r>
          </w:p>
        </w:tc>
        <w:tc>
          <w:tcPr>
            <w:tcW w:w="1514" w:type="dxa"/>
            <w:tcBorders>
              <w:top w:val="single" w:sz="4" w:space="0" w:color="auto"/>
              <w:left w:val="nil"/>
              <w:right w:val="nil"/>
            </w:tcBorders>
            <w:shd w:val="clear" w:color="000000" w:fill="FFFFFF"/>
            <w:vAlign w:val="center"/>
          </w:tcPr>
          <w:p w14:paraId="6A05284E"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Post S1</w:t>
            </w:r>
          </w:p>
        </w:tc>
        <w:tc>
          <w:tcPr>
            <w:tcW w:w="1515" w:type="dxa"/>
            <w:tcBorders>
              <w:top w:val="single" w:sz="4" w:space="0" w:color="auto"/>
              <w:left w:val="nil"/>
              <w:right w:val="nil"/>
            </w:tcBorders>
            <w:shd w:val="clear" w:color="000000" w:fill="FFFFFF"/>
            <w:vAlign w:val="center"/>
          </w:tcPr>
          <w:p w14:paraId="62E82222"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Pre S2</w:t>
            </w:r>
          </w:p>
        </w:tc>
        <w:tc>
          <w:tcPr>
            <w:tcW w:w="1514" w:type="dxa"/>
            <w:tcBorders>
              <w:top w:val="single" w:sz="4" w:space="0" w:color="auto"/>
              <w:left w:val="nil"/>
              <w:right w:val="nil"/>
            </w:tcBorders>
            <w:shd w:val="clear" w:color="000000" w:fill="FFFFFF"/>
            <w:vAlign w:val="center"/>
          </w:tcPr>
          <w:p w14:paraId="7E725E78"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Post S2</w:t>
            </w:r>
          </w:p>
        </w:tc>
        <w:tc>
          <w:tcPr>
            <w:tcW w:w="1515" w:type="dxa"/>
            <w:tcBorders>
              <w:top w:val="single" w:sz="4" w:space="0" w:color="auto"/>
              <w:left w:val="nil"/>
              <w:right w:val="nil"/>
            </w:tcBorders>
            <w:shd w:val="clear" w:color="000000" w:fill="FFFFFF"/>
          </w:tcPr>
          <w:p w14:paraId="049F25EC" w14:textId="77777777" w:rsidR="007A6BC2" w:rsidRPr="007E24DE" w:rsidRDefault="007A6BC2" w:rsidP="0003699D">
            <w:pPr>
              <w:spacing w:before="240" w:after="240" w:line="480" w:lineRule="auto"/>
              <w:ind w:firstLine="0"/>
              <w:jc w:val="left"/>
              <w:rPr>
                <w:rFonts w:eastAsia="Times New Roman"/>
                <w:color w:val="000000"/>
              </w:rPr>
            </w:pPr>
            <w:r w:rsidRPr="007E24DE">
              <w:rPr>
                <w:rFonts w:eastAsia="Times New Roman"/>
                <w:color w:val="000000"/>
              </w:rPr>
              <w:t>S3</w:t>
            </w:r>
          </w:p>
        </w:tc>
      </w:tr>
      <w:tr w:rsidR="007A6BC2" w:rsidRPr="007E24DE" w14:paraId="60A3DE72" w14:textId="77777777" w:rsidTr="0003699D">
        <w:trPr>
          <w:trHeight w:val="500"/>
        </w:trPr>
        <w:tc>
          <w:tcPr>
            <w:tcW w:w="1514" w:type="dxa"/>
            <w:tcBorders>
              <w:top w:val="single" w:sz="4" w:space="0" w:color="auto"/>
              <w:left w:val="nil"/>
              <w:right w:val="nil"/>
            </w:tcBorders>
            <w:shd w:val="clear" w:color="auto" w:fill="auto"/>
            <w:vAlign w:val="center"/>
            <w:hideMark/>
          </w:tcPr>
          <w:p w14:paraId="571431C6"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VAS-EB</w:t>
            </w:r>
          </w:p>
        </w:tc>
        <w:tc>
          <w:tcPr>
            <w:tcW w:w="1515" w:type="dxa"/>
            <w:tcBorders>
              <w:top w:val="single" w:sz="4" w:space="0" w:color="auto"/>
              <w:left w:val="nil"/>
              <w:right w:val="nil"/>
            </w:tcBorders>
            <w:shd w:val="clear" w:color="auto" w:fill="auto"/>
            <w:noWrap/>
            <w:vAlign w:val="center"/>
            <w:hideMark/>
          </w:tcPr>
          <w:p w14:paraId="3CC65385"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89.2 (15.3)</w:t>
            </w:r>
          </w:p>
        </w:tc>
        <w:tc>
          <w:tcPr>
            <w:tcW w:w="1514" w:type="dxa"/>
            <w:tcBorders>
              <w:top w:val="single" w:sz="4" w:space="0" w:color="auto"/>
              <w:left w:val="nil"/>
              <w:right w:val="nil"/>
            </w:tcBorders>
            <w:shd w:val="clear" w:color="000000" w:fill="FFFFFF"/>
            <w:vAlign w:val="center"/>
            <w:hideMark/>
          </w:tcPr>
          <w:p w14:paraId="1F7EDFF3"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82.7 (18.9)</w:t>
            </w:r>
          </w:p>
        </w:tc>
        <w:tc>
          <w:tcPr>
            <w:tcW w:w="1515" w:type="dxa"/>
            <w:tcBorders>
              <w:top w:val="single" w:sz="4" w:space="0" w:color="auto"/>
              <w:left w:val="nil"/>
              <w:right w:val="nil"/>
            </w:tcBorders>
            <w:shd w:val="clear" w:color="000000" w:fill="FFFFFF"/>
            <w:vAlign w:val="center"/>
          </w:tcPr>
          <w:p w14:paraId="61621D74"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78.1 (23.2)</w:t>
            </w:r>
          </w:p>
        </w:tc>
        <w:tc>
          <w:tcPr>
            <w:tcW w:w="1514" w:type="dxa"/>
            <w:tcBorders>
              <w:top w:val="single" w:sz="4" w:space="0" w:color="auto"/>
              <w:left w:val="nil"/>
              <w:right w:val="nil"/>
            </w:tcBorders>
            <w:shd w:val="clear" w:color="000000" w:fill="FFFFFF"/>
            <w:vAlign w:val="center"/>
          </w:tcPr>
          <w:p w14:paraId="0C10E37B"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66.0 (26.9)*</w:t>
            </w:r>
          </w:p>
        </w:tc>
        <w:tc>
          <w:tcPr>
            <w:tcW w:w="1515" w:type="dxa"/>
            <w:tcBorders>
              <w:top w:val="single" w:sz="4" w:space="0" w:color="auto"/>
              <w:left w:val="nil"/>
              <w:right w:val="nil"/>
            </w:tcBorders>
            <w:shd w:val="clear" w:color="000000" w:fill="FFFFFF"/>
          </w:tcPr>
          <w:p w14:paraId="7EF38E37"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67.5 (23.7)</w:t>
            </w:r>
          </w:p>
        </w:tc>
      </w:tr>
      <w:tr w:rsidR="007A6BC2" w:rsidRPr="007E24DE" w14:paraId="1FBEB7B9" w14:textId="77777777" w:rsidTr="0003699D">
        <w:trPr>
          <w:trHeight w:val="500"/>
        </w:trPr>
        <w:tc>
          <w:tcPr>
            <w:tcW w:w="1514" w:type="dxa"/>
            <w:tcBorders>
              <w:left w:val="nil"/>
              <w:right w:val="nil"/>
            </w:tcBorders>
            <w:shd w:val="clear" w:color="auto" w:fill="auto"/>
            <w:noWrap/>
            <w:vAlign w:val="center"/>
            <w:hideMark/>
          </w:tcPr>
          <w:p w14:paraId="0999AF08"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VAS-G</w:t>
            </w:r>
            <w:r>
              <w:rPr>
                <w:rFonts w:eastAsia="Times New Roman"/>
                <w:color w:val="000000"/>
              </w:rPr>
              <w:t>F</w:t>
            </w:r>
          </w:p>
        </w:tc>
        <w:tc>
          <w:tcPr>
            <w:tcW w:w="1515" w:type="dxa"/>
            <w:tcBorders>
              <w:left w:val="nil"/>
              <w:right w:val="nil"/>
            </w:tcBorders>
            <w:shd w:val="clear" w:color="auto" w:fill="auto"/>
            <w:noWrap/>
            <w:vAlign w:val="center"/>
            <w:hideMark/>
          </w:tcPr>
          <w:p w14:paraId="67DC83CB"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89.2 (19.6)</w:t>
            </w:r>
          </w:p>
        </w:tc>
        <w:tc>
          <w:tcPr>
            <w:tcW w:w="1514" w:type="dxa"/>
            <w:tcBorders>
              <w:left w:val="nil"/>
              <w:right w:val="nil"/>
            </w:tcBorders>
            <w:shd w:val="clear" w:color="000000" w:fill="FFFFFF"/>
            <w:vAlign w:val="center"/>
            <w:hideMark/>
          </w:tcPr>
          <w:p w14:paraId="11B9044D"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86.77 (20.6)</w:t>
            </w:r>
          </w:p>
        </w:tc>
        <w:tc>
          <w:tcPr>
            <w:tcW w:w="1515" w:type="dxa"/>
            <w:tcBorders>
              <w:left w:val="nil"/>
              <w:right w:val="nil"/>
            </w:tcBorders>
            <w:shd w:val="clear" w:color="000000" w:fill="FFFFFF"/>
            <w:vAlign w:val="center"/>
          </w:tcPr>
          <w:p w14:paraId="01E6B3A0"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80.3 (19.8)</w:t>
            </w:r>
          </w:p>
        </w:tc>
        <w:tc>
          <w:tcPr>
            <w:tcW w:w="1514" w:type="dxa"/>
            <w:tcBorders>
              <w:left w:val="nil"/>
              <w:right w:val="nil"/>
            </w:tcBorders>
            <w:shd w:val="clear" w:color="000000" w:fill="FFFFFF"/>
            <w:vAlign w:val="center"/>
          </w:tcPr>
          <w:p w14:paraId="0A85B6B4"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66.4 (32.3)*</w:t>
            </w:r>
          </w:p>
        </w:tc>
        <w:tc>
          <w:tcPr>
            <w:tcW w:w="1515" w:type="dxa"/>
            <w:tcBorders>
              <w:left w:val="nil"/>
              <w:right w:val="nil"/>
            </w:tcBorders>
            <w:shd w:val="clear" w:color="000000" w:fill="FFFFFF"/>
          </w:tcPr>
          <w:p w14:paraId="46BEC600"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66.9 (24.5)</w:t>
            </w:r>
          </w:p>
        </w:tc>
      </w:tr>
      <w:tr w:rsidR="007A6BC2" w:rsidRPr="007E24DE" w14:paraId="4A528183" w14:textId="77777777" w:rsidTr="0003699D">
        <w:trPr>
          <w:trHeight w:val="500"/>
        </w:trPr>
        <w:tc>
          <w:tcPr>
            <w:tcW w:w="1514" w:type="dxa"/>
            <w:tcBorders>
              <w:left w:val="nil"/>
              <w:right w:val="nil"/>
            </w:tcBorders>
            <w:shd w:val="clear" w:color="auto" w:fill="auto"/>
            <w:noWrap/>
            <w:vAlign w:val="center"/>
            <w:hideMark/>
          </w:tcPr>
          <w:p w14:paraId="729AF491"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VAS-ID</w:t>
            </w:r>
          </w:p>
        </w:tc>
        <w:tc>
          <w:tcPr>
            <w:tcW w:w="1515" w:type="dxa"/>
            <w:tcBorders>
              <w:left w:val="nil"/>
              <w:right w:val="nil"/>
            </w:tcBorders>
            <w:shd w:val="clear" w:color="auto" w:fill="auto"/>
            <w:noWrap/>
            <w:vAlign w:val="center"/>
            <w:hideMark/>
          </w:tcPr>
          <w:p w14:paraId="3DA56001"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86.5 (19.2)</w:t>
            </w:r>
          </w:p>
        </w:tc>
        <w:tc>
          <w:tcPr>
            <w:tcW w:w="1514" w:type="dxa"/>
            <w:tcBorders>
              <w:left w:val="nil"/>
              <w:right w:val="nil"/>
            </w:tcBorders>
            <w:shd w:val="clear" w:color="000000" w:fill="FFFFFF"/>
            <w:vAlign w:val="center"/>
            <w:hideMark/>
          </w:tcPr>
          <w:p w14:paraId="0C60CDA0"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83.08 (21.9)</w:t>
            </w:r>
          </w:p>
        </w:tc>
        <w:tc>
          <w:tcPr>
            <w:tcW w:w="1515" w:type="dxa"/>
            <w:tcBorders>
              <w:left w:val="nil"/>
              <w:right w:val="nil"/>
            </w:tcBorders>
            <w:shd w:val="clear" w:color="000000" w:fill="FFFFFF"/>
            <w:vAlign w:val="center"/>
          </w:tcPr>
          <w:p w14:paraId="78BD1CA2"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83.1 (15.6)</w:t>
            </w:r>
          </w:p>
        </w:tc>
        <w:tc>
          <w:tcPr>
            <w:tcW w:w="1514" w:type="dxa"/>
            <w:tcBorders>
              <w:left w:val="nil"/>
              <w:right w:val="nil"/>
            </w:tcBorders>
            <w:shd w:val="clear" w:color="000000" w:fill="FFFFFF"/>
            <w:vAlign w:val="center"/>
          </w:tcPr>
          <w:p w14:paraId="0A0064D2"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67.7 (26.7)*</w:t>
            </w:r>
          </w:p>
        </w:tc>
        <w:tc>
          <w:tcPr>
            <w:tcW w:w="1515" w:type="dxa"/>
            <w:tcBorders>
              <w:left w:val="nil"/>
              <w:right w:val="nil"/>
            </w:tcBorders>
            <w:shd w:val="clear" w:color="000000" w:fill="FFFFFF"/>
          </w:tcPr>
          <w:p w14:paraId="4C288A67"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63.0 (32.4)</w:t>
            </w:r>
          </w:p>
        </w:tc>
      </w:tr>
      <w:tr w:rsidR="007A6BC2" w:rsidRPr="007E24DE" w14:paraId="2BB3C232" w14:textId="77777777" w:rsidTr="0003699D">
        <w:trPr>
          <w:trHeight w:val="500"/>
        </w:trPr>
        <w:tc>
          <w:tcPr>
            <w:tcW w:w="1514" w:type="dxa"/>
            <w:tcBorders>
              <w:left w:val="nil"/>
              <w:bottom w:val="single" w:sz="4" w:space="0" w:color="auto"/>
              <w:right w:val="nil"/>
            </w:tcBorders>
            <w:shd w:val="clear" w:color="auto" w:fill="auto"/>
            <w:noWrap/>
            <w:vAlign w:val="center"/>
            <w:hideMark/>
          </w:tcPr>
          <w:p w14:paraId="5A3F4E3D"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Pooled VAS</w:t>
            </w:r>
          </w:p>
        </w:tc>
        <w:tc>
          <w:tcPr>
            <w:tcW w:w="1515" w:type="dxa"/>
            <w:tcBorders>
              <w:left w:val="nil"/>
              <w:bottom w:val="single" w:sz="4" w:space="0" w:color="auto"/>
              <w:right w:val="nil"/>
            </w:tcBorders>
            <w:shd w:val="clear" w:color="auto" w:fill="auto"/>
            <w:noWrap/>
            <w:vAlign w:val="center"/>
            <w:hideMark/>
          </w:tcPr>
          <w:p w14:paraId="49A95739"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88.3 (16.0)</w:t>
            </w:r>
          </w:p>
        </w:tc>
        <w:tc>
          <w:tcPr>
            <w:tcW w:w="1514" w:type="dxa"/>
            <w:tcBorders>
              <w:left w:val="nil"/>
              <w:bottom w:val="single" w:sz="4" w:space="0" w:color="auto"/>
              <w:right w:val="nil"/>
            </w:tcBorders>
            <w:shd w:val="clear" w:color="000000" w:fill="FFFFFF"/>
            <w:vAlign w:val="center"/>
            <w:hideMark/>
          </w:tcPr>
          <w:p w14:paraId="0083F01D"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84.1 (18.4)</w:t>
            </w:r>
          </w:p>
        </w:tc>
        <w:tc>
          <w:tcPr>
            <w:tcW w:w="1515" w:type="dxa"/>
            <w:tcBorders>
              <w:left w:val="nil"/>
              <w:bottom w:val="single" w:sz="4" w:space="0" w:color="auto"/>
              <w:right w:val="nil"/>
            </w:tcBorders>
            <w:shd w:val="clear" w:color="000000" w:fill="FFFFFF"/>
            <w:vAlign w:val="center"/>
          </w:tcPr>
          <w:p w14:paraId="609F4A2C"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80.5 (18.8)</w:t>
            </w:r>
          </w:p>
        </w:tc>
        <w:tc>
          <w:tcPr>
            <w:tcW w:w="1514" w:type="dxa"/>
            <w:tcBorders>
              <w:left w:val="nil"/>
              <w:bottom w:val="single" w:sz="4" w:space="0" w:color="auto"/>
              <w:right w:val="nil"/>
            </w:tcBorders>
            <w:shd w:val="clear" w:color="000000" w:fill="FFFFFF"/>
            <w:vAlign w:val="center"/>
          </w:tcPr>
          <w:p w14:paraId="59ED5852"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66.7 (27.4)*</w:t>
            </w:r>
          </w:p>
        </w:tc>
        <w:tc>
          <w:tcPr>
            <w:tcW w:w="1515" w:type="dxa"/>
            <w:tcBorders>
              <w:left w:val="nil"/>
              <w:bottom w:val="single" w:sz="4" w:space="0" w:color="auto"/>
              <w:right w:val="nil"/>
            </w:tcBorders>
            <w:shd w:val="clear" w:color="000000" w:fill="FFFFFF"/>
          </w:tcPr>
          <w:p w14:paraId="01621B08" w14:textId="77777777" w:rsidR="007A6BC2" w:rsidRPr="007E24DE" w:rsidRDefault="007A6BC2" w:rsidP="0003699D">
            <w:pPr>
              <w:spacing w:before="240" w:line="480" w:lineRule="auto"/>
              <w:ind w:firstLine="0"/>
              <w:jc w:val="left"/>
              <w:rPr>
                <w:rFonts w:eastAsia="Times New Roman"/>
                <w:color w:val="000000"/>
              </w:rPr>
            </w:pPr>
            <w:r w:rsidRPr="007E24DE">
              <w:rPr>
                <w:rFonts w:eastAsia="Times New Roman"/>
                <w:color w:val="000000"/>
              </w:rPr>
              <w:t>65.8 (25.5)</w:t>
            </w:r>
          </w:p>
        </w:tc>
      </w:tr>
    </w:tbl>
    <w:p w14:paraId="2A2DCC29" w14:textId="77777777" w:rsidR="007A6BC2" w:rsidRPr="007E24DE" w:rsidRDefault="007A6BC2" w:rsidP="007A6BC2">
      <w:pPr>
        <w:spacing w:before="240" w:line="480" w:lineRule="auto"/>
        <w:ind w:firstLine="0"/>
        <w:jc w:val="left"/>
        <w:rPr>
          <w:rFonts w:eastAsia="Times New Roman"/>
          <w:color w:val="000000"/>
        </w:rPr>
      </w:pPr>
      <w:r w:rsidRPr="007E24DE">
        <w:rPr>
          <w:rFonts w:eastAsia="Times New Roman"/>
          <w:i/>
          <w:iCs/>
          <w:color w:val="000000"/>
        </w:rPr>
        <w:t>Note</w:t>
      </w:r>
      <w:r w:rsidRPr="007E24DE">
        <w:rPr>
          <w:rFonts w:eastAsia="Times New Roman"/>
          <w:color w:val="000000"/>
        </w:rPr>
        <w:t>. N = 13 completers. S1 = Elaboration session; S2 = Rescripting session; S3 = Follow up. VAS-EB = Encapsulated Belief; VAS-SG = Guilt</w:t>
      </w:r>
      <w:r>
        <w:rPr>
          <w:rFonts w:eastAsia="Times New Roman"/>
          <w:color w:val="000000"/>
        </w:rPr>
        <w:t xml:space="preserve"> Feeling</w:t>
      </w:r>
      <w:r w:rsidRPr="007E24DE">
        <w:rPr>
          <w:rFonts w:eastAsia="Times New Roman"/>
          <w:color w:val="000000"/>
        </w:rPr>
        <w:t>; VAS-ID = Imagery Distress.</w:t>
      </w:r>
    </w:p>
    <w:p w14:paraId="39FE17A0" w14:textId="77777777" w:rsidR="007A6BC2" w:rsidRPr="007E24DE" w:rsidRDefault="007A6BC2" w:rsidP="007A6BC2">
      <w:pPr>
        <w:tabs>
          <w:tab w:val="left" w:pos="918"/>
        </w:tabs>
        <w:spacing w:line="480" w:lineRule="auto"/>
        <w:ind w:firstLine="0"/>
        <w:jc w:val="left"/>
        <w:rPr>
          <w:rFonts w:eastAsia="Times New Roman"/>
          <w:color w:val="000000"/>
        </w:rPr>
      </w:pPr>
      <w:r w:rsidRPr="007E24DE">
        <w:rPr>
          <w:rFonts w:eastAsia="Times New Roman"/>
          <w:color w:val="000000"/>
        </w:rPr>
        <w:t>*Mean is significantly different t</w:t>
      </w:r>
      <w:r>
        <w:rPr>
          <w:rFonts w:eastAsia="Times New Roman"/>
          <w:color w:val="000000"/>
        </w:rPr>
        <w:t>o</w:t>
      </w:r>
      <w:r w:rsidRPr="007E24DE">
        <w:rPr>
          <w:rFonts w:eastAsia="Times New Roman"/>
          <w:color w:val="000000"/>
        </w:rPr>
        <w:t xml:space="preserve"> preceding mean.</w:t>
      </w:r>
    </w:p>
    <w:p w14:paraId="63DD2555" w14:textId="77777777" w:rsidR="007A6BC2" w:rsidRPr="007E24DE" w:rsidRDefault="007A6BC2" w:rsidP="007A6BC2">
      <w:pPr>
        <w:spacing w:line="480" w:lineRule="auto"/>
        <w:ind w:firstLine="0"/>
        <w:jc w:val="left"/>
        <w:rPr>
          <w:lang w:val="en-US"/>
        </w:rPr>
      </w:pPr>
    </w:p>
    <w:p w14:paraId="35EE2C0F" w14:textId="77777777" w:rsidR="007A6BC2" w:rsidRPr="007A6BC2" w:rsidRDefault="007A6BC2">
      <w:pPr>
        <w:spacing w:line="480" w:lineRule="auto"/>
        <w:ind w:firstLine="0"/>
        <w:jc w:val="left"/>
        <w:rPr>
          <w:lang w:val="en-US"/>
        </w:rPr>
      </w:pPr>
    </w:p>
    <w:p w14:paraId="0D1D10CC" w14:textId="77777777" w:rsidR="007A6BC2" w:rsidRDefault="007A6BC2" w:rsidP="007A6BC2">
      <w:pPr>
        <w:spacing w:line="480" w:lineRule="auto"/>
        <w:ind w:firstLine="0"/>
        <w:jc w:val="left"/>
        <w:rPr>
          <w:rFonts w:cs="Helvetica"/>
          <w:lang w:val="en-US"/>
        </w:rPr>
      </w:pPr>
    </w:p>
    <w:p w14:paraId="2F1A1151" w14:textId="77777777" w:rsidR="007A6BC2" w:rsidRDefault="007A6BC2" w:rsidP="007A6BC2">
      <w:pPr>
        <w:spacing w:line="480" w:lineRule="auto"/>
        <w:ind w:firstLine="0"/>
        <w:jc w:val="left"/>
        <w:rPr>
          <w:rFonts w:cs="Helvetica"/>
          <w:lang w:val="en-US"/>
        </w:rPr>
      </w:pPr>
    </w:p>
    <w:p w14:paraId="1617148A" w14:textId="77777777" w:rsidR="007A6BC2" w:rsidRDefault="007A6BC2" w:rsidP="007A6BC2">
      <w:pPr>
        <w:spacing w:line="480" w:lineRule="auto"/>
        <w:ind w:firstLine="0"/>
        <w:jc w:val="left"/>
        <w:rPr>
          <w:rFonts w:cs="Helvetica"/>
          <w:lang w:val="en-US"/>
        </w:rPr>
      </w:pPr>
      <w:r>
        <w:rPr>
          <w:noProof/>
          <w:lang w:val="en-US"/>
        </w:rPr>
        <w:lastRenderedPageBreak/>
        <w:drawing>
          <wp:inline distT="0" distB="0" distL="0" distR="0" wp14:anchorId="4174B603" wp14:editId="357758F2">
            <wp:extent cx="6035040" cy="4429125"/>
            <wp:effectExtent l="0" t="0" r="1016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7BA9E2" w14:textId="77777777" w:rsidR="007A6BC2" w:rsidRDefault="007A6BC2" w:rsidP="007A6BC2">
      <w:pPr>
        <w:spacing w:line="480" w:lineRule="auto"/>
        <w:ind w:firstLine="0"/>
        <w:jc w:val="left"/>
        <w:rPr>
          <w:rFonts w:cs="Helvetica"/>
          <w:lang w:val="en-US"/>
        </w:rPr>
      </w:pPr>
    </w:p>
    <w:p w14:paraId="3930FBF9" w14:textId="77777777" w:rsidR="007A6BC2" w:rsidRDefault="007A6BC2" w:rsidP="007A6BC2">
      <w:pPr>
        <w:spacing w:line="480" w:lineRule="auto"/>
        <w:ind w:firstLine="0"/>
        <w:jc w:val="left"/>
        <w:rPr>
          <w:lang w:val="en-US"/>
        </w:rPr>
      </w:pPr>
      <w:r>
        <w:rPr>
          <w:i/>
          <w:lang w:val="en-US"/>
        </w:rPr>
        <w:t xml:space="preserve">Figure 1. </w:t>
      </w:r>
      <w:r>
        <w:rPr>
          <w:lang w:val="en-US"/>
        </w:rPr>
        <w:t xml:space="preserve">  Change in mean pooled survivor guilt VASs over five measurement points.</w:t>
      </w:r>
      <w:r>
        <w:rPr>
          <w:rFonts w:cs="Helvetica"/>
          <w:lang w:val="en-US"/>
        </w:rPr>
        <w:br w:type="page"/>
      </w:r>
    </w:p>
    <w:p w14:paraId="273F5421" w14:textId="77777777" w:rsidR="007A6BC2" w:rsidRDefault="007A6BC2" w:rsidP="007A6BC2">
      <w:pPr>
        <w:spacing w:line="480" w:lineRule="auto"/>
        <w:ind w:firstLine="0"/>
        <w:jc w:val="left"/>
        <w:rPr>
          <w:rFonts w:cs="Helvetica"/>
          <w:lang w:val="en-US"/>
        </w:rPr>
      </w:pPr>
    </w:p>
    <w:p w14:paraId="438B3334" w14:textId="77777777" w:rsidR="007A6BC2" w:rsidRDefault="007A6BC2" w:rsidP="007A6BC2">
      <w:pPr>
        <w:spacing w:line="480" w:lineRule="auto"/>
        <w:ind w:firstLine="0"/>
        <w:jc w:val="left"/>
        <w:rPr>
          <w:rFonts w:cs="Helvetica"/>
          <w:lang w:val="en-US"/>
        </w:rPr>
      </w:pPr>
    </w:p>
    <w:p w14:paraId="4E383B17" w14:textId="77777777" w:rsidR="007A6BC2" w:rsidRDefault="007A6BC2" w:rsidP="007A6BC2">
      <w:pPr>
        <w:spacing w:line="480" w:lineRule="auto"/>
        <w:ind w:firstLine="0"/>
        <w:jc w:val="left"/>
        <w:rPr>
          <w:rFonts w:cs="Helvetica"/>
          <w:lang w:val="en-US"/>
        </w:rPr>
      </w:pPr>
      <w:r>
        <w:rPr>
          <w:noProof/>
          <w:lang w:val="en-US"/>
        </w:rPr>
        <w:drawing>
          <wp:inline distT="0" distB="0" distL="0" distR="0" wp14:anchorId="3E9C1D2C" wp14:editId="0617F1FC">
            <wp:extent cx="5629275" cy="4746625"/>
            <wp:effectExtent l="0" t="0" r="952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3FBC18" w14:textId="77777777" w:rsidR="007A6BC2" w:rsidRDefault="007A6BC2" w:rsidP="007A6BC2">
      <w:pPr>
        <w:spacing w:line="480" w:lineRule="auto"/>
        <w:ind w:firstLine="0"/>
        <w:jc w:val="left"/>
        <w:rPr>
          <w:i/>
          <w:lang w:val="en-US"/>
        </w:rPr>
      </w:pPr>
    </w:p>
    <w:p w14:paraId="4E1FBD49" w14:textId="77777777" w:rsidR="007A6BC2" w:rsidRDefault="007A6BC2" w:rsidP="007A6BC2">
      <w:pPr>
        <w:spacing w:line="480" w:lineRule="auto"/>
        <w:ind w:firstLine="0"/>
        <w:jc w:val="left"/>
        <w:rPr>
          <w:i/>
          <w:lang w:val="en-US"/>
        </w:rPr>
      </w:pPr>
      <w:r>
        <w:rPr>
          <w:i/>
          <w:lang w:val="en-US"/>
        </w:rPr>
        <w:t>Figure 2</w:t>
      </w:r>
      <w:r>
        <w:rPr>
          <w:lang w:val="en-US"/>
        </w:rPr>
        <w:t>.  Reliable change index as defined by change in pooled survivor guilt VASs</w:t>
      </w:r>
      <w:r>
        <w:rPr>
          <w:color w:val="000000"/>
          <w:lang w:val="en-US"/>
        </w:rPr>
        <w:t xml:space="preserve"> </w:t>
      </w:r>
      <w:r>
        <w:rPr>
          <w:lang w:val="en-US"/>
        </w:rPr>
        <w:t>from pre-treatment to post-treatment (averaged post-rescripting session and follow-up scores).</w:t>
      </w:r>
    </w:p>
    <w:p w14:paraId="32AD67D2" w14:textId="77777777" w:rsidR="007A6BC2" w:rsidRPr="00DA2AB7" w:rsidRDefault="007A6BC2">
      <w:pPr>
        <w:spacing w:line="480" w:lineRule="auto"/>
        <w:ind w:firstLine="0"/>
        <w:jc w:val="left"/>
        <w:rPr>
          <w:rFonts w:cs="Helvetica"/>
          <w:lang w:val="en-US"/>
        </w:rPr>
      </w:pPr>
    </w:p>
    <w:sectPr w:rsidR="007A6BC2" w:rsidRPr="00DA2AB7" w:rsidSect="00B41C24">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0A19" w14:textId="77777777" w:rsidR="0002538C" w:rsidRDefault="0002538C" w:rsidP="00546CC3">
      <w:pPr>
        <w:spacing w:line="240" w:lineRule="auto"/>
      </w:pPr>
      <w:r>
        <w:separator/>
      </w:r>
    </w:p>
  </w:endnote>
  <w:endnote w:type="continuationSeparator" w:id="0">
    <w:p w14:paraId="4BE62375" w14:textId="77777777" w:rsidR="0002538C" w:rsidRDefault="0002538C" w:rsidP="00546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9559" w14:textId="77777777" w:rsidR="00622F84" w:rsidRDefault="00622F84" w:rsidP="00546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94170" w14:textId="77777777" w:rsidR="00622F84" w:rsidRDefault="00622F84" w:rsidP="00546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E762" w14:textId="77777777" w:rsidR="00622F84" w:rsidRDefault="00622F84" w:rsidP="00546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E066E1" w14:textId="77777777" w:rsidR="00622F84" w:rsidRDefault="00622F84" w:rsidP="00546C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71D1" w14:textId="77777777" w:rsidR="0002538C" w:rsidRDefault="0002538C" w:rsidP="00546CC3">
      <w:pPr>
        <w:spacing w:line="240" w:lineRule="auto"/>
      </w:pPr>
      <w:r>
        <w:separator/>
      </w:r>
    </w:p>
  </w:footnote>
  <w:footnote w:type="continuationSeparator" w:id="0">
    <w:p w14:paraId="596912C2" w14:textId="77777777" w:rsidR="0002538C" w:rsidRDefault="0002538C" w:rsidP="00546C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AF5"/>
    <w:multiLevelType w:val="hybridMultilevel"/>
    <w:tmpl w:val="623AA2D4"/>
    <w:lvl w:ilvl="0" w:tplc="18F49298">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D9B15ED"/>
    <w:multiLevelType w:val="multilevel"/>
    <w:tmpl w:val="4A98FA80"/>
    <w:lvl w:ilvl="0">
      <w:start w:val="1"/>
      <w:numFmt w:val="decimal"/>
      <w:pStyle w:val="Heading1"/>
      <w:lvlText w:val="%1"/>
      <w:lvlJc w:val="left"/>
      <w:pPr>
        <w:ind w:left="567" w:hanging="567"/>
      </w:pPr>
      <w:rPr>
        <w:rFonts w:ascii="Cambria" w:hAnsi="Cambria" w:hint="default"/>
        <w:b/>
        <w:bCs w:val="0"/>
        <w:i w:val="0"/>
        <w:iCs w:val="0"/>
        <w:sz w:val="24"/>
        <w:szCs w:val="24"/>
      </w:rPr>
    </w:lvl>
    <w:lvl w:ilvl="1">
      <w:start w:val="1"/>
      <w:numFmt w:val="decimal"/>
      <w:pStyle w:val="Heading2"/>
      <w:lvlText w:val="%1.%2"/>
      <w:lvlJc w:val="left"/>
      <w:pPr>
        <w:ind w:left="354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840" w:hanging="72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27A7EE8"/>
    <w:multiLevelType w:val="hybridMultilevel"/>
    <w:tmpl w:val="B426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E287F"/>
    <w:multiLevelType w:val="hybridMultilevel"/>
    <w:tmpl w:val="7634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A5B4D"/>
    <w:multiLevelType w:val="hybridMultilevel"/>
    <w:tmpl w:val="C234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36"/>
    <w:rsid w:val="00000F48"/>
    <w:rsid w:val="000035F4"/>
    <w:rsid w:val="000038DD"/>
    <w:rsid w:val="000045DE"/>
    <w:rsid w:val="00004841"/>
    <w:rsid w:val="00007B82"/>
    <w:rsid w:val="000100A4"/>
    <w:rsid w:val="000106DD"/>
    <w:rsid w:val="0001115F"/>
    <w:rsid w:val="00011A75"/>
    <w:rsid w:val="00011C9C"/>
    <w:rsid w:val="000120A0"/>
    <w:rsid w:val="000149D0"/>
    <w:rsid w:val="000159EF"/>
    <w:rsid w:val="00015C1F"/>
    <w:rsid w:val="00022DC5"/>
    <w:rsid w:val="00023CC9"/>
    <w:rsid w:val="00025133"/>
    <w:rsid w:val="0002538C"/>
    <w:rsid w:val="00027A97"/>
    <w:rsid w:val="00030436"/>
    <w:rsid w:val="00030C1A"/>
    <w:rsid w:val="00031581"/>
    <w:rsid w:val="00031A14"/>
    <w:rsid w:val="00032850"/>
    <w:rsid w:val="000342E4"/>
    <w:rsid w:val="00035CCA"/>
    <w:rsid w:val="0003677D"/>
    <w:rsid w:val="0004083E"/>
    <w:rsid w:val="00041097"/>
    <w:rsid w:val="00041D98"/>
    <w:rsid w:val="00042778"/>
    <w:rsid w:val="00042E79"/>
    <w:rsid w:val="000446EF"/>
    <w:rsid w:val="000453E2"/>
    <w:rsid w:val="00047EBB"/>
    <w:rsid w:val="00050855"/>
    <w:rsid w:val="0005212F"/>
    <w:rsid w:val="0005265A"/>
    <w:rsid w:val="000551D7"/>
    <w:rsid w:val="00055C5E"/>
    <w:rsid w:val="0005728B"/>
    <w:rsid w:val="000576C5"/>
    <w:rsid w:val="00060BE9"/>
    <w:rsid w:val="00061EF8"/>
    <w:rsid w:val="00063216"/>
    <w:rsid w:val="00064EDA"/>
    <w:rsid w:val="000668CE"/>
    <w:rsid w:val="00070B58"/>
    <w:rsid w:val="000712AC"/>
    <w:rsid w:val="00072343"/>
    <w:rsid w:val="0007308C"/>
    <w:rsid w:val="00076A06"/>
    <w:rsid w:val="000773A5"/>
    <w:rsid w:val="00080454"/>
    <w:rsid w:val="00080CC2"/>
    <w:rsid w:val="00082000"/>
    <w:rsid w:val="00082441"/>
    <w:rsid w:val="00082A0D"/>
    <w:rsid w:val="0008505C"/>
    <w:rsid w:val="0008571F"/>
    <w:rsid w:val="0008579B"/>
    <w:rsid w:val="00090B4E"/>
    <w:rsid w:val="00091CDF"/>
    <w:rsid w:val="000929AF"/>
    <w:rsid w:val="00093548"/>
    <w:rsid w:val="00095229"/>
    <w:rsid w:val="000954FD"/>
    <w:rsid w:val="00096183"/>
    <w:rsid w:val="00096850"/>
    <w:rsid w:val="00096FAB"/>
    <w:rsid w:val="00097A92"/>
    <w:rsid w:val="000A12BC"/>
    <w:rsid w:val="000A2C4B"/>
    <w:rsid w:val="000A2C65"/>
    <w:rsid w:val="000A3406"/>
    <w:rsid w:val="000A55D9"/>
    <w:rsid w:val="000A65D0"/>
    <w:rsid w:val="000A7044"/>
    <w:rsid w:val="000A7B64"/>
    <w:rsid w:val="000A7F44"/>
    <w:rsid w:val="000B055D"/>
    <w:rsid w:val="000B30BF"/>
    <w:rsid w:val="000B3D68"/>
    <w:rsid w:val="000B56B9"/>
    <w:rsid w:val="000B5BBE"/>
    <w:rsid w:val="000C0F34"/>
    <w:rsid w:val="000C14C9"/>
    <w:rsid w:val="000C2FE1"/>
    <w:rsid w:val="000C47BB"/>
    <w:rsid w:val="000C63DE"/>
    <w:rsid w:val="000C7CC6"/>
    <w:rsid w:val="000D0B7E"/>
    <w:rsid w:val="000D18DA"/>
    <w:rsid w:val="000D1D0F"/>
    <w:rsid w:val="000D5FB2"/>
    <w:rsid w:val="000E1186"/>
    <w:rsid w:val="000E5150"/>
    <w:rsid w:val="000E587E"/>
    <w:rsid w:val="000E638E"/>
    <w:rsid w:val="000E6E90"/>
    <w:rsid w:val="000E72FB"/>
    <w:rsid w:val="000E7C09"/>
    <w:rsid w:val="000F094F"/>
    <w:rsid w:val="000F0E3D"/>
    <w:rsid w:val="000F11A8"/>
    <w:rsid w:val="000F7D8D"/>
    <w:rsid w:val="001019D5"/>
    <w:rsid w:val="00103085"/>
    <w:rsid w:val="00103FCD"/>
    <w:rsid w:val="00104AF1"/>
    <w:rsid w:val="0010682B"/>
    <w:rsid w:val="00106D77"/>
    <w:rsid w:val="00106F24"/>
    <w:rsid w:val="0010742F"/>
    <w:rsid w:val="001100CE"/>
    <w:rsid w:val="001107A8"/>
    <w:rsid w:val="00111ADB"/>
    <w:rsid w:val="00113C24"/>
    <w:rsid w:val="001150F1"/>
    <w:rsid w:val="001201A3"/>
    <w:rsid w:val="00120C4E"/>
    <w:rsid w:val="00121196"/>
    <w:rsid w:val="00121CC6"/>
    <w:rsid w:val="001229A8"/>
    <w:rsid w:val="00122B28"/>
    <w:rsid w:val="001231CA"/>
    <w:rsid w:val="001239FE"/>
    <w:rsid w:val="00123D53"/>
    <w:rsid w:val="001240B3"/>
    <w:rsid w:val="00124613"/>
    <w:rsid w:val="00124ED0"/>
    <w:rsid w:val="00124ED5"/>
    <w:rsid w:val="001254E0"/>
    <w:rsid w:val="001262FB"/>
    <w:rsid w:val="001316B6"/>
    <w:rsid w:val="0013213A"/>
    <w:rsid w:val="0013286C"/>
    <w:rsid w:val="0013485E"/>
    <w:rsid w:val="00134A42"/>
    <w:rsid w:val="00135CAD"/>
    <w:rsid w:val="00135D81"/>
    <w:rsid w:val="00135E3B"/>
    <w:rsid w:val="00135FF6"/>
    <w:rsid w:val="001366E2"/>
    <w:rsid w:val="00136883"/>
    <w:rsid w:val="0014096F"/>
    <w:rsid w:val="00141487"/>
    <w:rsid w:val="00142F78"/>
    <w:rsid w:val="0014321A"/>
    <w:rsid w:val="00146E28"/>
    <w:rsid w:val="00151065"/>
    <w:rsid w:val="001537BE"/>
    <w:rsid w:val="001538D3"/>
    <w:rsid w:val="0015555D"/>
    <w:rsid w:val="0015611A"/>
    <w:rsid w:val="001562A1"/>
    <w:rsid w:val="00156C78"/>
    <w:rsid w:val="00156FC0"/>
    <w:rsid w:val="00161506"/>
    <w:rsid w:val="00161F4F"/>
    <w:rsid w:val="00163DE3"/>
    <w:rsid w:val="00164A41"/>
    <w:rsid w:val="00165474"/>
    <w:rsid w:val="001656BD"/>
    <w:rsid w:val="00165D67"/>
    <w:rsid w:val="00167276"/>
    <w:rsid w:val="00167DED"/>
    <w:rsid w:val="00170B29"/>
    <w:rsid w:val="00170C52"/>
    <w:rsid w:val="00171261"/>
    <w:rsid w:val="001719C9"/>
    <w:rsid w:val="0017255B"/>
    <w:rsid w:val="00172F2F"/>
    <w:rsid w:val="001733CA"/>
    <w:rsid w:val="00173A2B"/>
    <w:rsid w:val="00173C9C"/>
    <w:rsid w:val="001756CC"/>
    <w:rsid w:val="00175CDD"/>
    <w:rsid w:val="00175E5E"/>
    <w:rsid w:val="00176EBA"/>
    <w:rsid w:val="00176FDA"/>
    <w:rsid w:val="001775AD"/>
    <w:rsid w:val="001775C4"/>
    <w:rsid w:val="00181C05"/>
    <w:rsid w:val="001824A6"/>
    <w:rsid w:val="001827F3"/>
    <w:rsid w:val="00182A68"/>
    <w:rsid w:val="001852BB"/>
    <w:rsid w:val="001866BE"/>
    <w:rsid w:val="00186C42"/>
    <w:rsid w:val="00191C20"/>
    <w:rsid w:val="0019238C"/>
    <w:rsid w:val="001925F6"/>
    <w:rsid w:val="00192B8B"/>
    <w:rsid w:val="00192E35"/>
    <w:rsid w:val="001930E3"/>
    <w:rsid w:val="001956C3"/>
    <w:rsid w:val="00197127"/>
    <w:rsid w:val="0019758F"/>
    <w:rsid w:val="001A00DF"/>
    <w:rsid w:val="001A04CA"/>
    <w:rsid w:val="001A1039"/>
    <w:rsid w:val="001A19E6"/>
    <w:rsid w:val="001A2307"/>
    <w:rsid w:val="001A3304"/>
    <w:rsid w:val="001A38CA"/>
    <w:rsid w:val="001A4B1A"/>
    <w:rsid w:val="001B0985"/>
    <w:rsid w:val="001B0A91"/>
    <w:rsid w:val="001B26A1"/>
    <w:rsid w:val="001B3AFF"/>
    <w:rsid w:val="001B4503"/>
    <w:rsid w:val="001B47DC"/>
    <w:rsid w:val="001B680D"/>
    <w:rsid w:val="001C0B9F"/>
    <w:rsid w:val="001C0D14"/>
    <w:rsid w:val="001C15E3"/>
    <w:rsid w:val="001C21D3"/>
    <w:rsid w:val="001C27ED"/>
    <w:rsid w:val="001C3B0B"/>
    <w:rsid w:val="001C3CFB"/>
    <w:rsid w:val="001C5B28"/>
    <w:rsid w:val="001C6621"/>
    <w:rsid w:val="001D07BE"/>
    <w:rsid w:val="001D0B94"/>
    <w:rsid w:val="001D163D"/>
    <w:rsid w:val="001D258F"/>
    <w:rsid w:val="001D2C97"/>
    <w:rsid w:val="001D351D"/>
    <w:rsid w:val="001D4C80"/>
    <w:rsid w:val="001D5315"/>
    <w:rsid w:val="001D6262"/>
    <w:rsid w:val="001D68BD"/>
    <w:rsid w:val="001E212D"/>
    <w:rsid w:val="001E2418"/>
    <w:rsid w:val="001E33C6"/>
    <w:rsid w:val="001E45C4"/>
    <w:rsid w:val="001E4ECF"/>
    <w:rsid w:val="001E5E93"/>
    <w:rsid w:val="001E5FDF"/>
    <w:rsid w:val="001E7588"/>
    <w:rsid w:val="001F0A34"/>
    <w:rsid w:val="001F10F1"/>
    <w:rsid w:val="001F1BCB"/>
    <w:rsid w:val="001F4DAB"/>
    <w:rsid w:val="001F73BD"/>
    <w:rsid w:val="001F7707"/>
    <w:rsid w:val="00202AB5"/>
    <w:rsid w:val="002047D9"/>
    <w:rsid w:val="0020623A"/>
    <w:rsid w:val="00206D4D"/>
    <w:rsid w:val="00207BFD"/>
    <w:rsid w:val="00207CAA"/>
    <w:rsid w:val="00210480"/>
    <w:rsid w:val="00211B61"/>
    <w:rsid w:val="00211C33"/>
    <w:rsid w:val="00211EEE"/>
    <w:rsid w:val="00212881"/>
    <w:rsid w:val="002129D2"/>
    <w:rsid w:val="00212C4D"/>
    <w:rsid w:val="0021389A"/>
    <w:rsid w:val="00214081"/>
    <w:rsid w:val="00214643"/>
    <w:rsid w:val="002148B4"/>
    <w:rsid w:val="00214A12"/>
    <w:rsid w:val="00215C88"/>
    <w:rsid w:val="00215CBA"/>
    <w:rsid w:val="002161E2"/>
    <w:rsid w:val="002164C8"/>
    <w:rsid w:val="0021668A"/>
    <w:rsid w:val="0021677F"/>
    <w:rsid w:val="00216C66"/>
    <w:rsid w:val="0021705F"/>
    <w:rsid w:val="002176C8"/>
    <w:rsid w:val="00220E7C"/>
    <w:rsid w:val="0022230D"/>
    <w:rsid w:val="00223AE2"/>
    <w:rsid w:val="00223B1F"/>
    <w:rsid w:val="002301A0"/>
    <w:rsid w:val="002328D5"/>
    <w:rsid w:val="00232F1D"/>
    <w:rsid w:val="00234907"/>
    <w:rsid w:val="0023539C"/>
    <w:rsid w:val="0023625D"/>
    <w:rsid w:val="00237D7A"/>
    <w:rsid w:val="00237E24"/>
    <w:rsid w:val="00237FCD"/>
    <w:rsid w:val="00240B3D"/>
    <w:rsid w:val="00240C77"/>
    <w:rsid w:val="0024115C"/>
    <w:rsid w:val="0024149B"/>
    <w:rsid w:val="00241B31"/>
    <w:rsid w:val="00243DBE"/>
    <w:rsid w:val="00245428"/>
    <w:rsid w:val="002457CF"/>
    <w:rsid w:val="00245BF1"/>
    <w:rsid w:val="00245FDF"/>
    <w:rsid w:val="00252184"/>
    <w:rsid w:val="002524FD"/>
    <w:rsid w:val="0025409B"/>
    <w:rsid w:val="0025498D"/>
    <w:rsid w:val="00254D84"/>
    <w:rsid w:val="00255C81"/>
    <w:rsid w:val="00260276"/>
    <w:rsid w:val="00260370"/>
    <w:rsid w:val="002607B6"/>
    <w:rsid w:val="00260C29"/>
    <w:rsid w:val="002629F6"/>
    <w:rsid w:val="002635D8"/>
    <w:rsid w:val="00271673"/>
    <w:rsid w:val="0027263D"/>
    <w:rsid w:val="002726CE"/>
    <w:rsid w:val="00272F3D"/>
    <w:rsid w:val="002743E9"/>
    <w:rsid w:val="002751E9"/>
    <w:rsid w:val="00275C44"/>
    <w:rsid w:val="0027635C"/>
    <w:rsid w:val="00276D22"/>
    <w:rsid w:val="00277978"/>
    <w:rsid w:val="00277AC5"/>
    <w:rsid w:val="00280823"/>
    <w:rsid w:val="0028383D"/>
    <w:rsid w:val="00286B9C"/>
    <w:rsid w:val="00286EFF"/>
    <w:rsid w:val="0028710C"/>
    <w:rsid w:val="00290D53"/>
    <w:rsid w:val="002914FF"/>
    <w:rsid w:val="00291BFC"/>
    <w:rsid w:val="0029246F"/>
    <w:rsid w:val="00293315"/>
    <w:rsid w:val="00293942"/>
    <w:rsid w:val="00294096"/>
    <w:rsid w:val="0029524F"/>
    <w:rsid w:val="002958D1"/>
    <w:rsid w:val="0029615F"/>
    <w:rsid w:val="00296CE0"/>
    <w:rsid w:val="002974AB"/>
    <w:rsid w:val="0029782B"/>
    <w:rsid w:val="00297A26"/>
    <w:rsid w:val="002A133E"/>
    <w:rsid w:val="002A22D5"/>
    <w:rsid w:val="002A2AA7"/>
    <w:rsid w:val="002A3F90"/>
    <w:rsid w:val="002A4396"/>
    <w:rsid w:val="002A6224"/>
    <w:rsid w:val="002A66D1"/>
    <w:rsid w:val="002B2707"/>
    <w:rsid w:val="002B29F3"/>
    <w:rsid w:val="002B30B5"/>
    <w:rsid w:val="002B3B0F"/>
    <w:rsid w:val="002B3BB2"/>
    <w:rsid w:val="002B3D7A"/>
    <w:rsid w:val="002B4C5D"/>
    <w:rsid w:val="002B5F63"/>
    <w:rsid w:val="002C00EB"/>
    <w:rsid w:val="002C0EB4"/>
    <w:rsid w:val="002C0EFF"/>
    <w:rsid w:val="002C1BF9"/>
    <w:rsid w:val="002C3DC7"/>
    <w:rsid w:val="002C41B1"/>
    <w:rsid w:val="002C4818"/>
    <w:rsid w:val="002C4BE6"/>
    <w:rsid w:val="002C4CA3"/>
    <w:rsid w:val="002C5051"/>
    <w:rsid w:val="002C7374"/>
    <w:rsid w:val="002D0DA0"/>
    <w:rsid w:val="002D17B7"/>
    <w:rsid w:val="002D2285"/>
    <w:rsid w:val="002D5283"/>
    <w:rsid w:val="002D5D59"/>
    <w:rsid w:val="002D6555"/>
    <w:rsid w:val="002D74DA"/>
    <w:rsid w:val="002E062E"/>
    <w:rsid w:val="002E079B"/>
    <w:rsid w:val="002E3F79"/>
    <w:rsid w:val="002E61D9"/>
    <w:rsid w:val="002F03D6"/>
    <w:rsid w:val="002F2372"/>
    <w:rsid w:val="002F51D6"/>
    <w:rsid w:val="002F5790"/>
    <w:rsid w:val="002F5FD3"/>
    <w:rsid w:val="002F72DA"/>
    <w:rsid w:val="00300B2F"/>
    <w:rsid w:val="0030253F"/>
    <w:rsid w:val="003059E8"/>
    <w:rsid w:val="003066EA"/>
    <w:rsid w:val="00312FBA"/>
    <w:rsid w:val="00313788"/>
    <w:rsid w:val="003137B7"/>
    <w:rsid w:val="003139E3"/>
    <w:rsid w:val="00313B4F"/>
    <w:rsid w:val="00314C9F"/>
    <w:rsid w:val="0031546A"/>
    <w:rsid w:val="00316513"/>
    <w:rsid w:val="003179D4"/>
    <w:rsid w:val="003227C1"/>
    <w:rsid w:val="003235A2"/>
    <w:rsid w:val="00324366"/>
    <w:rsid w:val="00325FD1"/>
    <w:rsid w:val="003301A8"/>
    <w:rsid w:val="003301CF"/>
    <w:rsid w:val="00332100"/>
    <w:rsid w:val="003322A6"/>
    <w:rsid w:val="003337C1"/>
    <w:rsid w:val="003352F6"/>
    <w:rsid w:val="00335A47"/>
    <w:rsid w:val="00336FB0"/>
    <w:rsid w:val="00337051"/>
    <w:rsid w:val="00337AC5"/>
    <w:rsid w:val="00340654"/>
    <w:rsid w:val="00341D62"/>
    <w:rsid w:val="0034234D"/>
    <w:rsid w:val="00343CE2"/>
    <w:rsid w:val="00343D72"/>
    <w:rsid w:val="00344013"/>
    <w:rsid w:val="003440FD"/>
    <w:rsid w:val="00344E17"/>
    <w:rsid w:val="00344EBC"/>
    <w:rsid w:val="0034535C"/>
    <w:rsid w:val="003458A9"/>
    <w:rsid w:val="00350E8C"/>
    <w:rsid w:val="00352870"/>
    <w:rsid w:val="0035473A"/>
    <w:rsid w:val="00355AAA"/>
    <w:rsid w:val="003564D0"/>
    <w:rsid w:val="003567B3"/>
    <w:rsid w:val="00360107"/>
    <w:rsid w:val="00360229"/>
    <w:rsid w:val="0036060E"/>
    <w:rsid w:val="00366328"/>
    <w:rsid w:val="00367823"/>
    <w:rsid w:val="003714C5"/>
    <w:rsid w:val="00371AF3"/>
    <w:rsid w:val="0037275A"/>
    <w:rsid w:val="00372FCE"/>
    <w:rsid w:val="003733B8"/>
    <w:rsid w:val="0037415A"/>
    <w:rsid w:val="00374C25"/>
    <w:rsid w:val="00374E1C"/>
    <w:rsid w:val="00374F72"/>
    <w:rsid w:val="00377B7E"/>
    <w:rsid w:val="00377CBB"/>
    <w:rsid w:val="0038171D"/>
    <w:rsid w:val="00382B23"/>
    <w:rsid w:val="00382B35"/>
    <w:rsid w:val="00384434"/>
    <w:rsid w:val="0039033E"/>
    <w:rsid w:val="00390C1E"/>
    <w:rsid w:val="00392DA4"/>
    <w:rsid w:val="0039454C"/>
    <w:rsid w:val="00395199"/>
    <w:rsid w:val="00396EE8"/>
    <w:rsid w:val="00397E20"/>
    <w:rsid w:val="00397FF6"/>
    <w:rsid w:val="003A0FF9"/>
    <w:rsid w:val="003A1D9E"/>
    <w:rsid w:val="003A3392"/>
    <w:rsid w:val="003A3F5B"/>
    <w:rsid w:val="003A4DAB"/>
    <w:rsid w:val="003A4F68"/>
    <w:rsid w:val="003A5387"/>
    <w:rsid w:val="003A5DC4"/>
    <w:rsid w:val="003A6137"/>
    <w:rsid w:val="003B04AC"/>
    <w:rsid w:val="003B1657"/>
    <w:rsid w:val="003B1A27"/>
    <w:rsid w:val="003B1D36"/>
    <w:rsid w:val="003B1F9D"/>
    <w:rsid w:val="003B3395"/>
    <w:rsid w:val="003B40CE"/>
    <w:rsid w:val="003B4F8D"/>
    <w:rsid w:val="003B50A0"/>
    <w:rsid w:val="003B598A"/>
    <w:rsid w:val="003B646B"/>
    <w:rsid w:val="003C02AB"/>
    <w:rsid w:val="003C23C2"/>
    <w:rsid w:val="003C2665"/>
    <w:rsid w:val="003C3B83"/>
    <w:rsid w:val="003C5BD0"/>
    <w:rsid w:val="003C7164"/>
    <w:rsid w:val="003C72B2"/>
    <w:rsid w:val="003D037D"/>
    <w:rsid w:val="003D053D"/>
    <w:rsid w:val="003D072A"/>
    <w:rsid w:val="003D1DD7"/>
    <w:rsid w:val="003D4AF2"/>
    <w:rsid w:val="003D4D9E"/>
    <w:rsid w:val="003D5438"/>
    <w:rsid w:val="003D5668"/>
    <w:rsid w:val="003D5B2B"/>
    <w:rsid w:val="003D6C9A"/>
    <w:rsid w:val="003E0DF9"/>
    <w:rsid w:val="003E12E1"/>
    <w:rsid w:val="003E1EAB"/>
    <w:rsid w:val="003E2017"/>
    <w:rsid w:val="003E3683"/>
    <w:rsid w:val="003E4344"/>
    <w:rsid w:val="003E535A"/>
    <w:rsid w:val="003E5664"/>
    <w:rsid w:val="003F0B47"/>
    <w:rsid w:val="003F1144"/>
    <w:rsid w:val="003F15DD"/>
    <w:rsid w:val="003F4F65"/>
    <w:rsid w:val="003F52F7"/>
    <w:rsid w:val="00401977"/>
    <w:rsid w:val="00402F2D"/>
    <w:rsid w:val="00403F9E"/>
    <w:rsid w:val="0040459C"/>
    <w:rsid w:val="004060EE"/>
    <w:rsid w:val="00407A37"/>
    <w:rsid w:val="00407E7D"/>
    <w:rsid w:val="00411F6D"/>
    <w:rsid w:val="00412C7A"/>
    <w:rsid w:val="00414968"/>
    <w:rsid w:val="00415611"/>
    <w:rsid w:val="0041611C"/>
    <w:rsid w:val="004173B3"/>
    <w:rsid w:val="004215CA"/>
    <w:rsid w:val="004240A3"/>
    <w:rsid w:val="004265FF"/>
    <w:rsid w:val="00427861"/>
    <w:rsid w:val="00430186"/>
    <w:rsid w:val="004312E3"/>
    <w:rsid w:val="00432110"/>
    <w:rsid w:val="00432A88"/>
    <w:rsid w:val="004354A4"/>
    <w:rsid w:val="00435951"/>
    <w:rsid w:val="004407C6"/>
    <w:rsid w:val="00440E82"/>
    <w:rsid w:val="00441414"/>
    <w:rsid w:val="00445575"/>
    <w:rsid w:val="004462D0"/>
    <w:rsid w:val="00446C39"/>
    <w:rsid w:val="004473F4"/>
    <w:rsid w:val="00451294"/>
    <w:rsid w:val="0045257A"/>
    <w:rsid w:val="004528DE"/>
    <w:rsid w:val="004530E6"/>
    <w:rsid w:val="00455CCB"/>
    <w:rsid w:val="00456510"/>
    <w:rsid w:val="00457D6B"/>
    <w:rsid w:val="0046000B"/>
    <w:rsid w:val="00461637"/>
    <w:rsid w:val="00461FAF"/>
    <w:rsid w:val="004627A6"/>
    <w:rsid w:val="004628D5"/>
    <w:rsid w:val="00464118"/>
    <w:rsid w:val="0046558B"/>
    <w:rsid w:val="0046586E"/>
    <w:rsid w:val="00473017"/>
    <w:rsid w:val="0047503B"/>
    <w:rsid w:val="004819AF"/>
    <w:rsid w:val="00483AAA"/>
    <w:rsid w:val="00486CD2"/>
    <w:rsid w:val="00487F36"/>
    <w:rsid w:val="00490602"/>
    <w:rsid w:val="004910F8"/>
    <w:rsid w:val="004912FF"/>
    <w:rsid w:val="00491ABB"/>
    <w:rsid w:val="0049321F"/>
    <w:rsid w:val="004932FB"/>
    <w:rsid w:val="00493BE8"/>
    <w:rsid w:val="0049448B"/>
    <w:rsid w:val="00497F62"/>
    <w:rsid w:val="004A00F2"/>
    <w:rsid w:val="004A45CD"/>
    <w:rsid w:val="004A5FFC"/>
    <w:rsid w:val="004B00A0"/>
    <w:rsid w:val="004B10B6"/>
    <w:rsid w:val="004B13F4"/>
    <w:rsid w:val="004B2115"/>
    <w:rsid w:val="004B4440"/>
    <w:rsid w:val="004B5B17"/>
    <w:rsid w:val="004B608E"/>
    <w:rsid w:val="004B6E02"/>
    <w:rsid w:val="004B7D44"/>
    <w:rsid w:val="004C07EB"/>
    <w:rsid w:val="004C1572"/>
    <w:rsid w:val="004C1A78"/>
    <w:rsid w:val="004C2FCD"/>
    <w:rsid w:val="004C64B3"/>
    <w:rsid w:val="004C756C"/>
    <w:rsid w:val="004C7FFC"/>
    <w:rsid w:val="004D017E"/>
    <w:rsid w:val="004D045F"/>
    <w:rsid w:val="004D09C3"/>
    <w:rsid w:val="004D10EC"/>
    <w:rsid w:val="004D3ACA"/>
    <w:rsid w:val="004D4F0A"/>
    <w:rsid w:val="004D6664"/>
    <w:rsid w:val="004E0A24"/>
    <w:rsid w:val="004E0B7E"/>
    <w:rsid w:val="004E1455"/>
    <w:rsid w:val="004E1504"/>
    <w:rsid w:val="004E1CCC"/>
    <w:rsid w:val="004E21C4"/>
    <w:rsid w:val="004E282C"/>
    <w:rsid w:val="004E2F65"/>
    <w:rsid w:val="004E3724"/>
    <w:rsid w:val="004E387D"/>
    <w:rsid w:val="004E390C"/>
    <w:rsid w:val="004E4A9B"/>
    <w:rsid w:val="004E7C6A"/>
    <w:rsid w:val="004F0104"/>
    <w:rsid w:val="004F274D"/>
    <w:rsid w:val="004F321F"/>
    <w:rsid w:val="004F38A7"/>
    <w:rsid w:val="004F50CE"/>
    <w:rsid w:val="005001C3"/>
    <w:rsid w:val="00500450"/>
    <w:rsid w:val="005007B3"/>
    <w:rsid w:val="0050208D"/>
    <w:rsid w:val="0050356C"/>
    <w:rsid w:val="00505278"/>
    <w:rsid w:val="00506555"/>
    <w:rsid w:val="0050687E"/>
    <w:rsid w:val="005114A0"/>
    <w:rsid w:val="00513699"/>
    <w:rsid w:val="005144ED"/>
    <w:rsid w:val="005161A9"/>
    <w:rsid w:val="00516E25"/>
    <w:rsid w:val="00517FDF"/>
    <w:rsid w:val="005210EB"/>
    <w:rsid w:val="005213D6"/>
    <w:rsid w:val="0052375C"/>
    <w:rsid w:val="00524702"/>
    <w:rsid w:val="00526006"/>
    <w:rsid w:val="0053166F"/>
    <w:rsid w:val="005316B0"/>
    <w:rsid w:val="005317D0"/>
    <w:rsid w:val="0053316B"/>
    <w:rsid w:val="0053328A"/>
    <w:rsid w:val="0053604B"/>
    <w:rsid w:val="00540309"/>
    <w:rsid w:val="00540691"/>
    <w:rsid w:val="0054085D"/>
    <w:rsid w:val="00541CCE"/>
    <w:rsid w:val="00543943"/>
    <w:rsid w:val="00544B82"/>
    <w:rsid w:val="00544CDB"/>
    <w:rsid w:val="00546673"/>
    <w:rsid w:val="00546CC3"/>
    <w:rsid w:val="00547436"/>
    <w:rsid w:val="00551FF2"/>
    <w:rsid w:val="005541F5"/>
    <w:rsid w:val="0055467E"/>
    <w:rsid w:val="00555790"/>
    <w:rsid w:val="00556D8E"/>
    <w:rsid w:val="00556E78"/>
    <w:rsid w:val="00557557"/>
    <w:rsid w:val="0056107C"/>
    <w:rsid w:val="00563045"/>
    <w:rsid w:val="00564042"/>
    <w:rsid w:val="005676FD"/>
    <w:rsid w:val="00567FA9"/>
    <w:rsid w:val="0057011F"/>
    <w:rsid w:val="00572372"/>
    <w:rsid w:val="00572A32"/>
    <w:rsid w:val="005739B8"/>
    <w:rsid w:val="00574213"/>
    <w:rsid w:val="0057694A"/>
    <w:rsid w:val="00577745"/>
    <w:rsid w:val="00577C10"/>
    <w:rsid w:val="005804FE"/>
    <w:rsid w:val="0058323D"/>
    <w:rsid w:val="0058331F"/>
    <w:rsid w:val="00584C14"/>
    <w:rsid w:val="00585BE8"/>
    <w:rsid w:val="00586C86"/>
    <w:rsid w:val="005919A6"/>
    <w:rsid w:val="0059288D"/>
    <w:rsid w:val="00592B9B"/>
    <w:rsid w:val="0059364C"/>
    <w:rsid w:val="00593CD3"/>
    <w:rsid w:val="00594AD3"/>
    <w:rsid w:val="00597B09"/>
    <w:rsid w:val="005A23B5"/>
    <w:rsid w:val="005A2AA3"/>
    <w:rsid w:val="005A4530"/>
    <w:rsid w:val="005A549B"/>
    <w:rsid w:val="005A6B37"/>
    <w:rsid w:val="005A6CE0"/>
    <w:rsid w:val="005A7418"/>
    <w:rsid w:val="005A7B6D"/>
    <w:rsid w:val="005A7F97"/>
    <w:rsid w:val="005B0D03"/>
    <w:rsid w:val="005B2724"/>
    <w:rsid w:val="005B3B40"/>
    <w:rsid w:val="005B41BB"/>
    <w:rsid w:val="005B4C1C"/>
    <w:rsid w:val="005B6D1B"/>
    <w:rsid w:val="005C0652"/>
    <w:rsid w:val="005C2003"/>
    <w:rsid w:val="005C47BB"/>
    <w:rsid w:val="005C49AC"/>
    <w:rsid w:val="005C4F6E"/>
    <w:rsid w:val="005C536C"/>
    <w:rsid w:val="005C6048"/>
    <w:rsid w:val="005C6451"/>
    <w:rsid w:val="005C7018"/>
    <w:rsid w:val="005C71F4"/>
    <w:rsid w:val="005C7CCD"/>
    <w:rsid w:val="005D0D3E"/>
    <w:rsid w:val="005D0E71"/>
    <w:rsid w:val="005D4AE0"/>
    <w:rsid w:val="005D5DED"/>
    <w:rsid w:val="005D63C7"/>
    <w:rsid w:val="005E0353"/>
    <w:rsid w:val="005E27BD"/>
    <w:rsid w:val="005E29FD"/>
    <w:rsid w:val="005F05D4"/>
    <w:rsid w:val="005F085E"/>
    <w:rsid w:val="005F0CC0"/>
    <w:rsid w:val="005F1E40"/>
    <w:rsid w:val="005F1E69"/>
    <w:rsid w:val="005F350B"/>
    <w:rsid w:val="005F5DB7"/>
    <w:rsid w:val="005F5E00"/>
    <w:rsid w:val="005F730E"/>
    <w:rsid w:val="005F796F"/>
    <w:rsid w:val="0060044C"/>
    <w:rsid w:val="00603C01"/>
    <w:rsid w:val="006047A0"/>
    <w:rsid w:val="00605122"/>
    <w:rsid w:val="006054A9"/>
    <w:rsid w:val="00605516"/>
    <w:rsid w:val="00610E48"/>
    <w:rsid w:val="00611461"/>
    <w:rsid w:val="00613E37"/>
    <w:rsid w:val="0061410A"/>
    <w:rsid w:val="00614CA8"/>
    <w:rsid w:val="00615A00"/>
    <w:rsid w:val="006165F7"/>
    <w:rsid w:val="00622F84"/>
    <w:rsid w:val="00626367"/>
    <w:rsid w:val="0063223A"/>
    <w:rsid w:val="00633CFD"/>
    <w:rsid w:val="00633F3A"/>
    <w:rsid w:val="0063453D"/>
    <w:rsid w:val="00636900"/>
    <w:rsid w:val="006369DB"/>
    <w:rsid w:val="0063719F"/>
    <w:rsid w:val="00641252"/>
    <w:rsid w:val="00641B44"/>
    <w:rsid w:val="00641FAD"/>
    <w:rsid w:val="0064386A"/>
    <w:rsid w:val="006459C6"/>
    <w:rsid w:val="006515D6"/>
    <w:rsid w:val="00651F24"/>
    <w:rsid w:val="006538E0"/>
    <w:rsid w:val="00653B81"/>
    <w:rsid w:val="00653E6F"/>
    <w:rsid w:val="00654549"/>
    <w:rsid w:val="00656DB7"/>
    <w:rsid w:val="00662657"/>
    <w:rsid w:val="006629DC"/>
    <w:rsid w:val="0066394E"/>
    <w:rsid w:val="006648E5"/>
    <w:rsid w:val="0067155A"/>
    <w:rsid w:val="00674325"/>
    <w:rsid w:val="00676117"/>
    <w:rsid w:val="00676F7A"/>
    <w:rsid w:val="006776EC"/>
    <w:rsid w:val="006833F1"/>
    <w:rsid w:val="00683B89"/>
    <w:rsid w:val="006844DA"/>
    <w:rsid w:val="00685222"/>
    <w:rsid w:val="00690169"/>
    <w:rsid w:val="006913AF"/>
    <w:rsid w:val="006917F5"/>
    <w:rsid w:val="00694789"/>
    <w:rsid w:val="006964F1"/>
    <w:rsid w:val="006A0B3E"/>
    <w:rsid w:val="006A301B"/>
    <w:rsid w:val="006A4934"/>
    <w:rsid w:val="006A560D"/>
    <w:rsid w:val="006A591F"/>
    <w:rsid w:val="006A5D64"/>
    <w:rsid w:val="006A68F3"/>
    <w:rsid w:val="006A769F"/>
    <w:rsid w:val="006A7F22"/>
    <w:rsid w:val="006B4790"/>
    <w:rsid w:val="006C272A"/>
    <w:rsid w:val="006D14CF"/>
    <w:rsid w:val="006D16A2"/>
    <w:rsid w:val="006D3928"/>
    <w:rsid w:val="006D476F"/>
    <w:rsid w:val="006D4CFB"/>
    <w:rsid w:val="006D64CD"/>
    <w:rsid w:val="006D7780"/>
    <w:rsid w:val="006E008B"/>
    <w:rsid w:val="006E0190"/>
    <w:rsid w:val="006E0598"/>
    <w:rsid w:val="006E1402"/>
    <w:rsid w:val="006E1716"/>
    <w:rsid w:val="006E1DE4"/>
    <w:rsid w:val="006F053D"/>
    <w:rsid w:val="006F056C"/>
    <w:rsid w:val="006F13D1"/>
    <w:rsid w:val="006F32F2"/>
    <w:rsid w:val="006F3745"/>
    <w:rsid w:val="006F383F"/>
    <w:rsid w:val="006F505E"/>
    <w:rsid w:val="006F76E5"/>
    <w:rsid w:val="006F7B8C"/>
    <w:rsid w:val="00700C0F"/>
    <w:rsid w:val="00702717"/>
    <w:rsid w:val="007029BC"/>
    <w:rsid w:val="007032BE"/>
    <w:rsid w:val="0070528D"/>
    <w:rsid w:val="00705AE3"/>
    <w:rsid w:val="00707018"/>
    <w:rsid w:val="00707ACF"/>
    <w:rsid w:val="00710086"/>
    <w:rsid w:val="0071341A"/>
    <w:rsid w:val="0071422C"/>
    <w:rsid w:val="0071566B"/>
    <w:rsid w:val="007211BB"/>
    <w:rsid w:val="00723173"/>
    <w:rsid w:val="007231F0"/>
    <w:rsid w:val="0072376E"/>
    <w:rsid w:val="00723ABC"/>
    <w:rsid w:val="0072428B"/>
    <w:rsid w:val="00727BC3"/>
    <w:rsid w:val="00727C86"/>
    <w:rsid w:val="00731167"/>
    <w:rsid w:val="0073142B"/>
    <w:rsid w:val="00735F1B"/>
    <w:rsid w:val="00736721"/>
    <w:rsid w:val="007369CA"/>
    <w:rsid w:val="007378BC"/>
    <w:rsid w:val="007408D7"/>
    <w:rsid w:val="0074191D"/>
    <w:rsid w:val="00742F22"/>
    <w:rsid w:val="00743A02"/>
    <w:rsid w:val="00745BE2"/>
    <w:rsid w:val="00745FCF"/>
    <w:rsid w:val="00746127"/>
    <w:rsid w:val="00750832"/>
    <w:rsid w:val="007509BE"/>
    <w:rsid w:val="0075270C"/>
    <w:rsid w:val="007532DD"/>
    <w:rsid w:val="00756DA1"/>
    <w:rsid w:val="00756E38"/>
    <w:rsid w:val="00757A4C"/>
    <w:rsid w:val="00760024"/>
    <w:rsid w:val="00760684"/>
    <w:rsid w:val="00762D25"/>
    <w:rsid w:val="007648A5"/>
    <w:rsid w:val="007652ED"/>
    <w:rsid w:val="00767480"/>
    <w:rsid w:val="00767EE9"/>
    <w:rsid w:val="0077235E"/>
    <w:rsid w:val="00772510"/>
    <w:rsid w:val="007749F0"/>
    <w:rsid w:val="00775CF1"/>
    <w:rsid w:val="0077672C"/>
    <w:rsid w:val="00777649"/>
    <w:rsid w:val="00777E92"/>
    <w:rsid w:val="00777EE8"/>
    <w:rsid w:val="007818D8"/>
    <w:rsid w:val="00782B38"/>
    <w:rsid w:val="00782BB5"/>
    <w:rsid w:val="00783105"/>
    <w:rsid w:val="0078363B"/>
    <w:rsid w:val="00784270"/>
    <w:rsid w:val="00785D64"/>
    <w:rsid w:val="00786F29"/>
    <w:rsid w:val="0078700D"/>
    <w:rsid w:val="007878CE"/>
    <w:rsid w:val="00787A3A"/>
    <w:rsid w:val="00791EFF"/>
    <w:rsid w:val="007944E0"/>
    <w:rsid w:val="007955F2"/>
    <w:rsid w:val="00796EC7"/>
    <w:rsid w:val="00797341"/>
    <w:rsid w:val="00797A93"/>
    <w:rsid w:val="007A250B"/>
    <w:rsid w:val="007A46BA"/>
    <w:rsid w:val="007A472C"/>
    <w:rsid w:val="007A6092"/>
    <w:rsid w:val="007A6BC2"/>
    <w:rsid w:val="007A7BEC"/>
    <w:rsid w:val="007B06D9"/>
    <w:rsid w:val="007B149F"/>
    <w:rsid w:val="007B1746"/>
    <w:rsid w:val="007B19F9"/>
    <w:rsid w:val="007B788A"/>
    <w:rsid w:val="007B78FD"/>
    <w:rsid w:val="007C026A"/>
    <w:rsid w:val="007C2A8E"/>
    <w:rsid w:val="007C3C8E"/>
    <w:rsid w:val="007C4101"/>
    <w:rsid w:val="007C5410"/>
    <w:rsid w:val="007C6137"/>
    <w:rsid w:val="007C6540"/>
    <w:rsid w:val="007C6B55"/>
    <w:rsid w:val="007D0B8D"/>
    <w:rsid w:val="007D2615"/>
    <w:rsid w:val="007D2969"/>
    <w:rsid w:val="007D46B4"/>
    <w:rsid w:val="007D56FF"/>
    <w:rsid w:val="007D757E"/>
    <w:rsid w:val="007D7D96"/>
    <w:rsid w:val="007E066F"/>
    <w:rsid w:val="007E18AA"/>
    <w:rsid w:val="007E24DE"/>
    <w:rsid w:val="007E3D06"/>
    <w:rsid w:val="007E4100"/>
    <w:rsid w:val="007E4FCC"/>
    <w:rsid w:val="007E663E"/>
    <w:rsid w:val="007E6BAA"/>
    <w:rsid w:val="007E762E"/>
    <w:rsid w:val="007E7944"/>
    <w:rsid w:val="007F0520"/>
    <w:rsid w:val="007F1F69"/>
    <w:rsid w:val="007F4056"/>
    <w:rsid w:val="007F5882"/>
    <w:rsid w:val="007F6920"/>
    <w:rsid w:val="007F78B7"/>
    <w:rsid w:val="007F7E0C"/>
    <w:rsid w:val="0080014B"/>
    <w:rsid w:val="00802AE3"/>
    <w:rsid w:val="00804712"/>
    <w:rsid w:val="00804A14"/>
    <w:rsid w:val="00804E0D"/>
    <w:rsid w:val="008060BD"/>
    <w:rsid w:val="0080662B"/>
    <w:rsid w:val="00806EAD"/>
    <w:rsid w:val="008117C3"/>
    <w:rsid w:val="00812BD8"/>
    <w:rsid w:val="0081477C"/>
    <w:rsid w:val="00815E34"/>
    <w:rsid w:val="00816201"/>
    <w:rsid w:val="00816350"/>
    <w:rsid w:val="00816F20"/>
    <w:rsid w:val="00817362"/>
    <w:rsid w:val="0082003C"/>
    <w:rsid w:val="0082087C"/>
    <w:rsid w:val="008217B2"/>
    <w:rsid w:val="00823D5E"/>
    <w:rsid w:val="008243FF"/>
    <w:rsid w:val="008259E7"/>
    <w:rsid w:val="0082628D"/>
    <w:rsid w:val="00826686"/>
    <w:rsid w:val="00826E22"/>
    <w:rsid w:val="00827C49"/>
    <w:rsid w:val="008301F0"/>
    <w:rsid w:val="008304A8"/>
    <w:rsid w:val="00832B15"/>
    <w:rsid w:val="008346C0"/>
    <w:rsid w:val="00835754"/>
    <w:rsid w:val="0083590A"/>
    <w:rsid w:val="00836D85"/>
    <w:rsid w:val="00837373"/>
    <w:rsid w:val="008378B3"/>
    <w:rsid w:val="00841318"/>
    <w:rsid w:val="0084184A"/>
    <w:rsid w:val="0084196F"/>
    <w:rsid w:val="00841E57"/>
    <w:rsid w:val="00842CEC"/>
    <w:rsid w:val="00843D01"/>
    <w:rsid w:val="0084540D"/>
    <w:rsid w:val="008475EE"/>
    <w:rsid w:val="00847B77"/>
    <w:rsid w:val="00850B3F"/>
    <w:rsid w:val="008541AC"/>
    <w:rsid w:val="00856B01"/>
    <w:rsid w:val="00857788"/>
    <w:rsid w:val="00857DAA"/>
    <w:rsid w:val="00861797"/>
    <w:rsid w:val="00861A47"/>
    <w:rsid w:val="00861D7E"/>
    <w:rsid w:val="00861E56"/>
    <w:rsid w:val="008620D2"/>
    <w:rsid w:val="0086269B"/>
    <w:rsid w:val="008627A7"/>
    <w:rsid w:val="00864092"/>
    <w:rsid w:val="0086440D"/>
    <w:rsid w:val="00864436"/>
    <w:rsid w:val="00866331"/>
    <w:rsid w:val="00870738"/>
    <w:rsid w:val="00873D76"/>
    <w:rsid w:val="0087628F"/>
    <w:rsid w:val="008802FB"/>
    <w:rsid w:val="00880E50"/>
    <w:rsid w:val="00881044"/>
    <w:rsid w:val="00882C3E"/>
    <w:rsid w:val="008831DC"/>
    <w:rsid w:val="00884C06"/>
    <w:rsid w:val="008856AF"/>
    <w:rsid w:val="0088572C"/>
    <w:rsid w:val="00887335"/>
    <w:rsid w:val="00890F82"/>
    <w:rsid w:val="008914DB"/>
    <w:rsid w:val="00891E9E"/>
    <w:rsid w:val="00892A33"/>
    <w:rsid w:val="00893939"/>
    <w:rsid w:val="008978A5"/>
    <w:rsid w:val="008A263F"/>
    <w:rsid w:val="008A4C4F"/>
    <w:rsid w:val="008A4D00"/>
    <w:rsid w:val="008A513D"/>
    <w:rsid w:val="008A54C0"/>
    <w:rsid w:val="008A5E4A"/>
    <w:rsid w:val="008B02B3"/>
    <w:rsid w:val="008B0F54"/>
    <w:rsid w:val="008B4868"/>
    <w:rsid w:val="008B6956"/>
    <w:rsid w:val="008B7DED"/>
    <w:rsid w:val="008C2570"/>
    <w:rsid w:val="008C44BB"/>
    <w:rsid w:val="008C4A30"/>
    <w:rsid w:val="008C5938"/>
    <w:rsid w:val="008C59BB"/>
    <w:rsid w:val="008C5A39"/>
    <w:rsid w:val="008C5B7B"/>
    <w:rsid w:val="008D0FE4"/>
    <w:rsid w:val="008D3F26"/>
    <w:rsid w:val="008D43DC"/>
    <w:rsid w:val="008D502F"/>
    <w:rsid w:val="008D506A"/>
    <w:rsid w:val="008D55CB"/>
    <w:rsid w:val="008D5C50"/>
    <w:rsid w:val="008D7538"/>
    <w:rsid w:val="008E1890"/>
    <w:rsid w:val="008E1F27"/>
    <w:rsid w:val="008E218D"/>
    <w:rsid w:val="008E2B78"/>
    <w:rsid w:val="008E3105"/>
    <w:rsid w:val="008E391D"/>
    <w:rsid w:val="008E3AB1"/>
    <w:rsid w:val="008E3BBC"/>
    <w:rsid w:val="008E45E8"/>
    <w:rsid w:val="008E4D22"/>
    <w:rsid w:val="008E7C64"/>
    <w:rsid w:val="008F1D68"/>
    <w:rsid w:val="008F24A4"/>
    <w:rsid w:val="008F2A08"/>
    <w:rsid w:val="008F3873"/>
    <w:rsid w:val="008F4610"/>
    <w:rsid w:val="008F4855"/>
    <w:rsid w:val="008F492F"/>
    <w:rsid w:val="008F4F05"/>
    <w:rsid w:val="008F59E0"/>
    <w:rsid w:val="008F7367"/>
    <w:rsid w:val="008F7BCB"/>
    <w:rsid w:val="0090120B"/>
    <w:rsid w:val="009033E7"/>
    <w:rsid w:val="009048E6"/>
    <w:rsid w:val="0090517E"/>
    <w:rsid w:val="00905F0D"/>
    <w:rsid w:val="0090695B"/>
    <w:rsid w:val="009079DD"/>
    <w:rsid w:val="00907D6C"/>
    <w:rsid w:val="00910BB0"/>
    <w:rsid w:val="00910C52"/>
    <w:rsid w:val="00910F84"/>
    <w:rsid w:val="00912CA3"/>
    <w:rsid w:val="0091454A"/>
    <w:rsid w:val="0091580D"/>
    <w:rsid w:val="00915F4C"/>
    <w:rsid w:val="009170CB"/>
    <w:rsid w:val="0091716C"/>
    <w:rsid w:val="0092376D"/>
    <w:rsid w:val="00924927"/>
    <w:rsid w:val="00925266"/>
    <w:rsid w:val="0092539E"/>
    <w:rsid w:val="009259C9"/>
    <w:rsid w:val="009300A1"/>
    <w:rsid w:val="009325D4"/>
    <w:rsid w:val="0093293B"/>
    <w:rsid w:val="00933BD2"/>
    <w:rsid w:val="009348B2"/>
    <w:rsid w:val="00934984"/>
    <w:rsid w:val="00934D48"/>
    <w:rsid w:val="009373BF"/>
    <w:rsid w:val="009374E7"/>
    <w:rsid w:val="009411EF"/>
    <w:rsid w:val="009414DC"/>
    <w:rsid w:val="0094200D"/>
    <w:rsid w:val="00942570"/>
    <w:rsid w:val="00942630"/>
    <w:rsid w:val="009429DA"/>
    <w:rsid w:val="00943AF4"/>
    <w:rsid w:val="009449C0"/>
    <w:rsid w:val="00944A2B"/>
    <w:rsid w:val="0094539A"/>
    <w:rsid w:val="009455EA"/>
    <w:rsid w:val="00947A14"/>
    <w:rsid w:val="00950761"/>
    <w:rsid w:val="0095121B"/>
    <w:rsid w:val="0095210F"/>
    <w:rsid w:val="00954C08"/>
    <w:rsid w:val="0095532B"/>
    <w:rsid w:val="00955389"/>
    <w:rsid w:val="009561ED"/>
    <w:rsid w:val="00960FDD"/>
    <w:rsid w:val="00961892"/>
    <w:rsid w:val="00962448"/>
    <w:rsid w:val="009638A8"/>
    <w:rsid w:val="0096493F"/>
    <w:rsid w:val="009652F3"/>
    <w:rsid w:val="009655C5"/>
    <w:rsid w:val="0096700D"/>
    <w:rsid w:val="00970A59"/>
    <w:rsid w:val="009712C8"/>
    <w:rsid w:val="00972E2E"/>
    <w:rsid w:val="00973754"/>
    <w:rsid w:val="00973AD6"/>
    <w:rsid w:val="00973D4F"/>
    <w:rsid w:val="00974D0A"/>
    <w:rsid w:val="00974DB4"/>
    <w:rsid w:val="00977598"/>
    <w:rsid w:val="009803F5"/>
    <w:rsid w:val="0098070D"/>
    <w:rsid w:val="00981D9F"/>
    <w:rsid w:val="009837EC"/>
    <w:rsid w:val="009862BA"/>
    <w:rsid w:val="00987E00"/>
    <w:rsid w:val="009905E8"/>
    <w:rsid w:val="00990AF1"/>
    <w:rsid w:val="00993E40"/>
    <w:rsid w:val="0099795E"/>
    <w:rsid w:val="009A0514"/>
    <w:rsid w:val="009A32E1"/>
    <w:rsid w:val="009A3364"/>
    <w:rsid w:val="009A6828"/>
    <w:rsid w:val="009A7663"/>
    <w:rsid w:val="009B195B"/>
    <w:rsid w:val="009B19F4"/>
    <w:rsid w:val="009B1A5F"/>
    <w:rsid w:val="009B2331"/>
    <w:rsid w:val="009B2B10"/>
    <w:rsid w:val="009B5543"/>
    <w:rsid w:val="009B64D0"/>
    <w:rsid w:val="009B6E1A"/>
    <w:rsid w:val="009C10DD"/>
    <w:rsid w:val="009C2FC1"/>
    <w:rsid w:val="009C365F"/>
    <w:rsid w:val="009C4158"/>
    <w:rsid w:val="009C4DFD"/>
    <w:rsid w:val="009C6663"/>
    <w:rsid w:val="009C6A53"/>
    <w:rsid w:val="009D3E8E"/>
    <w:rsid w:val="009D40AE"/>
    <w:rsid w:val="009D4C87"/>
    <w:rsid w:val="009D6079"/>
    <w:rsid w:val="009D62D3"/>
    <w:rsid w:val="009D6A1E"/>
    <w:rsid w:val="009D7DB7"/>
    <w:rsid w:val="009E0475"/>
    <w:rsid w:val="009E0C14"/>
    <w:rsid w:val="009E221B"/>
    <w:rsid w:val="009E4706"/>
    <w:rsid w:val="009E6A61"/>
    <w:rsid w:val="009E78D0"/>
    <w:rsid w:val="009F1B31"/>
    <w:rsid w:val="009F2157"/>
    <w:rsid w:val="009F307E"/>
    <w:rsid w:val="009F384B"/>
    <w:rsid w:val="009F5EBF"/>
    <w:rsid w:val="009F5FF7"/>
    <w:rsid w:val="009F6299"/>
    <w:rsid w:val="009F6AAA"/>
    <w:rsid w:val="00A00DD4"/>
    <w:rsid w:val="00A01015"/>
    <w:rsid w:val="00A02260"/>
    <w:rsid w:val="00A02741"/>
    <w:rsid w:val="00A0276F"/>
    <w:rsid w:val="00A04138"/>
    <w:rsid w:val="00A077D2"/>
    <w:rsid w:val="00A10227"/>
    <w:rsid w:val="00A10BF2"/>
    <w:rsid w:val="00A11837"/>
    <w:rsid w:val="00A121AC"/>
    <w:rsid w:val="00A14649"/>
    <w:rsid w:val="00A1465A"/>
    <w:rsid w:val="00A15C47"/>
    <w:rsid w:val="00A17AB1"/>
    <w:rsid w:val="00A17BF8"/>
    <w:rsid w:val="00A2319C"/>
    <w:rsid w:val="00A240D1"/>
    <w:rsid w:val="00A2553F"/>
    <w:rsid w:val="00A25BC3"/>
    <w:rsid w:val="00A3200F"/>
    <w:rsid w:val="00A32AC2"/>
    <w:rsid w:val="00A34A03"/>
    <w:rsid w:val="00A35A95"/>
    <w:rsid w:val="00A36489"/>
    <w:rsid w:val="00A36E84"/>
    <w:rsid w:val="00A37BA5"/>
    <w:rsid w:val="00A42FD7"/>
    <w:rsid w:val="00A44B22"/>
    <w:rsid w:val="00A452AC"/>
    <w:rsid w:val="00A45C47"/>
    <w:rsid w:val="00A45EB4"/>
    <w:rsid w:val="00A4770A"/>
    <w:rsid w:val="00A514C4"/>
    <w:rsid w:val="00A51EBE"/>
    <w:rsid w:val="00A53321"/>
    <w:rsid w:val="00A54A9D"/>
    <w:rsid w:val="00A6003D"/>
    <w:rsid w:val="00A60B44"/>
    <w:rsid w:val="00A60F53"/>
    <w:rsid w:val="00A626D1"/>
    <w:rsid w:val="00A627C6"/>
    <w:rsid w:val="00A63586"/>
    <w:rsid w:val="00A648F0"/>
    <w:rsid w:val="00A64928"/>
    <w:rsid w:val="00A64C65"/>
    <w:rsid w:val="00A66202"/>
    <w:rsid w:val="00A6632C"/>
    <w:rsid w:val="00A673D1"/>
    <w:rsid w:val="00A67729"/>
    <w:rsid w:val="00A70971"/>
    <w:rsid w:val="00A70CB0"/>
    <w:rsid w:val="00A728EC"/>
    <w:rsid w:val="00A731D7"/>
    <w:rsid w:val="00A73BBB"/>
    <w:rsid w:val="00A73BEB"/>
    <w:rsid w:val="00A73F8E"/>
    <w:rsid w:val="00A7404E"/>
    <w:rsid w:val="00A74BFE"/>
    <w:rsid w:val="00A74C45"/>
    <w:rsid w:val="00A80135"/>
    <w:rsid w:val="00A82546"/>
    <w:rsid w:val="00A82996"/>
    <w:rsid w:val="00A83364"/>
    <w:rsid w:val="00A83C7E"/>
    <w:rsid w:val="00A83F14"/>
    <w:rsid w:val="00A84778"/>
    <w:rsid w:val="00A8495A"/>
    <w:rsid w:val="00A86730"/>
    <w:rsid w:val="00A87F19"/>
    <w:rsid w:val="00A90CD6"/>
    <w:rsid w:val="00A921AB"/>
    <w:rsid w:val="00A9271C"/>
    <w:rsid w:val="00A92DE4"/>
    <w:rsid w:val="00A935CF"/>
    <w:rsid w:val="00A950C9"/>
    <w:rsid w:val="00A95527"/>
    <w:rsid w:val="00A96B5A"/>
    <w:rsid w:val="00A97C27"/>
    <w:rsid w:val="00AA0B13"/>
    <w:rsid w:val="00AA0FD7"/>
    <w:rsid w:val="00AA2F91"/>
    <w:rsid w:val="00AA33A6"/>
    <w:rsid w:val="00AA3639"/>
    <w:rsid w:val="00AA517D"/>
    <w:rsid w:val="00AA5239"/>
    <w:rsid w:val="00AA6119"/>
    <w:rsid w:val="00AA7FD4"/>
    <w:rsid w:val="00AB0717"/>
    <w:rsid w:val="00AB1A28"/>
    <w:rsid w:val="00AB3B8B"/>
    <w:rsid w:val="00AB4A23"/>
    <w:rsid w:val="00AB5B84"/>
    <w:rsid w:val="00AB5FB7"/>
    <w:rsid w:val="00AB678B"/>
    <w:rsid w:val="00AB6D8B"/>
    <w:rsid w:val="00AC0208"/>
    <w:rsid w:val="00AC0862"/>
    <w:rsid w:val="00AC2518"/>
    <w:rsid w:val="00AC2884"/>
    <w:rsid w:val="00AC3266"/>
    <w:rsid w:val="00AC384E"/>
    <w:rsid w:val="00AC3C03"/>
    <w:rsid w:val="00AC522C"/>
    <w:rsid w:val="00AC58EF"/>
    <w:rsid w:val="00AC5FAC"/>
    <w:rsid w:val="00AC6A14"/>
    <w:rsid w:val="00AC6A7E"/>
    <w:rsid w:val="00AC6E82"/>
    <w:rsid w:val="00AD02AA"/>
    <w:rsid w:val="00AD41CE"/>
    <w:rsid w:val="00AD4926"/>
    <w:rsid w:val="00AD5623"/>
    <w:rsid w:val="00AD5C13"/>
    <w:rsid w:val="00AE10FB"/>
    <w:rsid w:val="00AE146F"/>
    <w:rsid w:val="00AE2F7E"/>
    <w:rsid w:val="00AE4CC7"/>
    <w:rsid w:val="00AE55AE"/>
    <w:rsid w:val="00AE618C"/>
    <w:rsid w:val="00AE650E"/>
    <w:rsid w:val="00AE7BD6"/>
    <w:rsid w:val="00AF1A69"/>
    <w:rsid w:val="00AF2655"/>
    <w:rsid w:val="00AF2930"/>
    <w:rsid w:val="00AF3650"/>
    <w:rsid w:val="00AF374B"/>
    <w:rsid w:val="00AF5F08"/>
    <w:rsid w:val="00AF6122"/>
    <w:rsid w:val="00AF6B1A"/>
    <w:rsid w:val="00AF7952"/>
    <w:rsid w:val="00B03F2F"/>
    <w:rsid w:val="00B06A65"/>
    <w:rsid w:val="00B074C6"/>
    <w:rsid w:val="00B11422"/>
    <w:rsid w:val="00B11D3D"/>
    <w:rsid w:val="00B12DF5"/>
    <w:rsid w:val="00B13014"/>
    <w:rsid w:val="00B13500"/>
    <w:rsid w:val="00B14D2E"/>
    <w:rsid w:val="00B14FC9"/>
    <w:rsid w:val="00B154AD"/>
    <w:rsid w:val="00B158AE"/>
    <w:rsid w:val="00B16542"/>
    <w:rsid w:val="00B16A1D"/>
    <w:rsid w:val="00B16BB3"/>
    <w:rsid w:val="00B17074"/>
    <w:rsid w:val="00B176E8"/>
    <w:rsid w:val="00B2049F"/>
    <w:rsid w:val="00B211C8"/>
    <w:rsid w:val="00B218D7"/>
    <w:rsid w:val="00B222EB"/>
    <w:rsid w:val="00B237BC"/>
    <w:rsid w:val="00B2668C"/>
    <w:rsid w:val="00B2674C"/>
    <w:rsid w:val="00B26CFA"/>
    <w:rsid w:val="00B2796C"/>
    <w:rsid w:val="00B30FFB"/>
    <w:rsid w:val="00B319D7"/>
    <w:rsid w:val="00B33DAF"/>
    <w:rsid w:val="00B3559E"/>
    <w:rsid w:val="00B36F9D"/>
    <w:rsid w:val="00B37C28"/>
    <w:rsid w:val="00B4121E"/>
    <w:rsid w:val="00B41C24"/>
    <w:rsid w:val="00B42AEE"/>
    <w:rsid w:val="00B4475F"/>
    <w:rsid w:val="00B44886"/>
    <w:rsid w:val="00B44FFD"/>
    <w:rsid w:val="00B4578A"/>
    <w:rsid w:val="00B538D8"/>
    <w:rsid w:val="00B5394E"/>
    <w:rsid w:val="00B53A32"/>
    <w:rsid w:val="00B53BA5"/>
    <w:rsid w:val="00B55784"/>
    <w:rsid w:val="00B573AF"/>
    <w:rsid w:val="00B61DAC"/>
    <w:rsid w:val="00B62314"/>
    <w:rsid w:val="00B627E8"/>
    <w:rsid w:val="00B62923"/>
    <w:rsid w:val="00B647B2"/>
    <w:rsid w:val="00B65329"/>
    <w:rsid w:val="00B65C7C"/>
    <w:rsid w:val="00B66329"/>
    <w:rsid w:val="00B6722D"/>
    <w:rsid w:val="00B702E3"/>
    <w:rsid w:val="00B70420"/>
    <w:rsid w:val="00B70722"/>
    <w:rsid w:val="00B717A6"/>
    <w:rsid w:val="00B719CE"/>
    <w:rsid w:val="00B7245E"/>
    <w:rsid w:val="00B72647"/>
    <w:rsid w:val="00B7280F"/>
    <w:rsid w:val="00B73C21"/>
    <w:rsid w:val="00B7440F"/>
    <w:rsid w:val="00B7449B"/>
    <w:rsid w:val="00B75CA2"/>
    <w:rsid w:val="00B75F4D"/>
    <w:rsid w:val="00B76FC4"/>
    <w:rsid w:val="00B80052"/>
    <w:rsid w:val="00B80610"/>
    <w:rsid w:val="00B806C5"/>
    <w:rsid w:val="00B80BBB"/>
    <w:rsid w:val="00B8210F"/>
    <w:rsid w:val="00B83780"/>
    <w:rsid w:val="00B84F77"/>
    <w:rsid w:val="00B859FE"/>
    <w:rsid w:val="00B87FF8"/>
    <w:rsid w:val="00B93EE2"/>
    <w:rsid w:val="00B95776"/>
    <w:rsid w:val="00B95B59"/>
    <w:rsid w:val="00B969A9"/>
    <w:rsid w:val="00B96CEB"/>
    <w:rsid w:val="00B96F8E"/>
    <w:rsid w:val="00B9775C"/>
    <w:rsid w:val="00B97C3E"/>
    <w:rsid w:val="00BA020B"/>
    <w:rsid w:val="00BA2FB0"/>
    <w:rsid w:val="00BA3B82"/>
    <w:rsid w:val="00BA53F4"/>
    <w:rsid w:val="00BA559E"/>
    <w:rsid w:val="00BA59B7"/>
    <w:rsid w:val="00BA76C0"/>
    <w:rsid w:val="00BB0024"/>
    <w:rsid w:val="00BB0B8E"/>
    <w:rsid w:val="00BB2715"/>
    <w:rsid w:val="00BB298E"/>
    <w:rsid w:val="00BB36FD"/>
    <w:rsid w:val="00BB3DF7"/>
    <w:rsid w:val="00BB4B32"/>
    <w:rsid w:val="00BB4C00"/>
    <w:rsid w:val="00BB6403"/>
    <w:rsid w:val="00BB7FC3"/>
    <w:rsid w:val="00BC02AA"/>
    <w:rsid w:val="00BC079C"/>
    <w:rsid w:val="00BC1ABB"/>
    <w:rsid w:val="00BC319D"/>
    <w:rsid w:val="00BC3715"/>
    <w:rsid w:val="00BC46D9"/>
    <w:rsid w:val="00BC54D7"/>
    <w:rsid w:val="00BC5B5A"/>
    <w:rsid w:val="00BC637A"/>
    <w:rsid w:val="00BC7C87"/>
    <w:rsid w:val="00BD0279"/>
    <w:rsid w:val="00BD1B61"/>
    <w:rsid w:val="00BD1FFF"/>
    <w:rsid w:val="00BD3A95"/>
    <w:rsid w:val="00BD5CA1"/>
    <w:rsid w:val="00BD729D"/>
    <w:rsid w:val="00BD76A5"/>
    <w:rsid w:val="00BD783D"/>
    <w:rsid w:val="00BD78F4"/>
    <w:rsid w:val="00BE0AB9"/>
    <w:rsid w:val="00BE0BB6"/>
    <w:rsid w:val="00BE1651"/>
    <w:rsid w:val="00BE2CAB"/>
    <w:rsid w:val="00BE2F40"/>
    <w:rsid w:val="00BE3FCD"/>
    <w:rsid w:val="00BE40D3"/>
    <w:rsid w:val="00BE5693"/>
    <w:rsid w:val="00BE5D3E"/>
    <w:rsid w:val="00BF3C81"/>
    <w:rsid w:val="00BF4088"/>
    <w:rsid w:val="00BF538A"/>
    <w:rsid w:val="00BF64EF"/>
    <w:rsid w:val="00C00CE5"/>
    <w:rsid w:val="00C00F98"/>
    <w:rsid w:val="00C0284B"/>
    <w:rsid w:val="00C02EE3"/>
    <w:rsid w:val="00C07319"/>
    <w:rsid w:val="00C074B8"/>
    <w:rsid w:val="00C104EE"/>
    <w:rsid w:val="00C11CCF"/>
    <w:rsid w:val="00C14EA6"/>
    <w:rsid w:val="00C15DEA"/>
    <w:rsid w:val="00C1735D"/>
    <w:rsid w:val="00C22F6E"/>
    <w:rsid w:val="00C23D12"/>
    <w:rsid w:val="00C243FB"/>
    <w:rsid w:val="00C24B75"/>
    <w:rsid w:val="00C25AA5"/>
    <w:rsid w:val="00C25D66"/>
    <w:rsid w:val="00C27CE6"/>
    <w:rsid w:val="00C3003E"/>
    <w:rsid w:val="00C32B78"/>
    <w:rsid w:val="00C33F2B"/>
    <w:rsid w:val="00C349A4"/>
    <w:rsid w:val="00C35365"/>
    <w:rsid w:val="00C35AB3"/>
    <w:rsid w:val="00C3675E"/>
    <w:rsid w:val="00C36A4C"/>
    <w:rsid w:val="00C40B58"/>
    <w:rsid w:val="00C4114E"/>
    <w:rsid w:val="00C42B3F"/>
    <w:rsid w:val="00C43CE4"/>
    <w:rsid w:val="00C43FA0"/>
    <w:rsid w:val="00C44585"/>
    <w:rsid w:val="00C445D2"/>
    <w:rsid w:val="00C45300"/>
    <w:rsid w:val="00C4707C"/>
    <w:rsid w:val="00C502C1"/>
    <w:rsid w:val="00C52020"/>
    <w:rsid w:val="00C52B87"/>
    <w:rsid w:val="00C539B5"/>
    <w:rsid w:val="00C553B2"/>
    <w:rsid w:val="00C55C8E"/>
    <w:rsid w:val="00C56AAB"/>
    <w:rsid w:val="00C56F61"/>
    <w:rsid w:val="00C61512"/>
    <w:rsid w:val="00C63F64"/>
    <w:rsid w:val="00C64713"/>
    <w:rsid w:val="00C653B6"/>
    <w:rsid w:val="00C654D1"/>
    <w:rsid w:val="00C65CDE"/>
    <w:rsid w:val="00C6614B"/>
    <w:rsid w:val="00C6676E"/>
    <w:rsid w:val="00C67D07"/>
    <w:rsid w:val="00C715C4"/>
    <w:rsid w:val="00C71A78"/>
    <w:rsid w:val="00C7254B"/>
    <w:rsid w:val="00C74663"/>
    <w:rsid w:val="00C777FF"/>
    <w:rsid w:val="00C77E3C"/>
    <w:rsid w:val="00C81A4C"/>
    <w:rsid w:val="00C822CA"/>
    <w:rsid w:val="00C85E7F"/>
    <w:rsid w:val="00C86989"/>
    <w:rsid w:val="00C9166A"/>
    <w:rsid w:val="00C926C2"/>
    <w:rsid w:val="00C926E0"/>
    <w:rsid w:val="00C92E1A"/>
    <w:rsid w:val="00C94C05"/>
    <w:rsid w:val="00C95350"/>
    <w:rsid w:val="00C97A7C"/>
    <w:rsid w:val="00C97FBF"/>
    <w:rsid w:val="00CA2124"/>
    <w:rsid w:val="00CA347D"/>
    <w:rsid w:val="00CA3E41"/>
    <w:rsid w:val="00CA46B9"/>
    <w:rsid w:val="00CA47B4"/>
    <w:rsid w:val="00CA7467"/>
    <w:rsid w:val="00CA7AE4"/>
    <w:rsid w:val="00CB02DD"/>
    <w:rsid w:val="00CB09AF"/>
    <w:rsid w:val="00CB126B"/>
    <w:rsid w:val="00CB3448"/>
    <w:rsid w:val="00CB6726"/>
    <w:rsid w:val="00CB7713"/>
    <w:rsid w:val="00CB7CD4"/>
    <w:rsid w:val="00CC046F"/>
    <w:rsid w:val="00CC26E0"/>
    <w:rsid w:val="00CC5009"/>
    <w:rsid w:val="00CC5747"/>
    <w:rsid w:val="00CC69EA"/>
    <w:rsid w:val="00CD17FA"/>
    <w:rsid w:val="00CD275E"/>
    <w:rsid w:val="00CD38B1"/>
    <w:rsid w:val="00CD3BBF"/>
    <w:rsid w:val="00CD3C9A"/>
    <w:rsid w:val="00CD733C"/>
    <w:rsid w:val="00CE066E"/>
    <w:rsid w:val="00CE0E4C"/>
    <w:rsid w:val="00CE1C9C"/>
    <w:rsid w:val="00CE1F86"/>
    <w:rsid w:val="00CE2092"/>
    <w:rsid w:val="00CE24F3"/>
    <w:rsid w:val="00CE3355"/>
    <w:rsid w:val="00CE3E81"/>
    <w:rsid w:val="00CE4A5B"/>
    <w:rsid w:val="00CE6882"/>
    <w:rsid w:val="00CF0845"/>
    <w:rsid w:val="00CF3393"/>
    <w:rsid w:val="00CF3C73"/>
    <w:rsid w:val="00CF717C"/>
    <w:rsid w:val="00CF7695"/>
    <w:rsid w:val="00D00090"/>
    <w:rsid w:val="00D002EA"/>
    <w:rsid w:val="00D01EE8"/>
    <w:rsid w:val="00D03967"/>
    <w:rsid w:val="00D04C9C"/>
    <w:rsid w:val="00D0535D"/>
    <w:rsid w:val="00D06F99"/>
    <w:rsid w:val="00D1020F"/>
    <w:rsid w:val="00D1197E"/>
    <w:rsid w:val="00D14A46"/>
    <w:rsid w:val="00D14CB1"/>
    <w:rsid w:val="00D20166"/>
    <w:rsid w:val="00D2072A"/>
    <w:rsid w:val="00D20DFC"/>
    <w:rsid w:val="00D20E48"/>
    <w:rsid w:val="00D216A0"/>
    <w:rsid w:val="00D220AA"/>
    <w:rsid w:val="00D22C3A"/>
    <w:rsid w:val="00D2480D"/>
    <w:rsid w:val="00D26547"/>
    <w:rsid w:val="00D26E00"/>
    <w:rsid w:val="00D27C11"/>
    <w:rsid w:val="00D31EDA"/>
    <w:rsid w:val="00D33189"/>
    <w:rsid w:val="00D33F5D"/>
    <w:rsid w:val="00D342E5"/>
    <w:rsid w:val="00D371FB"/>
    <w:rsid w:val="00D37ACF"/>
    <w:rsid w:val="00D37ED3"/>
    <w:rsid w:val="00D40312"/>
    <w:rsid w:val="00D4049C"/>
    <w:rsid w:val="00D40F45"/>
    <w:rsid w:val="00D41D72"/>
    <w:rsid w:val="00D42015"/>
    <w:rsid w:val="00D42DE4"/>
    <w:rsid w:val="00D438E9"/>
    <w:rsid w:val="00D43A83"/>
    <w:rsid w:val="00D43EF9"/>
    <w:rsid w:val="00D4514A"/>
    <w:rsid w:val="00D46840"/>
    <w:rsid w:val="00D46A95"/>
    <w:rsid w:val="00D46C8B"/>
    <w:rsid w:val="00D475F8"/>
    <w:rsid w:val="00D503C0"/>
    <w:rsid w:val="00D53FB1"/>
    <w:rsid w:val="00D54D6F"/>
    <w:rsid w:val="00D562E6"/>
    <w:rsid w:val="00D62756"/>
    <w:rsid w:val="00D62BF5"/>
    <w:rsid w:val="00D640D5"/>
    <w:rsid w:val="00D64148"/>
    <w:rsid w:val="00D6683E"/>
    <w:rsid w:val="00D671DE"/>
    <w:rsid w:val="00D71F4C"/>
    <w:rsid w:val="00D75C54"/>
    <w:rsid w:val="00D75D32"/>
    <w:rsid w:val="00D765A5"/>
    <w:rsid w:val="00D76E1E"/>
    <w:rsid w:val="00D77AF8"/>
    <w:rsid w:val="00D77CFE"/>
    <w:rsid w:val="00D83EBE"/>
    <w:rsid w:val="00D84263"/>
    <w:rsid w:val="00D8568B"/>
    <w:rsid w:val="00D8676F"/>
    <w:rsid w:val="00D87248"/>
    <w:rsid w:val="00D87475"/>
    <w:rsid w:val="00D9046A"/>
    <w:rsid w:val="00D931BE"/>
    <w:rsid w:val="00D950DC"/>
    <w:rsid w:val="00D95D7B"/>
    <w:rsid w:val="00D95D81"/>
    <w:rsid w:val="00DA072E"/>
    <w:rsid w:val="00DA29E0"/>
    <w:rsid w:val="00DA2AB7"/>
    <w:rsid w:val="00DA3B0B"/>
    <w:rsid w:val="00DA484E"/>
    <w:rsid w:val="00DA7B9E"/>
    <w:rsid w:val="00DB1573"/>
    <w:rsid w:val="00DB1AF3"/>
    <w:rsid w:val="00DB33E0"/>
    <w:rsid w:val="00DB3910"/>
    <w:rsid w:val="00DB45CB"/>
    <w:rsid w:val="00DB656A"/>
    <w:rsid w:val="00DB781A"/>
    <w:rsid w:val="00DB7884"/>
    <w:rsid w:val="00DC2BD7"/>
    <w:rsid w:val="00DC3C5A"/>
    <w:rsid w:val="00DC4B1D"/>
    <w:rsid w:val="00DC60CD"/>
    <w:rsid w:val="00DC612E"/>
    <w:rsid w:val="00DC7244"/>
    <w:rsid w:val="00DC7542"/>
    <w:rsid w:val="00DC783B"/>
    <w:rsid w:val="00DD08D7"/>
    <w:rsid w:val="00DD2816"/>
    <w:rsid w:val="00DD7DFD"/>
    <w:rsid w:val="00DE0FE3"/>
    <w:rsid w:val="00DE473B"/>
    <w:rsid w:val="00DE4841"/>
    <w:rsid w:val="00DE496D"/>
    <w:rsid w:val="00DE57E5"/>
    <w:rsid w:val="00DF06E8"/>
    <w:rsid w:val="00DF0F39"/>
    <w:rsid w:val="00DF1225"/>
    <w:rsid w:val="00DF37A2"/>
    <w:rsid w:val="00DF47C9"/>
    <w:rsid w:val="00DF7563"/>
    <w:rsid w:val="00E009FC"/>
    <w:rsid w:val="00E01206"/>
    <w:rsid w:val="00E02261"/>
    <w:rsid w:val="00E02FF4"/>
    <w:rsid w:val="00E03AF9"/>
    <w:rsid w:val="00E048CB"/>
    <w:rsid w:val="00E04F2E"/>
    <w:rsid w:val="00E10BAF"/>
    <w:rsid w:val="00E11514"/>
    <w:rsid w:val="00E11805"/>
    <w:rsid w:val="00E11F8D"/>
    <w:rsid w:val="00E1437A"/>
    <w:rsid w:val="00E1449A"/>
    <w:rsid w:val="00E156C0"/>
    <w:rsid w:val="00E15D30"/>
    <w:rsid w:val="00E15D74"/>
    <w:rsid w:val="00E16A40"/>
    <w:rsid w:val="00E17BCE"/>
    <w:rsid w:val="00E20982"/>
    <w:rsid w:val="00E22C5E"/>
    <w:rsid w:val="00E23288"/>
    <w:rsid w:val="00E23BB9"/>
    <w:rsid w:val="00E266CC"/>
    <w:rsid w:val="00E2670A"/>
    <w:rsid w:val="00E26D73"/>
    <w:rsid w:val="00E27230"/>
    <w:rsid w:val="00E30BC8"/>
    <w:rsid w:val="00E32A05"/>
    <w:rsid w:val="00E32B65"/>
    <w:rsid w:val="00E3396B"/>
    <w:rsid w:val="00E33E80"/>
    <w:rsid w:val="00E3523A"/>
    <w:rsid w:val="00E35306"/>
    <w:rsid w:val="00E35787"/>
    <w:rsid w:val="00E37049"/>
    <w:rsid w:val="00E3776F"/>
    <w:rsid w:val="00E37885"/>
    <w:rsid w:val="00E37EC9"/>
    <w:rsid w:val="00E40D50"/>
    <w:rsid w:val="00E42B8E"/>
    <w:rsid w:val="00E43B90"/>
    <w:rsid w:val="00E47623"/>
    <w:rsid w:val="00E477CA"/>
    <w:rsid w:val="00E477CC"/>
    <w:rsid w:val="00E50B5D"/>
    <w:rsid w:val="00E5412F"/>
    <w:rsid w:val="00E5493E"/>
    <w:rsid w:val="00E55353"/>
    <w:rsid w:val="00E556EA"/>
    <w:rsid w:val="00E569D0"/>
    <w:rsid w:val="00E56C34"/>
    <w:rsid w:val="00E6029F"/>
    <w:rsid w:val="00E60942"/>
    <w:rsid w:val="00E63B15"/>
    <w:rsid w:val="00E63D1E"/>
    <w:rsid w:val="00E6411E"/>
    <w:rsid w:val="00E644CA"/>
    <w:rsid w:val="00E662DF"/>
    <w:rsid w:val="00E66447"/>
    <w:rsid w:val="00E664FF"/>
    <w:rsid w:val="00E66A22"/>
    <w:rsid w:val="00E66B7A"/>
    <w:rsid w:val="00E67160"/>
    <w:rsid w:val="00E72A98"/>
    <w:rsid w:val="00E76041"/>
    <w:rsid w:val="00E7638B"/>
    <w:rsid w:val="00E7647D"/>
    <w:rsid w:val="00E81282"/>
    <w:rsid w:val="00E82CF4"/>
    <w:rsid w:val="00E82EF6"/>
    <w:rsid w:val="00E837BB"/>
    <w:rsid w:val="00E83C9E"/>
    <w:rsid w:val="00E83FAC"/>
    <w:rsid w:val="00E871F8"/>
    <w:rsid w:val="00E9066F"/>
    <w:rsid w:val="00E90E58"/>
    <w:rsid w:val="00E92723"/>
    <w:rsid w:val="00E93345"/>
    <w:rsid w:val="00E94B98"/>
    <w:rsid w:val="00E95C1E"/>
    <w:rsid w:val="00E95F99"/>
    <w:rsid w:val="00E96F52"/>
    <w:rsid w:val="00EA2194"/>
    <w:rsid w:val="00EA411D"/>
    <w:rsid w:val="00EA4B3A"/>
    <w:rsid w:val="00EA4E8F"/>
    <w:rsid w:val="00EA5F1E"/>
    <w:rsid w:val="00EA7C75"/>
    <w:rsid w:val="00EB0066"/>
    <w:rsid w:val="00EB086E"/>
    <w:rsid w:val="00EB1059"/>
    <w:rsid w:val="00EB23A1"/>
    <w:rsid w:val="00EB248C"/>
    <w:rsid w:val="00EB2F53"/>
    <w:rsid w:val="00EB4F8D"/>
    <w:rsid w:val="00EB5188"/>
    <w:rsid w:val="00EB767C"/>
    <w:rsid w:val="00EC09EF"/>
    <w:rsid w:val="00EC0C89"/>
    <w:rsid w:val="00EC1970"/>
    <w:rsid w:val="00EC2358"/>
    <w:rsid w:val="00EC25F4"/>
    <w:rsid w:val="00EC364B"/>
    <w:rsid w:val="00EC6856"/>
    <w:rsid w:val="00EC6AD0"/>
    <w:rsid w:val="00EC6F47"/>
    <w:rsid w:val="00ED0D36"/>
    <w:rsid w:val="00ED2C3C"/>
    <w:rsid w:val="00ED5165"/>
    <w:rsid w:val="00ED6261"/>
    <w:rsid w:val="00ED6D53"/>
    <w:rsid w:val="00EE1118"/>
    <w:rsid w:val="00EE221B"/>
    <w:rsid w:val="00EE2DE7"/>
    <w:rsid w:val="00EE418A"/>
    <w:rsid w:val="00EE76E3"/>
    <w:rsid w:val="00EF2380"/>
    <w:rsid w:val="00EF2928"/>
    <w:rsid w:val="00EF2CA0"/>
    <w:rsid w:val="00EF4146"/>
    <w:rsid w:val="00EF4953"/>
    <w:rsid w:val="00EF6140"/>
    <w:rsid w:val="00EF700E"/>
    <w:rsid w:val="00EF726C"/>
    <w:rsid w:val="00F00AB5"/>
    <w:rsid w:val="00F03969"/>
    <w:rsid w:val="00F05688"/>
    <w:rsid w:val="00F07B40"/>
    <w:rsid w:val="00F07CA3"/>
    <w:rsid w:val="00F120F7"/>
    <w:rsid w:val="00F1222E"/>
    <w:rsid w:val="00F12F54"/>
    <w:rsid w:val="00F131E8"/>
    <w:rsid w:val="00F134AA"/>
    <w:rsid w:val="00F14104"/>
    <w:rsid w:val="00F141A2"/>
    <w:rsid w:val="00F14FE0"/>
    <w:rsid w:val="00F15893"/>
    <w:rsid w:val="00F160AB"/>
    <w:rsid w:val="00F16C2D"/>
    <w:rsid w:val="00F20C01"/>
    <w:rsid w:val="00F2122C"/>
    <w:rsid w:val="00F21431"/>
    <w:rsid w:val="00F21506"/>
    <w:rsid w:val="00F21BFA"/>
    <w:rsid w:val="00F2225B"/>
    <w:rsid w:val="00F2356E"/>
    <w:rsid w:val="00F247DF"/>
    <w:rsid w:val="00F25A3C"/>
    <w:rsid w:val="00F25D79"/>
    <w:rsid w:val="00F2632D"/>
    <w:rsid w:val="00F26543"/>
    <w:rsid w:val="00F27C6E"/>
    <w:rsid w:val="00F321EA"/>
    <w:rsid w:val="00F326B3"/>
    <w:rsid w:val="00F33E2B"/>
    <w:rsid w:val="00F34B44"/>
    <w:rsid w:val="00F34C59"/>
    <w:rsid w:val="00F3546D"/>
    <w:rsid w:val="00F357B6"/>
    <w:rsid w:val="00F361ED"/>
    <w:rsid w:val="00F3765F"/>
    <w:rsid w:val="00F37785"/>
    <w:rsid w:val="00F404BA"/>
    <w:rsid w:val="00F41278"/>
    <w:rsid w:val="00F41CF3"/>
    <w:rsid w:val="00F44468"/>
    <w:rsid w:val="00F45B70"/>
    <w:rsid w:val="00F4695D"/>
    <w:rsid w:val="00F47537"/>
    <w:rsid w:val="00F47A71"/>
    <w:rsid w:val="00F50F52"/>
    <w:rsid w:val="00F51634"/>
    <w:rsid w:val="00F527D5"/>
    <w:rsid w:val="00F52C31"/>
    <w:rsid w:val="00F54111"/>
    <w:rsid w:val="00F54EF2"/>
    <w:rsid w:val="00F57224"/>
    <w:rsid w:val="00F61164"/>
    <w:rsid w:val="00F62708"/>
    <w:rsid w:val="00F62819"/>
    <w:rsid w:val="00F6315A"/>
    <w:rsid w:val="00F651B7"/>
    <w:rsid w:val="00F66151"/>
    <w:rsid w:val="00F66A36"/>
    <w:rsid w:val="00F67AC9"/>
    <w:rsid w:val="00F67F80"/>
    <w:rsid w:val="00F708B8"/>
    <w:rsid w:val="00F709E4"/>
    <w:rsid w:val="00F71296"/>
    <w:rsid w:val="00F723D3"/>
    <w:rsid w:val="00F73458"/>
    <w:rsid w:val="00F74F49"/>
    <w:rsid w:val="00F75254"/>
    <w:rsid w:val="00F75581"/>
    <w:rsid w:val="00F75CCC"/>
    <w:rsid w:val="00F768B5"/>
    <w:rsid w:val="00F76E31"/>
    <w:rsid w:val="00F77DFA"/>
    <w:rsid w:val="00F81FBB"/>
    <w:rsid w:val="00F82FB1"/>
    <w:rsid w:val="00F83058"/>
    <w:rsid w:val="00F84597"/>
    <w:rsid w:val="00F84649"/>
    <w:rsid w:val="00F90859"/>
    <w:rsid w:val="00F90DC5"/>
    <w:rsid w:val="00F91CDF"/>
    <w:rsid w:val="00F94E64"/>
    <w:rsid w:val="00F96132"/>
    <w:rsid w:val="00F96B41"/>
    <w:rsid w:val="00F96FA1"/>
    <w:rsid w:val="00F9754F"/>
    <w:rsid w:val="00FA0137"/>
    <w:rsid w:val="00FA0DBA"/>
    <w:rsid w:val="00FA19BF"/>
    <w:rsid w:val="00FA3057"/>
    <w:rsid w:val="00FA35FB"/>
    <w:rsid w:val="00FA40CD"/>
    <w:rsid w:val="00FA4696"/>
    <w:rsid w:val="00FA538E"/>
    <w:rsid w:val="00FA56E3"/>
    <w:rsid w:val="00FA57DD"/>
    <w:rsid w:val="00FA5DE8"/>
    <w:rsid w:val="00FA6FB6"/>
    <w:rsid w:val="00FA786C"/>
    <w:rsid w:val="00FB0769"/>
    <w:rsid w:val="00FB19D6"/>
    <w:rsid w:val="00FB23D4"/>
    <w:rsid w:val="00FB4590"/>
    <w:rsid w:val="00FB5E0A"/>
    <w:rsid w:val="00FB64A9"/>
    <w:rsid w:val="00FC06A1"/>
    <w:rsid w:val="00FC0795"/>
    <w:rsid w:val="00FC166A"/>
    <w:rsid w:val="00FC19B7"/>
    <w:rsid w:val="00FC1A19"/>
    <w:rsid w:val="00FC230C"/>
    <w:rsid w:val="00FC2391"/>
    <w:rsid w:val="00FC2ED3"/>
    <w:rsid w:val="00FC377B"/>
    <w:rsid w:val="00FC48F0"/>
    <w:rsid w:val="00FC6EE0"/>
    <w:rsid w:val="00FC728D"/>
    <w:rsid w:val="00FC7B73"/>
    <w:rsid w:val="00FD0F70"/>
    <w:rsid w:val="00FD1271"/>
    <w:rsid w:val="00FD3063"/>
    <w:rsid w:val="00FD502A"/>
    <w:rsid w:val="00FD65E7"/>
    <w:rsid w:val="00FD670B"/>
    <w:rsid w:val="00FE01FE"/>
    <w:rsid w:val="00FE104B"/>
    <w:rsid w:val="00FE4398"/>
    <w:rsid w:val="00FE58B3"/>
    <w:rsid w:val="00FE656E"/>
    <w:rsid w:val="00FE6CD7"/>
    <w:rsid w:val="00FE7483"/>
    <w:rsid w:val="00FE781A"/>
    <w:rsid w:val="00FF044A"/>
    <w:rsid w:val="00FF04FB"/>
    <w:rsid w:val="00FF0558"/>
    <w:rsid w:val="00FF0A4C"/>
    <w:rsid w:val="00FF5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46226"/>
  <w15:docId w15:val="{3C41FA9E-B0B8-7A4D-960D-3786DE0C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99"/>
    <w:pPr>
      <w:spacing w:line="360" w:lineRule="auto"/>
      <w:ind w:firstLine="567"/>
      <w:jc w:val="both"/>
    </w:pPr>
    <w:rPr>
      <w:rFonts w:ascii="Times New Roman" w:hAnsi="Times New Roman" w:cs="Times New Roman"/>
    </w:rPr>
  </w:style>
  <w:style w:type="paragraph" w:styleId="Heading1">
    <w:name w:val="heading 1"/>
    <w:basedOn w:val="Normal"/>
    <w:next w:val="Normal"/>
    <w:link w:val="Heading1Char"/>
    <w:uiPriority w:val="9"/>
    <w:qFormat/>
    <w:rsid w:val="00D06F99"/>
    <w:pPr>
      <w:keepNext/>
      <w:keepLines/>
      <w:numPr>
        <w:numId w:val="1"/>
      </w:numPr>
      <w:spacing w:before="480"/>
      <w:outlineLvl w:val="0"/>
    </w:pPr>
    <w:rPr>
      <w:rFonts w:eastAsiaTheme="majorEastAsia"/>
      <w:b/>
      <w:bCs/>
      <w:lang w:val="en-US"/>
    </w:rPr>
  </w:style>
  <w:style w:type="paragraph" w:styleId="Heading2">
    <w:name w:val="heading 2"/>
    <w:basedOn w:val="Normal"/>
    <w:next w:val="Normal"/>
    <w:link w:val="Heading2Char"/>
    <w:uiPriority w:val="9"/>
    <w:unhideWhenUsed/>
    <w:qFormat/>
    <w:rsid w:val="00FA538E"/>
    <w:pPr>
      <w:keepNext/>
      <w:keepLines/>
      <w:numPr>
        <w:ilvl w:val="1"/>
        <w:numId w:val="1"/>
      </w:numPr>
      <w:spacing w:before="200"/>
      <w:ind w:left="576"/>
      <w:outlineLvl w:val="1"/>
    </w:pPr>
    <w:rPr>
      <w:rFonts w:eastAsiaTheme="majorEastAsia"/>
      <w:b/>
    </w:rPr>
  </w:style>
  <w:style w:type="paragraph" w:styleId="Heading3">
    <w:name w:val="heading 3"/>
    <w:basedOn w:val="Normal"/>
    <w:next w:val="Normal"/>
    <w:link w:val="Heading3Char"/>
    <w:uiPriority w:val="9"/>
    <w:unhideWhenUsed/>
    <w:qFormat/>
    <w:rsid w:val="000A7B64"/>
    <w:pPr>
      <w:keepNext/>
      <w:keepLines/>
      <w:numPr>
        <w:ilvl w:val="2"/>
        <w:numId w:val="1"/>
      </w:numPr>
      <w:spacing w:before="200"/>
      <w:ind w:left="720" w:hanging="153"/>
      <w:outlineLvl w:val="2"/>
    </w:pPr>
    <w:rPr>
      <w:rFonts w:eastAsiaTheme="majorEastAsia"/>
      <w:b/>
      <w:i/>
      <w:iCs/>
    </w:rPr>
  </w:style>
  <w:style w:type="paragraph" w:styleId="Heading7">
    <w:name w:val="heading 7"/>
    <w:basedOn w:val="Normal"/>
    <w:next w:val="Normal"/>
    <w:link w:val="Heading7Char"/>
    <w:uiPriority w:val="9"/>
    <w:semiHidden/>
    <w:unhideWhenUsed/>
    <w:qFormat/>
    <w:rsid w:val="005B0D03"/>
    <w:pPr>
      <w:keepNext/>
      <w:keepLines/>
      <w:numPr>
        <w:ilvl w:val="6"/>
        <w:numId w:val="1"/>
      </w:numPr>
      <w:spacing w:before="200" w:line="48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D03"/>
    <w:pPr>
      <w:keepNext/>
      <w:keepLines/>
      <w:numPr>
        <w:ilvl w:val="7"/>
        <w:numId w:val="1"/>
      </w:numPr>
      <w:spacing w:before="200" w:line="48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0D03"/>
    <w:pPr>
      <w:keepNext/>
      <w:keepLines/>
      <w:numPr>
        <w:ilvl w:val="8"/>
        <w:numId w:val="1"/>
      </w:numPr>
      <w:spacing w:before="200" w:line="48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99"/>
    <w:rPr>
      <w:rFonts w:ascii="Times New Roman" w:eastAsiaTheme="majorEastAsia" w:hAnsi="Times New Roman" w:cs="Times New Roman"/>
      <w:b/>
      <w:bCs/>
      <w:lang w:val="en-US"/>
    </w:rPr>
  </w:style>
  <w:style w:type="character" w:customStyle="1" w:styleId="Heading2Char">
    <w:name w:val="Heading 2 Char"/>
    <w:basedOn w:val="DefaultParagraphFont"/>
    <w:link w:val="Heading2"/>
    <w:uiPriority w:val="9"/>
    <w:rsid w:val="00FA538E"/>
    <w:rPr>
      <w:rFonts w:ascii="Times New Roman" w:eastAsiaTheme="majorEastAsia" w:hAnsi="Times New Roman" w:cs="Times New Roman"/>
      <w:b/>
    </w:rPr>
  </w:style>
  <w:style w:type="character" w:customStyle="1" w:styleId="Heading3Char">
    <w:name w:val="Heading 3 Char"/>
    <w:basedOn w:val="DefaultParagraphFont"/>
    <w:link w:val="Heading3"/>
    <w:uiPriority w:val="9"/>
    <w:rsid w:val="000A7B64"/>
    <w:rPr>
      <w:rFonts w:ascii="Times New Roman" w:eastAsiaTheme="majorEastAsia" w:hAnsi="Times New Roman" w:cs="Times New Roman"/>
      <w:b/>
      <w:i/>
      <w:iCs/>
    </w:rPr>
  </w:style>
  <w:style w:type="character" w:customStyle="1" w:styleId="Heading7Char">
    <w:name w:val="Heading 7 Char"/>
    <w:basedOn w:val="DefaultParagraphFont"/>
    <w:link w:val="Heading7"/>
    <w:uiPriority w:val="9"/>
    <w:semiHidden/>
    <w:rsid w:val="005B0D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0D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0D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C07EB"/>
    <w:pPr>
      <w:ind w:left="720"/>
      <w:contextualSpacing/>
    </w:pPr>
  </w:style>
  <w:style w:type="paragraph" w:styleId="Caption">
    <w:name w:val="caption"/>
    <w:basedOn w:val="Normal"/>
    <w:next w:val="Normal"/>
    <w:uiPriority w:val="35"/>
    <w:unhideWhenUsed/>
    <w:qFormat/>
    <w:rsid w:val="00D950DC"/>
    <w:pPr>
      <w:spacing w:after="200" w:line="240" w:lineRule="auto"/>
      <w:ind w:firstLine="0"/>
      <w:jc w:val="left"/>
    </w:pPr>
    <w:rPr>
      <w:rFonts w:ascii="Cambria" w:hAnsi="Cambria" w:cs="Arial"/>
    </w:rPr>
  </w:style>
  <w:style w:type="paragraph" w:styleId="Footer">
    <w:name w:val="footer"/>
    <w:basedOn w:val="Normal"/>
    <w:link w:val="FooterChar"/>
    <w:uiPriority w:val="99"/>
    <w:unhideWhenUsed/>
    <w:rsid w:val="00546CC3"/>
    <w:pPr>
      <w:tabs>
        <w:tab w:val="center" w:pos="4320"/>
        <w:tab w:val="right" w:pos="8640"/>
      </w:tabs>
      <w:spacing w:line="240" w:lineRule="auto"/>
    </w:pPr>
  </w:style>
  <w:style w:type="character" w:customStyle="1" w:styleId="FooterChar">
    <w:name w:val="Footer Char"/>
    <w:basedOn w:val="DefaultParagraphFont"/>
    <w:link w:val="Footer"/>
    <w:uiPriority w:val="99"/>
    <w:rsid w:val="00546CC3"/>
    <w:rPr>
      <w:rFonts w:ascii="Times New Roman" w:hAnsi="Times New Roman" w:cs="Times New Roman"/>
    </w:rPr>
  </w:style>
  <w:style w:type="character" w:styleId="PageNumber">
    <w:name w:val="page number"/>
    <w:basedOn w:val="DefaultParagraphFont"/>
    <w:uiPriority w:val="99"/>
    <w:semiHidden/>
    <w:unhideWhenUsed/>
    <w:rsid w:val="00546CC3"/>
  </w:style>
  <w:style w:type="paragraph" w:styleId="Header">
    <w:name w:val="header"/>
    <w:basedOn w:val="Normal"/>
    <w:link w:val="HeaderChar"/>
    <w:uiPriority w:val="99"/>
    <w:unhideWhenUsed/>
    <w:rsid w:val="00551FF2"/>
    <w:pPr>
      <w:tabs>
        <w:tab w:val="center" w:pos="4320"/>
        <w:tab w:val="right" w:pos="8640"/>
      </w:tabs>
      <w:spacing w:line="240" w:lineRule="auto"/>
    </w:pPr>
  </w:style>
  <w:style w:type="character" w:customStyle="1" w:styleId="HeaderChar">
    <w:name w:val="Header Char"/>
    <w:basedOn w:val="DefaultParagraphFont"/>
    <w:link w:val="Header"/>
    <w:uiPriority w:val="99"/>
    <w:rsid w:val="00551FF2"/>
    <w:rPr>
      <w:rFonts w:ascii="Times New Roman" w:hAnsi="Times New Roman" w:cs="Times New Roman"/>
    </w:rPr>
  </w:style>
  <w:style w:type="character" w:customStyle="1" w:styleId="apple-converted-space">
    <w:name w:val="apple-converted-space"/>
    <w:basedOn w:val="DefaultParagraphFont"/>
    <w:rsid w:val="00441414"/>
  </w:style>
  <w:style w:type="character" w:customStyle="1" w:styleId="fn">
    <w:name w:val="fn"/>
    <w:basedOn w:val="DefaultParagraphFont"/>
    <w:rsid w:val="00441414"/>
  </w:style>
  <w:style w:type="character" w:customStyle="1" w:styleId="subtitle1">
    <w:name w:val="subtitle1"/>
    <w:basedOn w:val="DefaultParagraphFont"/>
    <w:rsid w:val="00441414"/>
  </w:style>
  <w:style w:type="character" w:styleId="CommentReference">
    <w:name w:val="annotation reference"/>
    <w:basedOn w:val="DefaultParagraphFont"/>
    <w:uiPriority w:val="99"/>
    <w:semiHidden/>
    <w:unhideWhenUsed/>
    <w:rsid w:val="001C5B28"/>
    <w:rPr>
      <w:sz w:val="16"/>
      <w:szCs w:val="16"/>
    </w:rPr>
  </w:style>
  <w:style w:type="paragraph" w:styleId="CommentText">
    <w:name w:val="annotation text"/>
    <w:basedOn w:val="Normal"/>
    <w:link w:val="CommentTextChar"/>
    <w:uiPriority w:val="99"/>
    <w:semiHidden/>
    <w:unhideWhenUsed/>
    <w:rsid w:val="001C5B28"/>
    <w:pPr>
      <w:spacing w:line="240" w:lineRule="auto"/>
    </w:pPr>
    <w:rPr>
      <w:sz w:val="20"/>
      <w:szCs w:val="20"/>
    </w:rPr>
  </w:style>
  <w:style w:type="character" w:customStyle="1" w:styleId="CommentTextChar">
    <w:name w:val="Comment Text Char"/>
    <w:basedOn w:val="DefaultParagraphFont"/>
    <w:link w:val="CommentText"/>
    <w:uiPriority w:val="99"/>
    <w:semiHidden/>
    <w:rsid w:val="001C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B28"/>
    <w:rPr>
      <w:b/>
      <w:bCs/>
    </w:rPr>
  </w:style>
  <w:style w:type="character" w:customStyle="1" w:styleId="CommentSubjectChar">
    <w:name w:val="Comment Subject Char"/>
    <w:basedOn w:val="CommentTextChar"/>
    <w:link w:val="CommentSubject"/>
    <w:uiPriority w:val="99"/>
    <w:semiHidden/>
    <w:rsid w:val="001C5B2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C5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28"/>
    <w:rPr>
      <w:rFonts w:ascii="Tahoma" w:hAnsi="Tahoma" w:cs="Tahoma"/>
      <w:sz w:val="16"/>
      <w:szCs w:val="16"/>
    </w:rPr>
  </w:style>
  <w:style w:type="paragraph" w:styleId="Revision">
    <w:name w:val="Revision"/>
    <w:hidden/>
    <w:uiPriority w:val="99"/>
    <w:semiHidden/>
    <w:rsid w:val="00E23BB9"/>
    <w:rPr>
      <w:rFonts w:ascii="Times New Roman" w:hAnsi="Times New Roman" w:cs="Times New Roman"/>
    </w:rPr>
  </w:style>
  <w:style w:type="character" w:styleId="Hyperlink">
    <w:name w:val="Hyperlink"/>
    <w:basedOn w:val="DefaultParagraphFont"/>
    <w:uiPriority w:val="99"/>
    <w:unhideWhenUsed/>
    <w:rsid w:val="00C00CE5"/>
    <w:rPr>
      <w:color w:val="0000FF"/>
      <w:u w:val="single"/>
    </w:rPr>
  </w:style>
  <w:style w:type="table" w:styleId="TableGrid">
    <w:name w:val="Table Grid"/>
    <w:basedOn w:val="TableNormal"/>
    <w:uiPriority w:val="39"/>
    <w:rsid w:val="0080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0943">
      <w:bodyDiv w:val="1"/>
      <w:marLeft w:val="0"/>
      <w:marRight w:val="0"/>
      <w:marTop w:val="0"/>
      <w:marBottom w:val="0"/>
      <w:divBdr>
        <w:top w:val="none" w:sz="0" w:space="0" w:color="auto"/>
        <w:left w:val="none" w:sz="0" w:space="0" w:color="auto"/>
        <w:bottom w:val="none" w:sz="0" w:space="0" w:color="auto"/>
        <w:right w:val="none" w:sz="0" w:space="0" w:color="auto"/>
      </w:divBdr>
    </w:div>
    <w:div w:id="25371958">
      <w:bodyDiv w:val="1"/>
      <w:marLeft w:val="0"/>
      <w:marRight w:val="0"/>
      <w:marTop w:val="0"/>
      <w:marBottom w:val="0"/>
      <w:divBdr>
        <w:top w:val="none" w:sz="0" w:space="0" w:color="auto"/>
        <w:left w:val="none" w:sz="0" w:space="0" w:color="auto"/>
        <w:bottom w:val="none" w:sz="0" w:space="0" w:color="auto"/>
        <w:right w:val="none" w:sz="0" w:space="0" w:color="auto"/>
      </w:divBdr>
    </w:div>
    <w:div w:id="86931224">
      <w:bodyDiv w:val="1"/>
      <w:marLeft w:val="0"/>
      <w:marRight w:val="0"/>
      <w:marTop w:val="0"/>
      <w:marBottom w:val="0"/>
      <w:divBdr>
        <w:top w:val="none" w:sz="0" w:space="0" w:color="auto"/>
        <w:left w:val="none" w:sz="0" w:space="0" w:color="auto"/>
        <w:bottom w:val="none" w:sz="0" w:space="0" w:color="auto"/>
        <w:right w:val="none" w:sz="0" w:space="0" w:color="auto"/>
      </w:divBdr>
    </w:div>
    <w:div w:id="124396016">
      <w:bodyDiv w:val="1"/>
      <w:marLeft w:val="0"/>
      <w:marRight w:val="0"/>
      <w:marTop w:val="0"/>
      <w:marBottom w:val="0"/>
      <w:divBdr>
        <w:top w:val="none" w:sz="0" w:space="0" w:color="auto"/>
        <w:left w:val="none" w:sz="0" w:space="0" w:color="auto"/>
        <w:bottom w:val="none" w:sz="0" w:space="0" w:color="auto"/>
        <w:right w:val="none" w:sz="0" w:space="0" w:color="auto"/>
      </w:divBdr>
    </w:div>
    <w:div w:id="351104194">
      <w:bodyDiv w:val="1"/>
      <w:marLeft w:val="0"/>
      <w:marRight w:val="0"/>
      <w:marTop w:val="0"/>
      <w:marBottom w:val="0"/>
      <w:divBdr>
        <w:top w:val="none" w:sz="0" w:space="0" w:color="auto"/>
        <w:left w:val="none" w:sz="0" w:space="0" w:color="auto"/>
        <w:bottom w:val="none" w:sz="0" w:space="0" w:color="auto"/>
        <w:right w:val="none" w:sz="0" w:space="0" w:color="auto"/>
      </w:divBdr>
    </w:div>
    <w:div w:id="395126927">
      <w:bodyDiv w:val="1"/>
      <w:marLeft w:val="0"/>
      <w:marRight w:val="0"/>
      <w:marTop w:val="0"/>
      <w:marBottom w:val="0"/>
      <w:divBdr>
        <w:top w:val="none" w:sz="0" w:space="0" w:color="auto"/>
        <w:left w:val="none" w:sz="0" w:space="0" w:color="auto"/>
        <w:bottom w:val="none" w:sz="0" w:space="0" w:color="auto"/>
        <w:right w:val="none" w:sz="0" w:space="0" w:color="auto"/>
      </w:divBdr>
    </w:div>
    <w:div w:id="438835057">
      <w:bodyDiv w:val="1"/>
      <w:marLeft w:val="0"/>
      <w:marRight w:val="0"/>
      <w:marTop w:val="0"/>
      <w:marBottom w:val="0"/>
      <w:divBdr>
        <w:top w:val="none" w:sz="0" w:space="0" w:color="auto"/>
        <w:left w:val="none" w:sz="0" w:space="0" w:color="auto"/>
        <w:bottom w:val="none" w:sz="0" w:space="0" w:color="auto"/>
        <w:right w:val="none" w:sz="0" w:space="0" w:color="auto"/>
      </w:divBdr>
    </w:div>
    <w:div w:id="478572713">
      <w:bodyDiv w:val="1"/>
      <w:marLeft w:val="0"/>
      <w:marRight w:val="0"/>
      <w:marTop w:val="0"/>
      <w:marBottom w:val="0"/>
      <w:divBdr>
        <w:top w:val="none" w:sz="0" w:space="0" w:color="auto"/>
        <w:left w:val="none" w:sz="0" w:space="0" w:color="auto"/>
        <w:bottom w:val="none" w:sz="0" w:space="0" w:color="auto"/>
        <w:right w:val="none" w:sz="0" w:space="0" w:color="auto"/>
      </w:divBdr>
    </w:div>
    <w:div w:id="542333595">
      <w:bodyDiv w:val="1"/>
      <w:marLeft w:val="0"/>
      <w:marRight w:val="0"/>
      <w:marTop w:val="0"/>
      <w:marBottom w:val="0"/>
      <w:divBdr>
        <w:top w:val="none" w:sz="0" w:space="0" w:color="auto"/>
        <w:left w:val="none" w:sz="0" w:space="0" w:color="auto"/>
        <w:bottom w:val="none" w:sz="0" w:space="0" w:color="auto"/>
        <w:right w:val="none" w:sz="0" w:space="0" w:color="auto"/>
      </w:divBdr>
    </w:div>
    <w:div w:id="606156852">
      <w:bodyDiv w:val="1"/>
      <w:marLeft w:val="0"/>
      <w:marRight w:val="0"/>
      <w:marTop w:val="0"/>
      <w:marBottom w:val="0"/>
      <w:divBdr>
        <w:top w:val="none" w:sz="0" w:space="0" w:color="auto"/>
        <w:left w:val="none" w:sz="0" w:space="0" w:color="auto"/>
        <w:bottom w:val="none" w:sz="0" w:space="0" w:color="auto"/>
        <w:right w:val="none" w:sz="0" w:space="0" w:color="auto"/>
      </w:divBdr>
    </w:div>
    <w:div w:id="619608328">
      <w:bodyDiv w:val="1"/>
      <w:marLeft w:val="0"/>
      <w:marRight w:val="0"/>
      <w:marTop w:val="0"/>
      <w:marBottom w:val="0"/>
      <w:divBdr>
        <w:top w:val="none" w:sz="0" w:space="0" w:color="auto"/>
        <w:left w:val="none" w:sz="0" w:space="0" w:color="auto"/>
        <w:bottom w:val="none" w:sz="0" w:space="0" w:color="auto"/>
        <w:right w:val="none" w:sz="0" w:space="0" w:color="auto"/>
      </w:divBdr>
    </w:div>
    <w:div w:id="724375567">
      <w:bodyDiv w:val="1"/>
      <w:marLeft w:val="0"/>
      <w:marRight w:val="0"/>
      <w:marTop w:val="0"/>
      <w:marBottom w:val="0"/>
      <w:divBdr>
        <w:top w:val="none" w:sz="0" w:space="0" w:color="auto"/>
        <w:left w:val="none" w:sz="0" w:space="0" w:color="auto"/>
        <w:bottom w:val="none" w:sz="0" w:space="0" w:color="auto"/>
        <w:right w:val="none" w:sz="0" w:space="0" w:color="auto"/>
      </w:divBdr>
    </w:div>
    <w:div w:id="730351541">
      <w:bodyDiv w:val="1"/>
      <w:marLeft w:val="0"/>
      <w:marRight w:val="0"/>
      <w:marTop w:val="0"/>
      <w:marBottom w:val="0"/>
      <w:divBdr>
        <w:top w:val="none" w:sz="0" w:space="0" w:color="auto"/>
        <w:left w:val="none" w:sz="0" w:space="0" w:color="auto"/>
        <w:bottom w:val="none" w:sz="0" w:space="0" w:color="auto"/>
        <w:right w:val="none" w:sz="0" w:space="0" w:color="auto"/>
      </w:divBdr>
    </w:div>
    <w:div w:id="734937027">
      <w:bodyDiv w:val="1"/>
      <w:marLeft w:val="0"/>
      <w:marRight w:val="0"/>
      <w:marTop w:val="0"/>
      <w:marBottom w:val="0"/>
      <w:divBdr>
        <w:top w:val="none" w:sz="0" w:space="0" w:color="auto"/>
        <w:left w:val="none" w:sz="0" w:space="0" w:color="auto"/>
        <w:bottom w:val="none" w:sz="0" w:space="0" w:color="auto"/>
        <w:right w:val="none" w:sz="0" w:space="0" w:color="auto"/>
      </w:divBdr>
    </w:div>
    <w:div w:id="755830710">
      <w:bodyDiv w:val="1"/>
      <w:marLeft w:val="0"/>
      <w:marRight w:val="0"/>
      <w:marTop w:val="0"/>
      <w:marBottom w:val="0"/>
      <w:divBdr>
        <w:top w:val="none" w:sz="0" w:space="0" w:color="auto"/>
        <w:left w:val="none" w:sz="0" w:space="0" w:color="auto"/>
        <w:bottom w:val="none" w:sz="0" w:space="0" w:color="auto"/>
        <w:right w:val="none" w:sz="0" w:space="0" w:color="auto"/>
      </w:divBdr>
    </w:div>
    <w:div w:id="870189299">
      <w:bodyDiv w:val="1"/>
      <w:marLeft w:val="0"/>
      <w:marRight w:val="0"/>
      <w:marTop w:val="0"/>
      <w:marBottom w:val="0"/>
      <w:divBdr>
        <w:top w:val="none" w:sz="0" w:space="0" w:color="auto"/>
        <w:left w:val="none" w:sz="0" w:space="0" w:color="auto"/>
        <w:bottom w:val="none" w:sz="0" w:space="0" w:color="auto"/>
        <w:right w:val="none" w:sz="0" w:space="0" w:color="auto"/>
      </w:divBdr>
    </w:div>
    <w:div w:id="898252217">
      <w:bodyDiv w:val="1"/>
      <w:marLeft w:val="0"/>
      <w:marRight w:val="0"/>
      <w:marTop w:val="0"/>
      <w:marBottom w:val="0"/>
      <w:divBdr>
        <w:top w:val="none" w:sz="0" w:space="0" w:color="auto"/>
        <w:left w:val="none" w:sz="0" w:space="0" w:color="auto"/>
        <w:bottom w:val="none" w:sz="0" w:space="0" w:color="auto"/>
        <w:right w:val="none" w:sz="0" w:space="0" w:color="auto"/>
      </w:divBdr>
    </w:div>
    <w:div w:id="975767799">
      <w:bodyDiv w:val="1"/>
      <w:marLeft w:val="0"/>
      <w:marRight w:val="0"/>
      <w:marTop w:val="0"/>
      <w:marBottom w:val="0"/>
      <w:divBdr>
        <w:top w:val="none" w:sz="0" w:space="0" w:color="auto"/>
        <w:left w:val="none" w:sz="0" w:space="0" w:color="auto"/>
        <w:bottom w:val="none" w:sz="0" w:space="0" w:color="auto"/>
        <w:right w:val="none" w:sz="0" w:space="0" w:color="auto"/>
      </w:divBdr>
    </w:div>
    <w:div w:id="1061293779">
      <w:bodyDiv w:val="1"/>
      <w:marLeft w:val="0"/>
      <w:marRight w:val="0"/>
      <w:marTop w:val="0"/>
      <w:marBottom w:val="0"/>
      <w:divBdr>
        <w:top w:val="none" w:sz="0" w:space="0" w:color="auto"/>
        <w:left w:val="none" w:sz="0" w:space="0" w:color="auto"/>
        <w:bottom w:val="none" w:sz="0" w:space="0" w:color="auto"/>
        <w:right w:val="none" w:sz="0" w:space="0" w:color="auto"/>
      </w:divBdr>
    </w:div>
    <w:div w:id="1146511511">
      <w:bodyDiv w:val="1"/>
      <w:marLeft w:val="0"/>
      <w:marRight w:val="0"/>
      <w:marTop w:val="0"/>
      <w:marBottom w:val="0"/>
      <w:divBdr>
        <w:top w:val="none" w:sz="0" w:space="0" w:color="auto"/>
        <w:left w:val="none" w:sz="0" w:space="0" w:color="auto"/>
        <w:bottom w:val="none" w:sz="0" w:space="0" w:color="auto"/>
        <w:right w:val="none" w:sz="0" w:space="0" w:color="auto"/>
      </w:divBdr>
    </w:div>
    <w:div w:id="1195465313">
      <w:bodyDiv w:val="1"/>
      <w:marLeft w:val="0"/>
      <w:marRight w:val="0"/>
      <w:marTop w:val="0"/>
      <w:marBottom w:val="0"/>
      <w:divBdr>
        <w:top w:val="none" w:sz="0" w:space="0" w:color="auto"/>
        <w:left w:val="none" w:sz="0" w:space="0" w:color="auto"/>
        <w:bottom w:val="none" w:sz="0" w:space="0" w:color="auto"/>
        <w:right w:val="none" w:sz="0" w:space="0" w:color="auto"/>
      </w:divBdr>
    </w:div>
    <w:div w:id="1206911534">
      <w:bodyDiv w:val="1"/>
      <w:marLeft w:val="0"/>
      <w:marRight w:val="0"/>
      <w:marTop w:val="0"/>
      <w:marBottom w:val="0"/>
      <w:divBdr>
        <w:top w:val="none" w:sz="0" w:space="0" w:color="auto"/>
        <w:left w:val="none" w:sz="0" w:space="0" w:color="auto"/>
        <w:bottom w:val="none" w:sz="0" w:space="0" w:color="auto"/>
        <w:right w:val="none" w:sz="0" w:space="0" w:color="auto"/>
      </w:divBdr>
    </w:div>
    <w:div w:id="1380277546">
      <w:bodyDiv w:val="1"/>
      <w:marLeft w:val="0"/>
      <w:marRight w:val="0"/>
      <w:marTop w:val="0"/>
      <w:marBottom w:val="0"/>
      <w:divBdr>
        <w:top w:val="none" w:sz="0" w:space="0" w:color="auto"/>
        <w:left w:val="none" w:sz="0" w:space="0" w:color="auto"/>
        <w:bottom w:val="none" w:sz="0" w:space="0" w:color="auto"/>
        <w:right w:val="none" w:sz="0" w:space="0" w:color="auto"/>
      </w:divBdr>
    </w:div>
    <w:div w:id="1399785304">
      <w:bodyDiv w:val="1"/>
      <w:marLeft w:val="0"/>
      <w:marRight w:val="0"/>
      <w:marTop w:val="0"/>
      <w:marBottom w:val="0"/>
      <w:divBdr>
        <w:top w:val="none" w:sz="0" w:space="0" w:color="auto"/>
        <w:left w:val="none" w:sz="0" w:space="0" w:color="auto"/>
        <w:bottom w:val="none" w:sz="0" w:space="0" w:color="auto"/>
        <w:right w:val="none" w:sz="0" w:space="0" w:color="auto"/>
      </w:divBdr>
    </w:div>
    <w:div w:id="1474055592">
      <w:bodyDiv w:val="1"/>
      <w:marLeft w:val="0"/>
      <w:marRight w:val="0"/>
      <w:marTop w:val="0"/>
      <w:marBottom w:val="0"/>
      <w:divBdr>
        <w:top w:val="none" w:sz="0" w:space="0" w:color="auto"/>
        <w:left w:val="none" w:sz="0" w:space="0" w:color="auto"/>
        <w:bottom w:val="none" w:sz="0" w:space="0" w:color="auto"/>
        <w:right w:val="none" w:sz="0" w:space="0" w:color="auto"/>
      </w:divBdr>
    </w:div>
    <w:div w:id="1536457616">
      <w:bodyDiv w:val="1"/>
      <w:marLeft w:val="0"/>
      <w:marRight w:val="0"/>
      <w:marTop w:val="0"/>
      <w:marBottom w:val="0"/>
      <w:divBdr>
        <w:top w:val="none" w:sz="0" w:space="0" w:color="auto"/>
        <w:left w:val="none" w:sz="0" w:space="0" w:color="auto"/>
        <w:bottom w:val="none" w:sz="0" w:space="0" w:color="auto"/>
        <w:right w:val="none" w:sz="0" w:space="0" w:color="auto"/>
      </w:divBdr>
    </w:div>
    <w:div w:id="1538195820">
      <w:bodyDiv w:val="1"/>
      <w:marLeft w:val="0"/>
      <w:marRight w:val="0"/>
      <w:marTop w:val="0"/>
      <w:marBottom w:val="0"/>
      <w:divBdr>
        <w:top w:val="none" w:sz="0" w:space="0" w:color="auto"/>
        <w:left w:val="none" w:sz="0" w:space="0" w:color="auto"/>
        <w:bottom w:val="none" w:sz="0" w:space="0" w:color="auto"/>
        <w:right w:val="none" w:sz="0" w:space="0" w:color="auto"/>
      </w:divBdr>
    </w:div>
    <w:div w:id="1627854272">
      <w:bodyDiv w:val="1"/>
      <w:marLeft w:val="0"/>
      <w:marRight w:val="0"/>
      <w:marTop w:val="0"/>
      <w:marBottom w:val="0"/>
      <w:divBdr>
        <w:top w:val="none" w:sz="0" w:space="0" w:color="auto"/>
        <w:left w:val="none" w:sz="0" w:space="0" w:color="auto"/>
        <w:bottom w:val="none" w:sz="0" w:space="0" w:color="auto"/>
        <w:right w:val="none" w:sz="0" w:space="0" w:color="auto"/>
      </w:divBdr>
    </w:div>
    <w:div w:id="1678339080">
      <w:bodyDiv w:val="1"/>
      <w:marLeft w:val="0"/>
      <w:marRight w:val="0"/>
      <w:marTop w:val="0"/>
      <w:marBottom w:val="0"/>
      <w:divBdr>
        <w:top w:val="none" w:sz="0" w:space="0" w:color="auto"/>
        <w:left w:val="none" w:sz="0" w:space="0" w:color="auto"/>
        <w:bottom w:val="none" w:sz="0" w:space="0" w:color="auto"/>
        <w:right w:val="none" w:sz="0" w:space="0" w:color="auto"/>
      </w:divBdr>
    </w:div>
    <w:div w:id="1708336141">
      <w:bodyDiv w:val="1"/>
      <w:marLeft w:val="0"/>
      <w:marRight w:val="0"/>
      <w:marTop w:val="0"/>
      <w:marBottom w:val="0"/>
      <w:divBdr>
        <w:top w:val="none" w:sz="0" w:space="0" w:color="auto"/>
        <w:left w:val="none" w:sz="0" w:space="0" w:color="auto"/>
        <w:bottom w:val="none" w:sz="0" w:space="0" w:color="auto"/>
        <w:right w:val="none" w:sz="0" w:space="0" w:color="auto"/>
      </w:divBdr>
    </w:div>
    <w:div w:id="1941255044">
      <w:bodyDiv w:val="1"/>
      <w:marLeft w:val="0"/>
      <w:marRight w:val="0"/>
      <w:marTop w:val="0"/>
      <w:marBottom w:val="0"/>
      <w:divBdr>
        <w:top w:val="none" w:sz="0" w:space="0" w:color="auto"/>
        <w:left w:val="none" w:sz="0" w:space="0" w:color="auto"/>
        <w:bottom w:val="none" w:sz="0" w:space="0" w:color="auto"/>
        <w:right w:val="none" w:sz="0" w:space="0" w:color="auto"/>
      </w:divBdr>
    </w:div>
    <w:div w:id="2026782353">
      <w:bodyDiv w:val="1"/>
      <w:marLeft w:val="0"/>
      <w:marRight w:val="0"/>
      <w:marTop w:val="0"/>
      <w:marBottom w:val="0"/>
      <w:divBdr>
        <w:top w:val="none" w:sz="0" w:space="0" w:color="auto"/>
        <w:left w:val="none" w:sz="0" w:space="0" w:color="auto"/>
        <w:bottom w:val="none" w:sz="0" w:space="0" w:color="auto"/>
        <w:right w:val="none" w:sz="0" w:space="0" w:color="auto"/>
      </w:divBdr>
    </w:div>
    <w:div w:id="2027250680">
      <w:bodyDiv w:val="1"/>
      <w:marLeft w:val="0"/>
      <w:marRight w:val="0"/>
      <w:marTop w:val="0"/>
      <w:marBottom w:val="0"/>
      <w:divBdr>
        <w:top w:val="none" w:sz="0" w:space="0" w:color="auto"/>
        <w:left w:val="none" w:sz="0" w:space="0" w:color="auto"/>
        <w:bottom w:val="none" w:sz="0" w:space="0" w:color="auto"/>
        <w:right w:val="none" w:sz="0" w:space="0" w:color="auto"/>
      </w:divBdr>
    </w:div>
    <w:div w:id="2073236859">
      <w:bodyDiv w:val="1"/>
      <w:marLeft w:val="0"/>
      <w:marRight w:val="0"/>
      <w:marTop w:val="0"/>
      <w:marBottom w:val="0"/>
      <w:divBdr>
        <w:top w:val="none" w:sz="0" w:space="0" w:color="auto"/>
        <w:left w:val="none" w:sz="0" w:space="0" w:color="auto"/>
        <w:bottom w:val="none" w:sz="0" w:space="0" w:color="auto"/>
        <w:right w:val="none" w:sz="0" w:space="0" w:color="auto"/>
      </w:divBdr>
    </w:div>
    <w:div w:id="2099979795">
      <w:bodyDiv w:val="1"/>
      <w:marLeft w:val="0"/>
      <w:marRight w:val="0"/>
      <w:marTop w:val="0"/>
      <w:marBottom w:val="0"/>
      <w:divBdr>
        <w:top w:val="none" w:sz="0" w:space="0" w:color="auto"/>
        <w:left w:val="none" w:sz="0" w:space="0" w:color="auto"/>
        <w:bottom w:val="none" w:sz="0" w:space="0" w:color="auto"/>
        <w:right w:val="none" w:sz="0" w:space="0" w:color="auto"/>
      </w:divBdr>
    </w:div>
    <w:div w:id="2113356555">
      <w:bodyDiv w:val="1"/>
      <w:marLeft w:val="0"/>
      <w:marRight w:val="0"/>
      <w:marTop w:val="0"/>
      <w:marBottom w:val="0"/>
      <w:divBdr>
        <w:top w:val="none" w:sz="0" w:space="0" w:color="auto"/>
        <w:left w:val="none" w:sz="0" w:space="0" w:color="auto"/>
        <w:bottom w:val="none" w:sz="0" w:space="0" w:color="auto"/>
        <w:right w:val="none" w:sz="0" w:space="0" w:color="auto"/>
      </w:divBdr>
    </w:div>
    <w:div w:id="21251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OneDrive\.%20Research\Imagery%20Rescripting\Evelina%20Survivor%20Guilt\Average%20VAS%20calc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Reliable%20Change%20calculation--work%20on%20char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24246652712695E-2"/>
          <c:y val="3.1609195402298902E-2"/>
          <c:w val="0.85288647463370904"/>
          <c:h val="0.89783555072857302"/>
        </c:manualLayout>
      </c:layout>
      <c:lineChart>
        <c:grouping val="standard"/>
        <c:varyColors val="0"/>
        <c:ser>
          <c:idx val="0"/>
          <c:order val="0"/>
          <c:tx>
            <c:v>Average VAS</c:v>
          </c:tx>
          <c:spPr>
            <a:ln w="19050">
              <a:solidFill>
                <a:schemeClr val="tx1"/>
              </a:solidFill>
            </a:ln>
          </c:spPr>
          <c:marker>
            <c:symbol val="square"/>
            <c:size val="5"/>
            <c:spPr>
              <a:solidFill>
                <a:schemeClr val="tx1"/>
              </a:solidFill>
            </c:spPr>
          </c:marker>
          <c:cat>
            <c:strRef>
              <c:f>Sheet1!$D$32:$H$32</c:f>
              <c:strCache>
                <c:ptCount val="5"/>
                <c:pt idx="0">
                  <c:v>Pre S1</c:v>
                </c:pt>
                <c:pt idx="1">
                  <c:v>Post S1</c:v>
                </c:pt>
                <c:pt idx="2">
                  <c:v>Pre S2</c:v>
                </c:pt>
                <c:pt idx="3">
                  <c:v>Post S2</c:v>
                </c:pt>
                <c:pt idx="4">
                  <c:v>S3</c:v>
                </c:pt>
              </c:strCache>
            </c:strRef>
          </c:cat>
          <c:val>
            <c:numRef>
              <c:f>Sheet1!$D$33:$H$33</c:f>
              <c:numCache>
                <c:formatCode>0.00</c:formatCode>
                <c:ptCount val="5"/>
                <c:pt idx="0">
                  <c:v>88.282051282050944</c:v>
                </c:pt>
                <c:pt idx="1">
                  <c:v>84.179487179486244</c:v>
                </c:pt>
                <c:pt idx="2">
                  <c:v>80.487179487179503</c:v>
                </c:pt>
                <c:pt idx="3">
                  <c:v>66.692307692307708</c:v>
                </c:pt>
                <c:pt idx="4">
                  <c:v>65.82051282051259</c:v>
                </c:pt>
              </c:numCache>
            </c:numRef>
          </c:val>
          <c:smooth val="0"/>
          <c:extLst>
            <c:ext xmlns:c16="http://schemas.microsoft.com/office/drawing/2014/chart" uri="{C3380CC4-5D6E-409C-BE32-E72D297353CC}">
              <c16:uniqueId val="{00000000-4B66-B14D-AF63-90D69EE4F94E}"/>
            </c:ext>
          </c:extLst>
        </c:ser>
        <c:dLbls>
          <c:showLegendKey val="0"/>
          <c:showVal val="0"/>
          <c:showCatName val="0"/>
          <c:showSerName val="0"/>
          <c:showPercent val="0"/>
          <c:showBubbleSize val="0"/>
        </c:dLbls>
        <c:marker val="1"/>
        <c:smooth val="0"/>
        <c:axId val="2119408584"/>
        <c:axId val="2132748600"/>
      </c:lineChart>
      <c:catAx>
        <c:axId val="2119408584"/>
        <c:scaling>
          <c:orientation val="minMax"/>
        </c:scaling>
        <c:delete val="0"/>
        <c:axPos val="b"/>
        <c:numFmt formatCode="General" sourceLinked="0"/>
        <c:majorTickMark val="none"/>
        <c:minorTickMark val="cross"/>
        <c:tickLblPos val="low"/>
        <c:crossAx val="2132748600"/>
        <c:crosses val="autoZero"/>
        <c:auto val="1"/>
        <c:lblAlgn val="ctr"/>
        <c:lblOffset val="100"/>
        <c:noMultiLvlLbl val="0"/>
      </c:catAx>
      <c:valAx>
        <c:axId val="2132748600"/>
        <c:scaling>
          <c:orientation val="minMax"/>
          <c:max val="90"/>
          <c:min val="60"/>
        </c:scaling>
        <c:delete val="0"/>
        <c:axPos val="l"/>
        <c:majorGridlines>
          <c:spPr>
            <a:ln>
              <a:noFill/>
            </a:ln>
          </c:spPr>
        </c:majorGridlines>
        <c:title>
          <c:tx>
            <c:rich>
              <a:bodyPr/>
              <a:lstStyle/>
              <a:p>
                <a:pPr>
                  <a:defRPr/>
                </a:pPr>
                <a:r>
                  <a:rPr lang="en-GB"/>
                  <a:t>VAS</a:t>
                </a:r>
              </a:p>
            </c:rich>
          </c:tx>
          <c:overlay val="0"/>
        </c:title>
        <c:numFmt formatCode="0" sourceLinked="0"/>
        <c:majorTickMark val="none"/>
        <c:minorTickMark val="none"/>
        <c:tickLblPos val="nextTo"/>
        <c:spPr>
          <a:ln>
            <a:solidFill>
              <a:schemeClr val="tx1"/>
            </a:solidFill>
          </a:ln>
        </c:spPr>
        <c:crossAx val="2119408584"/>
        <c:crossesAt val="1"/>
        <c:crossBetween val="between"/>
      </c:valAx>
    </c:plotArea>
    <c:legend>
      <c:legendPos val="r"/>
      <c:layout>
        <c:manualLayout>
          <c:xMode val="edge"/>
          <c:yMode val="edge"/>
          <c:x val="0.66792957130358699"/>
          <c:y val="0.30073381452318398"/>
          <c:w val="0.226514873140857"/>
          <c:h val="0.190198673082530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7131086542901"/>
          <c:y val="7.6913554819732097E-2"/>
          <c:w val="0.85671875905155304"/>
          <c:h val="0.78841028131395496"/>
        </c:manualLayout>
      </c:layout>
      <c:scatterChart>
        <c:scatterStyle val="lineMarker"/>
        <c:varyColors val="0"/>
        <c:ser>
          <c:idx val="1"/>
          <c:order val="0"/>
          <c:tx>
            <c:v>Line of no change</c:v>
          </c:tx>
          <c:spPr>
            <a:ln w="28575">
              <a:solidFill>
                <a:schemeClr val="tx1"/>
              </a:solidFill>
            </a:ln>
          </c:spPr>
          <c:marker>
            <c:symbol val="none"/>
          </c:marker>
          <c:trendline>
            <c:trendlineType val="linear"/>
            <c:dispRSqr val="0"/>
            <c:dispEq val="0"/>
          </c:trendline>
          <c:xVal>
            <c:numRef>
              <c:f>'decreasing measure'!$B$1:$B$2</c:f>
              <c:numCache>
                <c:formatCode>0.00</c:formatCode>
                <c:ptCount val="2"/>
                <c:pt idx="0">
                  <c:v>0</c:v>
                </c:pt>
                <c:pt idx="1">
                  <c:v>100</c:v>
                </c:pt>
              </c:numCache>
            </c:numRef>
          </c:xVal>
          <c:yVal>
            <c:numRef>
              <c:f>'decreasing measure'!$B$1:$B$2</c:f>
              <c:numCache>
                <c:formatCode>0.00</c:formatCode>
                <c:ptCount val="2"/>
                <c:pt idx="0">
                  <c:v>0</c:v>
                </c:pt>
                <c:pt idx="1">
                  <c:v>100</c:v>
                </c:pt>
              </c:numCache>
            </c:numRef>
          </c:yVal>
          <c:smooth val="0"/>
          <c:extLst>
            <c:ext xmlns:c16="http://schemas.microsoft.com/office/drawing/2014/chart" uri="{C3380CC4-5D6E-409C-BE32-E72D297353CC}">
              <c16:uniqueId val="{00000001-713D-1A41-8593-D027B584CE7D}"/>
            </c:ext>
          </c:extLst>
        </c:ser>
        <c:ser>
          <c:idx val="2"/>
          <c:order val="1"/>
          <c:tx>
            <c:v>Upper RCI confidence limit</c:v>
          </c:tx>
          <c:spPr>
            <a:ln w="28575">
              <a:noFill/>
            </a:ln>
          </c:spPr>
          <c:marker>
            <c:symbol val="none"/>
          </c:marker>
          <c:trendline>
            <c:spPr>
              <a:ln>
                <a:solidFill>
                  <a:schemeClr val="tx1"/>
                </a:solidFill>
                <a:prstDash val="dash"/>
              </a:ln>
            </c:spPr>
            <c:trendlineType val="linear"/>
            <c:dispRSqr val="0"/>
            <c:dispEq val="0"/>
          </c:trendline>
          <c:xVal>
            <c:numRef>
              <c:f>('decreasing measure'!$B$23,'decreasing measure'!$B$24)</c:f>
              <c:numCache>
                <c:formatCode>0.00</c:formatCode>
                <c:ptCount val="2"/>
                <c:pt idx="0">
                  <c:v>0</c:v>
                </c:pt>
                <c:pt idx="1">
                  <c:v>100</c:v>
                </c:pt>
              </c:numCache>
            </c:numRef>
          </c:xVal>
          <c:yVal>
            <c:numRef>
              <c:f>('decreasing measure'!$B$10,'decreasing measure'!$B$12)</c:f>
              <c:numCache>
                <c:formatCode>0.00</c:formatCode>
                <c:ptCount val="2"/>
                <c:pt idx="0" formatCode="General">
                  <c:v>16.515540503889401</c:v>
                </c:pt>
                <c:pt idx="1">
                  <c:v>116.5155405038894</c:v>
                </c:pt>
              </c:numCache>
            </c:numRef>
          </c:yVal>
          <c:smooth val="0"/>
          <c:extLst>
            <c:ext xmlns:c16="http://schemas.microsoft.com/office/drawing/2014/chart" uri="{C3380CC4-5D6E-409C-BE32-E72D297353CC}">
              <c16:uniqueId val="{00000003-713D-1A41-8593-D027B584CE7D}"/>
            </c:ext>
          </c:extLst>
        </c:ser>
        <c:ser>
          <c:idx val="3"/>
          <c:order val="2"/>
          <c:tx>
            <c:v>Lower RCI confidence limit</c:v>
          </c:tx>
          <c:spPr>
            <a:ln w="28575">
              <a:noFill/>
            </a:ln>
          </c:spPr>
          <c:marker>
            <c:symbol val="none"/>
          </c:marker>
          <c:trendline>
            <c:spPr>
              <a:ln>
                <a:solidFill>
                  <a:schemeClr val="tx1"/>
                </a:solidFill>
                <a:prstDash val="dash"/>
              </a:ln>
            </c:spPr>
            <c:trendlineType val="linear"/>
            <c:dispRSqr val="0"/>
            <c:dispEq val="0"/>
          </c:trendline>
          <c:xVal>
            <c:numRef>
              <c:f>('decreasing measure'!$B$23,'decreasing measure'!$B$24)</c:f>
              <c:numCache>
                <c:formatCode>0.00</c:formatCode>
                <c:ptCount val="2"/>
                <c:pt idx="0">
                  <c:v>0</c:v>
                </c:pt>
                <c:pt idx="1">
                  <c:v>100</c:v>
                </c:pt>
              </c:numCache>
            </c:numRef>
          </c:xVal>
          <c:yVal>
            <c:numRef>
              <c:f>('decreasing measure'!$B$11,'decreasing measure'!$B$13)</c:f>
              <c:numCache>
                <c:formatCode>0.00</c:formatCode>
                <c:ptCount val="2"/>
                <c:pt idx="0" formatCode="General">
                  <c:v>-16.515540503889401</c:v>
                </c:pt>
                <c:pt idx="1">
                  <c:v>83.484459496110603</c:v>
                </c:pt>
              </c:numCache>
            </c:numRef>
          </c:yVal>
          <c:smooth val="0"/>
          <c:extLst>
            <c:ext xmlns:c16="http://schemas.microsoft.com/office/drawing/2014/chart" uri="{C3380CC4-5D6E-409C-BE32-E72D297353CC}">
              <c16:uniqueId val="{00000005-713D-1A41-8593-D027B584CE7D}"/>
            </c:ext>
          </c:extLst>
        </c:ser>
        <c:ser>
          <c:idx val="4"/>
          <c:order val="3"/>
          <c:tx>
            <c:v>Criterion 'C' cut off score</c:v>
          </c:tx>
          <c:spPr>
            <a:ln w="28575">
              <a:solidFill>
                <a:srgbClr val="0070C0"/>
              </a:solidFill>
              <a:prstDash val="dash"/>
            </a:ln>
          </c:spPr>
          <c:marker>
            <c:symbol val="none"/>
          </c:marker>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xVal>
            <c:numRef>
              <c:f>('decreasing measure'!$L$2,'decreasing measure'!$L$2)</c:f>
              <c:numCache>
                <c:formatCode>General</c:formatCode>
                <c:ptCount val="2"/>
                <c:pt idx="0">
                  <c:v>0</c:v>
                </c:pt>
                <c:pt idx="1">
                  <c:v>0</c:v>
                </c:pt>
              </c:numCache>
            </c:numRef>
          </c:xVal>
          <c:yVal>
            <c:numLit>
              <c:formatCode>General</c:formatCode>
              <c:ptCount val="2"/>
              <c:pt idx="0">
                <c:v>42</c:v>
              </c:pt>
              <c:pt idx="1">
                <c:v>-2</c:v>
              </c:pt>
            </c:numLit>
          </c:yVal>
          <c:smooth val="0"/>
          <c:extLst>
            <c:ext xmlns:c16="http://schemas.microsoft.com/office/drawing/2014/chart" uri="{C3380CC4-5D6E-409C-BE32-E72D297353CC}">
              <c16:uniqueId val="{0000000A-713D-1A41-8593-D027B584CE7D}"/>
            </c:ext>
          </c:extLst>
        </c:ser>
        <c:ser>
          <c:idx val="5"/>
          <c:order val="4"/>
          <c:tx>
            <c:v>Critereon 'C' for post-treatment score</c:v>
          </c:tx>
          <c:spPr>
            <a:ln w="28575">
              <a:noFill/>
            </a:ln>
          </c:spPr>
          <c:marker>
            <c:symbol val="none"/>
          </c:marker>
          <c:trendline>
            <c:spPr>
              <a:ln w="28575" cmpd="sng">
                <a:solidFill>
                  <a:srgbClr val="0070C0"/>
                </a:solidFill>
                <a:prstDash val="dash"/>
              </a:ln>
            </c:spPr>
            <c:trendlineType val="linear"/>
            <c:dispRSqr val="0"/>
            <c:dispEq val="0"/>
          </c:trendline>
          <c:xVal>
            <c:numRef>
              <c:f>('decreasing measure'!$B$18,'decreasing measure'!$B$2)</c:f>
              <c:numCache>
                <c:formatCode>0.00</c:formatCode>
                <c:ptCount val="2"/>
                <c:pt idx="0">
                  <c:v>-2</c:v>
                </c:pt>
                <c:pt idx="1">
                  <c:v>100</c:v>
                </c:pt>
              </c:numCache>
            </c:numRef>
          </c:xVal>
          <c:yVal>
            <c:numRef>
              <c:f>('decreasing measure'!$L$2,'decreasing measure'!$L$2)</c:f>
              <c:numCache>
                <c:formatCode>General</c:formatCode>
                <c:ptCount val="2"/>
                <c:pt idx="0">
                  <c:v>0</c:v>
                </c:pt>
                <c:pt idx="1">
                  <c:v>0</c:v>
                </c:pt>
              </c:numCache>
            </c:numRef>
          </c:yVal>
          <c:smooth val="0"/>
          <c:extLst>
            <c:ext xmlns:c16="http://schemas.microsoft.com/office/drawing/2014/chart" uri="{C3380CC4-5D6E-409C-BE32-E72D297353CC}">
              <c16:uniqueId val="{0000000C-713D-1A41-8593-D027B584CE7D}"/>
            </c:ext>
          </c:extLst>
        </c:ser>
        <c:ser>
          <c:idx val="6"/>
          <c:order val="5"/>
          <c:tx>
            <c:v>critereon 'a' cut off score</c:v>
          </c:tx>
          <c:spPr>
            <a:ln w="28575">
              <a:solidFill>
                <a:srgbClr val="0070C0"/>
              </a:solidFill>
              <a:prstDash val="dash"/>
            </a:ln>
          </c:spPr>
          <c:marker>
            <c:symbol val="none"/>
          </c:marker>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xVal>
            <c:numRef>
              <c:f>('decreasing measure'!$J$2,'decreasing measure'!$J$2)</c:f>
              <c:numCache>
                <c:formatCode>General</c:formatCode>
                <c:ptCount val="2"/>
                <c:pt idx="0">
                  <c:v>#N/A</c:v>
                </c:pt>
                <c:pt idx="1">
                  <c:v>#N/A</c:v>
                </c:pt>
              </c:numCache>
            </c:numRef>
          </c:xVal>
          <c:yVal>
            <c:numRef>
              <c:f>('decreasing measure'!$B$18,'decreasing measure'!$B$2)</c:f>
              <c:numCache>
                <c:formatCode>0.00</c:formatCode>
                <c:ptCount val="2"/>
                <c:pt idx="0">
                  <c:v>-2</c:v>
                </c:pt>
                <c:pt idx="1">
                  <c:v>100</c:v>
                </c:pt>
              </c:numCache>
            </c:numRef>
          </c:yVal>
          <c:smooth val="0"/>
          <c:extLst>
            <c:ext xmlns:c16="http://schemas.microsoft.com/office/drawing/2014/chart" uri="{C3380CC4-5D6E-409C-BE32-E72D297353CC}">
              <c16:uniqueId val="{00000011-713D-1A41-8593-D027B584CE7D}"/>
            </c:ext>
          </c:extLst>
        </c:ser>
        <c:ser>
          <c:idx val="7"/>
          <c:order val="6"/>
          <c:tx>
            <c:v>Critereon 'a' for post-treatment score</c:v>
          </c:tx>
          <c:spPr>
            <a:ln w="28575">
              <a:solidFill>
                <a:srgbClr val="0070C0"/>
              </a:solidFill>
              <a:prstDash val="dash"/>
            </a:ln>
          </c:spPr>
          <c:marker>
            <c:symbol val="none"/>
          </c:marker>
          <c:xVal>
            <c:numRef>
              <c:f>('decreasing measure'!$B$18,'decreasing measure'!$B$2)</c:f>
              <c:numCache>
                <c:formatCode>0.00</c:formatCode>
                <c:ptCount val="2"/>
                <c:pt idx="0">
                  <c:v>-2</c:v>
                </c:pt>
                <c:pt idx="1">
                  <c:v>100</c:v>
                </c:pt>
              </c:numCache>
            </c:numRef>
          </c:xVal>
          <c:yVal>
            <c:numRef>
              <c:f>('decreasing measure'!$J$2,'decreasing measure'!$J$2)</c:f>
              <c:numCache>
                <c:formatCode>General</c:formatCode>
                <c:ptCount val="2"/>
                <c:pt idx="0">
                  <c:v>#N/A</c:v>
                </c:pt>
                <c:pt idx="1">
                  <c:v>#N/A</c:v>
                </c:pt>
              </c:numCache>
            </c:numRef>
          </c:yVal>
          <c:smooth val="0"/>
          <c:extLst>
            <c:ext xmlns:c16="http://schemas.microsoft.com/office/drawing/2014/chart" uri="{C3380CC4-5D6E-409C-BE32-E72D297353CC}">
              <c16:uniqueId val="{00000012-713D-1A41-8593-D027B584CE7D}"/>
            </c:ext>
          </c:extLst>
        </c:ser>
        <c:ser>
          <c:idx val="8"/>
          <c:order val="7"/>
          <c:tx>
            <c:v>Critereon 'b' cut off score</c:v>
          </c:tx>
          <c:spPr>
            <a:ln w="28575">
              <a:solidFill>
                <a:srgbClr val="0070C0"/>
              </a:solidFill>
              <a:prstDash val="dash"/>
            </a:ln>
          </c:spPr>
          <c:marker>
            <c:symbol val="none"/>
          </c:marker>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xVal>
            <c:numRef>
              <c:f>('decreasing measure'!$K$2,'decreasing measure'!$K$2)</c:f>
              <c:numCache>
                <c:formatCode>General</c:formatCode>
                <c:ptCount val="2"/>
                <c:pt idx="0">
                  <c:v>#N/A</c:v>
                </c:pt>
                <c:pt idx="1">
                  <c:v>#N/A</c:v>
                </c:pt>
              </c:numCache>
            </c:numRef>
          </c:xVal>
          <c:yVal>
            <c:numRef>
              <c:f>('decreasing measure'!$B$18,'decreasing measure'!$B$2)</c:f>
              <c:numCache>
                <c:formatCode>0.00</c:formatCode>
                <c:ptCount val="2"/>
                <c:pt idx="0">
                  <c:v>-2</c:v>
                </c:pt>
                <c:pt idx="1">
                  <c:v>100</c:v>
                </c:pt>
              </c:numCache>
            </c:numRef>
          </c:yVal>
          <c:smooth val="0"/>
          <c:extLst>
            <c:ext xmlns:c16="http://schemas.microsoft.com/office/drawing/2014/chart" uri="{C3380CC4-5D6E-409C-BE32-E72D297353CC}">
              <c16:uniqueId val="{00000019-713D-1A41-8593-D027B584CE7D}"/>
            </c:ext>
          </c:extLst>
        </c:ser>
        <c:ser>
          <c:idx val="9"/>
          <c:order val="8"/>
          <c:tx>
            <c:v>Critereon 'b' for post-treatment</c:v>
          </c:tx>
          <c:spPr>
            <a:ln w="28575">
              <a:solidFill>
                <a:srgbClr val="0070C0"/>
              </a:solidFill>
              <a:prstDash val="dash"/>
            </a:ln>
          </c:spPr>
          <c:marker>
            <c:symbol val="none"/>
          </c:marker>
          <c:xVal>
            <c:numRef>
              <c:f>('decreasing measure'!$B$18,'decreasing measure'!$B$2)</c:f>
              <c:numCache>
                <c:formatCode>0.00</c:formatCode>
                <c:ptCount val="2"/>
                <c:pt idx="0">
                  <c:v>-2</c:v>
                </c:pt>
                <c:pt idx="1">
                  <c:v>100</c:v>
                </c:pt>
              </c:numCache>
            </c:numRef>
          </c:xVal>
          <c:yVal>
            <c:numRef>
              <c:f>('decreasing measure'!$K$2,'decreasing measure'!$K$2)</c:f>
              <c:numCache>
                <c:formatCode>General</c:formatCode>
                <c:ptCount val="2"/>
                <c:pt idx="0">
                  <c:v>#N/A</c:v>
                </c:pt>
                <c:pt idx="1">
                  <c:v>#N/A</c:v>
                </c:pt>
              </c:numCache>
            </c:numRef>
          </c:yVal>
          <c:smooth val="0"/>
          <c:extLst>
            <c:ext xmlns:c16="http://schemas.microsoft.com/office/drawing/2014/chart" uri="{C3380CC4-5D6E-409C-BE32-E72D297353CC}">
              <c16:uniqueId val="{0000001A-713D-1A41-8593-D027B584CE7D}"/>
            </c:ext>
          </c:extLst>
        </c:ser>
        <c:ser>
          <c:idx val="10"/>
          <c:order val="9"/>
          <c:tx>
            <c:strRef>
              <c:f>'decreasing measure'!$F$1</c:f>
              <c:strCache>
                <c:ptCount val="1"/>
                <c:pt idx="0">
                  <c:v>reliable change</c:v>
                </c:pt>
              </c:strCache>
            </c:strRef>
          </c:tx>
          <c:spPr>
            <a:ln w="28575">
              <a:noFill/>
            </a:ln>
          </c:spPr>
          <c:marker>
            <c:symbol val="square"/>
            <c:size val="6"/>
            <c:spPr>
              <a:solidFill>
                <a:schemeClr val="tx1"/>
              </a:solidFill>
              <a:ln>
                <a:noFill/>
              </a:ln>
            </c:spPr>
          </c:marker>
          <c:xVal>
            <c:numRef>
              <c:f>Data!$B$2:$B$501</c:f>
              <c:numCache>
                <c:formatCode>0.00</c:formatCode>
                <c:ptCount val="500"/>
                <c:pt idx="0">
                  <c:v>75</c:v>
                </c:pt>
                <c:pt idx="1">
                  <c:v>97.666666666666671</c:v>
                </c:pt>
                <c:pt idx="2">
                  <c:v>91.666666666666671</c:v>
                </c:pt>
                <c:pt idx="3">
                  <c:v>93.333333333332988</c:v>
                </c:pt>
                <c:pt idx="4">
                  <c:v>91.666666666666671</c:v>
                </c:pt>
                <c:pt idx="5">
                  <c:v>100</c:v>
                </c:pt>
                <c:pt idx="6">
                  <c:v>93.333333333332988</c:v>
                </c:pt>
                <c:pt idx="7">
                  <c:v>83.333333333332988</c:v>
                </c:pt>
                <c:pt idx="8">
                  <c:v>95</c:v>
                </c:pt>
                <c:pt idx="9">
                  <c:v>93.333333333332988</c:v>
                </c:pt>
                <c:pt idx="10">
                  <c:v>100</c:v>
                </c:pt>
                <c:pt idx="11">
                  <c:v>93.333333333332988</c:v>
                </c:pt>
                <c:pt idx="12">
                  <c:v>40</c:v>
                </c:pt>
              </c:numCache>
            </c:numRef>
          </c:xVal>
          <c:yVal>
            <c:numRef>
              <c:f>'decreasing measure'!$F$2:$F$501</c:f>
              <c:numCache>
                <c:formatCode>General</c:formatCode>
                <c:ptCount val="500"/>
                <c:pt idx="0">
                  <c:v>46.66666666666633</c:v>
                </c:pt>
                <c:pt idx="1">
                  <c:v>#N/A</c:v>
                </c:pt>
                <c:pt idx="2">
                  <c:v>#N/A</c:v>
                </c:pt>
                <c:pt idx="3">
                  <c:v>50</c:v>
                </c:pt>
                <c:pt idx="4">
                  <c:v>31.333333333333279</c:v>
                </c:pt>
                <c:pt idx="5">
                  <c:v>70</c:v>
                </c:pt>
                <c:pt idx="6">
                  <c:v>#N/A</c:v>
                </c:pt>
                <c:pt idx="7">
                  <c:v>60</c:v>
                </c:pt>
                <c:pt idx="8">
                  <c:v>40</c:v>
                </c:pt>
                <c:pt idx="9">
                  <c:v>#N/A</c:v>
                </c:pt>
                <c:pt idx="10">
                  <c:v>#N/A</c:v>
                </c:pt>
                <c:pt idx="11">
                  <c:v>66.666666666666671</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numCache>
            </c:numRef>
          </c:yVal>
          <c:smooth val="0"/>
          <c:extLst>
            <c:ext xmlns:c16="http://schemas.microsoft.com/office/drawing/2014/chart" uri="{C3380CC4-5D6E-409C-BE32-E72D297353CC}">
              <c16:uniqueId val="{0000001B-713D-1A41-8593-D027B584CE7D}"/>
            </c:ext>
          </c:extLst>
        </c:ser>
        <c:ser>
          <c:idx val="11"/>
          <c:order val="10"/>
          <c:tx>
            <c:strRef>
              <c:f>'decreasing measure'!$G$1</c:f>
              <c:strCache>
                <c:ptCount val="1"/>
                <c:pt idx="0">
                  <c:v>no change</c:v>
                </c:pt>
              </c:strCache>
            </c:strRef>
          </c:tx>
          <c:spPr>
            <a:ln w="28575">
              <a:noFill/>
            </a:ln>
          </c:spPr>
          <c:marker>
            <c:symbol val="triangle"/>
            <c:size val="6"/>
            <c:spPr>
              <a:solidFill>
                <a:schemeClr val="tx1"/>
              </a:solidFill>
              <a:ln>
                <a:noFill/>
              </a:ln>
            </c:spPr>
          </c:marker>
          <c:xVal>
            <c:numRef>
              <c:f>Data!$A$2:$B$501</c:f>
              <c:numCache>
                <c:formatCode>0.00</c:formatCode>
                <c:ptCount val="500"/>
                <c:pt idx="0">
                  <c:v>75</c:v>
                </c:pt>
                <c:pt idx="1">
                  <c:v>97.666666666666671</c:v>
                </c:pt>
                <c:pt idx="2">
                  <c:v>91.666666666666671</c:v>
                </c:pt>
                <c:pt idx="3">
                  <c:v>93.333333333332988</c:v>
                </c:pt>
                <c:pt idx="4">
                  <c:v>91.666666666666671</c:v>
                </c:pt>
                <c:pt idx="5">
                  <c:v>100</c:v>
                </c:pt>
                <c:pt idx="6">
                  <c:v>93.333333333332988</c:v>
                </c:pt>
                <c:pt idx="7">
                  <c:v>83.333333333332988</c:v>
                </c:pt>
                <c:pt idx="8">
                  <c:v>95</c:v>
                </c:pt>
                <c:pt idx="9">
                  <c:v>93.333333333332988</c:v>
                </c:pt>
                <c:pt idx="10">
                  <c:v>100</c:v>
                </c:pt>
                <c:pt idx="11">
                  <c:v>93.333333333332988</c:v>
                </c:pt>
                <c:pt idx="12">
                  <c:v>40</c:v>
                </c:pt>
              </c:numCache>
            </c:numRef>
          </c:xVal>
          <c:yVal>
            <c:numRef>
              <c:f>'decreasing measure'!$G$2:$G$501</c:f>
              <c:numCache>
                <c:formatCode>General</c:formatCode>
                <c:ptCount val="500"/>
                <c:pt idx="0">
                  <c:v>#N/A</c:v>
                </c:pt>
                <c:pt idx="1">
                  <c:v>92.666666666666671</c:v>
                </c:pt>
                <c:pt idx="2">
                  <c:v>90</c:v>
                </c:pt>
                <c:pt idx="3">
                  <c:v>#N/A</c:v>
                </c:pt>
                <c:pt idx="4">
                  <c:v>#N/A</c:v>
                </c:pt>
                <c:pt idx="5">
                  <c:v>#N/A</c:v>
                </c:pt>
                <c:pt idx="6">
                  <c:v>100</c:v>
                </c:pt>
                <c:pt idx="7">
                  <c:v>#N/A</c:v>
                </c:pt>
                <c:pt idx="8">
                  <c:v>#N/A</c:v>
                </c:pt>
                <c:pt idx="9">
                  <c:v>80</c:v>
                </c:pt>
                <c:pt idx="10">
                  <c:v>100</c:v>
                </c:pt>
                <c:pt idx="11">
                  <c:v>#N/A</c:v>
                </c:pt>
                <c:pt idx="12">
                  <c:v>28.333333333333279</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numCache>
            </c:numRef>
          </c:yVal>
          <c:smooth val="0"/>
          <c:extLst>
            <c:ext xmlns:c16="http://schemas.microsoft.com/office/drawing/2014/chart" uri="{C3380CC4-5D6E-409C-BE32-E72D297353CC}">
              <c16:uniqueId val="{0000001C-713D-1A41-8593-D027B584CE7D}"/>
            </c:ext>
          </c:extLst>
        </c:ser>
        <c:ser>
          <c:idx val="12"/>
          <c:order val="11"/>
          <c:tx>
            <c:strRef>
              <c:f>'decreasing measure'!$H$1</c:f>
              <c:strCache>
                <c:ptCount val="1"/>
                <c:pt idx="0">
                  <c:v>deteriorate</c:v>
                </c:pt>
              </c:strCache>
            </c:strRef>
          </c:tx>
          <c:spPr>
            <a:ln w="28575">
              <a:noFill/>
            </a:ln>
          </c:spPr>
          <c:marker>
            <c:symbol val="diamond"/>
            <c:size val="5"/>
            <c:spPr>
              <a:solidFill>
                <a:srgbClr val="FF9999"/>
              </a:solidFill>
            </c:spPr>
          </c:marker>
          <c:xVal>
            <c:numRef>
              <c:f>Data!$B$2:$B$501</c:f>
              <c:numCache>
                <c:formatCode>0.00</c:formatCode>
                <c:ptCount val="500"/>
                <c:pt idx="0">
                  <c:v>75</c:v>
                </c:pt>
                <c:pt idx="1">
                  <c:v>97.666666666666671</c:v>
                </c:pt>
                <c:pt idx="2">
                  <c:v>91.666666666666671</c:v>
                </c:pt>
                <c:pt idx="3">
                  <c:v>93.333333333332988</c:v>
                </c:pt>
                <c:pt idx="4">
                  <c:v>91.666666666666671</c:v>
                </c:pt>
                <c:pt idx="5">
                  <c:v>100</c:v>
                </c:pt>
                <c:pt idx="6">
                  <c:v>93.333333333332988</c:v>
                </c:pt>
                <c:pt idx="7">
                  <c:v>83.333333333332988</c:v>
                </c:pt>
                <c:pt idx="8">
                  <c:v>95</c:v>
                </c:pt>
                <c:pt idx="9">
                  <c:v>93.333333333332988</c:v>
                </c:pt>
                <c:pt idx="10">
                  <c:v>100</c:v>
                </c:pt>
                <c:pt idx="11">
                  <c:v>93.333333333332988</c:v>
                </c:pt>
                <c:pt idx="12">
                  <c:v>40</c:v>
                </c:pt>
              </c:numCache>
            </c:numRef>
          </c:xVal>
          <c:yVal>
            <c:numRef>
              <c:f>'decreasing measure'!$H$2:$H$501</c:f>
              <c:numCache>
                <c:formatCode>General</c:formatCode>
                <c:ptCount val="50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numCache>
            </c:numRef>
          </c:yVal>
          <c:smooth val="0"/>
          <c:extLst>
            <c:ext xmlns:c16="http://schemas.microsoft.com/office/drawing/2014/chart" uri="{C3380CC4-5D6E-409C-BE32-E72D297353CC}">
              <c16:uniqueId val="{0000001D-713D-1A41-8593-D027B584CE7D}"/>
            </c:ext>
          </c:extLst>
        </c:ser>
        <c:ser>
          <c:idx val="13"/>
          <c:order val="12"/>
          <c:tx>
            <c:v>External cut off score</c:v>
          </c:tx>
          <c:spPr>
            <a:ln w="28575">
              <a:solidFill>
                <a:srgbClr val="0070C0"/>
              </a:solidFill>
              <a:prstDash val="dash"/>
            </a:ln>
          </c:spPr>
          <c:marker>
            <c:symbol val="none"/>
          </c:marker>
          <c:trendline>
            <c:trendlineType val="linear"/>
            <c:dispRSqr val="0"/>
            <c:dispEq val="0"/>
          </c:trendline>
          <c:xVal>
            <c:numRef>
              <c:f>('decreasing measure'!$M$2,'decreasing measure'!$M$2)</c:f>
              <c:numCache>
                <c:formatCode>General</c:formatCode>
                <c:ptCount val="2"/>
                <c:pt idx="0">
                  <c:v>#N/A</c:v>
                </c:pt>
                <c:pt idx="1">
                  <c:v>#N/A</c:v>
                </c:pt>
              </c:numCache>
            </c:numRef>
          </c:xVal>
          <c:yVal>
            <c:numRef>
              <c:f>('decreasing measure'!$B$18,'decreasing measure'!$B$2)</c:f>
              <c:numCache>
                <c:formatCode>0.00</c:formatCode>
                <c:ptCount val="2"/>
                <c:pt idx="0">
                  <c:v>-2</c:v>
                </c:pt>
                <c:pt idx="1">
                  <c:v>100</c:v>
                </c:pt>
              </c:numCache>
            </c:numRef>
          </c:yVal>
          <c:smooth val="0"/>
          <c:extLst>
            <c:ext xmlns:c16="http://schemas.microsoft.com/office/drawing/2014/chart" uri="{C3380CC4-5D6E-409C-BE32-E72D297353CC}">
              <c16:uniqueId val="{0000001F-713D-1A41-8593-D027B584CE7D}"/>
            </c:ext>
          </c:extLst>
        </c:ser>
        <c:ser>
          <c:idx val="14"/>
          <c:order val="13"/>
          <c:tx>
            <c:v>External criterion post</c:v>
          </c:tx>
          <c:spPr>
            <a:ln w="28575">
              <a:solidFill>
                <a:srgbClr val="0070C0"/>
              </a:solidFill>
              <a:prstDash val="dash"/>
            </a:ln>
          </c:spPr>
          <c:marker>
            <c:symbol val="none"/>
          </c:marker>
          <c:dPt>
            <c:idx val="1"/>
            <c:bubble3D val="0"/>
            <c:extLst>
              <c:ext xmlns:c16="http://schemas.microsoft.com/office/drawing/2014/chart" uri="{C3380CC4-5D6E-409C-BE32-E72D297353CC}">
                <c16:uniqueId val="{00000020-713D-1A41-8593-D027B584CE7D}"/>
              </c:ext>
            </c:extLst>
          </c:dPt>
          <c:xVal>
            <c:numRef>
              <c:f>('decreasing measure'!$B$18,'decreasing measure'!$B$2)</c:f>
              <c:numCache>
                <c:formatCode>0.00</c:formatCode>
                <c:ptCount val="2"/>
                <c:pt idx="0">
                  <c:v>-2</c:v>
                </c:pt>
                <c:pt idx="1">
                  <c:v>100</c:v>
                </c:pt>
              </c:numCache>
            </c:numRef>
          </c:xVal>
          <c:yVal>
            <c:numRef>
              <c:f>('decreasing measure'!$M$2,'decreasing measure'!$M$2)</c:f>
              <c:numCache>
                <c:formatCode>General</c:formatCode>
                <c:ptCount val="2"/>
                <c:pt idx="0">
                  <c:v>#N/A</c:v>
                </c:pt>
                <c:pt idx="1">
                  <c:v>#N/A</c:v>
                </c:pt>
              </c:numCache>
            </c:numRef>
          </c:yVal>
          <c:smooth val="0"/>
          <c:extLst>
            <c:ext xmlns:c16="http://schemas.microsoft.com/office/drawing/2014/chart" uri="{C3380CC4-5D6E-409C-BE32-E72D297353CC}">
              <c16:uniqueId val="{00000021-713D-1A41-8593-D027B584CE7D}"/>
            </c:ext>
          </c:extLst>
        </c:ser>
        <c:dLbls>
          <c:showLegendKey val="0"/>
          <c:showVal val="0"/>
          <c:showCatName val="0"/>
          <c:showSerName val="0"/>
          <c:showPercent val="0"/>
          <c:showBubbleSize val="0"/>
        </c:dLbls>
        <c:axId val="2132597208"/>
        <c:axId val="2134419992"/>
      </c:scatterChart>
      <c:valAx>
        <c:axId val="2132597208"/>
        <c:scaling>
          <c:orientation val="minMax"/>
          <c:max val="100"/>
          <c:min val="30"/>
        </c:scaling>
        <c:delete val="0"/>
        <c:axPos val="b"/>
        <c:title>
          <c:tx>
            <c:rich>
              <a:bodyPr/>
              <a:lstStyle/>
              <a:p>
                <a:pPr>
                  <a:defRPr b="1">
                    <a:latin typeface="Times New Roman" panose="02020603050405020304" pitchFamily="18" charset="0"/>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Pre-treatment Average</a:t>
                </a:r>
                <a:r>
                  <a:rPr lang="en-US" sz="1100" b="1" baseline="0">
                    <a:latin typeface="Times New Roman" panose="02020603050405020304" pitchFamily="18" charset="0"/>
                    <a:cs typeface="Times New Roman" panose="02020603050405020304" pitchFamily="18" charset="0"/>
                  </a:rPr>
                  <a:t> SG VAS</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321754453023469"/>
              <c:y val="0.94211875689451896"/>
            </c:manualLayout>
          </c:layout>
          <c:overlay val="0"/>
        </c:title>
        <c:numFmt formatCode="0" sourceLinked="0"/>
        <c:majorTickMark val="out"/>
        <c:minorTickMark val="none"/>
        <c:tickLblPos val="nextTo"/>
        <c:crossAx val="2134419992"/>
        <c:crosses val="autoZero"/>
        <c:crossBetween val="midCat"/>
      </c:valAx>
      <c:valAx>
        <c:axId val="2134419992"/>
        <c:scaling>
          <c:orientation val="minMax"/>
          <c:max val="100"/>
          <c:min val="20"/>
        </c:scaling>
        <c:delete val="0"/>
        <c:axPos val="l"/>
        <c:title>
          <c:tx>
            <c:rich>
              <a:bodyPr rot="-5400000" vert="horz" anchor="b" anchorCtr="0"/>
              <a:lstStyle/>
              <a:p>
                <a:pPr>
                  <a:defRPr b="1">
                    <a:latin typeface="Times New Roman" panose="02020603050405020304" pitchFamily="18" charset="0"/>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Post-treatment Average</a:t>
                </a:r>
                <a:r>
                  <a:rPr lang="en-US" sz="1100" b="1" baseline="0">
                    <a:latin typeface="Times New Roman" panose="02020603050405020304" pitchFamily="18" charset="0"/>
                    <a:cs typeface="Times New Roman" panose="02020603050405020304" pitchFamily="18" charset="0"/>
                  </a:rPr>
                  <a:t> SG VAS</a:t>
                </a:r>
                <a:endParaRPr lang="en-US" sz="1100" b="1">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txPr>
          <a:bodyPr rot="0" vert="horz" anchor="b" anchorCtr="1"/>
          <a:lstStyle/>
          <a:p>
            <a:pPr>
              <a:defRPr/>
            </a:pPr>
            <a:endParaRPr lang="en-US"/>
          </a:p>
        </c:txPr>
        <c:crossAx val="2132597208"/>
        <c:crosses val="autoZero"/>
        <c:crossBetween val="midCat"/>
      </c:valAx>
    </c:plotArea>
    <c:legend>
      <c:legendPos val="r"/>
      <c:legendEntry>
        <c:idx val="0"/>
        <c:txPr>
          <a:bodyPr/>
          <a:lstStyle/>
          <a:p>
            <a:pPr>
              <a:defRPr sz="1000" baseline="0"/>
            </a:pPr>
            <a:endParaRPr lang="en-US"/>
          </a:p>
        </c:txPr>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txPr>
          <a:bodyPr/>
          <a:lstStyle/>
          <a:p>
            <a:pPr>
              <a:defRPr sz="1000"/>
            </a:pPr>
            <a:endParaRPr lang="en-US"/>
          </a:p>
        </c:txPr>
      </c:legendEntry>
      <c:legendEntry>
        <c:idx val="10"/>
        <c:txPr>
          <a:bodyPr/>
          <a:lstStyle/>
          <a:p>
            <a:pPr>
              <a:defRPr sz="1000"/>
            </a:pPr>
            <a:endParaRPr lang="en-US"/>
          </a:p>
        </c:txPr>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legendEntry>
        <c:idx val="22"/>
        <c:delete val="1"/>
      </c:legendEntry>
      <c:legendEntry>
        <c:idx val="23"/>
        <c:delete val="1"/>
      </c:legendEntry>
      <c:legendEntry>
        <c:idx val="24"/>
        <c:delete val="1"/>
      </c:legendEntry>
      <c:legendEntry>
        <c:idx val="25"/>
        <c:delete val="1"/>
      </c:legendEntry>
      <c:legendEntry>
        <c:idx val="26"/>
        <c:delete val="1"/>
      </c:legendEntry>
      <c:legendEntry>
        <c:idx val="27"/>
        <c:delete val="1"/>
      </c:legendEntry>
      <c:legendEntry>
        <c:idx val="28"/>
        <c:delete val="1"/>
      </c:legendEntry>
      <c:legendEntry>
        <c:idx val="29"/>
        <c:delete val="1"/>
      </c:legendEntry>
      <c:legendEntry>
        <c:idx val="30"/>
        <c:delete val="1"/>
      </c:legendEntry>
      <c:legendEntry>
        <c:idx val="31"/>
        <c:delete val="1"/>
      </c:legendEntry>
      <c:legendEntry>
        <c:idx val="32"/>
        <c:delete val="1"/>
      </c:legendEntry>
      <c:layout>
        <c:manualLayout>
          <c:xMode val="edge"/>
          <c:yMode val="edge"/>
          <c:x val="0.15550058738497999"/>
          <c:y val="9.8151323102350599E-2"/>
          <c:w val="0.155492434857813"/>
          <c:h val="0.23019618113146101"/>
        </c:manualLayout>
      </c:layout>
      <c:overlay val="0"/>
      <c:spPr>
        <a:ln>
          <a:no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FE88-28AB-0E41-A853-49271BFE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Medin</dc:creator>
  <cp:keywords/>
  <dc:description/>
  <cp:lastModifiedBy>Stephanie Curnow</cp:lastModifiedBy>
  <cp:revision>2</cp:revision>
  <cp:lastPrinted>2017-03-23T15:51:00Z</cp:lastPrinted>
  <dcterms:created xsi:type="dcterms:W3CDTF">2020-06-19T12:12:00Z</dcterms:created>
  <dcterms:modified xsi:type="dcterms:W3CDTF">2020-06-19T12:12:00Z</dcterms:modified>
</cp:coreProperties>
</file>