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E4" w:rsidRDefault="00FF1BE4" w:rsidP="00FF1BE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F1BE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SUPPLEMENTARY MATERIAL: </w:t>
      </w:r>
    </w:p>
    <w:p w:rsidR="00FF1BE4" w:rsidRPr="00FF1BE4" w:rsidRDefault="00FF1BE4" w:rsidP="00FF1BE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FF1BE4" w:rsidRPr="00FF1BE4" w:rsidRDefault="00FF1BE4" w:rsidP="00FF1BE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FF1BE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Table A</w:t>
      </w:r>
      <w:r w:rsidRPr="00FF1BE4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n-GB"/>
        </w:rPr>
        <w:t xml:space="preserve">1 </w:t>
      </w:r>
      <w:r w:rsidRPr="00FF1BE4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Complete and missing data for all stages of the study</w:t>
      </w:r>
    </w:p>
    <w:p w:rsidR="00FF1BE4" w:rsidRPr="00FF1BE4" w:rsidRDefault="00FF1BE4" w:rsidP="00FF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3997"/>
        <w:gridCol w:w="936"/>
        <w:gridCol w:w="1122"/>
        <w:gridCol w:w="1255"/>
      </w:tblGrid>
      <w:tr w:rsidR="00FF1BE4" w:rsidRPr="00FF1BE4" w:rsidTr="00EF0DB3">
        <w:trPr>
          <w:trHeight w:val="330"/>
        </w:trPr>
        <w:tc>
          <w:tcPr>
            <w:tcW w:w="2012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jc w:val="center"/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>Time point (number of cases)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 xml:space="preserve">Measure 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>Baseline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>Pre-CBT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>Post-CBT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 xml:space="preserve">Physical functioning   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sz w:val="18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sz w:val="18"/>
                <w:szCs w:val="19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sz w:val="18"/>
                <w:szCs w:val="19"/>
              </w:rPr>
            </w:pP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 w:val="restart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Complete data 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189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192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138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≤20% of scale missing (data pro-rated) 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34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24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8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Number of cases with complete data after pro-rating 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223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216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146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Number of cases imputed using NOCB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-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-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Complete data after imputation and pro-rating 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223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216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168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>Social adjustment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 w:val="restart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Complete data 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224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204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133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≤20% missing (data pro-rated) 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4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13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8</w:t>
            </w:r>
          </w:p>
        </w:tc>
      </w:tr>
      <w:tr w:rsidR="00FF1BE4" w:rsidRPr="00FF1BE4" w:rsidTr="00EF0DB3">
        <w:trPr>
          <w:trHeight w:val="259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Number of cases with complete data after pro-rating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228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217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141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Number of cases imputed using NOCB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-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-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27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Complete data after imputation and pro-rating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228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217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168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b/>
                <w:sz w:val="18"/>
                <w:szCs w:val="19"/>
              </w:rPr>
            </w:pPr>
            <w:r w:rsidRPr="00FF1BE4">
              <w:rPr>
                <w:b/>
                <w:sz w:val="18"/>
                <w:szCs w:val="19"/>
              </w:rPr>
              <w:t>Fatigue</w:t>
            </w:r>
          </w:p>
        </w:tc>
        <w:tc>
          <w:tcPr>
            <w:tcW w:w="3997" w:type="dxa"/>
            <w:tcBorders>
              <w:top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 xml:space="preserve">Complete data 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209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205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140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≤20% of scale missing (data pro-rated)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19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16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6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Number of cases with complete data after pro-rating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228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221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146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Number of cases imputed using NOCB</w:t>
            </w:r>
          </w:p>
        </w:tc>
        <w:tc>
          <w:tcPr>
            <w:tcW w:w="936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-</w:t>
            </w:r>
          </w:p>
        </w:tc>
        <w:tc>
          <w:tcPr>
            <w:tcW w:w="1122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-</w:t>
            </w:r>
          </w:p>
        </w:tc>
        <w:tc>
          <w:tcPr>
            <w:tcW w:w="1255" w:type="dxa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24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  <w:r w:rsidRPr="00FF1BE4">
              <w:rPr>
                <w:sz w:val="18"/>
                <w:szCs w:val="19"/>
              </w:rPr>
              <w:t>Complete data after imputation and pro-rating</w:t>
            </w:r>
          </w:p>
        </w:tc>
        <w:tc>
          <w:tcPr>
            <w:tcW w:w="936" w:type="dxa"/>
            <w:shd w:val="clear" w:color="auto" w:fill="auto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</w:rPr>
            </w:pPr>
            <w:r w:rsidRPr="009E1BFE">
              <w:rPr>
                <w:sz w:val="18"/>
                <w:szCs w:val="19"/>
              </w:rPr>
              <w:t>228</w:t>
            </w:r>
          </w:p>
        </w:tc>
        <w:tc>
          <w:tcPr>
            <w:tcW w:w="1122" w:type="dxa"/>
            <w:shd w:val="clear" w:color="auto" w:fill="auto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221</w:t>
            </w:r>
          </w:p>
        </w:tc>
        <w:tc>
          <w:tcPr>
            <w:tcW w:w="1255" w:type="dxa"/>
            <w:shd w:val="clear" w:color="auto" w:fill="auto"/>
          </w:tcPr>
          <w:p w:rsidR="00FF1BE4" w:rsidRPr="009E1BFE" w:rsidRDefault="00FF1BE4" w:rsidP="00FF1BE4">
            <w:pPr>
              <w:jc w:val="right"/>
              <w:rPr>
                <w:sz w:val="18"/>
                <w:szCs w:val="19"/>
                <w:highlight w:val="yellow"/>
              </w:rPr>
            </w:pPr>
            <w:r w:rsidRPr="009E1BFE">
              <w:rPr>
                <w:sz w:val="18"/>
                <w:szCs w:val="19"/>
              </w:rPr>
              <w:t>170</w:t>
            </w:r>
          </w:p>
        </w:tc>
      </w:tr>
      <w:tr w:rsidR="00FF1BE4" w:rsidRPr="00FF1BE4" w:rsidTr="00EF0DB3">
        <w:trPr>
          <w:trHeight w:val="330"/>
        </w:trPr>
        <w:tc>
          <w:tcPr>
            <w:tcW w:w="2012" w:type="dxa"/>
            <w:vMerge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rPr>
                <w:sz w:val="18"/>
                <w:szCs w:val="19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color w:val="FF0000"/>
                <w:sz w:val="18"/>
                <w:szCs w:val="19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color w:val="FF0000"/>
                <w:sz w:val="18"/>
                <w:szCs w:val="19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F1BE4" w:rsidRPr="00FF1BE4" w:rsidRDefault="00FF1BE4" w:rsidP="00FF1BE4">
            <w:pPr>
              <w:jc w:val="right"/>
              <w:rPr>
                <w:color w:val="FF0000"/>
                <w:sz w:val="18"/>
                <w:szCs w:val="19"/>
              </w:rPr>
            </w:pPr>
          </w:p>
        </w:tc>
      </w:tr>
    </w:tbl>
    <w:p w:rsidR="00FF1BE4" w:rsidRPr="00FF1BE4" w:rsidRDefault="00FF1BE4" w:rsidP="00FF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1BE4" w:rsidRPr="00FF1BE4" w:rsidRDefault="00FF1BE4" w:rsidP="00FF1BE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BE4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FF1BE4" w:rsidRPr="009E1BFE" w:rsidRDefault="00FF1BE4" w:rsidP="00FF1BE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Table A2 </w:t>
      </w:r>
    </w:p>
    <w:p w:rsidR="00FF1BE4" w:rsidRPr="009E1BFE" w:rsidRDefault="00FF1BE4" w:rsidP="00FF1BE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10"/>
      </w:tblGrid>
      <w:tr w:rsidR="009E1BFE" w:rsidRPr="009E1BFE" w:rsidTr="00EF0DB3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F1BE4" w:rsidRPr="009E1BFE" w:rsidRDefault="00FF1BE4" w:rsidP="00FF1BE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F1BE4" w:rsidRPr="009E1BFE" w:rsidRDefault="00FF1BE4" w:rsidP="00FF1BE4">
            <w:r w:rsidRPr="009E1BFE">
              <w:t>Responders (171)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1BE4" w:rsidRPr="009E1BFE" w:rsidRDefault="00FF1BE4" w:rsidP="00FF1BE4">
            <w:r w:rsidRPr="009E1BFE">
              <w:t>Non-responders(123)</w:t>
            </w:r>
          </w:p>
        </w:tc>
      </w:tr>
      <w:tr w:rsidR="009E1BFE" w:rsidRPr="009E1BFE" w:rsidTr="00EF0DB3">
        <w:tc>
          <w:tcPr>
            <w:tcW w:w="3227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r w:rsidRPr="009E1BFE">
              <w:t>Female gender (N)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r w:rsidRPr="009E1BFE">
              <w:t>127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1BE4" w:rsidRPr="009E1BFE" w:rsidRDefault="00FF1BE4" w:rsidP="00FF1BE4">
            <w:r w:rsidRPr="009E1BFE">
              <w:t>92</w:t>
            </w:r>
          </w:p>
        </w:tc>
      </w:tr>
      <w:tr w:rsidR="009E1BFE" w:rsidRPr="009E1BFE" w:rsidTr="00EF0DB3">
        <w:tc>
          <w:tcPr>
            <w:tcW w:w="3227" w:type="dxa"/>
          </w:tcPr>
          <w:p w:rsidR="00FF1BE4" w:rsidRPr="009E1BFE" w:rsidRDefault="00FF1BE4" w:rsidP="00FF1BE4">
            <w:r w:rsidRPr="009E1BFE">
              <w:t xml:space="preserve">Mean Age </w:t>
            </w:r>
          </w:p>
        </w:tc>
        <w:tc>
          <w:tcPr>
            <w:tcW w:w="2126" w:type="dxa"/>
          </w:tcPr>
          <w:p w:rsidR="00FF1BE4" w:rsidRPr="009E1BFE" w:rsidRDefault="00FF1BE4" w:rsidP="00FF1BE4">
            <w:r w:rsidRPr="009E1BFE">
              <w:t>38.02(11.50)</w:t>
            </w:r>
          </w:p>
        </w:tc>
        <w:tc>
          <w:tcPr>
            <w:tcW w:w="2410" w:type="dxa"/>
          </w:tcPr>
          <w:p w:rsidR="00FF1BE4" w:rsidRPr="009E1BFE" w:rsidRDefault="00FF1BE4" w:rsidP="00FF1BE4">
            <w:r w:rsidRPr="009E1BFE">
              <w:t>38.89(12.02)</w:t>
            </w:r>
          </w:p>
        </w:tc>
      </w:tr>
      <w:tr w:rsidR="009E1BFE" w:rsidRPr="009E1BFE" w:rsidTr="00EF0DB3">
        <w:tc>
          <w:tcPr>
            <w:tcW w:w="3227" w:type="dxa"/>
          </w:tcPr>
          <w:p w:rsidR="00FF1BE4" w:rsidRPr="009E1BFE" w:rsidRDefault="00FF1BE4" w:rsidP="00FF1BE4">
            <w:r w:rsidRPr="009E1BFE">
              <w:t xml:space="preserve">Mean baseline Fatigue </w:t>
            </w:r>
          </w:p>
        </w:tc>
        <w:tc>
          <w:tcPr>
            <w:tcW w:w="2126" w:type="dxa"/>
          </w:tcPr>
          <w:p w:rsidR="00FF1BE4" w:rsidRPr="009E1BFE" w:rsidRDefault="00FF1BE4" w:rsidP="00FF1BE4">
            <w:r w:rsidRPr="009E1BFE">
              <w:t>25.07(5.20)</w:t>
            </w:r>
          </w:p>
        </w:tc>
        <w:tc>
          <w:tcPr>
            <w:tcW w:w="2410" w:type="dxa"/>
          </w:tcPr>
          <w:p w:rsidR="00FF1BE4" w:rsidRPr="009E1BFE" w:rsidRDefault="00FF1BE4" w:rsidP="00FF1BE4">
            <w:r w:rsidRPr="009E1BFE">
              <w:t>26.54(4.71)*</w:t>
            </w:r>
          </w:p>
        </w:tc>
      </w:tr>
      <w:tr w:rsidR="009E1BFE" w:rsidRPr="009E1BFE" w:rsidTr="00EF0DB3">
        <w:tc>
          <w:tcPr>
            <w:tcW w:w="3227" w:type="dxa"/>
          </w:tcPr>
          <w:p w:rsidR="00FF1BE4" w:rsidRPr="009E1BFE" w:rsidRDefault="00FF1BE4" w:rsidP="00FF1BE4">
            <w:r w:rsidRPr="009E1BFE">
              <w:t xml:space="preserve">Mean baseline Physical functioning </w:t>
            </w:r>
          </w:p>
        </w:tc>
        <w:tc>
          <w:tcPr>
            <w:tcW w:w="2126" w:type="dxa"/>
          </w:tcPr>
          <w:p w:rsidR="00FF1BE4" w:rsidRPr="009E1BFE" w:rsidRDefault="00FF1BE4" w:rsidP="00FF1BE4">
            <w:r w:rsidRPr="009E1BFE">
              <w:t>50.97(24.79)</w:t>
            </w:r>
          </w:p>
        </w:tc>
        <w:tc>
          <w:tcPr>
            <w:tcW w:w="2410" w:type="dxa"/>
          </w:tcPr>
          <w:p w:rsidR="00FF1BE4" w:rsidRPr="009E1BFE" w:rsidRDefault="00FF1BE4" w:rsidP="00FF1BE4">
            <w:r w:rsidRPr="009E1BFE">
              <w:t>44.08(26.22)</w:t>
            </w:r>
          </w:p>
        </w:tc>
      </w:tr>
      <w:tr w:rsidR="009E1BFE" w:rsidRPr="009E1BFE" w:rsidTr="00EF0DB3">
        <w:tc>
          <w:tcPr>
            <w:tcW w:w="3227" w:type="dxa"/>
          </w:tcPr>
          <w:p w:rsidR="00FF1BE4" w:rsidRPr="009E1BFE" w:rsidRDefault="00FF1BE4" w:rsidP="00FF1BE4">
            <w:r w:rsidRPr="009E1BFE">
              <w:t xml:space="preserve">Mean baseline Social adjustment </w:t>
            </w:r>
          </w:p>
        </w:tc>
        <w:tc>
          <w:tcPr>
            <w:tcW w:w="2126" w:type="dxa"/>
          </w:tcPr>
          <w:p w:rsidR="00FF1BE4" w:rsidRPr="009E1BFE" w:rsidRDefault="00FF1BE4" w:rsidP="00FF1BE4">
            <w:r w:rsidRPr="009E1BFE">
              <w:t>25.76</w:t>
            </w:r>
            <w:r w:rsidRPr="009E1BFE" w:rsidDel="007532FD">
              <w:t xml:space="preserve"> </w:t>
            </w:r>
            <w:r w:rsidRPr="009E1BFE">
              <w:t>(8.16)</w:t>
            </w:r>
          </w:p>
        </w:tc>
        <w:tc>
          <w:tcPr>
            <w:tcW w:w="2410" w:type="dxa"/>
          </w:tcPr>
          <w:p w:rsidR="00FF1BE4" w:rsidRPr="009E1BFE" w:rsidRDefault="00FF1BE4" w:rsidP="00FF1BE4">
            <w:r w:rsidRPr="009E1BFE">
              <w:t xml:space="preserve">26.43 (10.02) </w:t>
            </w:r>
          </w:p>
        </w:tc>
      </w:tr>
    </w:tbl>
    <w:p w:rsidR="00FF1BE4" w:rsidRPr="009E1BFE" w:rsidRDefault="00FF1BE4" w:rsidP="00FF1BE4">
      <w:pPr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18"/>
          <w:szCs w:val="24"/>
          <w:lang w:eastAsia="en-GB"/>
        </w:rPr>
        <w:t>*</w:t>
      </w:r>
      <w:r w:rsidRPr="00AB3CF0">
        <w:rPr>
          <w:rFonts w:ascii="Times New Roman" w:eastAsia="Times New Roman" w:hAnsi="Times New Roman" w:cs="Times New Roman"/>
          <w:i/>
          <w:sz w:val="18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18"/>
          <w:szCs w:val="24"/>
          <w:lang w:eastAsia="en-GB"/>
        </w:rPr>
        <w:t>&lt;.05</w:t>
      </w:r>
    </w:p>
    <w:p w:rsidR="00FF1BE4" w:rsidRPr="009E1BFE" w:rsidRDefault="00FF1BE4" w:rsidP="00FF1BE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18"/>
          <w:szCs w:val="24"/>
          <w:lang w:eastAsia="en-GB"/>
        </w:rPr>
        <w:t>Note: Differences between responders and non-responders were compared using independent (two-tailed) t-tests, apart from gender</w:t>
      </w:r>
      <w:r w:rsidR="00AB3CF0">
        <w:rPr>
          <w:rFonts w:ascii="Times New Roman" w:eastAsia="Times New Roman" w:hAnsi="Times New Roman" w:cs="Times New Roman"/>
          <w:sz w:val="18"/>
          <w:szCs w:val="24"/>
          <w:lang w:eastAsia="en-GB"/>
        </w:rPr>
        <w:t>,</w:t>
      </w:r>
      <w:r w:rsidRPr="009E1BFE">
        <w:rPr>
          <w:rFonts w:ascii="Times New Roman" w:eastAsia="Times New Roman" w:hAnsi="Times New Roman" w:cs="Times New Roman"/>
          <w:sz w:val="18"/>
          <w:szCs w:val="24"/>
          <w:lang w:eastAsia="en-GB"/>
        </w:rPr>
        <w:t xml:space="preserve"> which was analysed using a Chi-square test. </w:t>
      </w:r>
    </w:p>
    <w:p w:rsidR="00843FD4" w:rsidRPr="009E1BFE" w:rsidRDefault="00843FD4">
      <w:pPr>
        <w:rPr>
          <w:rFonts w:ascii="Times New Roman" w:eastAsia="Times New Roman" w:hAnsi="Times New Roman" w:cs="Times New Roman"/>
          <w:sz w:val="18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18"/>
          <w:szCs w:val="24"/>
          <w:lang w:eastAsia="en-GB"/>
        </w:rPr>
        <w:br w:type="page"/>
      </w:r>
    </w:p>
    <w:p w:rsidR="00843FD4" w:rsidRPr="009E1BFE" w:rsidRDefault="00843FD4" w:rsidP="00843FD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Supplement A3 </w:t>
      </w: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Sensitivity analysis: mixed model analyses using prorated data only (no imputation)</w:t>
      </w: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Primary outcome:</w:t>
      </w: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Physical functioning scores showed a statistically significant improvement at pre- CBT compared to baseline, with an increase of 2.7 points (95% CI 0.1 to 5.2,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AB3CF0">
        <w:rPr>
          <w:rFonts w:ascii="Times New Roman" w:eastAsia="Times New Roman" w:hAnsi="Times New Roman" w:cs="Times New Roman"/>
          <w:sz w:val="24"/>
          <w:szCs w:val="24"/>
          <w:lang w:eastAsia="en-GB"/>
        </w:rPr>
        <w:t>=.039). Also, compared to pre-CBT, post-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CBT physical functioning scores were 10.0 points higher: (95% CI 7.2 to 12.8,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&lt;.001). These comparisons were both adjusted for gender and age and both covariates were found to signifi</w:t>
      </w:r>
      <w:bookmarkStart w:id="0" w:name="_GoBack"/>
      <w:bookmarkEnd w:id="0"/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cantly influence the outcome (both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&lt;.001). </w:t>
      </w: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Secondary outcomes:</w:t>
      </w: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Results for</w:t>
      </w:r>
      <w:r w:rsid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social adjustment showed that 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change between baseline and pre- CBT scores on the </w:t>
      </w:r>
      <w:r w:rsid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W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ork and social adjustment scale was not statistically significant, (decrease of 0.9 points, 95% </w:t>
      </w:r>
      <w:proofErr w:type="gramStart"/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CI  -</w:t>
      </w:r>
      <w:proofErr w:type="gramEnd"/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2.0 to 0.2;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="00AB3CF0">
        <w:rPr>
          <w:rFonts w:ascii="Times New Roman" w:eastAsia="Times New Roman" w:hAnsi="Times New Roman" w:cs="Times New Roman"/>
          <w:sz w:val="24"/>
          <w:szCs w:val="24"/>
          <w:lang w:eastAsia="en-GB"/>
        </w:rPr>
        <w:t>=.093). However, post-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CBT scores </w:t>
      </w:r>
      <w:r w:rsidR="00AB3CF0">
        <w:rPr>
          <w:rFonts w:ascii="Times New Roman" w:eastAsia="Times New Roman" w:hAnsi="Times New Roman" w:cs="Times New Roman"/>
          <w:sz w:val="24"/>
          <w:szCs w:val="24"/>
          <w:lang w:eastAsia="en-GB"/>
        </w:rPr>
        <w:t>were 7.4 points lower than pre-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CBT (95% CI-6.2 to -8.6,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&lt;.001), indicating that patients were less impaired after CBT treatment. These comparisons were both adjusted for gender and age and both covariates were found to significantly influence the outcome (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=.007 and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&lt;.001).</w:t>
      </w: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en-GB"/>
        </w:rPr>
      </w:pPr>
    </w:p>
    <w:p w:rsidR="00843FD4" w:rsidRPr="009E1BFE" w:rsidRDefault="00843FD4" w:rsidP="00843F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The model examining change in fatigue over time, adjusted for gender and age, showed no statistically significant difference in fa</w:t>
      </w:r>
      <w:r w:rsidR="00AB3CF0">
        <w:rPr>
          <w:rFonts w:ascii="Times New Roman" w:eastAsia="Times New Roman" w:hAnsi="Times New Roman" w:cs="Times New Roman"/>
          <w:sz w:val="24"/>
          <w:szCs w:val="24"/>
          <w:lang w:eastAsia="en-GB"/>
        </w:rPr>
        <w:t>tigue between baseline and pre-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CBT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(decrease of 0.7 points, 95% CI  -1.6 to 0.3,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=.189). However, fatigue showed an improvement (d</w:t>
      </w:r>
      <w:r w:rsidR="00AB3CF0">
        <w:rPr>
          <w:rFonts w:ascii="Times New Roman" w:eastAsia="Times New Roman" w:hAnsi="Times New Roman" w:cs="Times New Roman"/>
          <w:sz w:val="24"/>
          <w:szCs w:val="24"/>
          <w:lang w:eastAsia="en-GB"/>
        </w:rPr>
        <w:t>ecrease) of 8.4 points at post-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CBT a</w:t>
      </w:r>
      <w:r w:rsidR="00AB3CF0">
        <w:rPr>
          <w:rFonts w:ascii="Times New Roman" w:eastAsia="Times New Roman" w:hAnsi="Times New Roman" w:cs="Times New Roman"/>
          <w:sz w:val="24"/>
          <w:szCs w:val="24"/>
          <w:lang w:eastAsia="en-GB"/>
        </w:rPr>
        <w:t>s compared to pre-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CBT (95% CI -7.3 to -9.6, 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&lt;.001). Results showed that neither gender (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>=.084) nor age (</w:t>
      </w:r>
      <w:r w:rsidRPr="009E1BF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</w:t>
      </w: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=.152) had any statistically significant influence on the outcome. </w:t>
      </w:r>
    </w:p>
    <w:p w:rsidR="00225A9A" w:rsidRDefault="00843FD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sectPr w:rsidR="00225A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843FD4" w:rsidRDefault="00843FD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225A9A" w:rsidRDefault="00225A9A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:rsidR="00FF1BE4" w:rsidRPr="009E1BFE" w:rsidRDefault="00FF1BE4" w:rsidP="00FF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1BE4" w:rsidRPr="009E1BFE" w:rsidRDefault="00FF1BE4" w:rsidP="00FF1BE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9E1BF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Table A</w:t>
      </w:r>
      <w:r w:rsidR="00225A9A" w:rsidRPr="009E1BF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4</w:t>
      </w:r>
      <w:r w:rsidRPr="009E1BF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Comparison between baseline and pre-CBT for physical functioning, social adjustment and fatigue</w:t>
      </w: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1986"/>
        <w:gridCol w:w="567"/>
        <w:gridCol w:w="1275"/>
        <w:gridCol w:w="1276"/>
        <w:gridCol w:w="2126"/>
        <w:gridCol w:w="1134"/>
        <w:gridCol w:w="1276"/>
      </w:tblGrid>
      <w:tr w:rsidR="009E1BFE" w:rsidRPr="009E1BFE" w:rsidTr="00EF0DB3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Mean at initial assessment (SD)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Mean at pre-CBT(SD)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T test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95% confidence interval for mean difference</w:t>
            </w:r>
          </w:p>
        </w:tc>
      </w:tr>
      <w:tr w:rsidR="009E1BFE" w:rsidRPr="009E1BFE" w:rsidTr="00EF0DB3"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Physical functioning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48.00 (24.24)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51.18 (25.92)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t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(170)=-2.91, </w:t>
            </w: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=.004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-5.33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-1.02</w:t>
            </w:r>
          </w:p>
        </w:tc>
      </w:tr>
      <w:tr w:rsidR="009E1BFE" w:rsidRPr="009E1BFE" w:rsidTr="00DC425B">
        <w:tc>
          <w:tcPr>
            <w:tcW w:w="198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Social adjustment </w:t>
            </w:r>
          </w:p>
        </w:tc>
        <w:tc>
          <w:tcPr>
            <w:tcW w:w="567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174</w:t>
            </w:r>
          </w:p>
        </w:tc>
        <w:tc>
          <w:tcPr>
            <w:tcW w:w="1275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26.42 (8.37)</w:t>
            </w:r>
          </w:p>
        </w:tc>
        <w:tc>
          <w:tcPr>
            <w:tcW w:w="127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25.35 (8.67)</w:t>
            </w:r>
          </w:p>
        </w:tc>
        <w:tc>
          <w:tcPr>
            <w:tcW w:w="212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t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(173)=2.44, </w:t>
            </w: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=.016</w:t>
            </w:r>
          </w:p>
        </w:tc>
        <w:tc>
          <w:tcPr>
            <w:tcW w:w="1134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.20</w:t>
            </w:r>
          </w:p>
        </w:tc>
        <w:tc>
          <w:tcPr>
            <w:tcW w:w="127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1.92</w:t>
            </w:r>
          </w:p>
        </w:tc>
      </w:tr>
      <w:tr w:rsidR="009E1BFE" w:rsidRPr="009E1BFE" w:rsidTr="00DC425B">
        <w:trPr>
          <w:trHeight w:val="529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Fatigue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25.61 (5.16)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24.74 (6.42)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t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(179)=2.19, </w:t>
            </w: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=.030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1.64</w:t>
            </w:r>
          </w:p>
        </w:tc>
      </w:tr>
    </w:tbl>
    <w:p w:rsidR="00FF1BE4" w:rsidRPr="009E1BFE" w:rsidRDefault="00FF1BE4" w:rsidP="00FF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1BE4" w:rsidRPr="009E1BFE" w:rsidRDefault="00FF1BE4" w:rsidP="00FF1BE4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BFE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FF1BE4" w:rsidRPr="009E1BFE" w:rsidRDefault="00FF1BE4" w:rsidP="00FF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1BE4" w:rsidRPr="009E1BFE" w:rsidRDefault="00225A9A" w:rsidP="00FF1BE4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9E1BF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Table A5</w:t>
      </w:r>
      <w:r w:rsidR="00FF1BE4" w:rsidRPr="009E1BF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Comparison between pre-CBT and post- CBT scores for physical functioning, social adjustment and fatigue</w:t>
      </w: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1986"/>
        <w:gridCol w:w="567"/>
        <w:gridCol w:w="1275"/>
        <w:gridCol w:w="1276"/>
        <w:gridCol w:w="2126"/>
        <w:gridCol w:w="1134"/>
        <w:gridCol w:w="1276"/>
      </w:tblGrid>
      <w:tr w:rsidR="009E1BFE" w:rsidRPr="009E1BFE" w:rsidTr="00EF0DB3"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Mean at pre- CBT (SD)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Mean at post- CBT (SD)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T test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GB"/>
              </w:rPr>
              <w:t>95% confidence interval for mean difference</w:t>
            </w:r>
          </w:p>
        </w:tc>
      </w:tr>
      <w:tr w:rsidR="009E1BFE" w:rsidRPr="009E1BFE" w:rsidTr="00EF0DB3"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Physical functioning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52.99 (26.02)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62.14(27.64)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t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(155)=-6.42, </w:t>
            </w: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=.000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-11.97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-6.33</w:t>
            </w:r>
          </w:p>
        </w:tc>
      </w:tr>
      <w:tr w:rsidR="009E1BFE" w:rsidRPr="009E1BFE" w:rsidTr="00DC425B">
        <w:tc>
          <w:tcPr>
            <w:tcW w:w="198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Social adjustment </w:t>
            </w:r>
          </w:p>
        </w:tc>
        <w:tc>
          <w:tcPr>
            <w:tcW w:w="567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160</w:t>
            </w:r>
          </w:p>
        </w:tc>
        <w:tc>
          <w:tcPr>
            <w:tcW w:w="1275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24.61(9.33)</w:t>
            </w:r>
          </w:p>
        </w:tc>
        <w:tc>
          <w:tcPr>
            <w:tcW w:w="127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17.90(11.08)</w:t>
            </w:r>
          </w:p>
        </w:tc>
        <w:tc>
          <w:tcPr>
            <w:tcW w:w="212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t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(159)=10.57, </w:t>
            </w: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=.000</w:t>
            </w:r>
          </w:p>
        </w:tc>
        <w:tc>
          <w:tcPr>
            <w:tcW w:w="1134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5.46</w:t>
            </w:r>
          </w:p>
        </w:tc>
        <w:tc>
          <w:tcPr>
            <w:tcW w:w="1276" w:type="dxa"/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7.97</w:t>
            </w:r>
          </w:p>
        </w:tc>
      </w:tr>
      <w:tr w:rsidR="009E1BFE" w:rsidRPr="009E1BFE" w:rsidTr="00DC425B">
        <w:trPr>
          <w:trHeight w:val="529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Fatigue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24.39(6.25)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16.73(8.57)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t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 xml:space="preserve">(161)=11.19, </w:t>
            </w:r>
            <w:r w:rsidRPr="009E1BFE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GB"/>
              </w:rPr>
              <w:t>p</w:t>
            </w: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=.000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6.31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F1BE4" w:rsidRPr="009E1BFE" w:rsidRDefault="00FF1BE4" w:rsidP="00FF1BE4">
            <w:pPr>
              <w:autoSpaceDE w:val="0"/>
              <w:autoSpaceDN w:val="0"/>
              <w:adjustRightInd w:val="0"/>
              <w:spacing w:after="0" w:line="4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</w:pPr>
            <w:r w:rsidRPr="009E1BFE">
              <w:rPr>
                <w:rFonts w:ascii="Times New Roman" w:eastAsia="Times New Roman" w:hAnsi="Times New Roman" w:cs="Times New Roman"/>
                <w:sz w:val="18"/>
                <w:szCs w:val="24"/>
                <w:lang w:eastAsia="en-GB"/>
              </w:rPr>
              <w:t>9.01</w:t>
            </w:r>
          </w:p>
        </w:tc>
      </w:tr>
    </w:tbl>
    <w:p w:rsidR="00314009" w:rsidRPr="009E1BFE" w:rsidRDefault="007F3451" w:rsidP="00843FD4"/>
    <w:sectPr w:rsidR="00314009" w:rsidRPr="009E1BFE" w:rsidSect="00225A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51" w:rsidRDefault="007F3451">
      <w:pPr>
        <w:spacing w:after="0" w:line="240" w:lineRule="auto"/>
      </w:pPr>
      <w:r>
        <w:separator/>
      </w:r>
    </w:p>
  </w:endnote>
  <w:endnote w:type="continuationSeparator" w:id="0">
    <w:p w:rsidR="007F3451" w:rsidRDefault="007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3" w:rsidRDefault="007F3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3" w:rsidRPr="00B47686" w:rsidRDefault="007F3451" w:rsidP="00C80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3" w:rsidRDefault="007F3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51" w:rsidRDefault="007F3451">
      <w:pPr>
        <w:spacing w:after="0" w:line="240" w:lineRule="auto"/>
      </w:pPr>
      <w:r>
        <w:separator/>
      </w:r>
    </w:p>
  </w:footnote>
  <w:footnote w:type="continuationSeparator" w:id="0">
    <w:p w:rsidR="007F3451" w:rsidRDefault="007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3" w:rsidRDefault="007F3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3" w:rsidRDefault="007F3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F3" w:rsidRDefault="007F3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E4"/>
    <w:rsid w:val="00075D2F"/>
    <w:rsid w:val="0008282D"/>
    <w:rsid w:val="001A7BDE"/>
    <w:rsid w:val="00225A9A"/>
    <w:rsid w:val="002824E4"/>
    <w:rsid w:val="004A37B9"/>
    <w:rsid w:val="0070514C"/>
    <w:rsid w:val="007F3451"/>
    <w:rsid w:val="00843FD4"/>
    <w:rsid w:val="008B414D"/>
    <w:rsid w:val="009E1BFE"/>
    <w:rsid w:val="00AB3CF0"/>
    <w:rsid w:val="00CA2540"/>
    <w:rsid w:val="00D81964"/>
    <w:rsid w:val="00DC425B"/>
    <w:rsid w:val="00F86309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BE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F1B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F1BE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F1B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FF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BE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F1B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FF1BE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F1B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FF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3</cp:revision>
  <dcterms:created xsi:type="dcterms:W3CDTF">2017-03-10T13:21:00Z</dcterms:created>
  <dcterms:modified xsi:type="dcterms:W3CDTF">2017-03-10T13:27:00Z</dcterms:modified>
</cp:coreProperties>
</file>